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27EAA">
      <w:pP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rPr>
        <w:t xml:space="preserve"> </w:t>
      </w:r>
    </w:p>
    <w:p w14:paraId="72D3F2D6">
      <w:pPr>
        <w:rPr>
          <w:rFonts w:hint="default" w:ascii="Times New Roman" w:hAnsi="Times New Roman" w:eastAsia="宋体" w:cs="Times New Roman"/>
          <w:color w:val="auto"/>
          <w:sz w:val="36"/>
          <w:szCs w:val="36"/>
        </w:rPr>
      </w:pPr>
    </w:p>
    <w:p w14:paraId="43045522">
      <w:pPr>
        <w:rPr>
          <w:rFonts w:hint="default" w:ascii="Times New Roman" w:hAnsi="Times New Roman" w:eastAsia="宋体" w:cs="Times New Roman"/>
          <w:color w:val="auto"/>
          <w:sz w:val="36"/>
          <w:szCs w:val="36"/>
        </w:rPr>
      </w:pPr>
    </w:p>
    <w:p w14:paraId="46EAA722">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31F73C26">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47008E06">
      <w:pPr>
        <w:bidi w:val="0"/>
        <w:rPr>
          <w:rFonts w:hint="eastAsia"/>
          <w:color w:val="auto"/>
          <w:lang w:eastAsia="zh-CN"/>
        </w:rPr>
      </w:pPr>
    </w:p>
    <w:p w14:paraId="0443AAC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hint="default" w:ascii="Times New Roman" w:hAnsi="Times New Roman" w:eastAsia="宋体" w:cs="Times New Roman"/>
          <w:color w:val="auto"/>
          <w:kern w:val="44"/>
          <w:sz w:val="44"/>
          <w:szCs w:val="44"/>
        </w:rPr>
      </w:pPr>
    </w:p>
    <w:p w14:paraId="3DE16FA5">
      <w:pPr>
        <w:pStyle w:val="51"/>
        <w:rPr>
          <w:rFonts w:hint="default"/>
          <w:color w:val="auto"/>
        </w:rPr>
      </w:pPr>
    </w:p>
    <w:p w14:paraId="657D9DE8">
      <w:pPr>
        <w:jc w:val="center"/>
        <w:rPr>
          <w:rFonts w:hint="default" w:ascii="Times New Roman" w:hAnsi="Times New Roman" w:eastAsia="宋体" w:cs="Times New Roman"/>
          <w:color w:val="auto"/>
          <w:sz w:val="52"/>
          <w:szCs w:val="52"/>
        </w:rPr>
      </w:pPr>
    </w:p>
    <w:p w14:paraId="46210DEE">
      <w:pPr>
        <w:jc w:val="center"/>
        <w:rPr>
          <w:rFonts w:hint="default" w:ascii="Times New Roman" w:hAnsi="Times New Roman" w:eastAsia="宋体" w:cs="Times New Roman"/>
          <w:color w:val="auto"/>
          <w:sz w:val="52"/>
          <w:szCs w:val="52"/>
        </w:rPr>
      </w:pPr>
    </w:p>
    <w:p w14:paraId="3C54D84D">
      <w:pPr>
        <w:ind w:firstLine="1040"/>
        <w:rPr>
          <w:rFonts w:hint="default" w:ascii="Times New Roman" w:hAnsi="Times New Roman" w:eastAsia="宋体" w:cs="Times New Roman"/>
          <w:color w:val="auto"/>
          <w:sz w:val="44"/>
          <w:szCs w:val="44"/>
        </w:rPr>
      </w:pPr>
    </w:p>
    <w:p w14:paraId="5748C6DC">
      <w:pPr>
        <w:ind w:firstLine="1040"/>
        <w:rPr>
          <w:rFonts w:hint="default" w:ascii="Times New Roman" w:hAnsi="Times New Roman" w:eastAsia="宋体" w:cs="Times New Roman"/>
          <w:color w:val="auto"/>
          <w:sz w:val="44"/>
          <w:szCs w:val="44"/>
        </w:rPr>
      </w:pPr>
    </w:p>
    <w:p w14:paraId="46C7904B">
      <w:pPr>
        <w:ind w:firstLine="1040"/>
        <w:rPr>
          <w:rFonts w:hint="default" w:ascii="Times New Roman" w:hAnsi="Times New Roman" w:eastAsia="宋体" w:cs="Times New Roman"/>
          <w:color w:val="auto"/>
          <w:sz w:val="44"/>
          <w:szCs w:val="44"/>
        </w:rPr>
      </w:pPr>
    </w:p>
    <w:p w14:paraId="04F8C23B">
      <w:pPr>
        <w:adjustRightInd w:val="0"/>
        <w:snapToGrid w:val="0"/>
        <w:spacing w:line="360" w:lineRule="auto"/>
        <w:ind w:left="2877" w:leftChars="513" w:hanging="1800" w:hangingChars="500"/>
        <w:rPr>
          <w:rFonts w:hint="default"/>
          <w:color w:val="auto"/>
          <w:sz w:val="32"/>
          <w:szCs w:val="32"/>
          <w:u w:val="single"/>
          <w:lang w:val="en-US"/>
        </w:rPr>
      </w:pPr>
      <w:r>
        <w:rPr>
          <w:rFonts w:hint="eastAsia" w:ascii="Times New Roman" w:hAnsi="Times New Roman" w:eastAsia="仿宋_GB2312" w:cs="Times New Roman"/>
          <w:color w:val="auto"/>
          <w:spacing w:val="0"/>
          <w:sz w:val="36"/>
          <w:szCs w:val="36"/>
          <w:u w:val="none"/>
          <w:lang w:val="en-US" w:eastAsia="zh-CN"/>
        </w:rPr>
        <w:t>项目名称：</w:t>
      </w:r>
      <w:r>
        <w:rPr>
          <w:rFonts w:hint="eastAsia" w:ascii="Times New Roman" w:hAnsi="Times New Roman" w:eastAsia="仿宋_GB2312" w:cs="Times New Roman"/>
          <w:color w:val="auto"/>
          <w:spacing w:val="-20"/>
          <w:sz w:val="36"/>
          <w:szCs w:val="36"/>
          <w:u w:val="single"/>
          <w:lang w:val="en-US" w:eastAsia="zh-CN"/>
        </w:rPr>
        <w:t>固原市泡沫箱生产及农产品包装配套项目</w:t>
      </w:r>
      <w:r>
        <w:rPr>
          <w:rFonts w:hint="eastAsia" w:ascii="Times New Roman" w:hAnsi="Times New Roman" w:eastAsia="仿宋_GB2312" w:cs="Times New Roman"/>
          <w:color w:val="auto"/>
          <w:spacing w:val="0"/>
          <w:sz w:val="36"/>
          <w:szCs w:val="36"/>
          <w:u w:val="single"/>
          <w:lang w:val="en-US" w:eastAsia="zh-CN"/>
        </w:rPr>
        <w:t xml:space="preserve">  </w:t>
      </w:r>
    </w:p>
    <w:p w14:paraId="0AA7502A">
      <w:pPr>
        <w:adjustRightInd w:val="0"/>
        <w:snapToGrid w:val="0"/>
        <w:spacing w:line="360" w:lineRule="auto"/>
        <w:ind w:firstLine="1040"/>
        <w:rPr>
          <w:rFonts w:hint="default"/>
          <w:color w:val="auto"/>
          <w:sz w:val="36"/>
          <w:szCs w:val="36"/>
          <w:u w:val="single"/>
          <w:lang w:val="en-US"/>
        </w:rPr>
      </w:pPr>
      <w:r>
        <w:rPr>
          <w:rFonts w:hint="eastAsia" w:ascii="Times New Roman" w:hAnsi="Times New Roman" w:eastAsia="仿宋_GB2312" w:cs="Times New Roman"/>
          <w:color w:val="auto"/>
          <w:spacing w:val="0"/>
          <w:sz w:val="36"/>
          <w:szCs w:val="36"/>
          <w:u w:val="none"/>
          <w:lang w:val="en-US" w:eastAsia="zh-CN"/>
        </w:rPr>
        <w:t>建设单位</w:t>
      </w:r>
      <w:r>
        <w:rPr>
          <w:color w:val="auto"/>
          <w:sz w:val="36"/>
          <w:szCs w:val="36"/>
        </w:rPr>
        <w:t>：</w:t>
      </w:r>
      <w:r>
        <w:rPr>
          <w:rFonts w:hint="eastAsia" w:ascii="Times New Roman" w:hAnsi="Times New Roman" w:eastAsia="仿宋_GB2312" w:cs="Times New Roman"/>
          <w:color w:val="auto"/>
          <w:spacing w:val="0"/>
          <w:sz w:val="36"/>
          <w:szCs w:val="36"/>
          <w:u w:val="single"/>
          <w:lang w:val="en-US" w:eastAsia="zh-CN"/>
        </w:rPr>
        <w:t xml:space="preserve">固原市金昭财泡沫包装材料有限公司  </w:t>
      </w:r>
    </w:p>
    <w:p w14:paraId="45FAF7A7">
      <w:pPr>
        <w:adjustRightInd w:val="0"/>
        <w:snapToGrid w:val="0"/>
        <w:spacing w:line="360" w:lineRule="auto"/>
        <w:ind w:firstLine="1040"/>
        <w:rPr>
          <w:color w:val="auto"/>
          <w:sz w:val="36"/>
          <w:szCs w:val="36"/>
          <w:u w:val="single"/>
        </w:rPr>
      </w:pPr>
      <w:r>
        <w:rPr>
          <w:rFonts w:hint="eastAsia" w:ascii="Times New Roman" w:hAnsi="Times New Roman" w:eastAsia="仿宋_GB2312" w:cs="Times New Roman"/>
          <w:color w:val="auto"/>
          <w:spacing w:val="0"/>
          <w:sz w:val="36"/>
          <w:szCs w:val="36"/>
          <w:u w:val="none"/>
          <w:lang w:val="en-US" w:eastAsia="zh-CN"/>
        </w:rPr>
        <w:t>编制日期</w:t>
      </w:r>
      <w:r>
        <w:rPr>
          <w:color w:val="auto"/>
          <w:sz w:val="36"/>
          <w:szCs w:val="36"/>
        </w:rPr>
        <w:t>：</w:t>
      </w:r>
      <w:r>
        <w:rPr>
          <w:rFonts w:hint="eastAsia"/>
          <w:color w:val="auto"/>
          <w:sz w:val="36"/>
          <w:szCs w:val="36"/>
          <w:u w:val="single"/>
          <w:lang w:val="en-US" w:eastAsia="zh-CN"/>
        </w:rPr>
        <w:t xml:space="preserve">          </w:t>
      </w:r>
      <w:r>
        <w:rPr>
          <w:color w:val="auto"/>
          <w:sz w:val="36"/>
          <w:szCs w:val="36"/>
          <w:u w:val="single"/>
        </w:rPr>
        <w:t>202</w:t>
      </w:r>
      <w:r>
        <w:rPr>
          <w:rFonts w:hint="eastAsia"/>
          <w:color w:val="auto"/>
          <w:sz w:val="36"/>
          <w:szCs w:val="36"/>
          <w:u w:val="single"/>
          <w:lang w:val="en-US" w:eastAsia="zh-CN"/>
        </w:rPr>
        <w:t>6</w:t>
      </w:r>
      <w:r>
        <w:rPr>
          <w:color w:val="auto"/>
          <w:sz w:val="36"/>
          <w:szCs w:val="36"/>
          <w:u w:val="single"/>
        </w:rPr>
        <w:t>年</w:t>
      </w:r>
      <w:r>
        <w:rPr>
          <w:rFonts w:hint="eastAsia"/>
          <w:color w:val="auto"/>
          <w:sz w:val="36"/>
          <w:szCs w:val="36"/>
          <w:u w:val="single"/>
          <w:lang w:val="en-US" w:eastAsia="zh-CN"/>
        </w:rPr>
        <w:t>4</w:t>
      </w:r>
      <w:r>
        <w:rPr>
          <w:color w:val="auto"/>
          <w:sz w:val="36"/>
          <w:szCs w:val="36"/>
          <w:u w:val="single"/>
        </w:rPr>
        <w:t>月</w:t>
      </w:r>
      <w:r>
        <w:rPr>
          <w:rFonts w:hint="eastAsia"/>
          <w:color w:val="auto"/>
          <w:sz w:val="36"/>
          <w:szCs w:val="36"/>
          <w:u w:val="single"/>
          <w:lang w:val="en-US" w:eastAsia="zh-CN"/>
        </w:rPr>
        <w:t xml:space="preserve">             </w:t>
      </w:r>
    </w:p>
    <w:p w14:paraId="2A9C0C11">
      <w:pPr>
        <w:adjustRightInd w:val="0"/>
        <w:snapToGrid w:val="0"/>
        <w:spacing w:line="288" w:lineRule="auto"/>
        <w:ind w:firstLine="1040"/>
        <w:rPr>
          <w:rFonts w:hint="default" w:ascii="Times New Roman" w:hAnsi="Times New Roman" w:eastAsia="宋体" w:cs="Times New Roman"/>
          <w:color w:val="auto"/>
          <w:sz w:val="36"/>
          <w:szCs w:val="36"/>
        </w:rPr>
      </w:pPr>
      <w:bookmarkStart w:id="0" w:name="_Hlk57884087"/>
    </w:p>
    <w:p w14:paraId="3CAE7911">
      <w:pPr>
        <w:adjustRightInd w:val="0"/>
        <w:snapToGrid w:val="0"/>
        <w:spacing w:line="288" w:lineRule="auto"/>
        <w:ind w:firstLine="1040"/>
        <w:rPr>
          <w:rFonts w:hint="default" w:ascii="Times New Roman" w:hAnsi="Times New Roman" w:eastAsia="宋体" w:cs="Times New Roman"/>
          <w:color w:val="auto"/>
          <w:sz w:val="36"/>
          <w:szCs w:val="36"/>
        </w:rPr>
      </w:pPr>
    </w:p>
    <w:bookmarkEnd w:id="0"/>
    <w:p w14:paraId="3FBA3460">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14:paraId="2C81555A">
      <w:pPr>
        <w:adjustRightInd w:val="0"/>
        <w:snapToGrid w:val="0"/>
        <w:spacing w:line="288" w:lineRule="auto"/>
        <w:ind w:firstLine="1040"/>
        <w:rPr>
          <w:rFonts w:hint="default" w:ascii="Times New Roman" w:hAnsi="Times New Roman" w:eastAsia="宋体" w:cs="Times New Roman"/>
          <w:color w:val="auto"/>
          <w:sz w:val="36"/>
          <w:szCs w:val="36"/>
        </w:rPr>
        <w:sectPr>
          <w:footerReference r:id="rId3" w:type="default"/>
          <w:footerReference r:id="rId4" w:type="even"/>
          <w:pgSz w:w="11906" w:h="16838"/>
          <w:pgMar w:top="1701" w:right="1531" w:bottom="1701" w:left="1531" w:header="851" w:footer="1077" w:gutter="0"/>
          <w:pgBorders w:offsetFrom="page">
            <w:top w:val="none" w:sz="0" w:space="0"/>
            <w:left w:val="none" w:sz="0" w:space="0"/>
            <w:bottom w:val="none" w:sz="0" w:space="0"/>
            <w:right w:val="none" w:sz="0" w:space="0"/>
          </w:pgBorders>
          <w:pgNumType w:start="3"/>
          <w:cols w:space="720" w:num="1"/>
          <w:docGrid w:linePitch="312" w:charSpace="0"/>
        </w:sectPr>
      </w:pPr>
    </w:p>
    <w:p w14:paraId="386BB0B5">
      <w:pPr>
        <w:pStyle w:val="27"/>
        <w:adjustRightInd w:val="0"/>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30"/>
        <w:tblW w:w="9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8"/>
        <w:gridCol w:w="210"/>
        <w:gridCol w:w="2478"/>
        <w:gridCol w:w="2128"/>
        <w:gridCol w:w="3533"/>
      </w:tblGrid>
      <w:tr w14:paraId="08EB7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026CB59A">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建设项目名称</w:t>
            </w:r>
          </w:p>
        </w:tc>
        <w:tc>
          <w:tcPr>
            <w:tcW w:w="8139" w:type="dxa"/>
            <w:gridSpan w:val="3"/>
            <w:noWrap w:val="0"/>
            <w:vAlign w:val="center"/>
          </w:tcPr>
          <w:p w14:paraId="5DF3D4A7">
            <w:pPr>
              <w:adjustRightInd w:val="0"/>
              <w:snapToGrid w:val="0"/>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固原市泡沫箱生产及农产品包装配套项目</w:t>
            </w:r>
          </w:p>
        </w:tc>
      </w:tr>
      <w:tr w14:paraId="1ECCD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796F0F57">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项目代码</w:t>
            </w:r>
          </w:p>
        </w:tc>
        <w:tc>
          <w:tcPr>
            <w:tcW w:w="8139" w:type="dxa"/>
            <w:gridSpan w:val="3"/>
            <w:noWrap w:val="0"/>
            <w:vAlign w:val="center"/>
          </w:tcPr>
          <w:p w14:paraId="0D3B2037">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2512-640940-04-01-781399</w:t>
            </w:r>
          </w:p>
        </w:tc>
      </w:tr>
      <w:tr w14:paraId="11EE6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8" w:type="dxa"/>
            <w:gridSpan w:val="2"/>
            <w:noWrap w:val="0"/>
            <w:tcMar>
              <w:top w:w="16" w:type="dxa"/>
              <w:left w:w="16" w:type="dxa"/>
              <w:right w:w="16" w:type="dxa"/>
            </w:tcMar>
            <w:vAlign w:val="center"/>
          </w:tcPr>
          <w:p w14:paraId="1FF82233">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建设单位联系人</w:t>
            </w:r>
          </w:p>
        </w:tc>
        <w:tc>
          <w:tcPr>
            <w:tcW w:w="2478" w:type="dxa"/>
            <w:noWrap w:val="0"/>
            <w:vAlign w:val="center"/>
          </w:tcPr>
          <w:p w14:paraId="3AEA9242">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金美俭</w:t>
            </w:r>
          </w:p>
        </w:tc>
        <w:tc>
          <w:tcPr>
            <w:tcW w:w="2128" w:type="dxa"/>
            <w:noWrap w:val="0"/>
            <w:vAlign w:val="center"/>
          </w:tcPr>
          <w:p w14:paraId="5D9816A3">
            <w:pPr>
              <w:adjustRightInd w:val="0"/>
              <w:snapToGrid w:val="0"/>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联系方式</w:t>
            </w:r>
          </w:p>
        </w:tc>
        <w:tc>
          <w:tcPr>
            <w:tcW w:w="3533" w:type="dxa"/>
            <w:noWrap w:val="0"/>
            <w:vAlign w:val="center"/>
          </w:tcPr>
          <w:p w14:paraId="0C303FB0">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15393178999</w:t>
            </w:r>
          </w:p>
        </w:tc>
      </w:tr>
      <w:tr w14:paraId="3DF6F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7AAAE492">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建设地点</w:t>
            </w:r>
          </w:p>
        </w:tc>
        <w:tc>
          <w:tcPr>
            <w:tcW w:w="8139" w:type="dxa"/>
            <w:gridSpan w:val="3"/>
            <w:noWrap w:val="0"/>
            <w:vAlign w:val="center"/>
          </w:tcPr>
          <w:p w14:paraId="7B62F9AD">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宁夏回族自治区</w:t>
            </w:r>
            <w:r>
              <w:rPr>
                <w:rFonts w:hint="eastAsia" w:ascii="Times New Roman" w:hAnsi="Times New Roman" w:eastAsia="宋体" w:cs="Times New Roman"/>
                <w:color w:val="auto"/>
                <w:sz w:val="24"/>
                <w:lang w:val="en-US" w:eastAsia="zh-CN"/>
              </w:rPr>
              <w:t>固原市固原经济开发区</w:t>
            </w:r>
          </w:p>
        </w:tc>
      </w:tr>
      <w:tr w14:paraId="7D4A9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535846DA">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地理坐标</w:t>
            </w:r>
          </w:p>
        </w:tc>
        <w:tc>
          <w:tcPr>
            <w:tcW w:w="8139" w:type="dxa"/>
            <w:gridSpan w:val="3"/>
            <w:noWrap w:val="0"/>
            <w:vAlign w:val="center"/>
          </w:tcPr>
          <w:p w14:paraId="46FBD8FB">
            <w:pPr>
              <w:jc w:val="center"/>
              <w:rPr>
                <w:rFonts w:hint="default" w:ascii="Times New Roman" w:hAnsi="Times New Roman" w:eastAsia="宋体" w:cs="Times New Roman"/>
                <w:color w:val="auto"/>
                <w:sz w:val="24"/>
              </w:rPr>
            </w:pPr>
            <w:r>
              <w:rPr>
                <w:rFonts w:ascii="Times New Roman" w:hAnsi="Times New Roman"/>
                <w:color w:val="auto"/>
                <w:sz w:val="24"/>
              </w:rPr>
              <w:t>（</w:t>
            </w:r>
            <w:r>
              <w:rPr>
                <w:rFonts w:ascii="Times New Roman" w:hAnsi="Times New Roman"/>
                <w:color w:val="auto"/>
                <w:sz w:val="24"/>
                <w:u w:val="single"/>
              </w:rPr>
              <w:t>10</w:t>
            </w:r>
            <w:r>
              <w:rPr>
                <w:rFonts w:hint="eastAsia" w:ascii="Times New Roman" w:hAnsi="Times New Roman"/>
                <w:color w:val="auto"/>
                <w:sz w:val="24"/>
                <w:u w:val="single"/>
              </w:rPr>
              <w:t>6</w:t>
            </w:r>
            <w:r>
              <w:rPr>
                <w:rFonts w:ascii="Times New Roman" w:hAnsi="Times New Roman"/>
                <w:color w:val="auto"/>
                <w:sz w:val="24"/>
              </w:rPr>
              <w:t>度</w:t>
            </w:r>
            <w:r>
              <w:rPr>
                <w:rFonts w:hint="eastAsia" w:ascii="Times New Roman" w:hAnsi="Times New Roman"/>
                <w:color w:val="auto"/>
                <w:sz w:val="24"/>
                <w:u w:val="single"/>
                <w:lang w:val="en-US" w:eastAsia="zh-CN"/>
              </w:rPr>
              <w:t>09</w:t>
            </w:r>
            <w:r>
              <w:rPr>
                <w:rFonts w:ascii="Times New Roman" w:hAnsi="Times New Roman"/>
                <w:color w:val="auto"/>
                <w:sz w:val="24"/>
              </w:rPr>
              <w:t>分</w:t>
            </w:r>
            <w:r>
              <w:rPr>
                <w:rFonts w:hint="eastAsia" w:ascii="Times New Roman" w:hAnsi="Times New Roman"/>
                <w:color w:val="auto"/>
                <w:sz w:val="24"/>
                <w:u w:val="single"/>
                <w:lang w:val="en-US" w:eastAsia="zh-CN"/>
              </w:rPr>
              <w:t>28.92</w:t>
            </w:r>
            <w:r>
              <w:rPr>
                <w:rFonts w:hint="eastAsia" w:ascii="Times New Roman" w:hAnsi="Times New Roman"/>
                <w:color w:val="auto"/>
                <w:sz w:val="24"/>
                <w:u w:val="single"/>
              </w:rPr>
              <w:t>0</w:t>
            </w:r>
            <w:r>
              <w:rPr>
                <w:rFonts w:ascii="Times New Roman" w:hAnsi="Times New Roman"/>
                <w:color w:val="auto"/>
                <w:sz w:val="24"/>
              </w:rPr>
              <w:t>秒，</w:t>
            </w:r>
            <w:r>
              <w:rPr>
                <w:rFonts w:ascii="Times New Roman" w:hAnsi="Times New Roman"/>
                <w:color w:val="auto"/>
                <w:sz w:val="24"/>
                <w:u w:val="single"/>
              </w:rPr>
              <w:t>3</w:t>
            </w:r>
            <w:r>
              <w:rPr>
                <w:rFonts w:hint="eastAsia" w:ascii="Times New Roman" w:hAnsi="Times New Roman"/>
                <w:color w:val="auto"/>
                <w:sz w:val="24"/>
                <w:u w:val="single"/>
                <w:lang w:val="en-US" w:eastAsia="zh-CN"/>
              </w:rPr>
              <w:t>6</w:t>
            </w:r>
            <w:r>
              <w:rPr>
                <w:rFonts w:ascii="Times New Roman" w:hAnsi="Times New Roman"/>
                <w:color w:val="auto"/>
                <w:sz w:val="24"/>
              </w:rPr>
              <w:t>度</w:t>
            </w:r>
            <w:r>
              <w:rPr>
                <w:rFonts w:hint="eastAsia" w:ascii="Times New Roman" w:hAnsi="Times New Roman"/>
                <w:color w:val="auto"/>
                <w:sz w:val="24"/>
                <w:u w:val="single"/>
                <w:lang w:val="en-US" w:eastAsia="zh-CN"/>
              </w:rPr>
              <w:t>10</w:t>
            </w:r>
            <w:r>
              <w:rPr>
                <w:rFonts w:ascii="Times New Roman" w:hAnsi="Times New Roman"/>
                <w:color w:val="auto"/>
                <w:sz w:val="24"/>
              </w:rPr>
              <w:t>分</w:t>
            </w:r>
            <w:r>
              <w:rPr>
                <w:rFonts w:hint="eastAsia" w:ascii="Times New Roman" w:hAnsi="Times New Roman"/>
                <w:color w:val="auto"/>
                <w:sz w:val="24"/>
                <w:u w:val="single"/>
                <w:lang w:val="en-US" w:eastAsia="zh-CN"/>
              </w:rPr>
              <w:t>40.45</w:t>
            </w:r>
            <w:r>
              <w:rPr>
                <w:rFonts w:hint="eastAsia" w:ascii="Times New Roman" w:hAnsi="Times New Roman"/>
                <w:color w:val="auto"/>
                <w:sz w:val="24"/>
                <w:u w:val="single"/>
              </w:rPr>
              <w:t>0</w:t>
            </w:r>
            <w:r>
              <w:rPr>
                <w:rFonts w:ascii="Times New Roman" w:hAnsi="Times New Roman"/>
                <w:color w:val="auto"/>
                <w:sz w:val="24"/>
              </w:rPr>
              <w:t>秒）</w:t>
            </w:r>
          </w:p>
        </w:tc>
      </w:tr>
      <w:tr w14:paraId="0C9A1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2DD130E2">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国民经济行业类别</w:t>
            </w:r>
          </w:p>
        </w:tc>
        <w:tc>
          <w:tcPr>
            <w:tcW w:w="2478" w:type="dxa"/>
            <w:noWrap w:val="0"/>
            <w:vAlign w:val="center"/>
          </w:tcPr>
          <w:p w14:paraId="78B6415A">
            <w:pPr>
              <w:adjustRightInd w:val="0"/>
              <w:snapToGrid w:val="0"/>
              <w:jc w:val="center"/>
              <w:rPr>
                <w:rFonts w:hint="default" w:eastAsia="宋体"/>
                <w:color w:val="auto"/>
                <w:lang w:val="en-US" w:eastAsia="zh-CN"/>
              </w:rPr>
            </w:pPr>
            <w:r>
              <w:rPr>
                <w:rFonts w:hint="default" w:ascii="Times New Roman" w:hAnsi="Times New Roman" w:eastAsia="宋体" w:cs="Times New Roman"/>
                <w:color w:val="auto"/>
                <w:sz w:val="24"/>
              </w:rPr>
              <w:t>C</w:t>
            </w:r>
            <w:r>
              <w:rPr>
                <w:rFonts w:hint="eastAsia" w:ascii="Times New Roman" w:hAnsi="Times New Roman" w:eastAsia="宋体" w:cs="Times New Roman"/>
                <w:color w:val="auto"/>
                <w:sz w:val="24"/>
                <w:lang w:val="en-US" w:eastAsia="zh-CN"/>
              </w:rPr>
              <w:t>2924 泡沫塑料制造</w:t>
            </w:r>
          </w:p>
        </w:tc>
        <w:tc>
          <w:tcPr>
            <w:tcW w:w="2128" w:type="dxa"/>
            <w:noWrap w:val="0"/>
            <w:vAlign w:val="center"/>
          </w:tcPr>
          <w:p w14:paraId="1357E5D0">
            <w:pPr>
              <w:adjustRightInd w:val="0"/>
              <w:snapToGrid w:val="0"/>
              <w:jc w:val="center"/>
              <w:rPr>
                <w:rFonts w:hint="default" w:ascii="Times New Roman" w:hAnsi="Times New Roman" w:eastAsia="宋体" w:cs="Times New Roman"/>
                <w:b/>
                <w:color w:val="auto"/>
                <w:sz w:val="24"/>
              </w:rPr>
            </w:pPr>
            <w:bookmarkStart w:id="1" w:name="_Hlk49843745"/>
            <w:r>
              <w:rPr>
                <w:rFonts w:hint="default" w:ascii="Times New Roman" w:hAnsi="Times New Roman" w:eastAsia="宋体" w:cs="Times New Roman"/>
                <w:b/>
                <w:color w:val="auto"/>
                <w:sz w:val="24"/>
              </w:rPr>
              <w:t>建设项目</w:t>
            </w:r>
          </w:p>
          <w:p w14:paraId="213F642E">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行业类别</w:t>
            </w:r>
            <w:bookmarkEnd w:id="1"/>
          </w:p>
        </w:tc>
        <w:tc>
          <w:tcPr>
            <w:tcW w:w="3533" w:type="dxa"/>
            <w:noWrap w:val="0"/>
            <w:vAlign w:val="center"/>
          </w:tcPr>
          <w:p w14:paraId="7541E666">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sz w:val="24"/>
                <w:lang w:val="en-US" w:eastAsia="zh-CN"/>
              </w:rPr>
              <w:t>53.塑料制品业292</w:t>
            </w:r>
          </w:p>
        </w:tc>
      </w:tr>
      <w:tr w14:paraId="40804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32997055">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建设性质</w:t>
            </w:r>
          </w:p>
        </w:tc>
        <w:tc>
          <w:tcPr>
            <w:tcW w:w="2478" w:type="dxa"/>
            <w:noWrap w:val="0"/>
            <w:vAlign w:val="center"/>
          </w:tcPr>
          <w:p w14:paraId="00BD65E0">
            <w:pPr>
              <w:jc w:val="left"/>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新建（迁建）</w:t>
            </w:r>
          </w:p>
          <w:p w14:paraId="465F7CED">
            <w:pPr>
              <w:jc w:val="left"/>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改建</w:t>
            </w:r>
          </w:p>
          <w:p w14:paraId="7D6FEF1E">
            <w:pPr>
              <w:jc w:val="left"/>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扩建</w:t>
            </w:r>
          </w:p>
          <w:p w14:paraId="3CD7AB52">
            <w:pPr>
              <w:jc w:val="left"/>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技术改造</w:t>
            </w:r>
          </w:p>
        </w:tc>
        <w:tc>
          <w:tcPr>
            <w:tcW w:w="2128" w:type="dxa"/>
            <w:noWrap w:val="0"/>
            <w:vAlign w:val="center"/>
          </w:tcPr>
          <w:p w14:paraId="5DF0A5E7">
            <w:pPr>
              <w:adjustRightInd w:val="0"/>
              <w:snapToGrid w:val="0"/>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建设项目</w:t>
            </w:r>
          </w:p>
          <w:p w14:paraId="360CCD9A">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申报情形</w:t>
            </w:r>
          </w:p>
        </w:tc>
        <w:tc>
          <w:tcPr>
            <w:tcW w:w="3533" w:type="dxa"/>
            <w:noWrap w:val="0"/>
            <w:vAlign w:val="center"/>
          </w:tcPr>
          <w:p w14:paraId="68BF2AEB">
            <w:pPr>
              <w:jc w:val="left"/>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首次申报项目</w:t>
            </w:r>
          </w:p>
          <w:p w14:paraId="74899943">
            <w:pPr>
              <w:jc w:val="left"/>
              <w:rPr>
                <w:rFonts w:hint="default" w:ascii="Times New Roman" w:hAnsi="Times New Roman" w:eastAsia="宋体" w:cs="Times New Roman"/>
                <w:color w:val="auto"/>
                <w:spacing w:val="-11"/>
                <w:sz w:val="24"/>
              </w:rPr>
            </w:pPr>
            <w:r>
              <w:rPr>
                <w:rFonts w:hint="eastAsia" w:cs="Times New Roman"/>
                <w:color w:val="auto"/>
                <w:sz w:val="24"/>
                <w:lang w:eastAsia="zh-CN"/>
              </w:rPr>
              <w:t>（</w:t>
            </w:r>
            <w:r>
              <w:rPr>
                <w:rFonts w:hint="default" w:ascii="Times New Roman" w:hAnsi="Times New Roman" w:eastAsia="宋体" w:cs="Times New Roman"/>
                <w:color w:val="auto"/>
                <w:spacing w:val="-11"/>
                <w:sz w:val="24"/>
              </w:rPr>
              <w:t>不予批准后再次申报项目</w:t>
            </w:r>
          </w:p>
          <w:p w14:paraId="0B0B9810">
            <w:pPr>
              <w:jc w:val="left"/>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超五年重新审核项目</w:t>
            </w:r>
          </w:p>
          <w:p w14:paraId="3B9F6D2C">
            <w:pPr>
              <w:jc w:val="left"/>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重大变动重新报批项目</w:t>
            </w:r>
          </w:p>
        </w:tc>
      </w:tr>
      <w:tr w14:paraId="5ACE6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021EA0F2">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项目审批（核准/备案）部门（选填）</w:t>
            </w:r>
          </w:p>
        </w:tc>
        <w:tc>
          <w:tcPr>
            <w:tcW w:w="2478" w:type="dxa"/>
            <w:noWrap w:val="0"/>
            <w:vAlign w:val="center"/>
          </w:tcPr>
          <w:p w14:paraId="1E04F883">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宁夏固原经济开发区管理委员会</w:t>
            </w:r>
          </w:p>
        </w:tc>
        <w:tc>
          <w:tcPr>
            <w:tcW w:w="2128" w:type="dxa"/>
            <w:noWrap w:val="0"/>
            <w:vAlign w:val="center"/>
          </w:tcPr>
          <w:p w14:paraId="0C946164">
            <w:pPr>
              <w:adjustRightInd w:val="0"/>
              <w:snapToGrid w:val="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项目审批（核准/</w:t>
            </w:r>
          </w:p>
          <w:p w14:paraId="2F161D34">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备案）文号（选填）</w:t>
            </w:r>
          </w:p>
        </w:tc>
        <w:tc>
          <w:tcPr>
            <w:tcW w:w="3533" w:type="dxa"/>
            <w:noWrap w:val="0"/>
            <w:vAlign w:val="center"/>
          </w:tcPr>
          <w:p w14:paraId="75854BE7">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p>
        </w:tc>
      </w:tr>
      <w:tr w14:paraId="4069A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23C7FDD1">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总投资（万元）</w:t>
            </w:r>
          </w:p>
        </w:tc>
        <w:tc>
          <w:tcPr>
            <w:tcW w:w="2478" w:type="dxa"/>
            <w:noWrap w:val="0"/>
            <w:vAlign w:val="center"/>
          </w:tcPr>
          <w:p w14:paraId="2E72D316">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2700（其中：一期：1200，二期：1500）</w:t>
            </w:r>
          </w:p>
        </w:tc>
        <w:tc>
          <w:tcPr>
            <w:tcW w:w="2128" w:type="dxa"/>
            <w:noWrap w:val="0"/>
            <w:tcMar>
              <w:top w:w="16" w:type="dxa"/>
              <w:left w:w="16" w:type="dxa"/>
              <w:right w:w="16" w:type="dxa"/>
            </w:tcMar>
            <w:vAlign w:val="center"/>
          </w:tcPr>
          <w:p w14:paraId="0EC0035D">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环保投资（万元）</w:t>
            </w:r>
          </w:p>
        </w:tc>
        <w:tc>
          <w:tcPr>
            <w:tcW w:w="3533" w:type="dxa"/>
            <w:noWrap w:val="0"/>
            <w:vAlign w:val="center"/>
          </w:tcPr>
          <w:p w14:paraId="5798CDCC">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38.2（其中：一期：25.7，二期12.5）</w:t>
            </w:r>
          </w:p>
        </w:tc>
      </w:tr>
      <w:tr w14:paraId="2B2BA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5BD0071F">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环保投资占比（%）</w:t>
            </w:r>
          </w:p>
        </w:tc>
        <w:tc>
          <w:tcPr>
            <w:tcW w:w="2478" w:type="dxa"/>
            <w:noWrap w:val="0"/>
            <w:vAlign w:val="center"/>
          </w:tcPr>
          <w:p w14:paraId="2A90BDF0">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1.14</w:t>
            </w:r>
          </w:p>
        </w:tc>
        <w:tc>
          <w:tcPr>
            <w:tcW w:w="2128" w:type="dxa"/>
            <w:noWrap w:val="0"/>
            <w:tcMar>
              <w:top w:w="16" w:type="dxa"/>
              <w:left w:w="16" w:type="dxa"/>
              <w:right w:w="16" w:type="dxa"/>
            </w:tcMar>
            <w:vAlign w:val="center"/>
          </w:tcPr>
          <w:p w14:paraId="269EE7F0">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施工工期</w:t>
            </w:r>
          </w:p>
        </w:tc>
        <w:tc>
          <w:tcPr>
            <w:tcW w:w="3533" w:type="dxa"/>
            <w:noWrap w:val="0"/>
            <w:vAlign w:val="center"/>
          </w:tcPr>
          <w:p w14:paraId="6F7917B7">
            <w:pPr>
              <w:jc w:val="center"/>
              <w:rPr>
                <w:color w:val="auto"/>
              </w:rPr>
            </w:pPr>
            <w:r>
              <w:rPr>
                <w:rFonts w:hint="eastAsia" w:ascii="Times New Roman" w:hAnsi="Times New Roman" w:eastAsia="宋体" w:cs="Times New Roman"/>
                <w:color w:val="auto"/>
                <w:sz w:val="24"/>
                <w:lang w:val="en-US" w:eastAsia="zh-CN"/>
              </w:rPr>
              <w:t>一期：3个月</w:t>
            </w:r>
          </w:p>
          <w:p w14:paraId="04F9CF32">
            <w:pPr>
              <w:jc w:val="center"/>
              <w:rPr>
                <w:rFonts w:hint="default" w:ascii="Times New Roman" w:hAnsi="Times New Roman" w:eastAsia="宋体" w:cs="Times New Roman"/>
                <w:color w:val="auto"/>
                <w:sz w:val="24"/>
              </w:rPr>
            </w:pPr>
            <w:r>
              <w:rPr>
                <w:rFonts w:hint="eastAsia" w:ascii="Times New Roman" w:hAnsi="Times New Roman" w:eastAsia="宋体" w:cs="Times New Roman"/>
                <w:i w:val="0"/>
                <w:iCs w:val="0"/>
                <w:caps w:val="0"/>
                <w:color w:val="auto"/>
                <w:spacing w:val="0"/>
                <w:sz w:val="24"/>
                <w:szCs w:val="24"/>
                <w:shd w:val="clear" w:color="auto" w:fill="FFFFFF"/>
                <w:lang w:val="en-US" w:eastAsia="zh-CN"/>
              </w:rPr>
              <w:t>二期：3个月</w:t>
            </w:r>
          </w:p>
        </w:tc>
      </w:tr>
      <w:tr w14:paraId="531CF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38" w:type="dxa"/>
            <w:gridSpan w:val="2"/>
            <w:noWrap w:val="0"/>
            <w:tcMar>
              <w:top w:w="16" w:type="dxa"/>
              <w:left w:w="16" w:type="dxa"/>
              <w:right w:w="16" w:type="dxa"/>
            </w:tcMar>
            <w:vAlign w:val="center"/>
          </w:tcPr>
          <w:p w14:paraId="60537FD5">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是否开工建设</w:t>
            </w:r>
          </w:p>
        </w:tc>
        <w:tc>
          <w:tcPr>
            <w:tcW w:w="2478" w:type="dxa"/>
            <w:noWrap w:val="0"/>
            <w:vAlign w:val="center"/>
          </w:tcPr>
          <w:p w14:paraId="1EBA800E">
            <w:pPr>
              <w:adjustRightInd w:val="0"/>
              <w:snapToGrid w:val="0"/>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否</w:t>
            </w:r>
          </w:p>
          <w:p w14:paraId="1EE60B36">
            <w:pPr>
              <w:adjustRightInd w:val="0"/>
              <w:snapToGrid w:val="0"/>
              <w:rPr>
                <w:rFonts w:hint="default" w:ascii="Times New Roman" w:hAnsi="Times New Roman" w:eastAsia="宋体" w:cs="Times New Roman"/>
                <w:color w:val="auto"/>
                <w:sz w:val="24"/>
              </w:rPr>
            </w:pPr>
            <w:r>
              <w:rPr>
                <w:rFonts w:hint="eastAsia" w:cs="Times New Roman"/>
                <w:color w:val="auto"/>
                <w:sz w:val="24"/>
                <w:lang w:eastAsia="zh-CN"/>
              </w:rPr>
              <w:t>（</w:t>
            </w:r>
            <w:r>
              <w:rPr>
                <w:rFonts w:hint="default" w:ascii="Times New Roman" w:hAnsi="Times New Roman" w:eastAsia="宋体" w:cs="Times New Roman"/>
                <w:color w:val="auto"/>
                <w:sz w:val="24"/>
              </w:rPr>
              <w:t>是：</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u w:val="single"/>
              </w:rPr>
              <w:t xml:space="preserve"> </w:t>
            </w:r>
          </w:p>
        </w:tc>
        <w:tc>
          <w:tcPr>
            <w:tcW w:w="2128" w:type="dxa"/>
            <w:noWrap w:val="0"/>
            <w:tcMar>
              <w:top w:w="16" w:type="dxa"/>
              <w:left w:w="16" w:type="dxa"/>
              <w:right w:w="16" w:type="dxa"/>
            </w:tcMar>
            <w:vAlign w:val="center"/>
          </w:tcPr>
          <w:p w14:paraId="59BDB2B5">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用地（用海）</w:t>
            </w:r>
          </w:p>
          <w:p w14:paraId="033AD4D2">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面积（m</w:t>
            </w:r>
            <w:r>
              <w:rPr>
                <w:rFonts w:hint="default" w:ascii="Times New Roman" w:hAnsi="Times New Roman" w:eastAsia="宋体" w:cs="Times New Roman"/>
                <w:b/>
                <w:bCs/>
                <w:color w:val="auto"/>
                <w:sz w:val="24"/>
                <w:vertAlign w:val="superscript"/>
              </w:rPr>
              <w:t>2</w:t>
            </w:r>
            <w:r>
              <w:rPr>
                <w:rFonts w:hint="default" w:ascii="Times New Roman" w:hAnsi="Times New Roman" w:eastAsia="宋体" w:cs="Times New Roman"/>
                <w:b/>
                <w:bCs/>
                <w:color w:val="auto"/>
                <w:sz w:val="24"/>
              </w:rPr>
              <w:t>）</w:t>
            </w:r>
          </w:p>
        </w:tc>
        <w:tc>
          <w:tcPr>
            <w:tcW w:w="3533" w:type="dxa"/>
            <w:noWrap w:val="0"/>
            <w:vAlign w:val="center"/>
          </w:tcPr>
          <w:p w14:paraId="25F3F2F9">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12000</w:t>
            </w:r>
          </w:p>
        </w:tc>
      </w:tr>
      <w:tr w14:paraId="4D7D9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gridSpan w:val="2"/>
            <w:noWrap w:val="0"/>
            <w:vAlign w:val="center"/>
          </w:tcPr>
          <w:p w14:paraId="094DA33F">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专项评价设置情况</w:t>
            </w:r>
          </w:p>
        </w:tc>
        <w:tc>
          <w:tcPr>
            <w:tcW w:w="8139" w:type="dxa"/>
            <w:gridSpan w:val="3"/>
            <w:noWrap w:val="0"/>
            <w:vAlign w:val="center"/>
          </w:tcPr>
          <w:p w14:paraId="050BBA51">
            <w:pPr>
              <w:autoSpaceDE w:val="0"/>
              <w:autoSpaceDN w:val="0"/>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无</w:t>
            </w:r>
          </w:p>
        </w:tc>
      </w:tr>
      <w:tr w14:paraId="62C54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gridSpan w:val="2"/>
            <w:noWrap w:val="0"/>
            <w:vAlign w:val="center"/>
          </w:tcPr>
          <w:p w14:paraId="1126F329">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规划情况</w:t>
            </w:r>
          </w:p>
        </w:tc>
        <w:tc>
          <w:tcPr>
            <w:tcW w:w="8139" w:type="dxa"/>
            <w:gridSpan w:val="3"/>
            <w:noWrap w:val="0"/>
            <w:vAlign w:val="center"/>
          </w:tcPr>
          <w:p w14:paraId="695FB93D">
            <w:pPr>
              <w:autoSpaceDE w:val="0"/>
              <w:autoSpaceDN w:val="0"/>
              <w:adjustRightInd w:val="0"/>
              <w:snapToGrid w:val="0"/>
              <w:spacing w:line="360" w:lineRule="auto"/>
              <w:jc w:val="both"/>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b/>
                <w:bCs/>
                <w:color w:val="auto"/>
                <w:kern w:val="0"/>
                <w:sz w:val="24"/>
              </w:rPr>
              <w:t>规划名称：</w:t>
            </w:r>
            <w:r>
              <w:rPr>
                <w:rFonts w:hint="default" w:ascii="Times New Roman" w:hAnsi="Times New Roman" w:eastAsia="宋体" w:cs="Times New Roman"/>
                <w:color w:val="auto"/>
                <w:kern w:val="0"/>
                <w:sz w:val="24"/>
                <w:lang w:eastAsia="zh-CN"/>
              </w:rPr>
              <w:t>《宁夏固原经济开发区</w:t>
            </w:r>
            <w:r>
              <w:rPr>
                <w:rFonts w:hint="eastAsia" w:ascii="宋体" w:hAnsi="宋体" w:eastAsia="宋体" w:cs="宋体"/>
                <w:color w:val="auto"/>
                <w:kern w:val="0"/>
                <w:sz w:val="24"/>
                <w:lang w:eastAsia="zh-CN"/>
              </w:rPr>
              <w:t>“一区三园”</w:t>
            </w:r>
            <w:r>
              <w:rPr>
                <w:rFonts w:hint="default" w:ascii="Times New Roman" w:hAnsi="Times New Roman" w:eastAsia="宋体" w:cs="Times New Roman"/>
                <w:color w:val="auto"/>
                <w:kern w:val="0"/>
                <w:sz w:val="24"/>
                <w:lang w:eastAsia="zh-CN"/>
              </w:rPr>
              <w:t>总体规划修编（2022-2035年）》</w:t>
            </w:r>
          </w:p>
          <w:p w14:paraId="77C7F092">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b/>
                <w:bCs/>
                <w:color w:val="auto"/>
                <w:kern w:val="0"/>
                <w:sz w:val="24"/>
              </w:rPr>
              <w:t>审批机关：</w:t>
            </w:r>
            <w:r>
              <w:rPr>
                <w:rFonts w:hint="default" w:ascii="Times New Roman" w:hAnsi="Times New Roman" w:eastAsia="宋体" w:cs="Times New Roman"/>
                <w:color w:val="auto"/>
                <w:kern w:val="0"/>
                <w:sz w:val="24"/>
                <w:lang w:eastAsia="zh-CN"/>
              </w:rPr>
              <w:t>固原市人民政府</w:t>
            </w:r>
          </w:p>
          <w:p w14:paraId="40CAF9CA">
            <w:pPr>
              <w:pStyle w:val="51"/>
              <w:ind w:left="0" w:leftChars="0" w:firstLine="0" w:firstLineChars="0"/>
              <w:rPr>
                <w:rFonts w:hint="default" w:ascii="宋体" w:hAnsi="宋体"/>
                <w:snapToGrid w:val="0"/>
                <w:color w:val="auto"/>
                <w:kern w:val="0"/>
                <w:sz w:val="24"/>
                <w:szCs w:val="20"/>
                <w:lang w:val="en-US" w:eastAsia="zh-CN" w:bidi="en-US"/>
              </w:rPr>
            </w:pPr>
            <w:r>
              <w:rPr>
                <w:rFonts w:hint="default"/>
                <w:b/>
                <w:bCs/>
                <w:color w:val="auto"/>
                <w:lang w:val="en-US" w:eastAsia="zh-CN"/>
              </w:rPr>
              <w:t>审批文件名称及文号：</w:t>
            </w:r>
            <w:r>
              <w:rPr>
                <w:rFonts w:hint="default" w:ascii="Times New Roman" w:hAnsi="Times New Roman" w:eastAsia="宋体" w:cs="Times New Roman"/>
                <w:color w:val="auto"/>
                <w:sz w:val="24"/>
                <w:szCs w:val="24"/>
              </w:rPr>
              <w:t>固原市人民政府关于《固原经济开发区总体规划修编（2022-2035年）》的批复，固政函〔2024〕30号</w:t>
            </w:r>
            <w:r>
              <w:rPr>
                <w:rFonts w:ascii="宋体" w:hAnsi="宋体" w:eastAsia="宋体" w:cs="宋体"/>
                <w:color w:val="auto"/>
                <w:sz w:val="24"/>
                <w:szCs w:val="24"/>
              </w:rPr>
              <w:t>。</w:t>
            </w:r>
          </w:p>
        </w:tc>
      </w:tr>
      <w:tr w14:paraId="7397F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8" w:type="dxa"/>
            <w:gridSpan w:val="2"/>
            <w:noWrap w:val="0"/>
            <w:vAlign w:val="center"/>
          </w:tcPr>
          <w:p w14:paraId="0A8406ED">
            <w:pPr>
              <w:adjustRightInd w:val="0"/>
              <w:snapToGrid w:val="0"/>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规划环境影响评价情况</w:t>
            </w:r>
          </w:p>
        </w:tc>
        <w:tc>
          <w:tcPr>
            <w:tcW w:w="8139" w:type="dxa"/>
            <w:gridSpan w:val="3"/>
            <w:noWrap w:val="0"/>
            <w:vAlign w:val="center"/>
          </w:tcPr>
          <w:p w14:paraId="4A42557B">
            <w:pPr>
              <w:autoSpaceDE w:val="0"/>
              <w:autoSpaceDN w:val="0"/>
              <w:adjustRightInd w:val="0"/>
              <w:snapToGrid w:val="0"/>
              <w:spacing w:line="360" w:lineRule="auto"/>
              <w:jc w:val="both"/>
              <w:rPr>
                <w:rFonts w:hint="default" w:ascii="Times New Roman" w:hAnsi="Times New Roman" w:eastAsia="宋体" w:cs="Times New Roman"/>
                <w:color w:val="auto"/>
                <w:kern w:val="0"/>
                <w:sz w:val="24"/>
                <w:lang w:eastAsia="zh-CN"/>
              </w:rPr>
            </w:pPr>
            <w:r>
              <w:rPr>
                <w:rFonts w:hint="default" w:ascii="Times New Roman" w:hAnsi="Times New Roman" w:cs="Times New Roman"/>
                <w:b/>
                <w:bCs/>
                <w:color w:val="auto"/>
                <w:kern w:val="0"/>
                <w:sz w:val="24"/>
              </w:rPr>
              <w:t>规划环境影响评价文件名称：</w:t>
            </w:r>
            <w:r>
              <w:rPr>
                <w:rFonts w:hint="default" w:ascii="Times New Roman" w:hAnsi="Times New Roman" w:eastAsia="宋体" w:cs="Times New Roman"/>
                <w:color w:val="auto"/>
                <w:kern w:val="0"/>
                <w:sz w:val="24"/>
                <w:lang w:eastAsia="zh-CN"/>
              </w:rPr>
              <w:t>《宁夏固原经济开发区</w:t>
            </w:r>
            <w:r>
              <w:rPr>
                <w:rFonts w:hint="eastAsia" w:ascii="宋体" w:hAnsi="宋体" w:eastAsia="宋体" w:cs="宋体"/>
                <w:color w:val="auto"/>
                <w:kern w:val="0"/>
                <w:sz w:val="24"/>
                <w:lang w:eastAsia="zh-CN"/>
              </w:rPr>
              <w:t>“一区三园”</w:t>
            </w:r>
            <w:r>
              <w:rPr>
                <w:rFonts w:hint="default" w:ascii="Times New Roman" w:hAnsi="Times New Roman" w:eastAsia="宋体" w:cs="Times New Roman"/>
                <w:color w:val="auto"/>
                <w:kern w:val="0"/>
                <w:sz w:val="24"/>
                <w:lang w:eastAsia="zh-CN"/>
              </w:rPr>
              <w:t>总体规划修编（2022-2035年）环境影响报告书》</w:t>
            </w:r>
          </w:p>
          <w:p w14:paraId="77057C0C">
            <w:pPr>
              <w:autoSpaceDE w:val="0"/>
              <w:autoSpaceDN w:val="0"/>
              <w:adjustRightInd w:val="0"/>
              <w:snapToGrid w:val="0"/>
              <w:spacing w:line="360" w:lineRule="auto"/>
              <w:jc w:val="both"/>
              <w:rPr>
                <w:rFonts w:hint="default" w:ascii="Times New Roman" w:hAnsi="Times New Roman" w:eastAsia="宋体" w:cs="Times New Roman"/>
                <w:color w:val="auto"/>
                <w:kern w:val="0"/>
                <w:sz w:val="24"/>
              </w:rPr>
            </w:pPr>
            <w:r>
              <w:rPr>
                <w:rFonts w:hint="default" w:ascii="Times New Roman" w:hAnsi="Times New Roman" w:cs="Times New Roman"/>
                <w:b/>
                <w:bCs/>
                <w:color w:val="auto"/>
                <w:kern w:val="0"/>
                <w:sz w:val="24"/>
              </w:rPr>
              <w:t>召集审查机关：</w:t>
            </w:r>
            <w:r>
              <w:rPr>
                <w:rFonts w:hint="default" w:ascii="Times New Roman" w:hAnsi="Times New Roman" w:eastAsia="宋体" w:cs="Times New Roman"/>
                <w:color w:val="auto"/>
                <w:kern w:val="0"/>
                <w:sz w:val="24"/>
              </w:rPr>
              <w:t>宁夏回族自治区生态环境厅</w:t>
            </w:r>
          </w:p>
          <w:p w14:paraId="1D8C4D7C">
            <w:pPr>
              <w:autoSpaceDE w:val="0"/>
              <w:autoSpaceDN w:val="0"/>
              <w:adjustRightInd w:val="0"/>
              <w:snapToGrid w:val="0"/>
              <w:spacing w:line="360" w:lineRule="auto"/>
              <w:jc w:val="both"/>
              <w:rPr>
                <w:rFonts w:hint="default"/>
                <w:color w:val="auto"/>
                <w:kern w:val="0"/>
                <w:sz w:val="24"/>
                <w:szCs w:val="24"/>
                <w:lang w:val="en-US" w:eastAsia="zh-CN" w:bidi="ar-SA"/>
              </w:rPr>
            </w:pPr>
            <w:r>
              <w:rPr>
                <w:rFonts w:hint="default" w:ascii="Times New Roman" w:hAnsi="Times New Roman" w:cs="Times New Roman"/>
                <w:b/>
                <w:bCs/>
                <w:color w:val="auto"/>
                <w:kern w:val="0"/>
                <w:sz w:val="24"/>
              </w:rPr>
              <w:t>审查文件名称及文号：</w:t>
            </w:r>
            <w:r>
              <w:rPr>
                <w:rFonts w:hint="default" w:ascii="Times New Roman" w:hAnsi="Times New Roman" w:eastAsia="宋体" w:cs="Times New Roman"/>
                <w:color w:val="auto"/>
                <w:kern w:val="0"/>
                <w:sz w:val="24"/>
                <w:lang w:eastAsia="zh-CN"/>
              </w:rPr>
              <w:t>自治区生态环境厅关于《宁夏固原经济开发区</w:t>
            </w:r>
            <w:r>
              <w:rPr>
                <w:rFonts w:hint="eastAsia" w:ascii="宋体" w:hAnsi="宋体" w:eastAsia="宋体" w:cs="宋体"/>
                <w:color w:val="auto"/>
                <w:kern w:val="0"/>
                <w:sz w:val="24"/>
                <w:lang w:eastAsia="zh-CN"/>
              </w:rPr>
              <w:t>“一区三园”</w:t>
            </w:r>
            <w:r>
              <w:rPr>
                <w:rFonts w:hint="default" w:ascii="Times New Roman" w:hAnsi="Times New Roman" w:eastAsia="宋体" w:cs="Times New Roman"/>
                <w:color w:val="auto"/>
                <w:kern w:val="0"/>
                <w:sz w:val="24"/>
                <w:lang w:eastAsia="zh-CN"/>
              </w:rPr>
              <w:t>总体规划修编（2022-2035年）环境影响报告书》审查意见的函</w:t>
            </w:r>
            <w:r>
              <w:rPr>
                <w:rFonts w:hint="default" w:ascii="Times New Roman" w:hAnsi="Times New Roman" w:eastAsia="宋体" w:cs="Times New Roman"/>
                <w:color w:val="auto"/>
                <w:kern w:val="0"/>
                <w:sz w:val="24"/>
              </w:rPr>
              <w:t>（宁环函</w:t>
            </w:r>
            <w:r>
              <w:rPr>
                <w:rFonts w:hint="default" w:ascii="Times New Roman" w:hAnsi="Times New Roman" w:cs="Times New Roman"/>
                <w:color w:val="auto"/>
                <w:kern w:val="0"/>
                <w:sz w:val="24"/>
              </w:rPr>
              <w:t>〔202</w:t>
            </w:r>
            <w:r>
              <w:rPr>
                <w:rFonts w:hint="eastAsia"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w:t>
            </w:r>
            <w:r>
              <w:rPr>
                <w:rFonts w:hint="default" w:ascii="Times New Roman" w:hAnsi="Times New Roman" w:eastAsia="宋体" w:cs="Times New Roman"/>
                <w:color w:val="auto"/>
                <w:kern w:val="0"/>
                <w:sz w:val="24"/>
                <w:lang w:val="en-US" w:eastAsia="zh-CN"/>
              </w:rPr>
              <w:t>455</w:t>
            </w:r>
            <w:r>
              <w:rPr>
                <w:rFonts w:hint="default" w:ascii="Times New Roman" w:hAnsi="Times New Roman" w:eastAsia="宋体" w:cs="Times New Roman"/>
                <w:color w:val="auto"/>
                <w:kern w:val="0"/>
                <w:sz w:val="24"/>
              </w:rPr>
              <w:t>号）</w:t>
            </w:r>
          </w:p>
        </w:tc>
      </w:tr>
      <w:tr w14:paraId="5F249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2" w:hRule="atLeast"/>
          <w:jc w:val="center"/>
        </w:trPr>
        <w:tc>
          <w:tcPr>
            <w:tcW w:w="928" w:type="dxa"/>
            <w:noWrap w:val="0"/>
            <w:vAlign w:val="center"/>
          </w:tcPr>
          <w:p w14:paraId="2206781A">
            <w:pPr>
              <w:autoSpaceDE w:val="0"/>
              <w:autoSpaceDN w:val="0"/>
              <w:adjustRightInd w:val="0"/>
              <w:snapToGrid w:val="0"/>
              <w:jc w:val="center"/>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规划及规划环境影响评价符合性分析</w:t>
            </w:r>
          </w:p>
        </w:tc>
        <w:tc>
          <w:tcPr>
            <w:tcW w:w="8349" w:type="dxa"/>
            <w:gridSpan w:val="4"/>
            <w:noWrap w:val="0"/>
            <w:vAlign w:val="center"/>
          </w:tcPr>
          <w:p w14:paraId="7A9AB084">
            <w:pPr>
              <w:keepNext/>
              <w:widowControl/>
              <w:autoSpaceDE w:val="0"/>
              <w:autoSpaceDN w:val="0"/>
              <w:adjustRightInd w:val="0"/>
              <w:snapToGrid w:val="0"/>
              <w:spacing w:line="360" w:lineRule="auto"/>
              <w:ind w:firstLine="482" w:firstLineChars="200"/>
              <w:rPr>
                <w:rFonts w:hint="default" w:ascii="Times New Roman" w:hAnsi="Times New Roman" w:eastAsia="宋体" w:cs="Times New Roman"/>
                <w:b/>
                <w:bCs/>
                <w:color w:val="auto"/>
                <w:kern w:val="0"/>
                <w:sz w:val="24"/>
              </w:rPr>
            </w:pPr>
            <w:r>
              <w:rPr>
                <w:rFonts w:hint="default" w:ascii="Times New Roman" w:hAnsi="Times New Roman" w:eastAsia="宋体" w:cs="Times New Roman"/>
                <w:b/>
                <w:color w:val="auto"/>
                <w:kern w:val="0"/>
                <w:sz w:val="24"/>
              </w:rPr>
              <w:t>1、与《</w:t>
            </w:r>
            <w:r>
              <w:rPr>
                <w:rFonts w:hint="default" w:ascii="Times New Roman" w:hAnsi="Times New Roman" w:eastAsia="宋体" w:cs="Times New Roman"/>
                <w:b/>
                <w:color w:val="auto"/>
                <w:kern w:val="0"/>
                <w:sz w:val="24"/>
                <w:lang w:eastAsia="zh-CN"/>
              </w:rPr>
              <w:t>宁夏固原经济开发区</w:t>
            </w:r>
            <w:r>
              <w:rPr>
                <w:rFonts w:hint="eastAsia" w:ascii="宋体" w:hAnsi="宋体" w:eastAsia="宋体" w:cs="宋体"/>
                <w:b/>
                <w:color w:val="auto"/>
                <w:kern w:val="0"/>
                <w:sz w:val="24"/>
                <w:lang w:eastAsia="zh-CN"/>
              </w:rPr>
              <w:t>“一区三园”</w:t>
            </w:r>
            <w:r>
              <w:rPr>
                <w:rFonts w:hint="default" w:ascii="Times New Roman" w:hAnsi="Times New Roman" w:eastAsia="宋体" w:cs="Times New Roman"/>
                <w:b/>
                <w:color w:val="auto"/>
                <w:kern w:val="0"/>
                <w:sz w:val="24"/>
                <w:lang w:eastAsia="zh-CN"/>
              </w:rPr>
              <w:t>总体规划修编（2022-2035年）</w:t>
            </w:r>
            <w:r>
              <w:rPr>
                <w:rFonts w:hint="default" w:ascii="Times New Roman" w:hAnsi="Times New Roman" w:eastAsia="宋体" w:cs="Times New Roman"/>
                <w:b/>
                <w:color w:val="auto"/>
                <w:kern w:val="0"/>
                <w:sz w:val="24"/>
              </w:rPr>
              <w:t>》的符合</w:t>
            </w:r>
            <w:r>
              <w:rPr>
                <w:rFonts w:hint="default" w:ascii="Times New Roman" w:hAnsi="Times New Roman" w:eastAsia="宋体" w:cs="Times New Roman"/>
                <w:b/>
                <w:bCs/>
                <w:color w:val="auto"/>
                <w:kern w:val="0"/>
                <w:sz w:val="24"/>
              </w:rPr>
              <w:t>性分析</w:t>
            </w:r>
          </w:p>
          <w:p w14:paraId="4E1761F1">
            <w:pPr>
              <w:overflowPunct w:val="0"/>
              <w:autoSpaceDE w:val="0"/>
              <w:autoSpaceDN w:val="0"/>
              <w:adjustRightInd w:val="0"/>
              <w:snapToGrid w:val="0"/>
              <w:spacing w:line="360" w:lineRule="auto"/>
              <w:ind w:firstLine="480" w:firstLineChars="200"/>
              <w:rPr>
                <w:color w:val="auto"/>
              </w:rPr>
            </w:pPr>
            <w:r>
              <w:rPr>
                <w:rFonts w:hint="default" w:ascii="Times New Roman" w:hAnsi="Times New Roman" w:eastAsia="宋体" w:cs="Times New Roman"/>
                <w:color w:val="auto"/>
                <w:kern w:val="0"/>
                <w:sz w:val="24"/>
              </w:rPr>
              <w:t>根据</w:t>
            </w:r>
            <w:r>
              <w:rPr>
                <w:rFonts w:hint="eastAsia"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rPr>
              <w:t>宁夏固原经济开发区</w:t>
            </w:r>
            <w:r>
              <w:rPr>
                <w:rFonts w:hint="eastAsia"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一区三园</w:t>
            </w:r>
            <w:r>
              <w:rPr>
                <w:rFonts w:hint="eastAsia"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总体规划修编（2022</w:t>
            </w:r>
            <w:r>
              <w:rPr>
                <w:rFonts w:hint="eastAsia"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rPr>
              <w:t>2035年）</w:t>
            </w:r>
            <w:r>
              <w:rPr>
                <w:rFonts w:hint="eastAsia"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宁夏固原经济开发区分为新材料产业园</w:t>
            </w:r>
            <w:r>
              <w:rPr>
                <w:rFonts w:hint="eastAsia" w:ascii="Times New Roman" w:hAnsi="Times New Roman" w:eastAsia="宋体" w:cs="Times New Roman"/>
                <w:color w:val="auto"/>
                <w:kern w:val="0"/>
                <w:sz w:val="24"/>
              </w:rPr>
              <w:t>、轻工产业园和清水河产业园，总规划用地面积为</w:t>
            </w:r>
            <w:r>
              <w:rPr>
                <w:rFonts w:hint="eastAsia" w:ascii="Times New Roman" w:hAnsi="Times New Roman" w:eastAsia="宋体" w:cs="Times New Roman"/>
                <w:color w:val="auto"/>
                <w:kern w:val="0"/>
                <w:sz w:val="24"/>
                <w:lang w:val="en-US" w:eastAsia="zh-CN"/>
              </w:rPr>
              <w:t>1901.43h</w:t>
            </w:r>
            <w:r>
              <w:rPr>
                <w:rFonts w:hint="eastAsia" w:ascii="Times New Roman" w:hAnsi="Times New Roman" w:eastAsia="宋体" w:cs="Times New Roman"/>
                <w:color w:val="auto"/>
                <w:kern w:val="0"/>
                <w:sz w:val="24"/>
              </w:rPr>
              <w:t>m</w:t>
            </w:r>
            <w:r>
              <w:rPr>
                <w:rFonts w:hint="eastAsia" w:ascii="Times New Roman" w:hAnsi="Times New Roman" w:eastAsia="宋体" w:cs="Times New Roman"/>
                <w:color w:val="auto"/>
                <w:kern w:val="0"/>
                <w:sz w:val="24"/>
                <w:vertAlign w:val="superscript"/>
              </w:rPr>
              <w:t>2</w:t>
            </w:r>
            <w:r>
              <w:rPr>
                <w:rFonts w:hint="eastAsia"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val="en-US" w:eastAsia="zh-CN"/>
              </w:rPr>
              <w:t>其中新材料产业园总规划面积1043.65h</w:t>
            </w:r>
            <w:r>
              <w:rPr>
                <w:rFonts w:hint="eastAsia" w:ascii="Times New Roman" w:hAnsi="Times New Roman" w:eastAsia="宋体" w:cs="Times New Roman"/>
                <w:color w:val="auto"/>
                <w:kern w:val="0"/>
                <w:sz w:val="24"/>
              </w:rPr>
              <w:t>m</w:t>
            </w:r>
            <w:r>
              <w:rPr>
                <w:rFonts w:hint="eastAsia" w:ascii="Times New Roman" w:hAnsi="Times New Roman" w:eastAsia="宋体" w:cs="Times New Roman"/>
                <w:color w:val="auto"/>
                <w:kern w:val="0"/>
                <w:sz w:val="24"/>
                <w:vertAlign w:val="superscript"/>
              </w:rPr>
              <w:t>2</w:t>
            </w:r>
            <w:r>
              <w:rPr>
                <w:rFonts w:hint="eastAsia" w:ascii="Times New Roman" w:hAnsi="Times New Roman" w:eastAsia="宋体" w:cs="Times New Roman"/>
                <w:color w:val="auto"/>
                <w:kern w:val="0"/>
                <w:sz w:val="24"/>
                <w:lang w:val="en-US" w:eastAsia="zh-CN"/>
              </w:rPr>
              <w:t>，包含原新材料产业园地块和东至河地块（属于原圆德慈善产业园），其中</w:t>
            </w:r>
            <w:r>
              <w:rPr>
                <w:rFonts w:hint="eastAsia"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新材料产业园地块</w:t>
            </w:r>
            <w:r>
              <w:rPr>
                <w:rFonts w:hint="eastAsia" w:cs="Times New Roman"/>
                <w:color w:val="auto"/>
                <w:kern w:val="0"/>
                <w:sz w:val="24"/>
                <w:lang w:val="en-US" w:eastAsia="zh-CN"/>
              </w:rPr>
              <w:t>用地范围</w:t>
            </w:r>
            <w:r>
              <w:rPr>
                <w:rFonts w:hint="eastAsia" w:ascii="Times New Roman" w:hAnsi="Times New Roman" w:eastAsia="宋体" w:cs="Times New Roman"/>
                <w:color w:val="auto"/>
                <w:kern w:val="0"/>
                <w:sz w:val="24"/>
                <w:lang w:val="en-US" w:eastAsia="zh-CN"/>
              </w:rPr>
              <w:t>东至西干渠，西至头营镇大疙瘩村，南至彭堡镇肖沟村，北至头营镇陶庄村；东至河地块东至福银高速，西至头营镇南屯村，南至兴工大道，北至头营镇胡大堡村。</w:t>
            </w:r>
          </w:p>
          <w:p w14:paraId="76E8B9B3">
            <w:pPr>
              <w:overflowPunct w:val="0"/>
              <w:autoSpaceDE w:val="0"/>
              <w:autoSpaceDN w:val="0"/>
              <w:adjustRightInd w:val="0"/>
              <w:snapToGrid w:val="0"/>
              <w:spacing w:line="360" w:lineRule="auto"/>
              <w:ind w:firstLine="480" w:firstLineChars="200"/>
              <w:rPr>
                <w:color w:val="auto"/>
                <w:sz w:val="24"/>
                <w:szCs w:val="24"/>
              </w:rPr>
            </w:pPr>
            <w:r>
              <w:rPr>
                <w:color w:val="auto"/>
                <w:sz w:val="24"/>
                <w:szCs w:val="24"/>
                <w:lang w:val="en-US" w:eastAsia="zh-CN"/>
              </w:rPr>
              <w:t>新材料产业园</w:t>
            </w:r>
            <w:r>
              <w:rPr>
                <w:rFonts w:hint="eastAsia"/>
                <w:color w:val="auto"/>
                <w:sz w:val="24"/>
                <w:szCs w:val="24"/>
                <w:lang w:val="en-US" w:eastAsia="zh-CN"/>
              </w:rPr>
              <w:t>以岩盐矿资源开发为先导，构筑以新材料（盐化工）产业为主体，清洁能源产业及配套装备制造等产业多元发展的产业体系。充分发挥资源优势，最大限度延伸产业链，提高产品附加值，提高生产技术多元化；形成规模经济、集成化产业、工艺技术先进、装置清洁生产、竞争力强的现代经济技术示范园和生态工业园。</w:t>
            </w:r>
          </w:p>
          <w:p w14:paraId="7BD70939">
            <w:pPr>
              <w:pStyle w:val="51"/>
              <w:keepNext w:val="0"/>
              <w:keepLines w:val="0"/>
              <w:pageBreakBefore w:val="0"/>
              <w:widowControl/>
              <w:kinsoku/>
              <w:wordWrap/>
              <w:overflowPunct/>
              <w:topLinePunct w:val="0"/>
              <w:autoSpaceDE/>
              <w:autoSpaceDN/>
              <w:bidi w:val="0"/>
              <w:adjustRightInd w:val="0"/>
              <w:snapToGrid w:val="0"/>
              <w:ind w:left="0" w:leftChars="0" w:firstLine="480" w:firstLineChars="200"/>
              <w:jc w:val="both"/>
              <w:textAlignment w:val="auto"/>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t>本项目位于宁夏固原市经济技术开发区新材料产业园，为泡沫箱生产项目，</w:t>
            </w:r>
            <w:r>
              <w:rPr>
                <w:rFonts w:hint="eastAsia"/>
                <w:color w:val="auto"/>
                <w:lang w:val="en-US" w:eastAsia="zh-CN"/>
              </w:rPr>
              <w:t>可为园区企业提供专业化包装物配套保障，有效延伸上下游产业链，属于配套装备制造等产业多元发展的产业体系</w:t>
            </w:r>
            <w:r>
              <w:rPr>
                <w:rFonts w:hint="eastAsia" w:ascii="Times New Roman" w:hAnsi="Times New Roman" w:eastAsia="宋体" w:cs="Times New Roman"/>
                <w:color w:val="auto"/>
                <w:kern w:val="0"/>
                <w:sz w:val="24"/>
                <w:lang w:val="en-US" w:eastAsia="zh-CN"/>
              </w:rPr>
              <w:t>。</w:t>
            </w:r>
          </w:p>
          <w:p w14:paraId="797552A5">
            <w:pPr>
              <w:pStyle w:val="51"/>
              <w:keepNext w:val="0"/>
              <w:keepLines w:val="0"/>
              <w:pageBreakBefore w:val="0"/>
              <w:widowControl/>
              <w:kinsoku/>
              <w:wordWrap/>
              <w:overflowPunct/>
              <w:topLinePunct w:val="0"/>
              <w:autoSpaceDE/>
              <w:autoSpaceDN/>
              <w:bidi w:val="0"/>
              <w:adjustRightInd w:val="0"/>
              <w:snapToGrid w:val="0"/>
              <w:ind w:left="0" w:leftChars="0" w:firstLine="480" w:firstLineChars="200"/>
              <w:jc w:val="both"/>
              <w:textAlignment w:val="auto"/>
              <w:rPr>
                <w:rFonts w:hint="eastAsia" w:ascii="Times New Roman" w:hAnsi="Times New Roman" w:eastAsia="宋体" w:cs="Times New Roman"/>
                <w:i w:val="0"/>
                <w:iCs w:val="0"/>
                <w:caps w:val="0"/>
                <w:color w:val="auto"/>
                <w:spacing w:val="0"/>
                <w:sz w:val="24"/>
                <w:szCs w:val="24"/>
                <w:shd w:val="clear" w:color="auto" w:fill="FFFFFF"/>
                <w:lang w:val="en-US" w:eastAsia="zh-CN"/>
              </w:rPr>
            </w:pPr>
            <w:r>
              <w:rPr>
                <w:rFonts w:hint="eastAsia" w:ascii="Times New Roman" w:hAnsi="Times New Roman" w:eastAsia="宋体" w:cs="Times New Roman"/>
                <w:i w:val="0"/>
                <w:iCs w:val="0"/>
                <w:caps w:val="0"/>
                <w:color w:val="auto"/>
                <w:spacing w:val="0"/>
                <w:sz w:val="24"/>
                <w:szCs w:val="24"/>
                <w:shd w:val="clear" w:color="auto" w:fill="FFFFFF"/>
                <w:lang w:val="en-US" w:eastAsia="zh-CN"/>
              </w:rPr>
              <w:t>因此，本项目的建设符合园区规划的总体要求，并可以间接增加新材料产业园内的循环经济。本项目与宁夏固原市经济技术开发区新材料产业园位置关系见附图1-1。</w:t>
            </w:r>
          </w:p>
          <w:p w14:paraId="285AB7D4">
            <w:pPr>
              <w:keepNext/>
              <w:widowControl/>
              <w:autoSpaceDE w:val="0"/>
              <w:autoSpaceDN w:val="0"/>
              <w:adjustRightInd w:val="0"/>
              <w:snapToGrid w:val="0"/>
              <w:spacing w:line="360" w:lineRule="auto"/>
              <w:ind w:firstLine="482" w:firstLineChars="200"/>
              <w:rPr>
                <w:rFonts w:hint="default" w:ascii="Times New Roman" w:hAnsi="Times New Roman" w:eastAsia="宋体" w:cs="Times New Roman"/>
                <w:b/>
                <w:bCs/>
                <w:color w:val="auto"/>
                <w:kern w:val="0"/>
                <w:sz w:val="24"/>
              </w:rPr>
            </w:pPr>
            <w:r>
              <w:rPr>
                <w:rFonts w:hint="default" w:ascii="Times New Roman" w:hAnsi="Times New Roman" w:eastAsia="宋体" w:cs="Times New Roman"/>
                <w:b/>
                <w:color w:val="auto"/>
                <w:kern w:val="0"/>
                <w:sz w:val="24"/>
              </w:rPr>
              <w:t>2、与《</w:t>
            </w:r>
            <w:r>
              <w:rPr>
                <w:rFonts w:hint="default" w:ascii="Times New Roman" w:hAnsi="Times New Roman" w:eastAsia="宋体" w:cs="Times New Roman"/>
                <w:b/>
                <w:color w:val="auto"/>
                <w:kern w:val="0"/>
                <w:sz w:val="24"/>
                <w:lang w:eastAsia="zh-CN"/>
              </w:rPr>
              <w:t>宁夏固原经济开发区</w:t>
            </w:r>
            <w:r>
              <w:rPr>
                <w:rFonts w:hint="eastAsia" w:ascii="宋体" w:hAnsi="宋体" w:eastAsia="宋体" w:cs="宋体"/>
                <w:b/>
                <w:color w:val="auto"/>
                <w:kern w:val="0"/>
                <w:sz w:val="24"/>
                <w:lang w:eastAsia="zh-CN"/>
              </w:rPr>
              <w:t>“一区三园”</w:t>
            </w:r>
            <w:r>
              <w:rPr>
                <w:rFonts w:hint="default" w:ascii="Times New Roman" w:hAnsi="Times New Roman" w:eastAsia="宋体" w:cs="Times New Roman"/>
                <w:b/>
                <w:color w:val="auto"/>
                <w:kern w:val="0"/>
                <w:sz w:val="24"/>
                <w:lang w:eastAsia="zh-CN"/>
              </w:rPr>
              <w:t>总体规划修编（2022-2035年）</w:t>
            </w:r>
            <w:r>
              <w:rPr>
                <w:rFonts w:hint="default" w:ascii="Times New Roman" w:hAnsi="Times New Roman" w:eastAsia="宋体" w:cs="Times New Roman"/>
                <w:b/>
                <w:color w:val="auto"/>
                <w:kern w:val="0"/>
                <w:sz w:val="24"/>
              </w:rPr>
              <w:t>环境影响报告书》的符合</w:t>
            </w:r>
            <w:r>
              <w:rPr>
                <w:rFonts w:hint="default" w:ascii="Times New Roman" w:hAnsi="Times New Roman" w:eastAsia="宋体" w:cs="Times New Roman"/>
                <w:b/>
                <w:bCs/>
                <w:color w:val="auto"/>
                <w:kern w:val="0"/>
                <w:sz w:val="24"/>
              </w:rPr>
              <w:t>性分析</w:t>
            </w:r>
          </w:p>
          <w:p w14:paraId="1A845F17">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w:t>
            </w:r>
            <w:r>
              <w:rPr>
                <w:rFonts w:hint="default" w:ascii="Times New Roman" w:hAnsi="Times New Roman" w:eastAsia="宋体" w:cs="Times New Roman"/>
                <w:color w:val="auto"/>
                <w:kern w:val="0"/>
                <w:sz w:val="24"/>
                <w:lang w:eastAsia="zh-CN"/>
              </w:rPr>
              <w:t>宁夏固原经济开发区</w:t>
            </w:r>
            <w:r>
              <w:rPr>
                <w:rFonts w:hint="eastAsia" w:ascii="宋体" w:hAnsi="宋体" w:eastAsia="宋体" w:cs="宋体"/>
                <w:color w:val="auto"/>
                <w:kern w:val="0"/>
                <w:sz w:val="24"/>
                <w:lang w:eastAsia="zh-CN"/>
              </w:rPr>
              <w:t>“一区三园”</w:t>
            </w:r>
            <w:r>
              <w:rPr>
                <w:rFonts w:hint="default" w:ascii="Times New Roman" w:hAnsi="Times New Roman" w:eastAsia="宋体" w:cs="Times New Roman"/>
                <w:color w:val="auto"/>
                <w:kern w:val="0"/>
                <w:sz w:val="24"/>
                <w:lang w:eastAsia="zh-CN"/>
              </w:rPr>
              <w:t>总体规划修编（2022-2035年）</w:t>
            </w:r>
            <w:r>
              <w:rPr>
                <w:rFonts w:hint="eastAsia" w:ascii="Times New Roman" w:hAnsi="Times New Roman" w:eastAsia="宋体" w:cs="Times New Roman"/>
                <w:color w:val="auto"/>
                <w:kern w:val="0"/>
                <w:sz w:val="24"/>
                <w:lang w:eastAsia="zh-CN"/>
              </w:rPr>
              <w:t>环境影响报告书</w:t>
            </w:r>
            <w:r>
              <w:rPr>
                <w:rFonts w:hint="default" w:ascii="Times New Roman" w:hAnsi="Times New Roman" w:eastAsia="宋体" w:cs="Times New Roman"/>
                <w:color w:val="auto"/>
                <w:kern w:val="0"/>
                <w:sz w:val="24"/>
              </w:rPr>
              <w:t>》，本项目与</w:t>
            </w:r>
            <w:r>
              <w:rPr>
                <w:rFonts w:hint="default" w:ascii="Times New Roman" w:hAnsi="Times New Roman" w:eastAsia="宋体" w:cs="Times New Roman"/>
                <w:color w:val="auto"/>
                <w:kern w:val="0"/>
                <w:sz w:val="24"/>
                <w:lang w:eastAsia="zh-CN"/>
              </w:rPr>
              <w:t>宁夏固原经济开发区</w:t>
            </w:r>
            <w:r>
              <w:rPr>
                <w:rFonts w:hint="default" w:ascii="Times New Roman" w:hAnsi="Times New Roman" w:eastAsia="宋体" w:cs="Times New Roman"/>
                <w:color w:val="auto"/>
                <w:kern w:val="0"/>
                <w:sz w:val="24"/>
              </w:rPr>
              <w:t>环境准入清单符合性分析见下表1</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w:t>
            </w:r>
          </w:p>
          <w:p w14:paraId="0D3D4BE5">
            <w:pPr>
              <w:pStyle w:val="99"/>
              <w:keepNext w:val="0"/>
              <w:keepLines w:val="0"/>
              <w:pageBreakBefore w:val="0"/>
              <w:widowControl w:val="0"/>
              <w:kinsoku/>
              <w:wordWrap/>
              <w:overflowPunct/>
              <w:topLinePunct w:val="0"/>
              <w:autoSpaceDE w:val="0"/>
              <w:autoSpaceDN w:val="0"/>
              <w:bidi w:val="0"/>
              <w:adjustRightInd w:val="0"/>
              <w:snapToGrid w:val="0"/>
              <w:ind w:left="0" w:leftChars="0" w:firstLine="420" w:firstLineChars="200"/>
              <w:textAlignment w:val="auto"/>
              <w:rPr>
                <w:rFonts w:hint="default" w:eastAsia="宋体"/>
                <w:b w:val="0"/>
                <w:bCs w:val="0"/>
                <w:color w:val="auto"/>
                <w:highlight w:val="none"/>
              </w:rPr>
            </w:pPr>
          </w:p>
          <w:p w14:paraId="18CA5BAE">
            <w:pPr>
              <w:pStyle w:val="99"/>
              <w:keepNext w:val="0"/>
              <w:keepLines w:val="0"/>
              <w:pageBreakBefore w:val="0"/>
              <w:widowControl w:val="0"/>
              <w:kinsoku/>
              <w:wordWrap/>
              <w:overflowPunct/>
              <w:topLinePunct w:val="0"/>
              <w:autoSpaceDE w:val="0"/>
              <w:autoSpaceDN w:val="0"/>
              <w:bidi w:val="0"/>
              <w:adjustRightInd w:val="0"/>
              <w:snapToGrid w:val="0"/>
              <w:ind w:left="0" w:leftChars="0" w:firstLine="420" w:firstLineChars="200"/>
              <w:textAlignment w:val="auto"/>
              <w:rPr>
                <w:rFonts w:hint="default" w:eastAsia="宋体"/>
                <w:b w:val="0"/>
                <w:bCs w:val="0"/>
                <w:color w:val="auto"/>
                <w:highlight w:val="none"/>
              </w:rPr>
            </w:pPr>
          </w:p>
          <w:p w14:paraId="34BE8DA1">
            <w:pPr>
              <w:pStyle w:val="99"/>
              <w:keepNext w:val="0"/>
              <w:keepLines w:val="0"/>
              <w:pageBreakBefore w:val="0"/>
              <w:widowControl w:val="0"/>
              <w:kinsoku/>
              <w:wordWrap/>
              <w:overflowPunct/>
              <w:topLinePunct w:val="0"/>
              <w:autoSpaceDE w:val="0"/>
              <w:autoSpaceDN w:val="0"/>
              <w:bidi w:val="0"/>
              <w:adjustRightInd w:val="0"/>
              <w:snapToGrid w:val="0"/>
              <w:ind w:left="0" w:leftChars="0" w:firstLine="420" w:firstLineChars="200"/>
              <w:textAlignment w:val="auto"/>
              <w:rPr>
                <w:rFonts w:hint="default" w:eastAsia="宋体"/>
                <w:color w:val="auto"/>
                <w:sz w:val="24"/>
                <w:szCs w:val="24"/>
                <w:lang w:val="en-US" w:eastAsia="zh-CN"/>
              </w:rPr>
            </w:pPr>
            <w:r>
              <w:rPr>
                <w:rFonts w:hint="default" w:eastAsia="宋体"/>
                <w:b w:val="0"/>
                <w:bCs w:val="0"/>
                <w:color w:val="auto"/>
                <w:highlight w:val="none"/>
              </w:rPr>
              <w:t>表1-1</w:t>
            </w:r>
            <w:r>
              <w:rPr>
                <w:rFonts w:hint="default" w:eastAsia="宋体"/>
                <w:b/>
                <w:bCs/>
                <w:color w:val="auto"/>
                <w:highlight w:val="none"/>
              </w:rPr>
              <w:t xml:space="preserve"> </w:t>
            </w:r>
            <w:r>
              <w:rPr>
                <w:rFonts w:hint="eastAsia" w:eastAsia="宋体"/>
                <w:b/>
                <w:bCs/>
                <w:color w:val="auto"/>
                <w:highlight w:val="none"/>
                <w:lang w:val="en-US" w:eastAsia="zh-CN"/>
              </w:rPr>
              <w:t xml:space="preserve"> </w:t>
            </w:r>
            <w:r>
              <w:rPr>
                <w:rFonts w:hint="default" w:eastAsia="宋体"/>
                <w:b/>
                <w:bCs/>
                <w:color w:val="auto"/>
                <w:sz w:val="24"/>
                <w:szCs w:val="24"/>
                <w:highlight w:val="none"/>
              </w:rPr>
              <w:t>本项目与宁夏固原经济开发区生态环境准入清单符合性</w:t>
            </w:r>
            <w:r>
              <w:rPr>
                <w:rFonts w:hint="eastAsia" w:eastAsia="宋体"/>
                <w:b/>
                <w:bCs/>
                <w:color w:val="auto"/>
                <w:sz w:val="24"/>
                <w:szCs w:val="24"/>
                <w:highlight w:val="none"/>
                <w:lang w:val="en-US" w:eastAsia="zh-CN"/>
              </w:rPr>
              <w:t>分析一览表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3617"/>
              <w:gridCol w:w="3079"/>
              <w:gridCol w:w="765"/>
            </w:tblGrid>
            <w:tr w14:paraId="01945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noWrap w:val="0"/>
                  <w:vAlign w:val="center"/>
                </w:tcPr>
                <w:p w14:paraId="56954E1C">
                  <w:pPr>
                    <w:pStyle w:val="1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管控纬度</w:t>
                  </w:r>
                </w:p>
              </w:tc>
              <w:tc>
                <w:tcPr>
                  <w:tcW w:w="2232" w:type="pct"/>
                  <w:noWrap w:val="0"/>
                  <w:vAlign w:val="center"/>
                </w:tcPr>
                <w:p w14:paraId="0D50D5B0">
                  <w:pPr>
                    <w:pStyle w:val="1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管控要求</w:t>
                  </w:r>
                </w:p>
              </w:tc>
              <w:tc>
                <w:tcPr>
                  <w:tcW w:w="1900" w:type="pct"/>
                  <w:noWrap w:val="0"/>
                  <w:vAlign w:val="center"/>
                </w:tcPr>
                <w:p w14:paraId="097D860F">
                  <w:pPr>
                    <w:pStyle w:val="1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本项目情况</w:t>
                  </w:r>
                </w:p>
              </w:tc>
              <w:tc>
                <w:tcPr>
                  <w:tcW w:w="472" w:type="pct"/>
                  <w:noWrap w:val="0"/>
                  <w:vAlign w:val="center"/>
                </w:tcPr>
                <w:p w14:paraId="06307E22">
                  <w:pPr>
                    <w:pStyle w:val="10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是否符合</w:t>
                  </w:r>
                </w:p>
              </w:tc>
            </w:tr>
            <w:tr w14:paraId="0C6DC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noWrap w:val="0"/>
                  <w:vAlign w:val="center"/>
                </w:tcPr>
                <w:p w14:paraId="059292DB">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空间布局约束</w:t>
                  </w:r>
                </w:p>
              </w:tc>
              <w:tc>
                <w:tcPr>
                  <w:tcW w:w="2232" w:type="pct"/>
                  <w:noWrap w:val="0"/>
                  <w:vAlign w:val="center"/>
                </w:tcPr>
                <w:p w14:paraId="620527EF">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1.禁止列入《产业结构调整指导目录（2019年</w:t>
                  </w:r>
                  <w:r>
                    <w:rPr>
                      <w:rFonts w:hint="default" w:ascii="Times New Roman" w:hAnsi="Times New Roman" w:eastAsia="宋体" w:cs="Times New Roman"/>
                      <w:color w:val="auto"/>
                      <w:sz w:val="21"/>
                      <w:szCs w:val="21"/>
                      <w:highlight w:val="none"/>
                    </w:rPr>
                    <w:t>本）》中淘汰类、限制类项目建设。</w:t>
                  </w:r>
                </w:p>
              </w:tc>
              <w:tc>
                <w:tcPr>
                  <w:tcW w:w="1900" w:type="pct"/>
                  <w:noWrap w:val="0"/>
                  <w:vAlign w:val="center"/>
                </w:tcPr>
                <w:p w14:paraId="57B08EEC">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w:t>
                  </w:r>
                  <w:r>
                    <w:rPr>
                      <w:rFonts w:hint="default" w:ascii="Times New Roman" w:hAnsi="Times New Roman" w:eastAsia="宋体" w:cs="Times New Roman"/>
                      <w:color w:val="auto"/>
                      <w:sz w:val="21"/>
                      <w:szCs w:val="21"/>
                      <w:lang w:val="en-US" w:eastAsia="zh-CN"/>
                    </w:rPr>
                    <w:t>项目为</w:t>
                  </w:r>
                  <w:r>
                    <w:rPr>
                      <w:rFonts w:hint="eastAsia" w:eastAsia="宋体" w:cs="Times New Roman"/>
                      <w:color w:val="auto"/>
                      <w:sz w:val="21"/>
                      <w:szCs w:val="21"/>
                      <w:lang w:val="en-US" w:eastAsia="zh-CN"/>
                    </w:rPr>
                    <w:t>泡沫箱制造项目</w:t>
                  </w:r>
                  <w:r>
                    <w:rPr>
                      <w:rFonts w:hint="eastAsia" w:ascii="Times New Roman" w:hAnsi="Times New Roman" w:eastAsia="宋体" w:cs="Times New Roman"/>
                      <w:color w:val="auto"/>
                      <w:sz w:val="21"/>
                      <w:szCs w:val="21"/>
                      <w:lang w:val="en-US" w:eastAsia="zh-CN"/>
                    </w:rPr>
                    <w:t>，采用可发性EPS颗粒发泡-成型工艺生产泡沫塑料箱。</w:t>
                  </w:r>
                  <w:r>
                    <w:rPr>
                      <w:rFonts w:hint="default" w:ascii="Times New Roman" w:hAnsi="Times New Roman" w:eastAsia="宋体" w:cs="Times New Roman"/>
                      <w:color w:val="auto"/>
                      <w:sz w:val="21"/>
                      <w:szCs w:val="21"/>
                      <w:lang w:val="en-US" w:eastAsia="zh-CN"/>
                    </w:rPr>
                    <w:t>根据现行《产业结构调整指导目录（2024年本）》，属于允许类项目。</w:t>
                  </w:r>
                </w:p>
              </w:tc>
              <w:tc>
                <w:tcPr>
                  <w:tcW w:w="472" w:type="pct"/>
                  <w:noWrap w:val="0"/>
                  <w:vAlign w:val="center"/>
                </w:tcPr>
                <w:p w14:paraId="721DD87D">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01D50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7C453CE5">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5C33CB1B">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2.禁止新建不符合园区各地块主导、辅助产业定位的产业项目（</w:t>
                  </w:r>
                  <w:r>
                    <w:rPr>
                      <w:rFonts w:hint="default" w:ascii="Times New Roman" w:hAnsi="Times New Roman" w:eastAsia="宋体" w:cs="Times New Roman"/>
                      <w:color w:val="auto"/>
                      <w:sz w:val="21"/>
                      <w:szCs w:val="21"/>
                    </w:rPr>
                    <w:t>规划主导产业延伸的鼓励类项目除外）。</w:t>
                  </w:r>
                </w:p>
              </w:tc>
              <w:tc>
                <w:tcPr>
                  <w:tcW w:w="1900" w:type="pct"/>
                  <w:noWrap w:val="0"/>
                  <w:vAlign w:val="center"/>
                </w:tcPr>
                <w:p w14:paraId="270840CD">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为</w:t>
                  </w:r>
                  <w:r>
                    <w:rPr>
                      <w:rFonts w:hint="eastAsia" w:eastAsia="宋体" w:cs="Times New Roman"/>
                      <w:color w:val="auto"/>
                      <w:sz w:val="21"/>
                      <w:szCs w:val="21"/>
                      <w:lang w:val="en-US" w:eastAsia="zh-CN"/>
                    </w:rPr>
                    <w:t>泡沫箱制造项目</w:t>
                  </w:r>
                  <w:r>
                    <w:rPr>
                      <w:rFonts w:hint="eastAsia" w:ascii="Times New Roman" w:hAnsi="Times New Roman" w:eastAsia="宋体" w:cs="Times New Roman"/>
                      <w:color w:val="auto"/>
                      <w:sz w:val="21"/>
                      <w:szCs w:val="21"/>
                      <w:lang w:val="en-US" w:eastAsia="zh-CN"/>
                    </w:rPr>
                    <w:t>，可为园区企业提供专业化包装物配套保障，有效延伸上下游产业链，属于配套装备制造等产业多元发展的产业体系，</w:t>
                  </w:r>
                  <w:r>
                    <w:rPr>
                      <w:rFonts w:hint="default" w:ascii="Times New Roman" w:hAnsi="Times New Roman" w:eastAsia="宋体" w:cs="Times New Roman"/>
                      <w:color w:val="auto"/>
                      <w:sz w:val="21"/>
                      <w:szCs w:val="21"/>
                      <w:highlight w:val="none"/>
                    </w:rPr>
                    <w:t>符合园区辅助产业定位的产业项目</w:t>
                  </w:r>
                  <w:r>
                    <w:rPr>
                      <w:rFonts w:hint="eastAsia" w:ascii="Times New Roman" w:hAnsi="Times New Roman" w:eastAsia="宋体" w:cs="Times New Roman"/>
                      <w:i w:val="0"/>
                      <w:iCs w:val="0"/>
                      <w:caps w:val="0"/>
                      <w:color w:val="auto"/>
                      <w:spacing w:val="0"/>
                      <w:sz w:val="21"/>
                      <w:szCs w:val="21"/>
                      <w:shd w:val="clear" w:color="auto" w:fill="FFFFFF"/>
                      <w:lang w:val="en-US" w:eastAsia="zh-CN"/>
                    </w:rPr>
                    <w:t>。</w:t>
                  </w:r>
                </w:p>
              </w:tc>
              <w:tc>
                <w:tcPr>
                  <w:tcW w:w="472" w:type="pct"/>
                  <w:noWrap w:val="0"/>
                  <w:vAlign w:val="center"/>
                </w:tcPr>
                <w:p w14:paraId="6924B769">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2CB12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639453D9">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1C90B1EB">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3.《自治区化工项目准入目录》中限制类项目，禁止新建，项目核准备案机关不予核准或备案新建限制类项目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淘汰类项目，禁止投资，项目核准备案机关不予核准或备案淘汰类项目；已淘汰的落后产能（淘汰类）化工项目严禁异地落户进园入区；禁止新建、改建、扩建印染及含有毒有害物质的涂料产品入园。</w:t>
                  </w:r>
                </w:p>
              </w:tc>
              <w:tc>
                <w:tcPr>
                  <w:tcW w:w="1900" w:type="pct"/>
                  <w:noWrap w:val="0"/>
                  <w:vAlign w:val="center"/>
                </w:tcPr>
                <w:p w14:paraId="37CA4F90">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本项目为</w:t>
                  </w:r>
                  <w:r>
                    <w:rPr>
                      <w:rFonts w:hint="eastAsia" w:eastAsia="宋体" w:cs="Times New Roman"/>
                      <w:color w:val="auto"/>
                      <w:sz w:val="21"/>
                      <w:szCs w:val="21"/>
                      <w:lang w:val="en-US" w:eastAsia="zh-CN"/>
                    </w:rPr>
                    <w:t>泡沫箱制造项目</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不属于限制类项目与淘汰类项目；项目已于2025年12月</w:t>
                  </w:r>
                  <w:r>
                    <w:rPr>
                      <w:rFonts w:hint="eastAsia"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日取得由宁夏固原经济开发区管理委员会颁发的企业投资项目备案证（项目代码：2512-640940-04-01-781399）；不涉及</w:t>
                  </w:r>
                  <w:r>
                    <w:rPr>
                      <w:rFonts w:hint="default" w:ascii="Times New Roman" w:hAnsi="Times New Roman" w:eastAsia="宋体" w:cs="Times New Roman"/>
                      <w:color w:val="auto"/>
                      <w:sz w:val="21"/>
                      <w:szCs w:val="21"/>
                    </w:rPr>
                    <w:t>印染及含有毒有害物质的涂料产品</w:t>
                  </w:r>
                  <w:r>
                    <w:rPr>
                      <w:rFonts w:hint="default" w:ascii="Times New Roman" w:hAnsi="Times New Roman" w:eastAsia="宋体" w:cs="Times New Roman"/>
                      <w:color w:val="auto"/>
                      <w:sz w:val="21"/>
                      <w:szCs w:val="21"/>
                      <w:lang w:eastAsia="zh-CN"/>
                    </w:rPr>
                    <w:t>。</w:t>
                  </w:r>
                </w:p>
              </w:tc>
              <w:tc>
                <w:tcPr>
                  <w:tcW w:w="472" w:type="pct"/>
                  <w:noWrap w:val="0"/>
                  <w:vAlign w:val="center"/>
                </w:tcPr>
                <w:p w14:paraId="04B3AE45">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422E4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59DF8575">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6CBD4569">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4.禁止引入不符合《自治区人民政府关于实施</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三线一单</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生态环境分区管控的通知》、《固原市人民政府关于实施</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三线一单</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生态环境分区管控的意见》的新建项目。</w:t>
                  </w:r>
                </w:p>
              </w:tc>
              <w:tc>
                <w:tcPr>
                  <w:tcW w:w="1900" w:type="pct"/>
                  <w:noWrap w:val="0"/>
                  <w:vAlign w:val="center"/>
                </w:tcPr>
                <w:p w14:paraId="4B7523A2">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本项目符合《自治区人民政府关于实施</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三线一单</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生态环境分区管控的通知》、《固原市人民政府关于实施</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三线一单</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生态环境分区管控的意见》中的管控要求。</w:t>
                  </w:r>
                </w:p>
              </w:tc>
              <w:tc>
                <w:tcPr>
                  <w:tcW w:w="472" w:type="pct"/>
                  <w:noWrap w:val="0"/>
                  <w:vAlign w:val="center"/>
                </w:tcPr>
                <w:p w14:paraId="44000929">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6ADFF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6293C170">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17CBD948">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5.禁止引入高耗水、高耗能、高污染项目（不包括国家、自治区规划重大建设项目），限发展煤炭、电力（不包括国家、自治区规划重大建设项目）、医药（不含中医药）、冶金等行业的新建项目。</w:t>
                  </w:r>
                </w:p>
              </w:tc>
              <w:tc>
                <w:tcPr>
                  <w:tcW w:w="1900" w:type="pct"/>
                  <w:noWrap w:val="0"/>
                  <w:vAlign w:val="center"/>
                </w:tcPr>
                <w:p w14:paraId="7EE1F842">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本项目为</w:t>
                  </w:r>
                  <w:r>
                    <w:rPr>
                      <w:rFonts w:hint="eastAsia" w:eastAsia="宋体" w:cs="Times New Roman"/>
                      <w:color w:val="auto"/>
                      <w:sz w:val="21"/>
                      <w:szCs w:val="21"/>
                      <w:lang w:val="en-US" w:eastAsia="zh-CN"/>
                    </w:rPr>
                    <w:t>泡沫箱制造</w:t>
                  </w:r>
                  <w:r>
                    <w:rPr>
                      <w:rFonts w:hint="eastAsia" w:ascii="Times New Roman" w:hAnsi="Times New Roman" w:eastAsia="宋体" w:cs="Times New Roman"/>
                      <w:color w:val="auto"/>
                      <w:sz w:val="21"/>
                      <w:szCs w:val="21"/>
                      <w:lang w:val="en-US" w:eastAsia="zh-CN"/>
                    </w:rPr>
                    <w:t>项目，不属于高耗水、高耗能、高污染项目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不属于</w:t>
                  </w:r>
                  <w:r>
                    <w:rPr>
                      <w:rFonts w:hint="default" w:ascii="Times New Roman" w:hAnsi="Times New Roman" w:eastAsia="宋体" w:cs="Times New Roman"/>
                      <w:color w:val="auto"/>
                      <w:sz w:val="21"/>
                      <w:szCs w:val="21"/>
                    </w:rPr>
                    <w:t>煤炭、电力</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医药、冶金等行业</w:t>
                  </w:r>
                  <w:r>
                    <w:rPr>
                      <w:rFonts w:hint="default" w:ascii="Times New Roman" w:hAnsi="Times New Roman" w:eastAsia="宋体" w:cs="Times New Roman"/>
                      <w:color w:val="auto"/>
                      <w:sz w:val="21"/>
                      <w:szCs w:val="21"/>
                      <w:lang w:eastAsia="zh-CN"/>
                    </w:rPr>
                    <w:t>。</w:t>
                  </w:r>
                </w:p>
              </w:tc>
              <w:tc>
                <w:tcPr>
                  <w:tcW w:w="472" w:type="pct"/>
                  <w:noWrap w:val="0"/>
                  <w:vAlign w:val="center"/>
                </w:tcPr>
                <w:p w14:paraId="12523C7A">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08D90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430DFAEF">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31E2875F">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6.化学原料药项目须满足《宁夏回族自治区化学原料药行业环境准入指导意见》中规划布局、项目选址、技术装备水平、污染防治措施、总量控制与清洁生产等管控要求。</w:t>
                  </w:r>
                </w:p>
              </w:tc>
              <w:tc>
                <w:tcPr>
                  <w:tcW w:w="1900" w:type="pct"/>
                  <w:noWrap w:val="0"/>
                  <w:vAlign w:val="center"/>
                </w:tcPr>
                <w:p w14:paraId="6ECB8157">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6B303AF3">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4FB49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631CC6D6">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06FD7A0D">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污染地块（土壤重金属超标、污染企业退出的遗留污染宗地）未经治理与修复，或者经治理与修复但未达到土壤污染风险评估报告确定的风险管控、修复目标的建设用地地块，禁止开工建设任何与风险管控、修复无关的项目。</w:t>
                  </w:r>
                </w:p>
              </w:tc>
              <w:tc>
                <w:tcPr>
                  <w:tcW w:w="1900" w:type="pct"/>
                  <w:noWrap w:val="0"/>
                  <w:vAlign w:val="center"/>
                </w:tcPr>
                <w:p w14:paraId="2F3E39DE">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2BADD8A7">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57566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noWrap w:val="0"/>
                  <w:vAlign w:val="center"/>
                </w:tcPr>
                <w:p w14:paraId="5F5AFBF4">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污染物排放管控</w:t>
                  </w:r>
                </w:p>
              </w:tc>
              <w:tc>
                <w:tcPr>
                  <w:tcW w:w="2232" w:type="pct"/>
                  <w:noWrap w:val="0"/>
                  <w:vAlign w:val="center"/>
                </w:tcPr>
                <w:p w14:paraId="717E1E9A">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1.涉VOCs排放的工业企业准入须满足《宁夏回族自治区挥发性有机物污染专项治理工作方案》及本次评价提出污染治理要求。</w:t>
                  </w:r>
                </w:p>
              </w:tc>
              <w:tc>
                <w:tcPr>
                  <w:tcW w:w="1900" w:type="pct"/>
                  <w:noWrap w:val="0"/>
                  <w:vAlign w:val="center"/>
                </w:tcPr>
                <w:p w14:paraId="1EB4A63C">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为泡沫箱</w:t>
                  </w:r>
                  <w:r>
                    <w:rPr>
                      <w:rFonts w:hint="eastAsia" w:eastAsia="宋体" w:cs="Times New Roman"/>
                      <w:color w:val="auto"/>
                      <w:sz w:val="21"/>
                      <w:szCs w:val="21"/>
                      <w:lang w:val="en-US" w:eastAsia="zh-CN"/>
                    </w:rPr>
                    <w:t>制造</w:t>
                  </w:r>
                  <w:r>
                    <w:rPr>
                      <w:rFonts w:hint="eastAsia" w:ascii="Times New Roman" w:hAnsi="Times New Roman" w:eastAsia="宋体" w:cs="Times New Roman"/>
                      <w:color w:val="auto"/>
                      <w:sz w:val="21"/>
                      <w:szCs w:val="21"/>
                      <w:lang w:val="en-US" w:eastAsia="zh-CN"/>
                    </w:rPr>
                    <w:t>项目，运营期生产过程产生的非甲烷总烃、甲苯、苯乙烯、乙苯经集气罩收集后引至“二级活性炭吸附装置”处理</w:t>
                  </w:r>
                  <w:r>
                    <w:rPr>
                      <w:rFonts w:hint="eastAsia" w:eastAsia="宋体" w:cs="Times New Roman"/>
                      <w:color w:val="auto"/>
                      <w:sz w:val="21"/>
                      <w:szCs w:val="21"/>
                      <w:lang w:val="en-US" w:eastAsia="zh-CN"/>
                    </w:rPr>
                    <w:t>，处理</w:t>
                  </w:r>
                  <w:r>
                    <w:rPr>
                      <w:rFonts w:hint="eastAsia" w:ascii="Times New Roman" w:hAnsi="Times New Roman" w:eastAsia="宋体" w:cs="Times New Roman"/>
                      <w:color w:val="auto"/>
                      <w:sz w:val="21"/>
                      <w:szCs w:val="21"/>
                      <w:lang w:val="en-US" w:eastAsia="zh-CN"/>
                    </w:rPr>
                    <w:t>后通过2根15m高的排气筒（一期DA001、二期DA002）排放，有机废气收集效率为90%</w:t>
                  </w:r>
                  <w:r>
                    <w:rPr>
                      <w:rFonts w:hint="eastAsia"/>
                      <w:color w:val="auto"/>
                      <w:lang w:val="en-US" w:eastAsia="zh-CN"/>
                    </w:rPr>
                    <w:t>&gt;80%</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满足《宁夏回族自治区挥发性有机物污染专项治理工作方案》及本次评价提出污染治理要求</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4B5AA594">
                  <w:pPr>
                    <w:pStyle w:val="1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r w14:paraId="154E5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00F7C1FD">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707941D9">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要求火电机组（含自备电厂）全部完成超低排放改造；2025年底前65蒸吨及以上燃煤锅炉（含电力）全面实现超低排放；原则上不再新建35蒸吨/小时以下的燃煤锅炉，城市建成区基本淘汰35蒸吨/小时以下的燃煤锅炉。现有燃气锅炉逐步开展低氮燃烧改造，到2025年，全区所有燃气锅炉氮氧化物排放浓度低于50毫克/立方米。</w:t>
                  </w:r>
                </w:p>
              </w:tc>
              <w:tc>
                <w:tcPr>
                  <w:tcW w:w="1900" w:type="pct"/>
                  <w:noWrap w:val="0"/>
                  <w:vAlign w:val="center"/>
                </w:tcPr>
                <w:p w14:paraId="53F049A9">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772D96DA">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6FD64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29C9C183">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69602D5A">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3.在保证电力、热力供应前提下，鼓励30万千瓦及以上热电联产电厂供热半径30km范围内的燃煤锅炉和燃煤小热电机组（含自备电厂）基本完成关停整合。</w:t>
                  </w:r>
                </w:p>
              </w:tc>
              <w:tc>
                <w:tcPr>
                  <w:tcW w:w="1900" w:type="pct"/>
                  <w:noWrap w:val="0"/>
                  <w:vAlign w:val="center"/>
                </w:tcPr>
                <w:p w14:paraId="024A2828">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6BF4E34A">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54156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7CC84E5F">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4E7CD812">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4.不得新建、改（扩）建产生异味的生物发酵项目。</w:t>
                  </w:r>
                </w:p>
              </w:tc>
              <w:tc>
                <w:tcPr>
                  <w:tcW w:w="1900" w:type="pct"/>
                  <w:noWrap w:val="0"/>
                  <w:vAlign w:val="center"/>
                </w:tcPr>
                <w:p w14:paraId="05D884A7">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52BCA2E6">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71695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129ECE09">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45122B0B">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5.通过产业结构调整，贯彻绿色发展道路，高能耗、高污染企业逐步退出或进行优化升级。</w:t>
                  </w:r>
                </w:p>
              </w:tc>
              <w:tc>
                <w:tcPr>
                  <w:tcW w:w="1900" w:type="pct"/>
                  <w:noWrap w:val="0"/>
                  <w:vAlign w:val="center"/>
                </w:tcPr>
                <w:p w14:paraId="7765FB74">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本项目属于</w:t>
                  </w:r>
                  <w:r>
                    <w:rPr>
                      <w:rFonts w:hint="eastAsia" w:eastAsia="宋体" w:cs="Times New Roman"/>
                      <w:color w:val="auto"/>
                      <w:sz w:val="21"/>
                      <w:szCs w:val="21"/>
                      <w:lang w:val="en-US" w:eastAsia="zh-CN"/>
                    </w:rPr>
                    <w:t>泡沫箱制造项目</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不属于高能耗、高污染企业。</w:t>
                  </w:r>
                </w:p>
              </w:tc>
              <w:tc>
                <w:tcPr>
                  <w:tcW w:w="472" w:type="pct"/>
                  <w:noWrap w:val="0"/>
                  <w:vAlign w:val="center"/>
                </w:tcPr>
                <w:p w14:paraId="4562C913">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67395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6B4068E1">
                  <w:pPr>
                    <w:adjustRightInd w:val="0"/>
                    <w:snapToGrid w:val="0"/>
                    <w:jc w:val="center"/>
                    <w:rPr>
                      <w:rFonts w:hint="default" w:ascii="Times New Roman" w:hAnsi="Times New Roman" w:eastAsia="宋体" w:cs="Times New Roman"/>
                      <w:color w:val="auto"/>
                      <w:sz w:val="21"/>
                      <w:szCs w:val="21"/>
                      <w:lang w:val="en-US" w:eastAsia="zh-CN"/>
                    </w:rPr>
                  </w:pPr>
                </w:p>
              </w:tc>
              <w:tc>
                <w:tcPr>
                  <w:tcW w:w="2232" w:type="pct"/>
                  <w:noWrap w:val="0"/>
                  <w:vAlign w:val="center"/>
                </w:tcPr>
                <w:p w14:paraId="6D62D8A7">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园区生产废水要做到有效处理，达标排入管网，或循环利用、不外排；对生活污水经处理达标后排入工业园区污水处理厂。加强金昱元公司污水排放监管力度，确保生产过程中产生的污水集中处理，封堵生产废水排污口，严禁排入园区公网，达到零排放。</w:t>
                  </w:r>
                </w:p>
              </w:tc>
              <w:tc>
                <w:tcPr>
                  <w:tcW w:w="1900" w:type="pct"/>
                  <w:noWrap w:val="0"/>
                  <w:vAlign w:val="center"/>
                </w:tcPr>
                <w:p w14:paraId="4CEA6055">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运营期</w:t>
                  </w:r>
                  <w:r>
                    <w:rPr>
                      <w:rFonts w:hint="default" w:ascii="Times New Roman" w:hAnsi="Times New Roman" w:eastAsia="宋体" w:cs="Times New Roman"/>
                      <w:color w:val="auto"/>
                      <w:sz w:val="21"/>
                      <w:szCs w:val="21"/>
                      <w:lang w:val="en-US" w:eastAsia="zh-CN"/>
                    </w:rPr>
                    <w:t>产生的废水主要为</w:t>
                  </w:r>
                  <w:r>
                    <w:rPr>
                      <w:rFonts w:hint="eastAsia" w:ascii="Times New Roman" w:hAnsi="Times New Roman" w:eastAsia="宋体" w:cs="Times New Roman"/>
                      <w:color w:val="auto"/>
                      <w:lang w:val="en-US" w:eastAsia="zh-CN"/>
                    </w:rPr>
                    <w:t>循环冷却系统排水及</w:t>
                  </w:r>
                  <w:r>
                    <w:rPr>
                      <w:rFonts w:hint="default" w:ascii="Times New Roman" w:hAnsi="Times New Roman" w:eastAsia="宋体" w:cs="Times New Roman"/>
                      <w:color w:val="auto"/>
                      <w:sz w:val="21"/>
                      <w:szCs w:val="21"/>
                      <w:lang w:val="en-US" w:eastAsia="zh-CN"/>
                    </w:rPr>
                    <w:t>生活污水</w:t>
                  </w:r>
                  <w:r>
                    <w:rPr>
                      <w:rFonts w:hint="eastAsia" w:ascii="Times New Roman" w:hAnsi="Times New Roman" w:eastAsia="宋体" w:cs="Times New Roman"/>
                      <w:color w:val="auto"/>
                      <w:sz w:val="21"/>
                      <w:szCs w:val="21"/>
                      <w:lang w:val="en-US" w:eastAsia="zh-CN"/>
                    </w:rPr>
                    <w:t>，生活污水</w:t>
                  </w:r>
                  <w:r>
                    <w:rPr>
                      <w:rFonts w:hint="default" w:ascii="Times New Roman" w:hAnsi="Times New Roman" w:eastAsia="宋体" w:cs="Times New Roman"/>
                      <w:color w:val="auto"/>
                      <w:sz w:val="21"/>
                      <w:szCs w:val="21"/>
                      <w:lang w:val="en-US" w:eastAsia="zh-CN"/>
                    </w:rPr>
                    <w:t>经化粪池处理后</w:t>
                  </w:r>
                  <w:r>
                    <w:rPr>
                      <w:rFonts w:hint="eastAsia" w:ascii="Times New Roman" w:hAnsi="Times New Roman" w:eastAsia="宋体" w:cs="Times New Roman"/>
                      <w:color w:val="auto"/>
                      <w:sz w:val="21"/>
                      <w:szCs w:val="21"/>
                      <w:lang w:val="en-US" w:eastAsia="zh-CN"/>
                    </w:rPr>
                    <w:t>汇同循环冷却系统排水</w:t>
                  </w:r>
                  <w:r>
                    <w:rPr>
                      <w:rFonts w:hint="default" w:ascii="Times New Roman" w:hAnsi="Times New Roman" w:eastAsia="宋体" w:cs="Times New Roman"/>
                      <w:color w:val="auto"/>
                      <w:sz w:val="21"/>
                      <w:szCs w:val="21"/>
                      <w:highlight w:val="none"/>
                      <w:lang w:val="en-US" w:eastAsia="zh-CN"/>
                    </w:rPr>
                    <w:t>排入园区污水管网</w:t>
                  </w:r>
                  <w:r>
                    <w:rPr>
                      <w:rFonts w:hint="eastAsia" w:ascii="Times New Roman" w:hAnsi="Times New Roman" w:eastAsia="宋体" w:cs="Times New Roman"/>
                      <w:color w:val="auto"/>
                      <w:sz w:val="21"/>
                      <w:szCs w:val="21"/>
                      <w:highlight w:val="none"/>
                      <w:lang w:val="en-US" w:eastAsia="zh-CN"/>
                    </w:rPr>
                    <w:t>，最终进入</w:t>
                  </w:r>
                  <w:r>
                    <w:rPr>
                      <w:rFonts w:hint="eastAsia" w:eastAsia="宋体" w:cs="Times New Roman"/>
                      <w:color w:val="auto"/>
                      <w:sz w:val="21"/>
                      <w:szCs w:val="21"/>
                      <w:highlight w:val="none"/>
                      <w:lang w:val="en-US" w:eastAsia="zh-CN"/>
                    </w:rPr>
                    <w:t>固原经济技术开发区新材料产业园污水处理厂进行处理</w:t>
                  </w:r>
                  <w:r>
                    <w:rPr>
                      <w:rFonts w:hint="default" w:ascii="Times New Roman" w:hAnsi="Times New Roman" w:eastAsia="宋体" w:cs="Times New Roman"/>
                      <w:color w:val="auto"/>
                      <w:sz w:val="21"/>
                      <w:szCs w:val="21"/>
                      <w:highlight w:val="none"/>
                      <w:lang w:val="en-US" w:eastAsia="zh-CN"/>
                    </w:rPr>
                    <w:t>。</w:t>
                  </w:r>
                </w:p>
              </w:tc>
              <w:tc>
                <w:tcPr>
                  <w:tcW w:w="472" w:type="pct"/>
                  <w:noWrap w:val="0"/>
                  <w:vAlign w:val="center"/>
                </w:tcPr>
                <w:p w14:paraId="602017DC">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266DD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noWrap w:val="0"/>
                  <w:vAlign w:val="center"/>
                </w:tcPr>
                <w:p w14:paraId="16B7DCBF">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环境风险</w:t>
                  </w:r>
                </w:p>
                <w:p w14:paraId="6BB89177">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防控</w:t>
                  </w:r>
                </w:p>
              </w:tc>
              <w:tc>
                <w:tcPr>
                  <w:tcW w:w="2232" w:type="pct"/>
                  <w:noWrap w:val="0"/>
                  <w:vAlign w:val="center"/>
                </w:tcPr>
                <w:p w14:paraId="5570D6F8">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1.园区应建立严格的环境风险防控体系。</w:t>
                  </w:r>
                </w:p>
              </w:tc>
              <w:tc>
                <w:tcPr>
                  <w:tcW w:w="1900" w:type="pct"/>
                  <w:noWrap w:val="0"/>
                  <w:vAlign w:val="center"/>
                </w:tcPr>
                <w:p w14:paraId="2F7B69B9">
                  <w:pPr>
                    <w:pStyle w:val="10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园区已建立严格的环境风险防控体系。</w:t>
                  </w:r>
                </w:p>
              </w:tc>
              <w:tc>
                <w:tcPr>
                  <w:tcW w:w="472" w:type="pct"/>
                  <w:noWrap w:val="0"/>
                  <w:vAlign w:val="center"/>
                </w:tcPr>
                <w:p w14:paraId="6AC4BCFB">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0AE00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2064E9B4">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2A9D94DA">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2.宁夏金昱元广拓能源有限公司（土壤重点监管、涉重金属）应采取措施加强土壤环境监测和土壤污染风险防控。</w:t>
                  </w:r>
                </w:p>
              </w:tc>
              <w:tc>
                <w:tcPr>
                  <w:tcW w:w="1900" w:type="pct"/>
                  <w:noWrap w:val="0"/>
                  <w:vAlign w:val="center"/>
                </w:tcPr>
                <w:p w14:paraId="7CEFA721">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15CACD93">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6CA62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7A4AB12A">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1ED031D3">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3.固原经济开发区康用废弃物综合处理有限公司（医疗废物）在贮存、转移、利用、处置危险废物过程中，应严格按照《危险废物</w:t>
                  </w:r>
                  <w:r>
                    <w:rPr>
                      <w:rFonts w:hint="eastAsia" w:eastAsia="宋体" w:cs="Times New Roman"/>
                      <w:color w:val="auto"/>
                      <w:sz w:val="21"/>
                      <w:szCs w:val="21"/>
                      <w:lang w:eastAsia="zh-CN"/>
                    </w:rPr>
                    <w:t>规范化</w:t>
                  </w:r>
                  <w:r>
                    <w:rPr>
                      <w:rFonts w:hint="default" w:ascii="Times New Roman" w:hAnsi="Times New Roman" w:eastAsia="宋体" w:cs="Times New Roman"/>
                      <w:color w:val="auto"/>
                      <w:sz w:val="21"/>
                      <w:szCs w:val="21"/>
                    </w:rPr>
                    <w:t>管理指标体系》等相关要求，并配套防扬散、防流失、防渗漏及其他防治污染环境的措施。</w:t>
                  </w:r>
                </w:p>
              </w:tc>
              <w:tc>
                <w:tcPr>
                  <w:tcW w:w="1900" w:type="pct"/>
                  <w:noWrap w:val="0"/>
                  <w:vAlign w:val="center"/>
                </w:tcPr>
                <w:p w14:paraId="0EFDB3AB">
                  <w:pPr>
                    <w:pStyle w:val="10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不涉及。</w:t>
                  </w:r>
                </w:p>
              </w:tc>
              <w:tc>
                <w:tcPr>
                  <w:tcW w:w="472" w:type="pct"/>
                  <w:noWrap w:val="0"/>
                  <w:vAlign w:val="center"/>
                </w:tcPr>
                <w:p w14:paraId="1E963674">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37B97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4FD96923">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03A317DE">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4.依据《建设项目环境风险评价技术导则》（HJ169-2018），环境风险潜势为极高环境风险（</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 4 \* ROMAN \* MERGEFORMAT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IV</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+）且毒性终点浓度-1/（mg/m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）范围有居民区的建设项目禁止引入化工集中区。</w:t>
                  </w:r>
                </w:p>
              </w:tc>
              <w:tc>
                <w:tcPr>
                  <w:tcW w:w="1900" w:type="pct"/>
                  <w:noWrap w:val="0"/>
                  <w:vAlign w:val="center"/>
                </w:tcPr>
                <w:p w14:paraId="047809BA">
                  <w:pPr>
                    <w:pStyle w:val="24"/>
                    <w:adjustRightInd w:val="0"/>
                    <w:snapToGrid w:val="0"/>
                    <w:spacing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eastAsia="zh-CN"/>
                    </w:rPr>
                    <w:t>根据</w:t>
                  </w:r>
                  <w:r>
                    <w:rPr>
                      <w:rFonts w:hint="default" w:ascii="Times New Roman" w:hAnsi="Times New Roman" w:eastAsia="宋体" w:cs="Times New Roman"/>
                      <w:color w:val="auto"/>
                      <w:sz w:val="21"/>
                      <w:szCs w:val="21"/>
                      <w:highlight w:val="none"/>
                      <w:lang w:val="en-US" w:eastAsia="zh-CN"/>
                    </w:rPr>
                    <w:t>风险物质识别</w:t>
                  </w:r>
                  <w:r>
                    <w:rPr>
                      <w:rFonts w:hint="default" w:ascii="Times New Roman" w:hAnsi="Times New Roman" w:eastAsia="宋体" w:cs="Times New Roman"/>
                      <w:color w:val="auto"/>
                      <w:sz w:val="21"/>
                      <w:szCs w:val="21"/>
                      <w:highlight w:val="none"/>
                      <w:lang w:eastAsia="zh-CN"/>
                    </w:rPr>
                    <w:t>，本项目涉及的危险物质主要为</w:t>
                  </w:r>
                  <w:r>
                    <w:rPr>
                      <w:rFonts w:hint="eastAsia" w:ascii="Times New Roman" w:hAnsi="Times New Roman" w:eastAsia="宋体" w:cs="Times New Roman"/>
                      <w:color w:val="auto"/>
                      <w:spacing w:val="0"/>
                      <w:kern w:val="0"/>
                      <w:sz w:val="21"/>
                      <w:szCs w:val="21"/>
                      <w:highlight w:val="none"/>
                      <w:lang w:val="en-US" w:eastAsia="zh-CN" w:bidi="ar-SA"/>
                    </w:rPr>
                    <w:t>废润滑油</w:t>
                  </w:r>
                  <w:r>
                    <w:rPr>
                      <w:rFonts w:hint="eastAsia"/>
                      <w:color w:val="auto"/>
                      <w:sz w:val="21"/>
                      <w:szCs w:val="21"/>
                      <w:highlight w:val="none"/>
                      <w:lang w:val="en-US" w:eastAsia="zh-CN"/>
                    </w:rPr>
                    <w:t>及戊烷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项目Q值为</w:t>
                  </w:r>
                  <w:r>
                    <w:rPr>
                      <w:rFonts w:hint="default" w:ascii="Times New Roman" w:hAnsi="Times New Roman" w:eastAsia="宋体" w:cs="Times New Roman"/>
                      <w:color w:val="auto"/>
                      <w:sz w:val="21"/>
                      <w:szCs w:val="21"/>
                      <w:highlight w:val="none"/>
                    </w:rPr>
                    <w:t>0.</w:t>
                  </w:r>
                  <w:r>
                    <w:rPr>
                      <w:rFonts w:hint="eastAsia" w:cs="Times New Roman"/>
                      <w:color w:val="auto"/>
                      <w:sz w:val="21"/>
                      <w:szCs w:val="21"/>
                      <w:highlight w:val="none"/>
                      <w:lang w:val="en-US" w:eastAsia="zh-CN"/>
                    </w:rPr>
                    <w:t>110012</w:t>
                  </w:r>
                  <w:r>
                    <w:rPr>
                      <w:rFonts w:hint="default" w:ascii="Times New Roman" w:hAnsi="Times New Roman" w:eastAsia="宋体" w:cs="Times New Roman"/>
                      <w:color w:val="auto"/>
                      <w:sz w:val="21"/>
                      <w:szCs w:val="21"/>
                      <w:highlight w:val="none"/>
                    </w:rPr>
                    <w:t>&lt;1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z w:val="21"/>
                      <w:szCs w:val="21"/>
                      <w:highlight w:val="none"/>
                      <w:lang w:eastAsia="zh-CN"/>
                    </w:rPr>
                    <w:t>环境风险潜势为极高环境风险（Ⅳ+）且毒性终点浓度-1/（mg/m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）范围有居民区的建设项目</w:t>
                  </w:r>
                  <w:r>
                    <w:rPr>
                      <w:rFonts w:hint="default" w:ascii="Times New Roman" w:hAnsi="Times New Roman" w:eastAsia="宋体" w:cs="Times New Roman"/>
                      <w:color w:val="auto"/>
                      <w:sz w:val="21"/>
                      <w:szCs w:val="21"/>
                      <w:highlight w:val="none"/>
                      <w:lang w:val="en-US" w:eastAsia="zh-CN"/>
                    </w:rPr>
                    <w:t>。</w:t>
                  </w:r>
                </w:p>
              </w:tc>
              <w:tc>
                <w:tcPr>
                  <w:tcW w:w="472" w:type="pct"/>
                  <w:noWrap w:val="0"/>
                  <w:vAlign w:val="center"/>
                </w:tcPr>
                <w:p w14:paraId="3F2D9194">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6DCF2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4E07BAA6">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445C2282">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5.园区边界外延2.5km范围的环境风险管控范围内禁止新建村庄、学校、医院等人群聚集区。</w:t>
                  </w:r>
                </w:p>
              </w:tc>
              <w:tc>
                <w:tcPr>
                  <w:tcW w:w="1900" w:type="pct"/>
                  <w:noWrap w:val="0"/>
                  <w:vAlign w:val="center"/>
                </w:tcPr>
                <w:p w14:paraId="1DA2527F">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7E2029A4">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61485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28756F01">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05473003">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6.园区内潜在的安全、环境风险源，应制订《突发安全生产应急预案》、《突发环境事件应急预案》，组织定期演练，预防安全、环境污染事件的发生。</w:t>
                  </w:r>
                </w:p>
              </w:tc>
              <w:tc>
                <w:tcPr>
                  <w:tcW w:w="1900" w:type="pct"/>
                  <w:noWrap w:val="0"/>
                  <w:vAlign w:val="center"/>
                </w:tcPr>
                <w:p w14:paraId="75082061">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highlight w:val="none"/>
                      <w:lang w:val="en-US" w:eastAsia="zh-CN"/>
                    </w:rPr>
                    <w:t>本项目应组织开展突发环境事件应急预案的编制与评审工作，并按规定完成备案。</w:t>
                  </w:r>
                </w:p>
              </w:tc>
              <w:tc>
                <w:tcPr>
                  <w:tcW w:w="472" w:type="pct"/>
                  <w:noWrap w:val="0"/>
                  <w:vAlign w:val="center"/>
                </w:tcPr>
                <w:p w14:paraId="499FAF6D">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1DAAB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restart"/>
                  <w:noWrap w:val="0"/>
                  <w:vAlign w:val="center"/>
                </w:tcPr>
                <w:p w14:paraId="60C35CD3">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资源开发</w:t>
                  </w:r>
                </w:p>
                <w:p w14:paraId="1C90A39F">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效率</w:t>
                  </w:r>
                </w:p>
              </w:tc>
              <w:tc>
                <w:tcPr>
                  <w:tcW w:w="2232" w:type="pct"/>
                  <w:noWrap w:val="0"/>
                  <w:vAlign w:val="center"/>
                </w:tcPr>
                <w:p w14:paraId="11BD3BB5">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1.不得引入不符合能耗、水耗等有关要求的项目，引进项目的生产工艺、设备，以及单位产品能耗、物耗、水耗等资源利用指标均需达到同行业国内先进水平。</w:t>
                  </w:r>
                </w:p>
              </w:tc>
              <w:tc>
                <w:tcPr>
                  <w:tcW w:w="1900" w:type="pct"/>
                  <w:noWrap w:val="0"/>
                  <w:vAlign w:val="center"/>
                </w:tcPr>
                <w:p w14:paraId="2937E4D9">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本项目能耗、水耗符合行业要求。项目的生产工艺、设备，以及单位产品能耗、物耗、水耗等资源利用指标均达到同行业国内先进水平。</w:t>
                  </w:r>
                </w:p>
              </w:tc>
              <w:tc>
                <w:tcPr>
                  <w:tcW w:w="472" w:type="pct"/>
                  <w:noWrap w:val="0"/>
                  <w:vAlign w:val="center"/>
                </w:tcPr>
                <w:p w14:paraId="319396FD">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163A0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3BC323E8">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0A6DE7DE">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2.新建耗煤项目应严格按规定采取煤炭消费减量替代措施，不得使用高污染燃料作为煤炭减量替代措施。</w:t>
                  </w:r>
                </w:p>
              </w:tc>
              <w:tc>
                <w:tcPr>
                  <w:tcW w:w="1900" w:type="pct"/>
                  <w:noWrap w:val="0"/>
                  <w:vAlign w:val="center"/>
                </w:tcPr>
                <w:p w14:paraId="3F13FA05">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1E86D904">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03A6B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293F9260">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317E6E12">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3.企业固体废物、危险废物处理处置率达到100%。到2025年，工业固体废弃物综合利用率达到80%。</w:t>
                  </w:r>
                </w:p>
              </w:tc>
              <w:tc>
                <w:tcPr>
                  <w:tcW w:w="1900" w:type="pct"/>
                  <w:noWrap w:val="0"/>
                  <w:vAlign w:val="center"/>
                </w:tcPr>
                <w:p w14:paraId="45047C27">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生活垃圾经生活垃圾收集设施集中收集后由园区环卫部门清运处置</w:t>
                  </w:r>
                  <w:r>
                    <w:rPr>
                      <w:rFonts w:hint="default" w:ascii="Times New Roman" w:hAnsi="Times New Roman" w:eastAsia="宋体" w:cs="Times New Roman"/>
                      <w:color w:val="auto"/>
                      <w:sz w:val="21"/>
                      <w:szCs w:val="21"/>
                    </w:rPr>
                    <w:t>；废包装袋、不合格品集中收集后定期由废品回收单位回收</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危险废物分类收集后</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暂存至</w:t>
                  </w:r>
                  <w:r>
                    <w:rPr>
                      <w:rFonts w:hint="default" w:ascii="Times New Roman" w:hAnsi="Times New Roman" w:eastAsia="宋体" w:cs="Times New Roman"/>
                      <w:color w:val="auto"/>
                      <w:sz w:val="21"/>
                      <w:szCs w:val="21"/>
                    </w:rPr>
                    <w:t>危废贮存</w:t>
                  </w:r>
                  <w:r>
                    <w:rPr>
                      <w:rFonts w:hint="default" w:ascii="Times New Roman" w:hAnsi="Times New Roman" w:eastAsia="宋体" w:cs="Times New Roman"/>
                      <w:color w:val="auto"/>
                      <w:sz w:val="21"/>
                      <w:szCs w:val="21"/>
                      <w:lang w:val="en-US" w:eastAsia="zh-CN"/>
                    </w:rPr>
                    <w:t>点</w:t>
                  </w:r>
                  <w:r>
                    <w:rPr>
                      <w:rFonts w:hint="default" w:ascii="Times New Roman" w:hAnsi="Times New Roman" w:eastAsia="宋体" w:cs="Times New Roman"/>
                      <w:color w:val="auto"/>
                      <w:sz w:val="21"/>
                      <w:szCs w:val="21"/>
                    </w:rPr>
                    <w:t>，定期交由</w:t>
                  </w:r>
                  <w:r>
                    <w:rPr>
                      <w:rFonts w:hint="default" w:ascii="Times New Roman" w:hAnsi="Times New Roman" w:eastAsia="宋体" w:cs="Times New Roman"/>
                      <w:color w:val="auto"/>
                      <w:sz w:val="21"/>
                      <w:szCs w:val="21"/>
                      <w:lang w:val="en-US" w:eastAsia="zh-CN"/>
                    </w:rPr>
                    <w:t>有资质单位</w:t>
                  </w:r>
                  <w:r>
                    <w:rPr>
                      <w:rFonts w:hint="default" w:ascii="Times New Roman" w:hAnsi="Times New Roman" w:eastAsia="宋体" w:cs="Times New Roman"/>
                      <w:color w:val="auto"/>
                      <w:sz w:val="21"/>
                      <w:szCs w:val="21"/>
                    </w:rPr>
                    <w:t>处置</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处置率可达到100%</w:t>
                  </w:r>
                  <w:r>
                    <w:rPr>
                      <w:rFonts w:hint="default" w:ascii="Times New Roman" w:hAnsi="Times New Roman" w:eastAsia="宋体" w:cs="Times New Roman"/>
                      <w:color w:val="auto"/>
                      <w:sz w:val="21"/>
                      <w:szCs w:val="21"/>
                      <w:lang w:eastAsia="zh-CN"/>
                    </w:rPr>
                    <w:t>。</w:t>
                  </w:r>
                </w:p>
              </w:tc>
              <w:tc>
                <w:tcPr>
                  <w:tcW w:w="472" w:type="pct"/>
                  <w:noWrap w:val="0"/>
                  <w:vAlign w:val="center"/>
                </w:tcPr>
                <w:p w14:paraId="1F7F7A6C">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2CA28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5" w:type="pct"/>
                  <w:vMerge w:val="continue"/>
                  <w:noWrap w:val="0"/>
                  <w:vAlign w:val="center"/>
                </w:tcPr>
                <w:p w14:paraId="1A84AACA">
                  <w:pPr>
                    <w:pStyle w:val="100"/>
                    <w:jc w:val="center"/>
                    <w:rPr>
                      <w:rFonts w:hint="default" w:ascii="Times New Roman" w:hAnsi="Times New Roman" w:eastAsia="宋体" w:cs="Times New Roman"/>
                      <w:color w:val="auto"/>
                      <w:sz w:val="21"/>
                      <w:szCs w:val="21"/>
                    </w:rPr>
                  </w:pPr>
                </w:p>
              </w:tc>
              <w:tc>
                <w:tcPr>
                  <w:tcW w:w="2232" w:type="pct"/>
                  <w:noWrap w:val="0"/>
                  <w:vAlign w:val="center"/>
                </w:tcPr>
                <w:p w14:paraId="5EF4B285">
                  <w:pPr>
                    <w:pStyle w:val="10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4.列入《宁夏回族自治区能耗双控产业结构调整指导目录（</w:t>
                  </w:r>
                  <w:r>
                    <w:rPr>
                      <w:rFonts w:hint="default" w:ascii="Times New Roman" w:hAnsi="Times New Roman" w:eastAsia="宋体" w:cs="Times New Roman"/>
                      <w:color w:val="auto"/>
                      <w:sz w:val="21"/>
                      <w:szCs w:val="21"/>
                      <w:lang w:eastAsia="zh-CN"/>
                    </w:rPr>
                    <w:t>试行</w:t>
                  </w:r>
                  <w:r>
                    <w:rPr>
                      <w:rFonts w:hint="default" w:ascii="Times New Roman" w:hAnsi="Times New Roman" w:eastAsia="宋体" w:cs="Times New Roman"/>
                      <w:color w:val="auto"/>
                      <w:sz w:val="21"/>
                      <w:szCs w:val="21"/>
                    </w:rPr>
                    <w:t>）》中禁止类的项目不允许新增固定资产投资；列入限制类项目需满足目录中规定的产能置换、规模条件、能耗替代、单位产品能源消耗水平、工艺和装备水平等要求；列入淘汰类的按照目录规定时限，限期淘汰落后的生产工艺装备和落后产品。</w:t>
                  </w:r>
                </w:p>
              </w:tc>
              <w:tc>
                <w:tcPr>
                  <w:tcW w:w="1900" w:type="pct"/>
                  <w:noWrap w:val="0"/>
                  <w:vAlign w:val="center"/>
                </w:tcPr>
                <w:p w14:paraId="0B4073AF">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不涉及</w:t>
                  </w:r>
                  <w:r>
                    <w:rPr>
                      <w:rFonts w:hint="eastAsia" w:ascii="Times New Roman" w:hAnsi="Times New Roman" w:eastAsia="宋体" w:cs="Times New Roman"/>
                      <w:color w:val="auto"/>
                      <w:sz w:val="21"/>
                      <w:szCs w:val="21"/>
                      <w:lang w:val="en-US" w:eastAsia="zh-CN"/>
                    </w:rPr>
                    <w:t>。</w:t>
                  </w:r>
                </w:p>
              </w:tc>
              <w:tc>
                <w:tcPr>
                  <w:tcW w:w="472" w:type="pct"/>
                  <w:noWrap w:val="0"/>
                  <w:vAlign w:val="center"/>
                </w:tcPr>
                <w:p w14:paraId="20B22458">
                  <w:pPr>
                    <w:pStyle w:val="10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bl>
          <w:p w14:paraId="086B1875">
            <w:pPr>
              <w:autoSpaceDE w:val="0"/>
              <w:autoSpaceDN w:val="0"/>
              <w:adjustRightInd w:val="0"/>
              <w:snapToGrid w:val="0"/>
              <w:spacing w:line="360" w:lineRule="auto"/>
              <w:ind w:firstLine="420" w:firstLineChars="20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综上，本项目符合《</w:t>
            </w:r>
            <w:r>
              <w:rPr>
                <w:rFonts w:hint="default" w:ascii="Times New Roman" w:hAnsi="Times New Roman" w:eastAsia="宋体" w:cs="Times New Roman"/>
                <w:color w:val="auto"/>
                <w:kern w:val="0"/>
                <w:sz w:val="21"/>
                <w:szCs w:val="21"/>
                <w:lang w:eastAsia="zh-CN"/>
              </w:rPr>
              <w:t>宁夏固原经济开发区</w:t>
            </w:r>
            <w:r>
              <w:rPr>
                <w:rFonts w:hint="eastAsia" w:ascii="宋体" w:hAnsi="宋体" w:eastAsia="宋体" w:cs="宋体"/>
                <w:color w:val="auto"/>
                <w:kern w:val="0"/>
                <w:sz w:val="21"/>
                <w:szCs w:val="21"/>
                <w:lang w:eastAsia="zh-CN"/>
              </w:rPr>
              <w:t>“一区三园”</w:t>
            </w:r>
            <w:r>
              <w:rPr>
                <w:rFonts w:hint="default" w:ascii="Times New Roman" w:hAnsi="Times New Roman" w:eastAsia="宋体" w:cs="Times New Roman"/>
                <w:color w:val="auto"/>
                <w:kern w:val="0"/>
                <w:sz w:val="21"/>
                <w:szCs w:val="21"/>
                <w:lang w:eastAsia="zh-CN"/>
              </w:rPr>
              <w:t>总体规划修编（2022-2035年）</w:t>
            </w:r>
            <w:r>
              <w:rPr>
                <w:rFonts w:hint="eastAsia" w:ascii="Times New Roman" w:hAnsi="Times New Roman" w:eastAsia="宋体" w:cs="Times New Roman"/>
                <w:color w:val="auto"/>
                <w:kern w:val="0"/>
                <w:sz w:val="21"/>
                <w:szCs w:val="21"/>
                <w:lang w:eastAsia="zh-CN"/>
              </w:rPr>
              <w:t>环境影响报告书</w:t>
            </w:r>
            <w:r>
              <w:rPr>
                <w:rFonts w:hint="default" w:ascii="Times New Roman" w:hAnsi="Times New Roman" w:eastAsia="宋体" w:cs="Times New Roman"/>
                <w:color w:val="auto"/>
                <w:kern w:val="0"/>
                <w:sz w:val="21"/>
                <w:szCs w:val="21"/>
              </w:rPr>
              <w:t>》中的相关要求。</w:t>
            </w:r>
          </w:p>
          <w:p w14:paraId="0115635A">
            <w:pPr>
              <w:keepNext/>
              <w:widowControl/>
              <w:autoSpaceDE w:val="0"/>
              <w:autoSpaceDN w:val="0"/>
              <w:adjustRightInd w:val="0"/>
              <w:snapToGrid w:val="0"/>
              <w:spacing w:line="360" w:lineRule="auto"/>
              <w:ind w:firstLine="482" w:firstLineChars="200"/>
              <w:rPr>
                <w:rFonts w:hint="default" w:ascii="Times New Roman" w:hAnsi="Times New Roman" w:eastAsia="宋体" w:cs="Times New Roman"/>
                <w:b/>
                <w:bCs/>
                <w:color w:val="auto"/>
                <w:kern w:val="0"/>
                <w:sz w:val="24"/>
              </w:rPr>
            </w:pPr>
            <w:r>
              <w:rPr>
                <w:rFonts w:hint="default" w:ascii="Times New Roman" w:hAnsi="Times New Roman" w:eastAsia="宋体" w:cs="Times New Roman"/>
                <w:b/>
                <w:color w:val="auto"/>
                <w:kern w:val="0"/>
                <w:sz w:val="24"/>
              </w:rPr>
              <w:t>3、与</w:t>
            </w:r>
            <w:r>
              <w:rPr>
                <w:rFonts w:hint="eastAsia" w:ascii="Times New Roman" w:hAnsi="Times New Roman" w:eastAsia="宋体" w:cs="Times New Roman"/>
                <w:b/>
                <w:color w:val="auto"/>
                <w:kern w:val="0"/>
                <w:sz w:val="24"/>
                <w:lang w:eastAsia="zh-CN"/>
              </w:rPr>
              <w:t>自治区生态环境厅关于《宁夏固原经济开发区“一区三园”总体规划修编（2022-2035年）环境影响报告书》审查意见的函（宁环函〔2023〕</w:t>
            </w:r>
            <w:r>
              <w:rPr>
                <w:rFonts w:hint="eastAsia" w:ascii="Times New Roman" w:hAnsi="Times New Roman" w:eastAsia="宋体" w:cs="Times New Roman"/>
                <w:b/>
                <w:color w:val="auto"/>
                <w:kern w:val="0"/>
                <w:sz w:val="24"/>
                <w:lang w:val="en-US" w:eastAsia="zh-CN"/>
              </w:rPr>
              <w:t>455</w:t>
            </w:r>
            <w:r>
              <w:rPr>
                <w:rFonts w:hint="eastAsia" w:ascii="Times New Roman" w:hAnsi="Times New Roman" w:eastAsia="宋体" w:cs="Times New Roman"/>
                <w:b/>
                <w:color w:val="auto"/>
                <w:kern w:val="0"/>
                <w:sz w:val="24"/>
                <w:lang w:eastAsia="zh-CN"/>
              </w:rPr>
              <w:t>号）</w:t>
            </w:r>
            <w:r>
              <w:rPr>
                <w:rFonts w:hint="default" w:ascii="Times New Roman" w:hAnsi="Times New Roman" w:eastAsia="宋体" w:cs="Times New Roman"/>
                <w:b/>
                <w:color w:val="auto"/>
                <w:kern w:val="0"/>
                <w:sz w:val="24"/>
              </w:rPr>
              <w:t>符合</w:t>
            </w:r>
            <w:r>
              <w:rPr>
                <w:rFonts w:hint="default" w:ascii="Times New Roman" w:hAnsi="Times New Roman" w:eastAsia="宋体" w:cs="Times New Roman"/>
                <w:b/>
                <w:bCs/>
                <w:color w:val="auto"/>
                <w:kern w:val="0"/>
                <w:sz w:val="24"/>
              </w:rPr>
              <w:t>性分析</w:t>
            </w:r>
          </w:p>
          <w:p w14:paraId="09BC5167">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w:t>
            </w:r>
            <w:r>
              <w:rPr>
                <w:rFonts w:hint="default" w:ascii="Times New Roman" w:hAnsi="Times New Roman" w:eastAsia="宋体" w:cs="Times New Roman"/>
                <w:color w:val="auto"/>
                <w:kern w:val="0"/>
                <w:sz w:val="24"/>
                <w:lang w:eastAsia="zh-CN"/>
              </w:rPr>
              <w:t>自治区生态环境厅关于《宁夏固原经济开发区</w:t>
            </w:r>
            <w:r>
              <w:rPr>
                <w:rFonts w:hint="eastAsia" w:ascii="宋体" w:hAnsi="宋体" w:eastAsia="宋体" w:cs="宋体"/>
                <w:color w:val="auto"/>
                <w:kern w:val="0"/>
                <w:sz w:val="24"/>
                <w:lang w:eastAsia="zh-CN"/>
              </w:rPr>
              <w:t>“一区三园”</w:t>
            </w:r>
            <w:r>
              <w:rPr>
                <w:rFonts w:hint="default" w:ascii="Times New Roman" w:hAnsi="Times New Roman" w:eastAsia="宋体" w:cs="Times New Roman"/>
                <w:color w:val="auto"/>
                <w:kern w:val="0"/>
                <w:sz w:val="24"/>
                <w:lang w:eastAsia="zh-CN"/>
              </w:rPr>
              <w:t>总体规划修编（2022-2035年）环境影响报告书》审查意见的函（宁环函〔2023〕</w:t>
            </w:r>
            <w:r>
              <w:rPr>
                <w:rFonts w:hint="default" w:ascii="Times New Roman" w:hAnsi="Times New Roman" w:eastAsia="宋体" w:cs="Times New Roman"/>
                <w:color w:val="auto"/>
                <w:kern w:val="0"/>
                <w:sz w:val="24"/>
                <w:lang w:val="en-US" w:eastAsia="zh-CN"/>
              </w:rPr>
              <w:t>455</w:t>
            </w:r>
            <w:r>
              <w:rPr>
                <w:rFonts w:hint="default" w:ascii="Times New Roman" w:hAnsi="Times New Roman" w:eastAsia="宋体" w:cs="Times New Roman"/>
                <w:color w:val="auto"/>
                <w:kern w:val="0"/>
                <w:sz w:val="24"/>
                <w:lang w:eastAsia="zh-CN"/>
              </w:rPr>
              <w:t>号）</w:t>
            </w:r>
            <w:r>
              <w:rPr>
                <w:rFonts w:hint="default" w:ascii="Times New Roman" w:hAnsi="Times New Roman" w:eastAsia="宋体" w:cs="Times New Roman"/>
                <w:color w:val="auto"/>
                <w:kern w:val="0"/>
                <w:sz w:val="24"/>
              </w:rPr>
              <w:t>，具体符合性分析见下表</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2。</w:t>
            </w:r>
          </w:p>
          <w:p w14:paraId="6A438411">
            <w:pPr>
              <w:snapToGrid w:val="0"/>
              <w:ind w:firstLine="630" w:firstLineChars="300"/>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rPr>
              <w:t>表</w:t>
            </w:r>
            <w:r>
              <w:rPr>
                <w:rFonts w:hint="default" w:ascii="Times New Roman" w:hAnsi="Times New Roman" w:eastAsia="宋体" w:cs="Times New Roman"/>
                <w:bCs/>
                <w:color w:val="auto"/>
                <w:lang w:val="en-US" w:eastAsia="zh-CN"/>
              </w:rPr>
              <w:t>1-</w:t>
            </w:r>
            <w:r>
              <w:rPr>
                <w:rFonts w:hint="default" w:ascii="Times New Roman" w:hAnsi="Times New Roman" w:eastAsia="宋体" w:cs="Times New Roman"/>
                <w:bCs/>
                <w:color w:val="auto"/>
              </w:rPr>
              <w:t>2</w:t>
            </w:r>
            <w:r>
              <w:rPr>
                <w:rFonts w:hint="default" w:ascii="Times New Roman" w:hAnsi="Times New Roman" w:eastAsia="宋体" w:cs="Times New Roman"/>
                <w:b/>
                <w:bCs/>
                <w:color w:val="auto"/>
              </w:rPr>
              <w:t xml:space="preserve">   </w:t>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本项目与园区规划环评审查意见符合性分析</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525"/>
              <w:gridCol w:w="3780"/>
              <w:gridCol w:w="2991"/>
              <w:gridCol w:w="804"/>
            </w:tblGrid>
            <w:tr w14:paraId="702395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790AB58B">
                  <w:pPr>
                    <w:overflowPunct w:val="0"/>
                    <w:autoSpaceDE w:val="0"/>
                    <w:autoSpaceDN w:val="0"/>
                    <w:adjustRightInd w:val="0"/>
                    <w:snapToGrid w:val="0"/>
                    <w:ind w:right="63" w:rightChars="3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序号</w:t>
                  </w:r>
                </w:p>
              </w:tc>
              <w:tc>
                <w:tcPr>
                  <w:tcW w:w="2333" w:type="pct"/>
                  <w:noWrap w:val="0"/>
                  <w:vAlign w:val="center"/>
                </w:tcPr>
                <w:p w14:paraId="5CF365AF">
                  <w:pPr>
                    <w:overflowPunct w:val="0"/>
                    <w:autoSpaceDE w:val="0"/>
                    <w:autoSpaceDN w:val="0"/>
                    <w:adjustRightInd w:val="0"/>
                    <w:snapToGrid w:val="0"/>
                    <w:ind w:right="63" w:rightChars="3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具体要求</w:t>
                  </w:r>
                </w:p>
              </w:tc>
              <w:tc>
                <w:tcPr>
                  <w:tcW w:w="1846" w:type="pct"/>
                  <w:noWrap w:val="0"/>
                  <w:vAlign w:val="center"/>
                </w:tcPr>
                <w:p w14:paraId="621A9440">
                  <w:pPr>
                    <w:overflowPunct w:val="0"/>
                    <w:autoSpaceDE w:val="0"/>
                    <w:autoSpaceDN w:val="0"/>
                    <w:adjustRightInd w:val="0"/>
                    <w:snapToGrid w:val="0"/>
                    <w:ind w:right="63" w:rightChars="3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本项目情况</w:t>
                  </w:r>
                </w:p>
              </w:tc>
              <w:tc>
                <w:tcPr>
                  <w:tcW w:w="496" w:type="pct"/>
                  <w:noWrap w:val="0"/>
                  <w:vAlign w:val="center"/>
                </w:tcPr>
                <w:p w14:paraId="0176C43E">
                  <w:pPr>
                    <w:overflowPunct w:val="0"/>
                    <w:autoSpaceDE w:val="0"/>
                    <w:autoSpaceDN w:val="0"/>
                    <w:adjustRightInd w:val="0"/>
                    <w:snapToGrid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是否符合</w:t>
                  </w:r>
                </w:p>
              </w:tc>
            </w:tr>
            <w:tr w14:paraId="58B83C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28E4EAA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2333" w:type="pct"/>
                  <w:noWrap w:val="0"/>
                  <w:vAlign w:val="center"/>
                </w:tcPr>
                <w:p w14:paraId="2D6B299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加强《规划》衔接。坚持绿色发展和协调发展理念，加强与国土空间规划、</w:t>
                  </w:r>
                  <w:r>
                    <w:rPr>
                      <w:rFonts w:hint="eastAsia" w:ascii="宋体" w:hAnsi="宋体" w:eastAsia="宋体" w:cs="宋体"/>
                      <w:color w:val="auto"/>
                      <w:lang w:eastAsia="zh-CN"/>
                    </w:rPr>
                    <w:t>“</w:t>
                  </w:r>
                  <w:r>
                    <w:rPr>
                      <w:rFonts w:hint="eastAsia" w:ascii="宋体" w:hAnsi="宋体" w:eastAsia="宋体" w:cs="宋体"/>
                      <w:color w:val="auto"/>
                    </w:rPr>
                    <w:t>三线一单</w:t>
                  </w:r>
                  <w:r>
                    <w:rPr>
                      <w:rFonts w:hint="eastAsia" w:ascii="宋体" w:hAnsi="宋体" w:eastAsia="宋体" w:cs="宋体"/>
                      <w:color w:val="auto"/>
                      <w:lang w:eastAsia="zh-CN"/>
                    </w:rPr>
                    <w:t>”</w:t>
                  </w:r>
                  <w:r>
                    <w:rPr>
                      <w:rFonts w:hint="default" w:ascii="Times New Roman" w:hAnsi="Times New Roman" w:eastAsia="宋体" w:cs="Times New Roman"/>
                      <w:color w:val="auto"/>
                    </w:rPr>
                    <w:t>生态环境分区管控要求、环境保护规划和发展规划等的协调与衔接，加强规划用地性质和产业定位的协调，进一步优化《规划》的发展定位、功能布局、发展规模、产业结构等，实现园区产业发展与生态环境保护、人居环境安全相协调。</w:t>
                  </w:r>
                </w:p>
              </w:tc>
              <w:tc>
                <w:tcPr>
                  <w:tcW w:w="1846" w:type="pct"/>
                  <w:noWrap w:val="0"/>
                  <w:vAlign w:val="center"/>
                </w:tcPr>
                <w:p w14:paraId="44417C30">
                  <w:pPr>
                    <w:overflowPunct w:val="0"/>
                    <w:autoSpaceDE w:val="0"/>
                    <w:autoSpaceDN w:val="0"/>
                    <w:adjustRightInd w:val="0"/>
                    <w:snapToGrid w:val="0"/>
                    <w:ind w:right="63" w:rightChars="30"/>
                    <w:jc w:val="center"/>
                    <w:rPr>
                      <w:rFonts w:hint="default" w:ascii="Times New Roman" w:hAnsi="Times New Roman" w:eastAsia="宋体" w:cs="Times New Roman"/>
                      <w:color w:val="auto"/>
                    </w:rPr>
                  </w:pPr>
                  <w:r>
                    <w:rPr>
                      <w:rFonts w:hint="default" w:ascii="Times New Roman" w:hAnsi="Times New Roman" w:eastAsia="宋体" w:cs="Times New Roman"/>
                      <w:b w:val="0"/>
                      <w:bCs w:val="0"/>
                      <w:color w:val="auto"/>
                    </w:rPr>
                    <w:t>本项目位于</w:t>
                  </w:r>
                  <w:r>
                    <w:rPr>
                      <w:rFonts w:hint="default" w:ascii="Times New Roman" w:hAnsi="Times New Roman" w:eastAsia="宋体" w:cs="Times New Roman"/>
                      <w:b w:val="0"/>
                      <w:bCs w:val="0"/>
                      <w:color w:val="auto"/>
                      <w:lang w:eastAsia="zh-CN"/>
                    </w:rPr>
                    <w:t>宁夏固原经济开发区</w:t>
                  </w:r>
                  <w:r>
                    <w:rPr>
                      <w:rFonts w:hint="eastAsia" w:ascii="Times New Roman" w:hAnsi="Times New Roman" w:eastAsia="宋体" w:cs="Times New Roman"/>
                      <w:b w:val="0"/>
                      <w:bCs w:val="0"/>
                      <w:color w:val="auto"/>
                      <w:lang w:val="en-US" w:eastAsia="zh-CN"/>
                    </w:rPr>
                    <w:t>新材料产业园</w:t>
                  </w:r>
                  <w:r>
                    <w:rPr>
                      <w:rFonts w:hint="default" w:ascii="Times New Roman" w:hAnsi="Times New Roman" w:eastAsia="宋体" w:cs="Times New Roman"/>
                      <w:b w:val="0"/>
                      <w:bCs w:val="0"/>
                      <w:color w:val="auto"/>
                    </w:rPr>
                    <w:t>，</w:t>
                  </w:r>
                  <w:r>
                    <w:rPr>
                      <w:rFonts w:hint="default" w:ascii="Times New Roman" w:hAnsi="Times New Roman" w:eastAsia="宋体" w:cs="Times New Roman"/>
                      <w:color w:val="auto"/>
                    </w:rPr>
                    <w:t>项目占地</w:t>
                  </w:r>
                  <w:r>
                    <w:rPr>
                      <w:rFonts w:hint="default" w:ascii="Times New Roman" w:hAnsi="Times New Roman" w:eastAsia="宋体" w:cs="Times New Roman"/>
                      <w:color w:val="auto"/>
                      <w:lang w:eastAsia="zh-CN"/>
                    </w:rPr>
                    <w:t>符合</w:t>
                  </w:r>
                  <w:r>
                    <w:rPr>
                      <w:rFonts w:hint="eastAsia" w:ascii="宋体" w:hAnsi="宋体" w:eastAsia="宋体" w:cs="宋体"/>
                      <w:color w:val="auto"/>
                      <w:lang w:eastAsia="zh-CN"/>
                    </w:rPr>
                    <w:t>“</w:t>
                  </w:r>
                  <w:r>
                    <w:rPr>
                      <w:rFonts w:hint="eastAsia" w:ascii="宋体" w:hAnsi="宋体" w:eastAsia="宋体" w:cs="宋体"/>
                      <w:color w:val="auto"/>
                    </w:rPr>
                    <w:t>三线一单</w:t>
                  </w:r>
                  <w:r>
                    <w:rPr>
                      <w:rFonts w:hint="eastAsia" w:ascii="宋体" w:hAnsi="宋体" w:eastAsia="宋体" w:cs="宋体"/>
                      <w:color w:val="auto"/>
                      <w:lang w:eastAsia="zh-CN"/>
                    </w:rPr>
                    <w:t>”</w:t>
                  </w:r>
                  <w:r>
                    <w:rPr>
                      <w:rFonts w:hint="default" w:ascii="Times New Roman" w:hAnsi="Times New Roman" w:eastAsia="宋体" w:cs="Times New Roman"/>
                      <w:color w:val="auto"/>
                    </w:rPr>
                    <w:t>生态环境分区管控要求</w:t>
                  </w:r>
                  <w:r>
                    <w:rPr>
                      <w:rFonts w:hint="default" w:ascii="Times New Roman" w:hAnsi="Times New Roman" w:eastAsia="宋体" w:cs="Times New Roman"/>
                      <w:color w:val="auto"/>
                      <w:lang w:eastAsia="zh-CN"/>
                    </w:rPr>
                    <w:t>和环境保护规划</w:t>
                  </w:r>
                  <w:r>
                    <w:rPr>
                      <w:rFonts w:hint="default" w:ascii="Times New Roman" w:hAnsi="Times New Roman" w:eastAsia="宋体" w:cs="Times New Roman"/>
                      <w:color w:val="auto"/>
                    </w:rPr>
                    <w:t>。</w:t>
                  </w:r>
                </w:p>
              </w:tc>
              <w:tc>
                <w:tcPr>
                  <w:tcW w:w="496" w:type="pct"/>
                  <w:noWrap w:val="0"/>
                  <w:vAlign w:val="center"/>
                </w:tcPr>
                <w:p w14:paraId="31D6B529">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14:paraId="50E23C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0FB895F1">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2</w:t>
                  </w:r>
                </w:p>
              </w:tc>
              <w:tc>
                <w:tcPr>
                  <w:tcW w:w="2333" w:type="pct"/>
                  <w:noWrap w:val="0"/>
                  <w:vAlign w:val="center"/>
                </w:tcPr>
                <w:p w14:paraId="00199D2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推动绿色低碳发展。根据国家和自治区碳达峰行动方案、</w:t>
                  </w:r>
                  <w:r>
                    <w:rPr>
                      <w:rFonts w:hint="eastAsia" w:ascii="宋体" w:hAnsi="宋体" w:eastAsia="宋体" w:cs="宋体"/>
                      <w:color w:val="auto"/>
                      <w:lang w:eastAsia="zh-CN"/>
                    </w:rPr>
                    <w:t>“</w:t>
                  </w:r>
                  <w:r>
                    <w:rPr>
                      <w:rFonts w:hint="eastAsia" w:ascii="宋体" w:hAnsi="宋体" w:eastAsia="宋体" w:cs="宋体"/>
                      <w:color w:val="auto"/>
                    </w:rPr>
                    <w:t>十四五</w:t>
                  </w:r>
                  <w:r>
                    <w:rPr>
                      <w:rFonts w:hint="eastAsia" w:ascii="宋体" w:hAnsi="宋体" w:eastAsia="宋体" w:cs="宋体"/>
                      <w:color w:val="auto"/>
                      <w:lang w:eastAsia="zh-CN"/>
                    </w:rPr>
                    <w:t>”</w:t>
                  </w:r>
                  <w:r>
                    <w:rPr>
                      <w:rFonts w:hint="default" w:ascii="Times New Roman" w:hAnsi="Times New Roman" w:eastAsia="宋体" w:cs="Times New Roman"/>
                      <w:color w:val="auto"/>
                    </w:rPr>
                    <w:t>应对气候变化专项规划和节能减排工作要求，进一步优化《规划》产业、能源、交通运输、土地利用等内容，推进园区绿色低碳转型发展。</w:t>
                  </w:r>
                </w:p>
              </w:tc>
              <w:tc>
                <w:tcPr>
                  <w:tcW w:w="1846" w:type="pct"/>
                  <w:noWrap w:val="0"/>
                  <w:vAlign w:val="center"/>
                </w:tcPr>
                <w:p w14:paraId="0A3784D8">
                  <w:pPr>
                    <w:overflowPunct w:val="0"/>
                    <w:autoSpaceDE w:val="0"/>
                    <w:autoSpaceDN w:val="0"/>
                    <w:adjustRightInd w:val="0"/>
                    <w:snapToGrid w:val="0"/>
                    <w:ind w:right="63" w:rightChars="3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w:t>
                  </w:r>
                  <w:r>
                    <w:rPr>
                      <w:rFonts w:hint="eastAsia" w:ascii="Times New Roman" w:hAnsi="Times New Roman" w:eastAsia="宋体" w:cs="Times New Roman"/>
                      <w:color w:val="auto"/>
                      <w:lang w:val="en-US" w:eastAsia="zh-CN"/>
                    </w:rPr>
                    <w:t>不涉及。</w:t>
                  </w:r>
                </w:p>
              </w:tc>
              <w:tc>
                <w:tcPr>
                  <w:tcW w:w="496" w:type="pct"/>
                  <w:noWrap w:val="0"/>
                  <w:vAlign w:val="center"/>
                </w:tcPr>
                <w:p w14:paraId="0E6D02E7">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14:paraId="2C7B0A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37AB65E8">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3</w:t>
                  </w:r>
                </w:p>
              </w:tc>
              <w:tc>
                <w:tcPr>
                  <w:tcW w:w="2333" w:type="pct"/>
                  <w:noWrap w:val="0"/>
                  <w:vAlign w:val="center"/>
                </w:tcPr>
                <w:p w14:paraId="4540FE9E">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加强空间管控。落实生态保护、城镇开发等空间管控边界，加强对各片区周边集中居住区防护，严守生态保护红线，重点加强对调入区涉及的一般生态空间管控。</w:t>
                  </w:r>
                </w:p>
              </w:tc>
              <w:tc>
                <w:tcPr>
                  <w:tcW w:w="1846" w:type="pct"/>
                  <w:noWrap w:val="0"/>
                  <w:vAlign w:val="center"/>
                </w:tcPr>
                <w:p w14:paraId="72CCEFE3">
                  <w:pPr>
                    <w:overflowPunct w:val="0"/>
                    <w:autoSpaceDE w:val="0"/>
                    <w:autoSpaceDN w:val="0"/>
                    <w:adjustRightInd w:val="0"/>
                    <w:snapToGrid w:val="0"/>
                    <w:ind w:right="63" w:rightChars="3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本项目位于</w:t>
                  </w:r>
                  <w:r>
                    <w:rPr>
                      <w:rFonts w:hint="default" w:ascii="Times New Roman" w:hAnsi="Times New Roman" w:eastAsia="宋体" w:cs="Times New Roman"/>
                      <w:b w:val="0"/>
                      <w:bCs w:val="0"/>
                      <w:color w:val="auto"/>
                      <w:lang w:eastAsia="zh-CN"/>
                    </w:rPr>
                    <w:t>宁夏固原经济开发区</w:t>
                  </w:r>
                  <w:r>
                    <w:rPr>
                      <w:rFonts w:hint="eastAsia" w:ascii="Times New Roman" w:hAnsi="Times New Roman" w:eastAsia="宋体" w:cs="Times New Roman"/>
                      <w:b w:val="0"/>
                      <w:bCs w:val="0"/>
                      <w:color w:val="auto"/>
                      <w:lang w:val="en-US" w:eastAsia="zh-CN"/>
                    </w:rPr>
                    <w:t>产业园</w:t>
                  </w:r>
                  <w:r>
                    <w:rPr>
                      <w:rFonts w:hint="default" w:ascii="Times New Roman" w:hAnsi="Times New Roman" w:eastAsia="宋体" w:cs="Times New Roman"/>
                      <w:b w:val="0"/>
                      <w:bCs w:val="0"/>
                      <w:color w:val="auto"/>
                      <w:lang w:eastAsia="zh-CN"/>
                    </w:rPr>
                    <w:t>，</w:t>
                  </w:r>
                  <w:r>
                    <w:rPr>
                      <w:rFonts w:hint="default" w:ascii="Times New Roman" w:hAnsi="Times New Roman" w:eastAsia="宋体" w:cs="Times New Roman"/>
                      <w:b w:val="0"/>
                      <w:bCs w:val="0"/>
                      <w:color w:val="auto"/>
                      <w:lang w:val="en-US" w:eastAsia="zh-CN"/>
                    </w:rPr>
                    <w:t>采取措施后污染物均能达标排放，对周边居民影响较小，不设防护距离，项目不涉及生态红线，不在一般生态空间。</w:t>
                  </w:r>
                </w:p>
              </w:tc>
              <w:tc>
                <w:tcPr>
                  <w:tcW w:w="496" w:type="pct"/>
                  <w:noWrap w:val="0"/>
                  <w:vAlign w:val="center"/>
                </w:tcPr>
                <w:p w14:paraId="5EB376CF">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14:paraId="77CA6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5667F7F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w:t>
                  </w:r>
                </w:p>
              </w:tc>
              <w:tc>
                <w:tcPr>
                  <w:tcW w:w="2333" w:type="pct"/>
                  <w:noWrap w:val="0"/>
                  <w:vAlign w:val="center"/>
                </w:tcPr>
                <w:p w14:paraId="17A25E7C">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强化污染物排放总量管控。严守环境质量底线，根据国家和自治区关于大气、水、土壤、固体废物、新污染物等污染防治相关要求，明确环境质量改善阶段目标，落实《报告书》提出的《规划》优化调整建议及环境影响减缓对策措施。制定园区污染减排方案，采取有效措施减少主要污染物和特征污染物的排放量，推进挥发性有机物和氮氧化物协同减排，确保区域生态环境质量持续改善。</w:t>
                  </w:r>
                </w:p>
              </w:tc>
              <w:tc>
                <w:tcPr>
                  <w:tcW w:w="1846" w:type="pct"/>
                  <w:noWrap w:val="0"/>
                  <w:vAlign w:val="center"/>
                </w:tcPr>
                <w:p w14:paraId="11CDF834">
                  <w:pPr>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w:t>
                  </w:r>
                  <w:r>
                    <w:rPr>
                      <w:rFonts w:hint="default" w:ascii="Times New Roman" w:hAnsi="Times New Roman" w:eastAsia="宋体" w:cs="Times New Roman"/>
                      <w:color w:val="auto"/>
                      <w:lang w:eastAsia="zh-CN"/>
                    </w:rPr>
                    <w:t>项目运营期废水</w:t>
                  </w:r>
                  <w:r>
                    <w:rPr>
                      <w:rFonts w:hint="eastAsia" w:ascii="Times New Roman" w:hAnsi="Times New Roman" w:eastAsia="宋体" w:cs="Times New Roman"/>
                      <w:color w:val="auto"/>
                      <w:lang w:val="en-US" w:eastAsia="zh-CN"/>
                    </w:rPr>
                    <w:t>排放仅涉及生活污水，</w:t>
                  </w:r>
                  <w:r>
                    <w:rPr>
                      <w:rFonts w:hint="default" w:ascii="Times New Roman" w:hAnsi="Times New Roman" w:eastAsia="宋体" w:cs="Times New Roman"/>
                      <w:color w:val="auto"/>
                      <w:spacing w:val="-4"/>
                    </w:rPr>
                    <w:t>排</w:t>
                  </w:r>
                  <w:r>
                    <w:rPr>
                      <w:rFonts w:hint="eastAsia" w:ascii="Times New Roman" w:hAnsi="Times New Roman" w:eastAsia="宋体" w:cs="Times New Roman"/>
                      <w:color w:val="auto"/>
                      <w:spacing w:val="-4"/>
                      <w:lang w:val="en-US" w:eastAsia="zh-CN"/>
                    </w:rPr>
                    <w:t>放依托宁夏天楹环保能源有限公司现有污水处理设施；</w:t>
                  </w:r>
                  <w:r>
                    <w:rPr>
                      <w:rFonts w:hint="eastAsia" w:ascii="Times New Roman" w:hAnsi="Times New Roman" w:eastAsia="宋体" w:cs="Times New Roman"/>
                      <w:color w:val="auto"/>
                      <w:lang w:val="en-US" w:eastAsia="zh-CN"/>
                    </w:rPr>
                    <w:t>运营期废气通过集气罩（收集效率90%）收集后经2套“二级活性炭吸附装置”（处理效率75%）处理后由2根</w:t>
                  </w:r>
                  <w:r>
                    <w:rPr>
                      <w:rFonts w:hint="default" w:ascii="Times New Roman" w:hAnsi="Times New Roman" w:eastAsia="宋体" w:cs="Times New Roman"/>
                      <w:color w:val="auto"/>
                      <w:lang w:val="en-US" w:eastAsia="zh-CN"/>
                    </w:rPr>
                    <w:t>15m</w:t>
                  </w:r>
                  <w:r>
                    <w:rPr>
                      <w:rFonts w:hint="eastAsia" w:ascii="Times New Roman" w:hAnsi="Times New Roman" w:eastAsia="宋体" w:cs="Times New Roman"/>
                      <w:color w:val="auto"/>
                      <w:lang w:val="en-US" w:eastAsia="zh-CN"/>
                    </w:rPr>
                    <w:t>高的排气筒</w:t>
                  </w:r>
                  <w:r>
                    <w:rPr>
                      <w:rFonts w:hint="eastAsia" w:cs="Times New Roman"/>
                      <w:color w:val="auto"/>
                      <w:lang w:val="en-US" w:eastAsia="zh-CN"/>
                    </w:rPr>
                    <w:t>（一期DA001、二期DA002）处理后</w:t>
                  </w:r>
                  <w:r>
                    <w:rPr>
                      <w:rFonts w:hint="eastAsia" w:ascii="Times New Roman" w:hAnsi="Times New Roman" w:eastAsia="宋体" w:cs="Times New Roman"/>
                      <w:color w:val="auto"/>
                      <w:lang w:val="en-US" w:eastAsia="zh-CN"/>
                    </w:rPr>
                    <w:t>排放。</w:t>
                  </w:r>
                </w:p>
              </w:tc>
              <w:tc>
                <w:tcPr>
                  <w:tcW w:w="496" w:type="pct"/>
                  <w:noWrap w:val="0"/>
                  <w:vAlign w:val="center"/>
                </w:tcPr>
                <w:p w14:paraId="1B7A9546">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14:paraId="6D071A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79C43CE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5</w:t>
                  </w:r>
                </w:p>
              </w:tc>
              <w:tc>
                <w:tcPr>
                  <w:tcW w:w="2333" w:type="pct"/>
                  <w:noWrap w:val="0"/>
                  <w:vAlign w:val="center"/>
                </w:tcPr>
                <w:p w14:paraId="048AE48D">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严格入园项目生态环境准入。严格落实《报告书》提出的生态环境准入要求，强化园区内企业污染物排放控制，提高清洁生产水平和污染治理水平，坚决遏制高耗能、高排放、高耗水建设项目盲目发展。园区内具体建设项目应按照国家、自治区环保法律法规、标准和政策，严格实行环境影响评价和</w:t>
                  </w:r>
                  <w:r>
                    <w:rPr>
                      <w:rFonts w:hint="eastAsia" w:ascii="宋体" w:hAnsi="宋体" w:eastAsia="宋体" w:cs="宋体"/>
                      <w:color w:val="auto"/>
                      <w:lang w:eastAsia="zh-CN"/>
                    </w:rPr>
                    <w:t>“</w:t>
                  </w:r>
                  <w:r>
                    <w:rPr>
                      <w:rFonts w:hint="eastAsia" w:ascii="宋体" w:hAnsi="宋体" w:eastAsia="宋体" w:cs="宋体"/>
                      <w:color w:val="auto"/>
                    </w:rPr>
                    <w:t>三同时</w:t>
                  </w:r>
                  <w:r>
                    <w:rPr>
                      <w:rFonts w:hint="eastAsia" w:ascii="宋体" w:hAnsi="宋体" w:eastAsia="宋体" w:cs="宋体"/>
                      <w:color w:val="auto"/>
                      <w:lang w:eastAsia="zh-CN"/>
                    </w:rPr>
                    <w:t>”</w:t>
                  </w:r>
                  <w:r>
                    <w:rPr>
                      <w:rFonts w:hint="default" w:ascii="Times New Roman" w:hAnsi="Times New Roman" w:eastAsia="宋体" w:cs="Times New Roman"/>
                      <w:color w:val="auto"/>
                    </w:rPr>
                    <w:t>制度，依法申领、变更排污许可证。</w:t>
                  </w:r>
                </w:p>
              </w:tc>
              <w:tc>
                <w:tcPr>
                  <w:tcW w:w="1846" w:type="pct"/>
                  <w:noWrap w:val="0"/>
                  <w:vAlign w:val="center"/>
                </w:tcPr>
                <w:p w14:paraId="09CF0F04">
                  <w:pPr>
                    <w:overflowPunct w:val="0"/>
                    <w:autoSpaceDE w:val="0"/>
                    <w:autoSpaceDN w:val="0"/>
                    <w:adjustRightInd w:val="0"/>
                    <w:snapToGrid w:val="0"/>
                    <w:ind w:right="63" w:rightChars="3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本项目符合园区准入要求，项目运营期废气、废水均收集处理达标后排放，本项目不属于高耗能、高排放、高耗水建设项目。项目后期严格实行三同时制度，并按照排污许可管理要求进行管理。</w:t>
                  </w:r>
                </w:p>
              </w:tc>
              <w:tc>
                <w:tcPr>
                  <w:tcW w:w="496" w:type="pct"/>
                  <w:noWrap w:val="0"/>
                  <w:vAlign w:val="center"/>
                </w:tcPr>
                <w:p w14:paraId="7F197C55">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14:paraId="1103CD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19654DB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6</w:t>
                  </w:r>
                </w:p>
              </w:tc>
              <w:tc>
                <w:tcPr>
                  <w:tcW w:w="2333" w:type="pct"/>
                  <w:noWrap w:val="0"/>
                  <w:vAlign w:val="center"/>
                </w:tcPr>
                <w:p w14:paraId="509507FF">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推动园区现状产业转型升级。加强对停产、停建企业以及现存的高耗能、高排放、高耗水和淘汰落后产能企业环境管理，落实《报告书》提出的升级改造意见建议。</w:t>
                  </w:r>
                </w:p>
              </w:tc>
              <w:tc>
                <w:tcPr>
                  <w:tcW w:w="1846" w:type="pct"/>
                  <w:noWrap w:val="0"/>
                  <w:vAlign w:val="center"/>
                </w:tcPr>
                <w:p w14:paraId="63FD7E8C">
                  <w:pPr>
                    <w:overflowPunct w:val="0"/>
                    <w:autoSpaceDE w:val="0"/>
                    <w:autoSpaceDN w:val="0"/>
                    <w:adjustRightInd w:val="0"/>
                    <w:snapToGrid w:val="0"/>
                    <w:ind w:right="63" w:rightChars="30"/>
                    <w:jc w:val="center"/>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本项目</w:t>
                  </w:r>
                  <w:r>
                    <w:rPr>
                      <w:rFonts w:hint="default" w:ascii="Times New Roman" w:hAnsi="Times New Roman" w:eastAsia="宋体" w:cs="Times New Roman"/>
                      <w:color w:val="auto"/>
                      <w:lang w:eastAsia="zh-CN"/>
                    </w:rPr>
                    <w:t>不涉及</w:t>
                  </w:r>
                  <w:r>
                    <w:rPr>
                      <w:rFonts w:hint="eastAsia" w:ascii="Times New Roman" w:hAnsi="Times New Roman" w:eastAsia="宋体" w:cs="Times New Roman"/>
                      <w:color w:val="auto"/>
                      <w:lang w:eastAsia="zh-CN"/>
                    </w:rPr>
                    <w:t>。</w:t>
                  </w:r>
                </w:p>
              </w:tc>
              <w:tc>
                <w:tcPr>
                  <w:tcW w:w="496" w:type="pct"/>
                  <w:noWrap w:val="0"/>
                  <w:vAlign w:val="center"/>
                </w:tcPr>
                <w:p w14:paraId="13DB6E5A">
                  <w:pPr>
                    <w:overflowPunct w:val="0"/>
                    <w:autoSpaceDE w:val="0"/>
                    <w:autoSpaceDN w:val="0"/>
                    <w:adjustRightInd w:val="0"/>
                    <w:snapToGrid w:val="0"/>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w:t>
                  </w:r>
                </w:p>
              </w:tc>
            </w:tr>
            <w:tr w14:paraId="62E1CA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0CF68C8B">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7</w:t>
                  </w:r>
                </w:p>
              </w:tc>
              <w:tc>
                <w:tcPr>
                  <w:tcW w:w="2333" w:type="pct"/>
                  <w:noWrap w:val="0"/>
                  <w:vAlign w:val="center"/>
                </w:tcPr>
                <w:p w14:paraId="1F7CFBC5">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加强环境基础设施建设。结合产业发展需求，统筹规划环境基础设施，加快中水回用规模扩建及管网建设，落实园区中水回用方案，确保园区废水不外排，中水全部回用，污水处理厂长期稳定运行。一般工业固体废物、危险废物应依法依规收集、妥善安全处理处置。</w:t>
                  </w:r>
                </w:p>
              </w:tc>
              <w:tc>
                <w:tcPr>
                  <w:tcW w:w="1846" w:type="pct"/>
                  <w:noWrap w:val="0"/>
                  <w:vAlign w:val="center"/>
                </w:tcPr>
                <w:p w14:paraId="598206FA">
                  <w:pPr>
                    <w:overflowPunct w:val="0"/>
                    <w:autoSpaceDE w:val="0"/>
                    <w:autoSpaceDN w:val="0"/>
                    <w:adjustRightInd w:val="0"/>
                    <w:snapToGrid w:val="0"/>
                    <w:ind w:right="63" w:rightChars="3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本项目给水、供电等利用园区已有设施，产生的生活垃圾收集后交由环卫部门处置，</w:t>
                  </w:r>
                  <w:r>
                    <w:rPr>
                      <w:rFonts w:hint="default" w:ascii="Times New Roman" w:hAnsi="Times New Roman" w:eastAsia="宋体" w:cs="Times New Roman"/>
                      <w:color w:val="auto"/>
                      <w:sz w:val="21"/>
                      <w:szCs w:val="21"/>
                    </w:rPr>
                    <w:t>废包装袋、不合格品集中收集后定期由废品回收单位回收</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危险废物分别</w:t>
                  </w:r>
                  <w:r>
                    <w:rPr>
                      <w:rFonts w:hint="default" w:ascii="Times New Roman" w:hAnsi="Times New Roman" w:eastAsia="宋体" w:cs="Times New Roman"/>
                      <w:color w:val="auto"/>
                      <w:lang w:val="en-US" w:eastAsia="zh-CN"/>
                    </w:rPr>
                    <w:t>收集于危废</w:t>
                  </w:r>
                  <w:r>
                    <w:rPr>
                      <w:rFonts w:hint="eastAsia" w:ascii="Times New Roman" w:hAnsi="Times New Roman" w:eastAsia="宋体" w:cs="Times New Roman"/>
                      <w:color w:val="auto"/>
                      <w:lang w:val="en-US" w:eastAsia="zh-CN"/>
                    </w:rPr>
                    <w:t>暂存库</w:t>
                  </w:r>
                  <w:r>
                    <w:rPr>
                      <w:rFonts w:hint="default" w:ascii="Times New Roman" w:hAnsi="Times New Roman" w:eastAsia="宋体" w:cs="Times New Roman"/>
                      <w:color w:val="auto"/>
                      <w:lang w:val="en-US" w:eastAsia="zh-CN"/>
                    </w:rPr>
                    <w:t>，交有资质单位处置。</w:t>
                  </w:r>
                </w:p>
              </w:tc>
              <w:tc>
                <w:tcPr>
                  <w:tcW w:w="496" w:type="pct"/>
                  <w:noWrap w:val="0"/>
                  <w:vAlign w:val="center"/>
                </w:tcPr>
                <w:p w14:paraId="31053109">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14:paraId="006360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2FD68863">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8</w:t>
                  </w:r>
                </w:p>
              </w:tc>
              <w:tc>
                <w:tcPr>
                  <w:tcW w:w="2333" w:type="pct"/>
                  <w:noWrap w:val="0"/>
                  <w:vAlign w:val="center"/>
                </w:tcPr>
                <w:p w14:paraId="6BAF5349">
                  <w:pPr>
                    <w:overflowPunct w:val="0"/>
                    <w:autoSpaceDE w:val="0"/>
                    <w:autoSpaceDN w:val="0"/>
                    <w:adjustRightInd w:val="0"/>
                    <w:snapToGrid w:val="0"/>
                    <w:ind w:right="63" w:rightChars="3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强化环境风险防范。园区内环保设施在设计、施工、验收、使用等方面要严格执行国家、自治区有关规定，确保安全生产工作。建立完善包括环境空气、地表水、地下水等环境要素的监测体系。强化区域环境风险防范体系，建立园区-厂区-单元</w:t>
                  </w:r>
                  <w:r>
                    <w:rPr>
                      <w:rFonts w:hint="eastAsia" w:ascii="宋体" w:hAnsi="宋体" w:eastAsia="宋体" w:cs="宋体"/>
                      <w:color w:val="auto"/>
                      <w:lang w:eastAsia="zh-CN"/>
                    </w:rPr>
                    <w:t>“三级”</w:t>
                  </w:r>
                  <w:r>
                    <w:rPr>
                      <w:rFonts w:hint="default" w:ascii="Times New Roman" w:hAnsi="Times New Roman" w:eastAsia="宋体" w:cs="Times New Roman"/>
                      <w:color w:val="auto"/>
                      <w:lang w:eastAsia="zh-CN"/>
                    </w:rPr>
                    <w:t>应急响应联动机制，提升环境风险防控和应急响应能力，保障区域环境安全。</w:t>
                  </w:r>
                </w:p>
              </w:tc>
              <w:tc>
                <w:tcPr>
                  <w:tcW w:w="1846" w:type="pct"/>
                  <w:noWrap w:val="0"/>
                  <w:vAlign w:val="center"/>
                </w:tcPr>
                <w:p w14:paraId="6C6EA954">
                  <w:pPr>
                    <w:overflowPunct w:val="0"/>
                    <w:autoSpaceDE w:val="0"/>
                    <w:autoSpaceDN w:val="0"/>
                    <w:adjustRightInd w:val="0"/>
                    <w:snapToGrid w:val="0"/>
                    <w:ind w:right="63" w:rightChars="30"/>
                    <w:jc w:val="center"/>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本</w:t>
                  </w:r>
                  <w:r>
                    <w:rPr>
                      <w:rFonts w:hint="default" w:ascii="Times New Roman" w:hAnsi="Times New Roman" w:eastAsia="宋体" w:cs="Times New Roman"/>
                      <w:color w:val="auto"/>
                      <w:lang w:eastAsia="zh-CN"/>
                    </w:rPr>
                    <w:t>项目环保设施在设计、施工、验收、使用等方面应严格执行国家、自治区有关规定，确保安全生产工作。</w:t>
                  </w:r>
                  <w:r>
                    <w:rPr>
                      <w:rFonts w:hint="eastAsia" w:ascii="Times New Roman" w:hAnsi="Times New Roman" w:eastAsia="宋体" w:cs="Times New Roman"/>
                      <w:color w:val="auto"/>
                      <w:lang w:eastAsia="zh-CN"/>
                    </w:rPr>
                    <w:t>后续</w:t>
                  </w:r>
                  <w:r>
                    <w:rPr>
                      <w:rFonts w:hint="default" w:ascii="Times New Roman" w:hAnsi="Times New Roman" w:eastAsia="宋体" w:cs="Times New Roman"/>
                      <w:color w:val="auto"/>
                      <w:lang w:eastAsia="zh-CN"/>
                    </w:rPr>
                    <w:t>及时编制应急预案并建立园区</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厂区-单元</w:t>
                  </w:r>
                  <w:r>
                    <w:rPr>
                      <w:rFonts w:hint="eastAsia" w:ascii="宋体" w:hAnsi="宋体" w:eastAsia="宋体" w:cs="宋体"/>
                      <w:color w:val="auto"/>
                      <w:lang w:eastAsia="zh-CN"/>
                    </w:rPr>
                    <w:t>“三级”</w:t>
                  </w:r>
                  <w:r>
                    <w:rPr>
                      <w:rFonts w:hint="default" w:ascii="Times New Roman" w:hAnsi="Times New Roman" w:eastAsia="宋体" w:cs="Times New Roman"/>
                      <w:color w:val="auto"/>
                      <w:lang w:eastAsia="zh-CN"/>
                    </w:rPr>
                    <w:t>应急响应联动机制，提升环境风险防控和应急响应能力，保障区域环境安全。</w:t>
                  </w:r>
                </w:p>
              </w:tc>
              <w:tc>
                <w:tcPr>
                  <w:tcW w:w="496" w:type="pct"/>
                  <w:noWrap w:val="0"/>
                  <w:vAlign w:val="center"/>
                </w:tcPr>
                <w:p w14:paraId="6C73CC4E">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r w14:paraId="136AF8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24" w:type="pct"/>
                  <w:noWrap w:val="0"/>
                  <w:vAlign w:val="center"/>
                </w:tcPr>
                <w:p w14:paraId="656EDD56">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w:t>
                  </w:r>
                </w:p>
              </w:tc>
              <w:tc>
                <w:tcPr>
                  <w:tcW w:w="2333" w:type="pct"/>
                  <w:noWrap w:val="0"/>
                  <w:vAlign w:val="center"/>
                </w:tcPr>
                <w:p w14:paraId="6C5AA269">
                  <w:pPr>
                    <w:keepNext w:val="0"/>
                    <w:keepLines w:val="0"/>
                    <w:pageBreakBefore w:val="0"/>
                    <w:widowControl w:val="0"/>
                    <w:kinsoku/>
                    <w:wordWrap/>
                    <w:overflowPunct w:val="0"/>
                    <w:topLinePunct w:val="0"/>
                    <w:autoSpaceDE w:val="0"/>
                    <w:autoSpaceDN w:val="0"/>
                    <w:bidi w:val="0"/>
                    <w:adjustRightInd w:val="0"/>
                    <w:snapToGrid w:val="0"/>
                    <w:spacing w:line="240" w:lineRule="auto"/>
                    <w:ind w:right="0" w:right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落实规划环评工作的相关要求。在《规划》实施过程中，加强监督管理，落实各项环境治理措施，并适时开展环境影响跟踪评价。《规划》修编时应重新编制环境影响报告书。</w:t>
                  </w:r>
                </w:p>
              </w:tc>
              <w:tc>
                <w:tcPr>
                  <w:tcW w:w="1846" w:type="pct"/>
                  <w:noWrap w:val="0"/>
                  <w:vAlign w:val="center"/>
                </w:tcPr>
                <w:p w14:paraId="5769113A">
                  <w:pPr>
                    <w:overflowPunct w:val="0"/>
                    <w:autoSpaceDE w:val="0"/>
                    <w:autoSpaceDN w:val="0"/>
                    <w:adjustRightInd w:val="0"/>
                    <w:snapToGrid w:val="0"/>
                    <w:ind w:right="63" w:rightChars="30"/>
                    <w:jc w:val="center"/>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本</w:t>
                  </w:r>
                  <w:r>
                    <w:rPr>
                      <w:rFonts w:hint="default" w:ascii="Times New Roman" w:hAnsi="Times New Roman" w:eastAsia="宋体" w:cs="Times New Roman"/>
                      <w:color w:val="auto"/>
                      <w:lang w:eastAsia="zh-CN"/>
                    </w:rPr>
                    <w:t>项目在实施过程中应按照要求落实各项环境治理措施，并按照排污许可规范要求开展例行检查。</w:t>
                  </w:r>
                </w:p>
              </w:tc>
              <w:tc>
                <w:tcPr>
                  <w:tcW w:w="496" w:type="pct"/>
                  <w:noWrap w:val="0"/>
                  <w:vAlign w:val="center"/>
                </w:tcPr>
                <w:p w14:paraId="12119FD9">
                  <w:pPr>
                    <w:overflowPunct w:val="0"/>
                    <w:autoSpaceDE w:val="0"/>
                    <w:autoSpaceDN w:val="0"/>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符合</w:t>
                  </w:r>
                </w:p>
              </w:tc>
            </w:tr>
          </w:tbl>
          <w:p w14:paraId="33C4DF9E">
            <w:pPr>
              <w:keepNext/>
              <w:widowControl/>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综上，本项目符合</w:t>
            </w:r>
            <w:r>
              <w:rPr>
                <w:rFonts w:hint="default" w:ascii="Times New Roman" w:hAnsi="Times New Roman" w:eastAsia="宋体" w:cs="Times New Roman"/>
                <w:color w:val="auto"/>
                <w:kern w:val="0"/>
                <w:sz w:val="24"/>
                <w:lang w:eastAsia="zh-CN"/>
              </w:rPr>
              <w:t>《宁夏固原经济开发区</w:t>
            </w:r>
            <w:r>
              <w:rPr>
                <w:rFonts w:hint="eastAsia" w:ascii="宋体" w:hAnsi="宋体" w:eastAsia="宋体" w:cs="宋体"/>
                <w:color w:val="auto"/>
                <w:kern w:val="0"/>
                <w:sz w:val="24"/>
                <w:lang w:eastAsia="zh-CN"/>
              </w:rPr>
              <w:t>“一区三园”</w:t>
            </w:r>
            <w:r>
              <w:rPr>
                <w:rFonts w:hint="default" w:ascii="Times New Roman" w:hAnsi="Times New Roman" w:eastAsia="宋体" w:cs="Times New Roman"/>
                <w:color w:val="auto"/>
                <w:kern w:val="0"/>
                <w:sz w:val="24"/>
                <w:lang w:eastAsia="zh-CN"/>
              </w:rPr>
              <w:t>总体规划修编（2022-2035年）环境影响报告书》审查意见的函（宁环函</w:t>
            </w:r>
            <w:r>
              <w:rPr>
                <w:rFonts w:hint="eastAsia" w:ascii="Times New Roman" w:hAnsi="Times New Roman" w:eastAsia="宋体" w:cs="Times New Roman"/>
                <w:color w:val="auto"/>
                <w:kern w:val="0"/>
                <w:sz w:val="24"/>
                <w:szCs w:val="22"/>
                <w:lang w:val="zh-CN" w:eastAsia="zh-CN" w:bidi="zh-CN"/>
              </w:rPr>
              <w:t>〔20</w:t>
            </w:r>
            <w:r>
              <w:rPr>
                <w:rFonts w:hint="eastAsia" w:ascii="Times New Roman" w:hAnsi="Times New Roman" w:eastAsia="宋体" w:cs="Times New Roman"/>
                <w:color w:val="auto"/>
                <w:kern w:val="0"/>
                <w:sz w:val="24"/>
                <w:szCs w:val="22"/>
                <w:lang w:val="en-US" w:eastAsia="zh-CN" w:bidi="zh-CN"/>
              </w:rPr>
              <w:t>23</w:t>
            </w:r>
            <w:r>
              <w:rPr>
                <w:rFonts w:hint="default" w:ascii="Times New Roman" w:hAnsi="Times New Roman" w:eastAsia="宋体" w:cs="Times New Roman"/>
                <w:color w:val="auto"/>
                <w:kern w:val="0"/>
                <w:sz w:val="24"/>
                <w:szCs w:val="22"/>
                <w:lang w:val="zh-CN" w:eastAsia="zh-CN" w:bidi="zh-CN"/>
              </w:rPr>
              <w:t>〕</w:t>
            </w:r>
            <w:r>
              <w:rPr>
                <w:rFonts w:hint="default" w:ascii="Times New Roman" w:hAnsi="Times New Roman" w:eastAsia="宋体" w:cs="Times New Roman"/>
                <w:color w:val="auto"/>
                <w:kern w:val="0"/>
                <w:sz w:val="24"/>
                <w:lang w:val="en-US" w:eastAsia="zh-CN"/>
              </w:rPr>
              <w:t>455</w:t>
            </w:r>
            <w:r>
              <w:rPr>
                <w:rFonts w:hint="default" w:ascii="Times New Roman" w:hAnsi="Times New Roman" w:eastAsia="宋体" w:cs="Times New Roman"/>
                <w:color w:val="auto"/>
                <w:kern w:val="0"/>
                <w:sz w:val="24"/>
                <w:lang w:eastAsia="zh-CN"/>
              </w:rPr>
              <w:t>号）</w:t>
            </w:r>
            <w:r>
              <w:rPr>
                <w:rFonts w:hint="eastAsia" w:ascii="Times New Roman" w:hAnsi="Times New Roman" w:eastAsia="宋体" w:cs="Times New Roman"/>
                <w:color w:val="auto"/>
                <w:kern w:val="0"/>
                <w:sz w:val="24"/>
                <w:lang w:eastAsia="zh-CN"/>
              </w:rPr>
              <w:t>中</w:t>
            </w:r>
            <w:r>
              <w:rPr>
                <w:rFonts w:hint="default" w:ascii="Times New Roman" w:hAnsi="Times New Roman" w:eastAsia="宋体" w:cs="Times New Roman"/>
                <w:color w:val="auto"/>
                <w:kern w:val="0"/>
                <w:sz w:val="24"/>
              </w:rPr>
              <w:t>的相关要求。</w:t>
            </w:r>
          </w:p>
        </w:tc>
      </w:tr>
      <w:tr w14:paraId="2622E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 w:type="dxa"/>
            <w:noWrap w:val="0"/>
            <w:vAlign w:val="center"/>
          </w:tcPr>
          <w:p w14:paraId="4577E660">
            <w:pPr>
              <w:autoSpaceDE w:val="0"/>
              <w:autoSpaceDN w:val="0"/>
              <w:adjustRightInd w:val="0"/>
              <w:snapToGrid w:val="0"/>
              <w:jc w:val="center"/>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其他符合性分析</w:t>
            </w:r>
          </w:p>
        </w:tc>
        <w:tc>
          <w:tcPr>
            <w:tcW w:w="8349" w:type="dxa"/>
            <w:gridSpan w:val="4"/>
            <w:noWrap w:val="0"/>
            <w:vAlign w:val="center"/>
          </w:tcPr>
          <w:p w14:paraId="4AAF3B8E">
            <w:pPr>
              <w:autoSpaceDE w:val="0"/>
              <w:autoSpaceDN w:val="0"/>
              <w:adjustRightInd w:val="0"/>
              <w:snapToGrid w:val="0"/>
              <w:spacing w:line="360" w:lineRule="auto"/>
              <w:ind w:firstLine="482" w:firstLineChars="200"/>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1、产业政策符合性分析</w:t>
            </w:r>
          </w:p>
          <w:p w14:paraId="05F8BAA7">
            <w:pPr>
              <w:autoSpaceDE w:val="0"/>
              <w:autoSpaceDN w:val="0"/>
              <w:adjustRightInd w:val="0"/>
              <w:snapToGrid w:val="0"/>
              <w:spacing w:line="360" w:lineRule="auto"/>
              <w:ind w:firstLine="480" w:firstLineChars="200"/>
              <w:rPr>
                <w:rFonts w:hint="eastAsia"/>
                <w:color w:val="auto"/>
                <w:sz w:val="24"/>
                <w:highlight w:val="none"/>
                <w:lang w:eastAsia="zh-CN"/>
              </w:rPr>
            </w:pPr>
            <w:r>
              <w:rPr>
                <w:color w:val="auto"/>
                <w:sz w:val="24"/>
                <w:highlight w:val="none"/>
              </w:rPr>
              <w:t>本</w:t>
            </w:r>
            <w:r>
              <w:rPr>
                <w:rFonts w:hint="eastAsia"/>
                <w:color w:val="auto"/>
                <w:sz w:val="24"/>
                <w:highlight w:val="none"/>
              </w:rPr>
              <w:t>项目</w:t>
            </w:r>
            <w:r>
              <w:rPr>
                <w:rFonts w:hint="eastAsia"/>
                <w:color w:val="auto"/>
                <w:sz w:val="24"/>
                <w:highlight w:val="none"/>
                <w:lang w:val="en-US" w:eastAsia="zh-CN"/>
              </w:rPr>
              <w:t>属于C2924泡沫塑料制造，采用可发性EPS颗粒发泡-成型工艺生产泡沫塑料箱。</w:t>
            </w:r>
            <w:r>
              <w:rPr>
                <w:color w:val="auto"/>
                <w:sz w:val="24"/>
                <w:highlight w:val="none"/>
              </w:rPr>
              <w:t>根据《产业结构调整指导目录（2024年本）》（国家发展和改革委员会令第7号），</w:t>
            </w:r>
            <w:r>
              <w:rPr>
                <w:rFonts w:hint="eastAsia"/>
                <w:color w:val="auto"/>
                <w:sz w:val="24"/>
                <w:highlight w:val="none"/>
              </w:rPr>
              <w:t>本</w:t>
            </w:r>
            <w:r>
              <w:rPr>
                <w:color w:val="auto"/>
                <w:sz w:val="24"/>
                <w:highlight w:val="none"/>
              </w:rPr>
              <w:t>项目不属于鼓励类、限制类及淘汰类项目，</w:t>
            </w:r>
            <w:r>
              <w:rPr>
                <w:rFonts w:hint="eastAsia"/>
                <w:color w:val="auto"/>
                <w:sz w:val="24"/>
                <w:highlight w:val="none"/>
                <w:lang w:val="en-US" w:eastAsia="zh-CN"/>
              </w:rPr>
              <w:t>也不属于落后类产品，</w:t>
            </w:r>
            <w:r>
              <w:rPr>
                <w:color w:val="auto"/>
                <w:sz w:val="24"/>
                <w:highlight w:val="none"/>
              </w:rPr>
              <w:t>为允许类</w:t>
            </w:r>
            <w:r>
              <w:rPr>
                <w:rFonts w:hint="eastAsia"/>
                <w:color w:val="auto"/>
                <w:sz w:val="24"/>
                <w:highlight w:val="none"/>
              </w:rPr>
              <w:t>项目</w:t>
            </w:r>
            <w:r>
              <w:rPr>
                <w:rFonts w:hint="eastAsia"/>
                <w:color w:val="auto"/>
                <w:sz w:val="24"/>
                <w:highlight w:val="none"/>
                <w:lang w:eastAsia="zh-CN"/>
              </w:rPr>
              <w:t>。</w:t>
            </w:r>
          </w:p>
          <w:p w14:paraId="4B2B5FE7">
            <w:p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lang w:val="en-US" w:eastAsia="zh-CN"/>
              </w:rPr>
              <w:t>根据《市场准入负面清单（</w:t>
            </w:r>
            <w:r>
              <w:rPr>
                <w:rFonts w:hint="default"/>
                <w:color w:val="auto"/>
                <w:sz w:val="24"/>
                <w:highlight w:val="none"/>
                <w:lang w:val="en-US" w:eastAsia="zh-CN"/>
              </w:rPr>
              <w:t>2025</w:t>
            </w:r>
            <w:r>
              <w:rPr>
                <w:rFonts w:hint="eastAsia"/>
                <w:color w:val="auto"/>
                <w:sz w:val="24"/>
                <w:highlight w:val="none"/>
                <w:lang w:val="en-US" w:eastAsia="zh-CN"/>
              </w:rPr>
              <w:t>年版）》，本项目不属于禁止准入的行业类别范围，也不属于需要许可方能准入的行业类别，建设单位可以依法进入。</w:t>
            </w:r>
          </w:p>
          <w:p w14:paraId="79A9AAD7">
            <w:pPr>
              <w:autoSpaceDE w:val="0"/>
              <w:autoSpaceDN w:val="0"/>
              <w:adjustRightInd w:val="0"/>
              <w:snapToGrid w:val="0"/>
              <w:spacing w:line="360" w:lineRule="auto"/>
              <w:ind w:firstLine="480" w:firstLineChars="200"/>
              <w:rPr>
                <w:color w:val="auto"/>
                <w:sz w:val="24"/>
                <w:highlight w:val="none"/>
              </w:rPr>
            </w:pPr>
            <w:r>
              <w:rPr>
                <w:color w:val="auto"/>
                <w:sz w:val="24"/>
                <w:highlight w:val="none"/>
              </w:rPr>
              <w:t>同时，项目已于202</w:t>
            </w:r>
            <w:r>
              <w:rPr>
                <w:rFonts w:hint="eastAsia"/>
                <w:color w:val="auto"/>
                <w:sz w:val="24"/>
                <w:highlight w:val="none"/>
              </w:rPr>
              <w:t>5</w:t>
            </w:r>
            <w:r>
              <w:rPr>
                <w:color w:val="auto"/>
                <w:sz w:val="24"/>
                <w:highlight w:val="none"/>
              </w:rPr>
              <w:t>年</w:t>
            </w:r>
            <w:r>
              <w:rPr>
                <w:rFonts w:hint="eastAsia"/>
                <w:color w:val="auto"/>
                <w:sz w:val="24"/>
                <w:highlight w:val="none"/>
                <w:lang w:val="en-US" w:eastAsia="zh-CN"/>
              </w:rPr>
              <w:t>12</w:t>
            </w:r>
            <w:r>
              <w:rPr>
                <w:color w:val="auto"/>
                <w:sz w:val="24"/>
                <w:highlight w:val="none"/>
              </w:rPr>
              <w:t>月</w:t>
            </w:r>
            <w:r>
              <w:rPr>
                <w:rFonts w:hint="eastAsia"/>
                <w:color w:val="auto"/>
                <w:sz w:val="24"/>
                <w:highlight w:val="none"/>
                <w:lang w:val="en-US" w:eastAsia="zh-CN"/>
              </w:rPr>
              <w:t>9</w:t>
            </w:r>
            <w:r>
              <w:rPr>
                <w:color w:val="auto"/>
                <w:sz w:val="24"/>
                <w:highlight w:val="none"/>
              </w:rPr>
              <w:t>日取得由</w:t>
            </w:r>
            <w:r>
              <w:rPr>
                <w:rFonts w:hint="eastAsia"/>
                <w:color w:val="auto"/>
                <w:sz w:val="24"/>
                <w:highlight w:val="none"/>
                <w:lang w:val="en-US" w:eastAsia="zh-CN"/>
              </w:rPr>
              <w:t>宁夏固原经济开发区管理委员会</w:t>
            </w:r>
            <w:r>
              <w:rPr>
                <w:color w:val="auto"/>
                <w:sz w:val="24"/>
                <w:highlight w:val="none"/>
              </w:rPr>
              <w:t>下发的宁夏回族自治区企业投资项目备案证，项目代码为：</w:t>
            </w:r>
            <w:r>
              <w:rPr>
                <w:rFonts w:hint="eastAsia"/>
                <w:color w:val="auto"/>
                <w:sz w:val="24"/>
                <w:highlight w:val="none"/>
              </w:rPr>
              <w:t>25</w:t>
            </w:r>
            <w:r>
              <w:rPr>
                <w:rFonts w:hint="eastAsia"/>
                <w:color w:val="auto"/>
                <w:sz w:val="24"/>
                <w:highlight w:val="none"/>
                <w:lang w:val="en-US" w:eastAsia="zh-CN"/>
              </w:rPr>
              <w:t>12</w:t>
            </w:r>
            <w:r>
              <w:rPr>
                <w:rFonts w:hint="eastAsia"/>
                <w:color w:val="auto"/>
                <w:sz w:val="24"/>
                <w:highlight w:val="none"/>
              </w:rPr>
              <w:t>-640</w:t>
            </w:r>
            <w:r>
              <w:rPr>
                <w:rFonts w:hint="eastAsia"/>
                <w:color w:val="auto"/>
                <w:sz w:val="24"/>
                <w:highlight w:val="none"/>
                <w:lang w:val="en-US" w:eastAsia="zh-CN"/>
              </w:rPr>
              <w:t>940</w:t>
            </w:r>
            <w:r>
              <w:rPr>
                <w:rFonts w:hint="eastAsia"/>
                <w:color w:val="auto"/>
                <w:sz w:val="24"/>
                <w:highlight w:val="none"/>
              </w:rPr>
              <w:t>-0</w:t>
            </w:r>
            <w:r>
              <w:rPr>
                <w:rFonts w:hint="eastAsia"/>
                <w:color w:val="auto"/>
                <w:sz w:val="24"/>
                <w:highlight w:val="none"/>
                <w:lang w:val="en-US" w:eastAsia="zh-CN"/>
              </w:rPr>
              <w:t>4</w:t>
            </w:r>
            <w:r>
              <w:rPr>
                <w:rFonts w:hint="eastAsia"/>
                <w:color w:val="auto"/>
                <w:sz w:val="24"/>
                <w:highlight w:val="none"/>
              </w:rPr>
              <w:t>-0</w:t>
            </w:r>
            <w:r>
              <w:rPr>
                <w:rFonts w:hint="eastAsia"/>
                <w:color w:val="auto"/>
                <w:sz w:val="24"/>
                <w:highlight w:val="none"/>
                <w:lang w:val="en-US" w:eastAsia="zh-CN"/>
              </w:rPr>
              <w:t>1</w:t>
            </w:r>
            <w:r>
              <w:rPr>
                <w:rFonts w:hint="eastAsia"/>
                <w:color w:val="auto"/>
                <w:sz w:val="24"/>
                <w:highlight w:val="none"/>
              </w:rPr>
              <w:t>-</w:t>
            </w:r>
            <w:r>
              <w:rPr>
                <w:rFonts w:hint="eastAsia"/>
                <w:color w:val="auto"/>
                <w:sz w:val="24"/>
                <w:highlight w:val="none"/>
                <w:lang w:val="en-US" w:eastAsia="zh-CN"/>
              </w:rPr>
              <w:t>781399</w:t>
            </w:r>
            <w:r>
              <w:rPr>
                <w:color w:val="auto"/>
                <w:sz w:val="24"/>
                <w:highlight w:val="none"/>
              </w:rPr>
              <w:t>。</w:t>
            </w:r>
          </w:p>
          <w:p w14:paraId="1C404602">
            <w:p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综上</w:t>
            </w:r>
            <w:r>
              <w:rPr>
                <w:color w:val="auto"/>
                <w:sz w:val="24"/>
                <w:highlight w:val="none"/>
              </w:rPr>
              <w:t>，项目符合国家及地方产业政策要求。</w:t>
            </w:r>
          </w:p>
          <w:p w14:paraId="6B1AB81A">
            <w:pPr>
              <w:autoSpaceDE w:val="0"/>
              <w:autoSpaceDN w:val="0"/>
              <w:adjustRightInd w:val="0"/>
              <w:snapToGrid w:val="0"/>
              <w:spacing w:line="360" w:lineRule="auto"/>
              <w:ind w:firstLine="482" w:firstLineChars="200"/>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2、选址合理性分析</w:t>
            </w:r>
          </w:p>
          <w:p w14:paraId="147C41A0">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w:t>
            </w:r>
            <w:r>
              <w:rPr>
                <w:rFonts w:hint="eastAsia" w:ascii="Times New Roman" w:hAnsi="Times New Roman" w:eastAsia="宋体" w:cs="Times New Roman"/>
                <w:color w:val="auto"/>
                <w:kern w:val="0"/>
                <w:sz w:val="24"/>
                <w:lang w:val="en-US" w:eastAsia="zh-CN"/>
              </w:rPr>
              <w:t>为新建项目，位于固原经济开发区新材料产业园区内，租赁宁夏天楹环保能源有限公司内东北角的闲置空地</w:t>
            </w:r>
            <w:r>
              <w:rPr>
                <w:rFonts w:hint="eastAsia" w:cs="Times New Roman"/>
                <w:color w:val="auto"/>
                <w:kern w:val="0"/>
                <w:sz w:val="24"/>
                <w:lang w:val="en-US" w:eastAsia="zh-CN"/>
              </w:rPr>
              <w:t>进行建设</w:t>
            </w:r>
            <w:r>
              <w:rPr>
                <w:rFonts w:hint="eastAsia" w:ascii="Times New Roman" w:hAnsi="Times New Roman" w:eastAsia="宋体" w:cs="Times New Roman"/>
                <w:color w:val="auto"/>
                <w:kern w:val="0"/>
                <w:sz w:val="24"/>
                <w:lang w:val="en-US" w:eastAsia="zh-CN"/>
              </w:rPr>
              <w:t>。本项目西侧为宁夏天楹环保能源有限公司的“固原市城市垃圾无害化利用及环卫一体化项目”成品砖养护车间、炉渣综合利用车间、主厂房；南侧为渗滤液处理站</w:t>
            </w:r>
            <w:r>
              <w:rPr>
                <w:rFonts w:hint="eastAsia" w:cs="Times New Roman"/>
                <w:color w:val="auto"/>
                <w:kern w:val="0"/>
                <w:sz w:val="24"/>
                <w:lang w:val="en-US" w:eastAsia="zh-CN"/>
              </w:rPr>
              <w:t>，北侧和东侧为</w:t>
            </w:r>
            <w:r>
              <w:rPr>
                <w:rFonts w:hint="eastAsia" w:ascii="Times New Roman" w:hAnsi="Times New Roman" w:eastAsia="宋体" w:cs="Times New Roman"/>
                <w:color w:val="auto"/>
                <w:kern w:val="0"/>
                <w:sz w:val="24"/>
                <w:lang w:val="en-US" w:eastAsia="zh-CN"/>
              </w:rPr>
              <w:t>宁夏天楹环保能源有限公司</w:t>
            </w:r>
            <w:r>
              <w:rPr>
                <w:rFonts w:hint="eastAsia" w:cs="Times New Roman"/>
                <w:color w:val="auto"/>
                <w:kern w:val="0"/>
                <w:sz w:val="24"/>
                <w:lang w:val="en-US" w:eastAsia="zh-CN"/>
              </w:rPr>
              <w:t>厂界</w:t>
            </w:r>
            <w:r>
              <w:rPr>
                <w:rFonts w:hint="eastAsia" w:ascii="Times New Roman" w:hAnsi="Times New Roman" w:eastAsia="宋体" w:cs="Times New Roman"/>
                <w:i w:val="0"/>
                <w:iCs w:val="0"/>
                <w:caps w:val="0"/>
                <w:color w:val="auto"/>
                <w:spacing w:val="0"/>
                <w:sz w:val="24"/>
                <w:szCs w:val="24"/>
                <w:shd w:val="clear" w:color="auto" w:fill="FFFFFF"/>
                <w:lang w:val="en-US" w:eastAsia="zh-CN"/>
              </w:rPr>
              <w:t>。用地性质为工业用地，</w:t>
            </w:r>
            <w:r>
              <w:rPr>
                <w:rFonts w:hint="eastAsia" w:ascii="Times New Roman" w:hAnsi="Times New Roman" w:eastAsia="宋体" w:cs="Times New Roman"/>
                <w:color w:val="auto"/>
                <w:sz w:val="24"/>
                <w:lang w:val="en-US" w:eastAsia="zh-CN"/>
              </w:rPr>
              <w:t>符合</w:t>
            </w:r>
            <w:r>
              <w:rPr>
                <w:rFonts w:hint="default" w:ascii="Times New Roman" w:hAnsi="Times New Roman" w:eastAsia="宋体" w:cs="Times New Roman"/>
                <w:color w:val="auto"/>
                <w:kern w:val="0"/>
                <w:sz w:val="24"/>
              </w:rPr>
              <w:t>园区规划。项目选址范围内不涉及《建设项目环境影响评价分类管理名录》（2021年版）中国家公园、自然保护区、风景名胜区、永久基本农田等环境敏感区。</w:t>
            </w:r>
          </w:p>
          <w:p w14:paraId="57B381AD">
            <w:pPr>
              <w:autoSpaceDE w:val="0"/>
              <w:autoSpaceDN w:val="0"/>
              <w:adjustRightInd w:val="0"/>
              <w:snapToGrid w:val="0"/>
              <w:spacing w:line="360" w:lineRule="auto"/>
              <w:ind w:firstLine="480" w:firstLineChars="200"/>
              <w:rPr>
                <w:color w:val="auto"/>
                <w:sz w:val="24"/>
                <w:highlight w:val="none"/>
              </w:rPr>
            </w:pPr>
            <w:r>
              <w:rPr>
                <w:rFonts w:hint="default" w:ascii="Times New Roman" w:hAnsi="Times New Roman" w:eastAsia="宋体" w:cs="Times New Roman"/>
                <w:color w:val="auto"/>
                <w:kern w:val="0"/>
                <w:sz w:val="24"/>
              </w:rPr>
              <w:t>根据现场踏勘，</w:t>
            </w:r>
            <w:r>
              <w:rPr>
                <w:rFonts w:hint="eastAsia" w:ascii="Times New Roman" w:hAnsi="Times New Roman" w:eastAsia="宋体" w:cs="Times New Roman"/>
                <w:color w:val="auto"/>
                <w:kern w:val="0"/>
                <w:sz w:val="24"/>
                <w:lang w:val="en-US" w:eastAsia="zh-CN"/>
              </w:rPr>
              <w:t>本项目主要建设2座生产车间、1座库房及1座管理用房，</w:t>
            </w:r>
            <w:r>
              <w:rPr>
                <w:rFonts w:hint="eastAsia"/>
                <w:color w:val="auto"/>
                <w:kern w:val="0"/>
                <w:sz w:val="24"/>
                <w:highlight w:val="none"/>
              </w:rPr>
              <w:t>与现有依托设施功能可高效衔接；</w:t>
            </w:r>
            <w:r>
              <w:rPr>
                <w:rFonts w:hint="eastAsia"/>
                <w:color w:val="auto"/>
                <w:kern w:val="0"/>
                <w:sz w:val="24"/>
                <w:highlight w:val="none"/>
                <w:lang w:val="en-US" w:eastAsia="zh-CN"/>
              </w:rPr>
              <w:t>厂区外紧邻新中路胡南路、头盐支线5，</w:t>
            </w:r>
            <w:r>
              <w:rPr>
                <w:color w:val="auto"/>
                <w:kern w:val="0"/>
                <w:sz w:val="24"/>
                <w:highlight w:val="none"/>
              </w:rPr>
              <w:t>原料、产品及固体废物运输便利，运距合理</w:t>
            </w:r>
            <w:r>
              <w:rPr>
                <w:color w:val="auto"/>
                <w:sz w:val="24"/>
                <w:highlight w:val="none"/>
              </w:rPr>
              <w:t>；项目区域地势开阔平坦、有足够的生产、运输空间；</w:t>
            </w:r>
            <w:r>
              <w:rPr>
                <w:rFonts w:hint="eastAsia"/>
                <w:color w:val="auto"/>
                <w:sz w:val="24"/>
                <w:highlight w:val="none"/>
                <w:lang w:val="en-US" w:eastAsia="zh-CN"/>
              </w:rPr>
              <w:t>园区</w:t>
            </w:r>
            <w:r>
              <w:rPr>
                <w:color w:val="auto"/>
                <w:sz w:val="24"/>
                <w:highlight w:val="none"/>
              </w:rPr>
              <w:t>基础设施完善，配套功能齐全，水、电供应充足，能充分满足项目建设和运营的需要。</w:t>
            </w:r>
          </w:p>
          <w:p w14:paraId="012418C4">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所在区域内环境质量状况较好，环境质量现状对项目的建设和运营无制约影响。根据企业拟采取的环保治理措施，运营期产生的废气、废水、噪声、固体废物经有效的治理后均能达标排放或综合利用，对周边的环境影响轻微。</w:t>
            </w:r>
          </w:p>
          <w:p w14:paraId="1D2DB77C">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综上，从环境保护的角度看，本项目的选址是合理的。本项目地理位置图见</w:t>
            </w:r>
            <w:r>
              <w:rPr>
                <w:rFonts w:hint="eastAsia" w:ascii="Times New Roman" w:hAnsi="Times New Roman" w:eastAsia="宋体" w:cs="Times New Roman"/>
                <w:color w:val="auto"/>
                <w:kern w:val="0"/>
                <w:sz w:val="24"/>
                <w:lang w:val="en-US" w:eastAsia="zh-CN"/>
              </w:rPr>
              <w:t>附</w:t>
            </w:r>
            <w:r>
              <w:rPr>
                <w:rFonts w:hint="default" w:ascii="Times New Roman" w:hAnsi="Times New Roman" w:eastAsia="宋体" w:cs="Times New Roman"/>
                <w:color w:val="auto"/>
                <w:kern w:val="0"/>
                <w:sz w:val="24"/>
              </w:rPr>
              <w:t>图1</w:t>
            </w:r>
            <w:r>
              <w:rPr>
                <w:rFonts w:hint="eastAsia" w:ascii="Times New Roman" w:hAnsi="Times New Roman" w:eastAsia="宋体" w:cs="Times New Roman"/>
                <w:color w:val="auto"/>
                <w:kern w:val="0"/>
                <w:sz w:val="24"/>
                <w:lang w:val="en-US" w:eastAsia="zh-CN"/>
              </w:rPr>
              <w:t>-2。</w:t>
            </w:r>
          </w:p>
          <w:p w14:paraId="00420CA6">
            <w:pPr>
              <w:autoSpaceDE w:val="0"/>
              <w:autoSpaceDN w:val="0"/>
              <w:adjustRightInd w:val="0"/>
              <w:snapToGrid w:val="0"/>
              <w:spacing w:line="360" w:lineRule="auto"/>
              <w:ind w:firstLine="482" w:firstLineChars="200"/>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3、</w:t>
            </w:r>
            <w:r>
              <w:rPr>
                <w:rFonts w:hint="eastAsia" w:ascii="Times New Roman" w:hAnsi="Times New Roman" w:eastAsia="宋体" w:cs="Times New Roman"/>
                <w:b/>
                <w:color w:val="auto"/>
                <w:kern w:val="0"/>
                <w:sz w:val="24"/>
                <w:lang w:val="en-US" w:eastAsia="zh-CN"/>
              </w:rPr>
              <w:t>生态环境分区管控</w:t>
            </w:r>
            <w:r>
              <w:rPr>
                <w:rFonts w:hint="default" w:ascii="Times New Roman" w:hAnsi="Times New Roman" w:eastAsia="宋体" w:cs="Times New Roman"/>
                <w:b/>
                <w:color w:val="auto"/>
                <w:kern w:val="0"/>
                <w:sz w:val="24"/>
              </w:rPr>
              <w:t>符合性分析</w:t>
            </w:r>
          </w:p>
          <w:p w14:paraId="073B96FF">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⑴生态</w:t>
            </w:r>
            <w:r>
              <w:rPr>
                <w:rFonts w:hint="eastAsia" w:ascii="Times New Roman" w:hAnsi="Times New Roman" w:eastAsia="宋体" w:cs="Times New Roman"/>
                <w:color w:val="auto"/>
                <w:kern w:val="0"/>
                <w:sz w:val="24"/>
                <w:lang w:val="en-US" w:eastAsia="zh-CN"/>
              </w:rPr>
              <w:t>保护</w:t>
            </w:r>
            <w:r>
              <w:rPr>
                <w:rFonts w:hint="default" w:ascii="Times New Roman" w:hAnsi="Times New Roman" w:eastAsia="宋体" w:cs="Times New Roman"/>
                <w:color w:val="auto"/>
                <w:kern w:val="0"/>
                <w:sz w:val="24"/>
              </w:rPr>
              <w:t>红线</w:t>
            </w:r>
          </w:p>
          <w:p w14:paraId="3D3A7451">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color w:val="auto"/>
                <w:sz w:val="24"/>
                <w:highlight w:val="none"/>
              </w:rPr>
              <w:t>根据《自治区人民政府关于发布宁夏回族自治区生态保护红线的通知》（宁政发</w:t>
            </w:r>
            <w:r>
              <w:rPr>
                <w:rFonts w:hint="eastAsia"/>
                <w:color w:val="auto"/>
                <w:sz w:val="24"/>
                <w:highlight w:val="none"/>
              </w:rPr>
              <w:t>〔</w:t>
            </w:r>
            <w:r>
              <w:rPr>
                <w:color w:val="auto"/>
                <w:sz w:val="24"/>
                <w:highlight w:val="none"/>
              </w:rPr>
              <w:t>2018</w:t>
            </w:r>
            <w:r>
              <w:rPr>
                <w:rFonts w:hint="eastAsia"/>
                <w:color w:val="auto"/>
                <w:sz w:val="24"/>
                <w:highlight w:val="none"/>
              </w:rPr>
              <w:t>〕</w:t>
            </w:r>
            <w:r>
              <w:rPr>
                <w:color w:val="auto"/>
                <w:sz w:val="24"/>
                <w:highlight w:val="none"/>
              </w:rPr>
              <w:t>23号）及</w:t>
            </w:r>
            <w:r>
              <w:rPr>
                <w:rFonts w:hint="eastAsia"/>
                <w:color w:val="auto"/>
                <w:kern w:val="0"/>
                <w:sz w:val="24"/>
                <w:highlight w:val="none"/>
              </w:rPr>
              <w:t>《固原市生态环境分区管控实施方案》</w:t>
            </w:r>
            <w:r>
              <w:rPr>
                <w:rFonts w:hint="eastAsia"/>
                <w:color w:val="auto"/>
                <w:sz w:val="24"/>
                <w:highlight w:val="none"/>
              </w:rPr>
              <w:t>（固政规发〔2024〕28号）</w:t>
            </w:r>
            <w:r>
              <w:rPr>
                <w:color w:val="auto"/>
                <w:sz w:val="24"/>
                <w:highlight w:val="none"/>
              </w:rPr>
              <w:t>文件要求，本项目位于</w:t>
            </w:r>
            <w:r>
              <w:rPr>
                <w:rFonts w:hint="eastAsia" w:ascii="Times New Roman" w:hAnsi="Times New Roman" w:eastAsia="宋体" w:cs="Times New Roman"/>
                <w:color w:val="auto"/>
                <w:kern w:val="0"/>
                <w:sz w:val="24"/>
                <w:lang w:val="en-US" w:eastAsia="zh-CN"/>
              </w:rPr>
              <w:t>固原市固原经济开发区内</w:t>
            </w:r>
            <w:r>
              <w:rPr>
                <w:rFonts w:hint="default"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val="en-US" w:eastAsia="zh-CN"/>
              </w:rPr>
              <w:t>用地性质为工业用地，</w:t>
            </w:r>
            <w:r>
              <w:rPr>
                <w:rFonts w:hint="default" w:ascii="Times New Roman" w:hAnsi="Times New Roman" w:eastAsia="宋体" w:cs="Times New Roman"/>
                <w:color w:val="auto"/>
                <w:kern w:val="0"/>
                <w:sz w:val="24"/>
              </w:rPr>
              <w:t>项目不占用生态保护红线，符合《宁夏回族自治区生态保护红线管理条例》要求。</w:t>
            </w:r>
          </w:p>
          <w:p w14:paraId="370FF1BD">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根据固政规发〔2024〕28号文件中固原市生态红线图确定，本项目不在固原市生态保护红线范围内，与固原市生态保护红线位置关系见</w:t>
            </w:r>
            <w:r>
              <w:rPr>
                <w:rFonts w:hint="eastAsia" w:ascii="Times New Roman" w:hAnsi="Times New Roman" w:eastAsia="宋体" w:cs="Times New Roman"/>
                <w:color w:val="auto"/>
                <w:sz w:val="24"/>
                <w:lang w:val="en-US" w:eastAsia="zh-CN"/>
              </w:rPr>
              <w:t>附</w:t>
            </w:r>
            <w:r>
              <w:rPr>
                <w:rFonts w:hint="default" w:ascii="Times New Roman" w:hAnsi="Times New Roman" w:eastAsia="宋体" w:cs="Times New Roman"/>
                <w:color w:val="auto"/>
                <w:sz w:val="24"/>
              </w:rPr>
              <w:t>图</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3。</w:t>
            </w:r>
          </w:p>
          <w:p w14:paraId="2A03888C">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2 \* GB2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⑵</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生态环境质量底线及分区管控符合性分析</w:t>
            </w:r>
          </w:p>
          <w:p w14:paraId="6F396E18">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1 \* GB3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①</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szCs w:val="22"/>
              </w:rPr>
              <w:t>与</w:t>
            </w:r>
            <w:r>
              <w:rPr>
                <w:rFonts w:hint="eastAsia" w:ascii="Times New Roman" w:hAnsi="Times New Roman" w:eastAsia="宋体" w:cs="Times New Roman"/>
                <w:color w:val="auto"/>
                <w:sz w:val="24"/>
                <w:szCs w:val="22"/>
                <w:lang w:val="en-US" w:eastAsia="zh-CN"/>
              </w:rPr>
              <w:t>固原市</w:t>
            </w:r>
            <w:r>
              <w:rPr>
                <w:rFonts w:hint="default" w:ascii="Times New Roman" w:hAnsi="Times New Roman" w:eastAsia="宋体" w:cs="Times New Roman"/>
                <w:color w:val="auto"/>
                <w:sz w:val="24"/>
              </w:rPr>
              <w:t>水环境质量底线及分区管控符合性分析</w:t>
            </w:r>
          </w:p>
          <w:p w14:paraId="69DC973A">
            <w:pPr>
              <w:autoSpaceDE w:val="0"/>
              <w:autoSpaceDN w:val="0"/>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水环境质量底线：本项目评价区域内</w:t>
            </w:r>
            <w:r>
              <w:rPr>
                <w:rFonts w:hint="eastAsia" w:ascii="Times New Roman" w:hAnsi="Times New Roman" w:eastAsia="宋体" w:cs="Times New Roman"/>
                <w:color w:val="auto"/>
                <w:sz w:val="24"/>
                <w:lang w:val="en-US" w:eastAsia="zh-CN"/>
              </w:rPr>
              <w:t>主要地表水体为冬至河，2025年、2035年冬至河入清水河区控</w:t>
            </w:r>
            <w:r>
              <w:rPr>
                <w:rFonts w:hint="eastAsia" w:ascii="Times New Roman" w:hAnsi="Times New Roman" w:eastAsia="宋体" w:cs="Times New Roman"/>
                <w:color w:val="auto"/>
                <w:sz w:val="24"/>
              </w:rPr>
              <w:t>断面</w:t>
            </w:r>
            <w:r>
              <w:rPr>
                <w:rFonts w:hint="eastAsia" w:ascii="Times New Roman" w:hAnsi="Times New Roman" w:eastAsia="宋体" w:cs="Times New Roman"/>
                <w:color w:val="auto"/>
                <w:sz w:val="24"/>
                <w:lang w:val="en-US" w:eastAsia="zh-CN"/>
              </w:rPr>
              <w:t>水质目标为</w:t>
            </w:r>
            <w:r>
              <w:rPr>
                <w:rFonts w:hint="default" w:ascii="Times New Roman" w:hAnsi="Times New Roman" w:eastAsia="宋体" w:cs="Times New Roman"/>
                <w:color w:val="auto"/>
                <w:sz w:val="24"/>
                <w:lang w:val="en-US" w:eastAsia="zh-CN"/>
              </w:rPr>
              <w:t>Ⅳ类，</w:t>
            </w:r>
            <w:r>
              <w:rPr>
                <w:rFonts w:hint="eastAsia" w:ascii="Times New Roman" w:hAnsi="Times New Roman" w:eastAsia="宋体" w:cs="Times New Roman"/>
                <w:color w:val="auto"/>
                <w:sz w:val="24"/>
                <w:lang w:val="en-US" w:eastAsia="zh-CN"/>
              </w:rPr>
              <w:t>2024年冬至河入清水河</w:t>
            </w:r>
            <w:r>
              <w:rPr>
                <w:rFonts w:hint="eastAsia" w:ascii="Times New Roman" w:hAnsi="Times New Roman" w:eastAsia="宋体" w:cs="Times New Roman"/>
                <w:color w:val="auto"/>
                <w:sz w:val="24"/>
              </w:rPr>
              <w:t>断面</w:t>
            </w:r>
            <w:r>
              <w:rPr>
                <w:rFonts w:hint="eastAsia" w:ascii="Times New Roman" w:hAnsi="Times New Roman" w:eastAsia="宋体" w:cs="Times New Roman"/>
                <w:color w:val="auto"/>
                <w:sz w:val="24"/>
                <w:lang w:val="en-US" w:eastAsia="zh-CN"/>
              </w:rPr>
              <w:t>受上游施工影响，</w:t>
            </w:r>
            <w:r>
              <w:rPr>
                <w:rFonts w:hint="default" w:ascii="Times New Roman" w:hAnsi="Times New Roman" w:eastAsia="宋体" w:cs="Times New Roman"/>
                <w:color w:val="auto"/>
                <w:sz w:val="24"/>
                <w:lang w:val="en-US" w:eastAsia="zh-CN"/>
              </w:rPr>
              <w:t>全年断流，数据有效性不足</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本次</w:t>
            </w:r>
            <w:r>
              <w:rPr>
                <w:rFonts w:hint="default" w:ascii="Times New Roman" w:hAnsi="Times New Roman" w:eastAsia="宋体" w:cs="Times New Roman"/>
                <w:color w:val="auto"/>
                <w:sz w:val="24"/>
                <w:szCs w:val="24"/>
                <w:lang w:val="en-US" w:eastAsia="zh-CN"/>
              </w:rPr>
              <w:t>评</w:t>
            </w:r>
            <w:r>
              <w:rPr>
                <w:rFonts w:hint="eastAsia"/>
                <w:color w:val="auto"/>
                <w:sz w:val="24"/>
                <w:szCs w:val="24"/>
                <w:lang w:val="en-US" w:eastAsia="zh-CN"/>
              </w:rPr>
              <w:t>价</w:t>
            </w:r>
            <w:r>
              <w:rPr>
                <w:rFonts w:hint="default" w:ascii="Times New Roman" w:hAnsi="Times New Roman" w:eastAsia="宋体" w:cs="Times New Roman"/>
                <w:color w:val="auto"/>
                <w:sz w:val="24"/>
                <w:lang w:val="en-US" w:eastAsia="zh-CN"/>
              </w:rPr>
              <w:t>选用清水河三营国控断面，考核目标是Ⅳ类，</w:t>
            </w:r>
            <w:r>
              <w:rPr>
                <w:rFonts w:hint="default" w:ascii="Times New Roman" w:hAnsi="Times New Roman" w:cs="Times New Roman"/>
                <w:color w:val="auto"/>
                <w:sz w:val="24"/>
                <w:highlight w:val="none"/>
              </w:rPr>
              <w:t>根据《2024年宁夏生态环境质量状况》中</w:t>
            </w:r>
            <w:r>
              <w:rPr>
                <w:rFonts w:hint="eastAsia" w:ascii="Times New Roman" w:hAnsi="Times New Roman" w:cs="Times New Roman"/>
                <w:color w:val="auto"/>
                <w:sz w:val="24"/>
                <w:szCs w:val="24"/>
                <w:highlight w:val="none"/>
                <w:lang w:val="en-US" w:eastAsia="zh-CN"/>
              </w:rPr>
              <w:t>清水河</w:t>
            </w:r>
            <w:r>
              <w:rPr>
                <w:rFonts w:hint="default" w:ascii="Times New Roman" w:hAnsi="Times New Roman" w:eastAsia="宋体" w:cs="Times New Roman"/>
                <w:color w:val="auto"/>
                <w:sz w:val="24"/>
                <w:lang w:val="en-US" w:eastAsia="zh-CN"/>
              </w:rPr>
              <w:t>三营国控断面2024年水质为Ⅲ类，符合</w:t>
            </w:r>
            <w:r>
              <w:rPr>
                <w:rFonts w:hint="eastAsia" w:ascii="Times New Roman" w:hAnsi="Times New Roman" w:eastAsia="宋体" w:cs="Times New Roman"/>
                <w:color w:val="auto"/>
                <w:sz w:val="24"/>
                <w:lang w:val="en-US" w:eastAsia="zh-CN"/>
              </w:rPr>
              <w:t>水环境质量底线。</w:t>
            </w:r>
          </w:p>
          <w:p w14:paraId="1632628D">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水环境分区管控符合性分析：根据固政规发〔2024〕28号文件，本项目所在区域属于固原市水环境工业污染重点管控区，管控要求为：排放工业废水的企业应当采取有效措施，收集和处理产生的全部废水，防止污染环境。含有毒有害水污染物的工业废水应当分类收集和处理，不得稀释排放。向污水集中处理设施排放工业废水的，应当按照国家有关规定进行预处理，达到集中处理设施处理工艺要求后方可排放。对严重污染水环境的落后工艺和设备实行淘汰制度。禁止新建不符合国家产业政策的小型造纸、制革、印染、染料、炼焦、炼硫、炼砷、炼汞、炼油、电镀、农药、石棉、水泥、玻璃、钢铁、火电以及其他严重污染水环境的生产项目。新建排放重点水污染物的工业项目应当进入符合相关产业规划的工业集聚区。</w:t>
            </w:r>
          </w:p>
          <w:p w14:paraId="4D7B160F">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加快园区企业污水预处理、配套管网等设施建设，实现管网全覆盖、污水全收集、集中全处理；采取并网联通和封堵取缔等措施，</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七河</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val="en-US" w:eastAsia="zh-CN"/>
              </w:rPr>
              <w:t>流域除批准或备案的集中式污染治理设施的排污口外，一律不得新增入河直排口；深入实施马铃薯淀粉加工废水汁水还田利用。</w:t>
            </w:r>
          </w:p>
          <w:p w14:paraId="7C09B411">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本项目为</w:t>
            </w:r>
            <w:r>
              <w:rPr>
                <w:rFonts w:hint="eastAsia" w:ascii="Times New Roman" w:hAnsi="Times New Roman" w:eastAsia="宋体" w:cs="Times New Roman"/>
                <w:color w:val="auto"/>
                <w:sz w:val="24"/>
                <w:szCs w:val="24"/>
                <w:lang w:val="en-US" w:eastAsia="zh-CN"/>
              </w:rPr>
              <w:t>泡沫箱生产</w:t>
            </w:r>
            <w:r>
              <w:rPr>
                <w:rFonts w:hint="default" w:ascii="Times New Roman" w:hAnsi="Times New Roman" w:eastAsia="宋体" w:cs="Times New Roman"/>
                <w:color w:val="auto"/>
                <w:sz w:val="24"/>
                <w:szCs w:val="24"/>
              </w:rPr>
              <w:t>项目，不属于新建不符合国家产业政策的小型造纸、制革、印染、染料、炼焦、炼硫、炼砷、炼汞、炼油、电镀、农药、石棉、水泥、玻璃、钢铁、火电以及其他严重污染水环境的生产项目；</w:t>
            </w:r>
            <w:r>
              <w:rPr>
                <w:rFonts w:hint="default" w:ascii="Times New Roman" w:hAnsi="Times New Roman" w:eastAsia="宋体" w:cs="Times New Roman"/>
                <w:color w:val="auto"/>
                <w:sz w:val="24"/>
              </w:rPr>
              <w:t>项目废水主要为</w:t>
            </w:r>
            <w:r>
              <w:rPr>
                <w:rFonts w:hint="default" w:ascii="Times New Roman" w:hAnsi="Times New Roman" w:eastAsia="宋体" w:cs="Times New Roman"/>
                <w:color w:val="auto"/>
                <w:sz w:val="24"/>
                <w:lang w:val="en-US" w:eastAsia="zh-CN"/>
              </w:rPr>
              <w:t>循环冷却系统排水</w:t>
            </w:r>
            <w:r>
              <w:rPr>
                <w:rFonts w:hint="eastAsia" w:ascii="Times New Roman" w:hAnsi="Times New Roman" w:eastAsia="宋体" w:cs="Times New Roman"/>
                <w:color w:val="auto"/>
                <w:sz w:val="24"/>
                <w:lang w:val="en-US" w:eastAsia="zh-CN"/>
              </w:rPr>
              <w:t>及生活污水，生活污水经化粪池处理后汇同循环冷却系统排水排入园区污水管网，最终进入</w:t>
            </w:r>
            <w:r>
              <w:rPr>
                <w:rFonts w:hint="eastAsia" w:cs="Times New Roman"/>
                <w:color w:val="auto"/>
                <w:sz w:val="24"/>
                <w:lang w:val="en-US" w:eastAsia="zh-CN"/>
              </w:rPr>
              <w:t>固原经济技术开发区新材料产业园污水处理厂进行处理</w:t>
            </w:r>
            <w:r>
              <w:rPr>
                <w:rFonts w:hint="default" w:ascii="Times New Roman" w:hAnsi="Times New Roman" w:eastAsia="宋体" w:cs="Times New Roman"/>
                <w:color w:val="auto"/>
                <w:sz w:val="24"/>
              </w:rPr>
              <w:t>。</w:t>
            </w:r>
          </w:p>
          <w:p w14:paraId="661C12FE">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本项目与</w:t>
            </w:r>
            <w:r>
              <w:rPr>
                <w:rFonts w:hint="eastAsia" w:ascii="Times New Roman" w:hAnsi="Times New Roman" w:eastAsia="宋体" w:cs="Times New Roman"/>
                <w:color w:val="auto"/>
                <w:sz w:val="24"/>
                <w:lang w:val="en-US" w:eastAsia="zh-CN"/>
              </w:rPr>
              <w:t>固原市</w:t>
            </w:r>
            <w:r>
              <w:rPr>
                <w:rFonts w:hint="default" w:ascii="Times New Roman" w:hAnsi="Times New Roman" w:eastAsia="宋体" w:cs="Times New Roman"/>
                <w:color w:val="auto"/>
                <w:sz w:val="24"/>
              </w:rPr>
              <w:t>水环境分区管控关系图见</w:t>
            </w:r>
            <w:r>
              <w:rPr>
                <w:rFonts w:hint="eastAsia" w:ascii="Times New Roman" w:hAnsi="Times New Roman" w:eastAsia="宋体" w:cs="Times New Roman"/>
                <w:color w:val="auto"/>
                <w:sz w:val="24"/>
                <w:lang w:val="en-US" w:eastAsia="zh-CN"/>
              </w:rPr>
              <w:t>附</w:t>
            </w:r>
            <w:r>
              <w:rPr>
                <w:rFonts w:hint="default" w:ascii="Times New Roman" w:hAnsi="Times New Roman" w:eastAsia="宋体" w:cs="Times New Roman"/>
                <w:color w:val="auto"/>
                <w:sz w:val="24"/>
              </w:rPr>
              <w:t>图</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4。</w:t>
            </w:r>
          </w:p>
          <w:p w14:paraId="47F897EE">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②与</w:t>
            </w:r>
            <w:r>
              <w:rPr>
                <w:color w:val="auto"/>
                <w:sz w:val="24"/>
                <w:highlight w:val="none"/>
              </w:rPr>
              <w:t>固原市</w:t>
            </w:r>
            <w:r>
              <w:rPr>
                <w:rFonts w:hint="default" w:ascii="Times New Roman" w:hAnsi="Times New Roman" w:eastAsia="宋体" w:cs="Times New Roman"/>
                <w:color w:val="auto"/>
                <w:sz w:val="24"/>
              </w:rPr>
              <w:t>大气环境质量底线及分区管控符合性分析</w:t>
            </w:r>
          </w:p>
          <w:p w14:paraId="5009BF53">
            <w:pPr>
              <w:autoSpaceDE w:val="0"/>
              <w:autoSpaceDN w:val="0"/>
              <w:adjustRightInd w:val="0"/>
              <w:snapToGrid w:val="0"/>
              <w:spacing w:line="360" w:lineRule="auto"/>
              <w:ind w:firstLine="480" w:firstLineChars="200"/>
              <w:rPr>
                <w:color w:val="auto"/>
                <w:sz w:val="24"/>
                <w:highlight w:val="none"/>
              </w:rPr>
            </w:pPr>
            <w:r>
              <w:rPr>
                <w:color w:val="auto"/>
                <w:sz w:val="24"/>
                <w:highlight w:val="none"/>
              </w:rPr>
              <w:t>大气环境质量底线：</w:t>
            </w:r>
            <w:r>
              <w:rPr>
                <w:rFonts w:hint="eastAsia"/>
                <w:color w:val="auto"/>
                <w:sz w:val="24"/>
                <w:highlight w:val="none"/>
              </w:rPr>
              <w:t>根据</w:t>
            </w:r>
            <w:r>
              <w:rPr>
                <w:color w:val="auto"/>
                <w:sz w:val="24"/>
                <w:highlight w:val="none"/>
              </w:rPr>
              <w:t>固政发〔20</w:t>
            </w:r>
            <w:r>
              <w:rPr>
                <w:rFonts w:hint="eastAsia"/>
                <w:color w:val="auto"/>
                <w:sz w:val="24"/>
                <w:highlight w:val="none"/>
              </w:rPr>
              <w:t>24</w:t>
            </w:r>
            <w:r>
              <w:rPr>
                <w:color w:val="auto"/>
                <w:sz w:val="24"/>
                <w:highlight w:val="none"/>
              </w:rPr>
              <w:t>〕</w:t>
            </w:r>
            <w:r>
              <w:rPr>
                <w:rFonts w:hint="eastAsia"/>
                <w:color w:val="auto"/>
                <w:sz w:val="24"/>
                <w:highlight w:val="none"/>
              </w:rPr>
              <w:t>28</w:t>
            </w:r>
            <w:r>
              <w:rPr>
                <w:color w:val="auto"/>
                <w:sz w:val="24"/>
                <w:highlight w:val="none"/>
              </w:rPr>
              <w:t>号</w:t>
            </w:r>
            <w:r>
              <w:rPr>
                <w:rFonts w:hint="eastAsia"/>
                <w:color w:val="auto"/>
                <w:sz w:val="24"/>
                <w:highlight w:val="none"/>
              </w:rPr>
              <w:t>文件，固原市大气环境质量目标建议值一览表，其中，</w:t>
            </w:r>
            <w:r>
              <w:rPr>
                <w:rFonts w:hint="eastAsia"/>
                <w:color w:val="auto"/>
                <w:sz w:val="24"/>
                <w:highlight w:val="none"/>
                <w:lang w:val="en-US" w:eastAsia="zh-CN"/>
              </w:rPr>
              <w:t>2025年固原市</w:t>
            </w:r>
            <w:r>
              <w:rPr>
                <w:rFonts w:hint="eastAsia"/>
                <w:color w:val="auto"/>
                <w:sz w:val="24"/>
                <w:highlight w:val="none"/>
              </w:rPr>
              <w:t>PM</w:t>
            </w:r>
            <w:r>
              <w:rPr>
                <w:rFonts w:hint="eastAsia"/>
                <w:color w:val="auto"/>
                <w:sz w:val="24"/>
                <w:highlight w:val="none"/>
                <w:vertAlign w:val="subscript"/>
              </w:rPr>
              <w:t>2.5</w:t>
            </w:r>
            <w:r>
              <w:rPr>
                <w:rFonts w:hint="eastAsia"/>
                <w:color w:val="auto"/>
                <w:sz w:val="24"/>
                <w:highlight w:val="none"/>
              </w:rPr>
              <w:t>质量目标建议值</w:t>
            </w:r>
            <w:r>
              <w:rPr>
                <w:rFonts w:hint="eastAsia"/>
                <w:color w:val="auto"/>
                <w:sz w:val="24"/>
                <w:highlight w:val="none"/>
                <w:lang w:val="en-US" w:eastAsia="zh-CN"/>
              </w:rPr>
              <w:t>为</w:t>
            </w:r>
            <w:r>
              <w:rPr>
                <w:rFonts w:hint="eastAsia"/>
                <w:color w:val="auto"/>
                <w:sz w:val="24"/>
                <w:highlight w:val="none"/>
              </w:rPr>
              <w:t>2</w:t>
            </w:r>
            <w:r>
              <w:rPr>
                <w:rFonts w:hint="eastAsia"/>
                <w:color w:val="auto"/>
                <w:sz w:val="24"/>
                <w:highlight w:val="none"/>
                <w:lang w:val="en-US" w:eastAsia="zh-CN"/>
              </w:rPr>
              <w:t>4</w:t>
            </w:r>
            <w:r>
              <w:rPr>
                <w:color w:val="auto"/>
                <w:sz w:val="24"/>
                <w:highlight w:val="none"/>
              </w:rPr>
              <w:t>μ</w:t>
            </w:r>
            <w:r>
              <w:rPr>
                <w:rFonts w:hint="eastAsia"/>
                <w:color w:val="auto"/>
                <w:sz w:val="24"/>
                <w:highlight w:val="none"/>
              </w:rPr>
              <w:t>g/m</w:t>
            </w:r>
            <w:r>
              <w:rPr>
                <w:rFonts w:hint="eastAsia"/>
                <w:color w:val="auto"/>
                <w:sz w:val="24"/>
                <w:highlight w:val="none"/>
                <w:vertAlign w:val="superscript"/>
              </w:rPr>
              <w:t>3</w:t>
            </w:r>
            <w:r>
              <w:rPr>
                <w:rFonts w:hint="eastAsia"/>
                <w:color w:val="auto"/>
                <w:sz w:val="24"/>
                <w:highlight w:val="none"/>
              </w:rPr>
              <w:t>，PM</w:t>
            </w:r>
            <w:r>
              <w:rPr>
                <w:rFonts w:hint="eastAsia"/>
                <w:color w:val="auto"/>
                <w:sz w:val="24"/>
                <w:highlight w:val="none"/>
                <w:vertAlign w:val="subscript"/>
                <w:lang w:val="en-US" w:eastAsia="zh-CN"/>
              </w:rPr>
              <w:t>10</w:t>
            </w:r>
            <w:r>
              <w:rPr>
                <w:rFonts w:hint="eastAsia"/>
                <w:color w:val="auto"/>
                <w:sz w:val="24"/>
                <w:highlight w:val="none"/>
              </w:rPr>
              <w:t>质量目标建议值</w:t>
            </w:r>
            <w:r>
              <w:rPr>
                <w:rFonts w:hint="eastAsia"/>
                <w:color w:val="auto"/>
                <w:sz w:val="24"/>
                <w:highlight w:val="none"/>
                <w:lang w:val="en-US" w:eastAsia="zh-CN"/>
              </w:rPr>
              <w:t>为55</w:t>
            </w:r>
            <w:r>
              <w:rPr>
                <w:color w:val="auto"/>
                <w:sz w:val="24"/>
                <w:highlight w:val="none"/>
              </w:rPr>
              <w:t>μ</w:t>
            </w:r>
            <w:r>
              <w:rPr>
                <w:rFonts w:hint="eastAsia"/>
                <w:color w:val="auto"/>
                <w:sz w:val="24"/>
                <w:highlight w:val="none"/>
              </w:rPr>
              <w:t>g/m</w:t>
            </w:r>
            <w:r>
              <w:rPr>
                <w:rFonts w:hint="eastAsia"/>
                <w:color w:val="auto"/>
                <w:sz w:val="24"/>
                <w:highlight w:val="none"/>
                <w:vertAlign w:val="superscript"/>
              </w:rPr>
              <w:t>3</w:t>
            </w:r>
            <w:r>
              <w:rPr>
                <w:rFonts w:hint="eastAsia"/>
                <w:color w:val="auto"/>
                <w:sz w:val="24"/>
                <w:highlight w:val="none"/>
              </w:rPr>
              <w:t>，</w:t>
            </w:r>
            <w:r>
              <w:rPr>
                <w:color w:val="auto"/>
                <w:sz w:val="24"/>
                <w:highlight w:val="none"/>
              </w:rPr>
              <w:t>根据</w:t>
            </w:r>
            <w:r>
              <w:rPr>
                <w:color w:val="auto"/>
                <w:sz w:val="24"/>
              </w:rPr>
              <w:t>《</w:t>
            </w:r>
            <w:r>
              <w:rPr>
                <w:rFonts w:hint="eastAsia"/>
                <w:color w:val="auto"/>
                <w:sz w:val="24"/>
                <w:lang w:val="en-US" w:eastAsia="zh-CN"/>
              </w:rPr>
              <w:t>固原市生态环境质量报告书（2024年）</w:t>
            </w:r>
            <w:r>
              <w:rPr>
                <w:color w:val="auto"/>
                <w:sz w:val="24"/>
              </w:rPr>
              <w:t>》</w:t>
            </w:r>
            <w:r>
              <w:rPr>
                <w:color w:val="auto"/>
                <w:sz w:val="24"/>
                <w:highlight w:val="none"/>
              </w:rPr>
              <w:t>中</w:t>
            </w:r>
            <w:r>
              <w:rPr>
                <w:rFonts w:hint="eastAsia"/>
                <w:color w:val="auto"/>
                <w:sz w:val="24"/>
                <w:highlight w:val="none"/>
                <w:lang w:val="en-US" w:eastAsia="zh-CN"/>
              </w:rPr>
              <w:t>固原市</w:t>
            </w:r>
            <w:r>
              <w:rPr>
                <w:color w:val="auto"/>
                <w:sz w:val="24"/>
                <w:highlight w:val="none"/>
              </w:rPr>
              <w:t>监测数据（扣除沙尘实况数据）可知，</w:t>
            </w:r>
            <w:r>
              <w:rPr>
                <w:rFonts w:hint="eastAsia"/>
                <w:color w:val="auto"/>
                <w:sz w:val="24"/>
                <w:highlight w:val="none"/>
                <w:lang w:val="en-US" w:eastAsia="zh-CN"/>
              </w:rPr>
              <w:t>2024年固原市</w:t>
            </w:r>
            <w:r>
              <w:rPr>
                <w:color w:val="auto"/>
                <w:sz w:val="24"/>
                <w:highlight w:val="none"/>
              </w:rPr>
              <w:t>PM</w:t>
            </w:r>
            <w:r>
              <w:rPr>
                <w:color w:val="auto"/>
                <w:sz w:val="24"/>
                <w:highlight w:val="none"/>
                <w:vertAlign w:val="subscript"/>
              </w:rPr>
              <w:t>2.5</w:t>
            </w:r>
            <w:r>
              <w:rPr>
                <w:color w:val="auto"/>
                <w:sz w:val="24"/>
                <w:highlight w:val="none"/>
              </w:rPr>
              <w:t>年平均质量浓度为2</w:t>
            </w:r>
            <w:r>
              <w:rPr>
                <w:rFonts w:hint="eastAsia"/>
                <w:color w:val="auto"/>
                <w:sz w:val="24"/>
                <w:highlight w:val="none"/>
                <w:lang w:val="en-US" w:eastAsia="zh-CN"/>
              </w:rPr>
              <w:t>2</w:t>
            </w:r>
            <w:r>
              <w:rPr>
                <w:color w:val="auto"/>
                <w:sz w:val="24"/>
                <w:highlight w:val="none"/>
              </w:rPr>
              <w:t>μg/m</w:t>
            </w:r>
            <w:r>
              <w:rPr>
                <w:color w:val="auto"/>
                <w:sz w:val="24"/>
                <w:highlight w:val="none"/>
                <w:vertAlign w:val="superscript"/>
              </w:rPr>
              <w:t>3</w:t>
            </w:r>
            <w:r>
              <w:rPr>
                <w:color w:val="auto"/>
                <w:sz w:val="24"/>
                <w:highlight w:val="none"/>
              </w:rPr>
              <w:t>，PM</w:t>
            </w:r>
            <w:r>
              <w:rPr>
                <w:rFonts w:hint="eastAsia"/>
                <w:color w:val="auto"/>
                <w:sz w:val="24"/>
                <w:highlight w:val="none"/>
                <w:vertAlign w:val="subscript"/>
                <w:lang w:val="en-US" w:eastAsia="zh-CN"/>
              </w:rPr>
              <w:t>10</w:t>
            </w:r>
            <w:r>
              <w:rPr>
                <w:color w:val="auto"/>
                <w:sz w:val="24"/>
                <w:highlight w:val="none"/>
              </w:rPr>
              <w:t>年平均质量浓度为</w:t>
            </w:r>
            <w:r>
              <w:rPr>
                <w:rFonts w:hint="eastAsia"/>
                <w:color w:val="auto"/>
                <w:sz w:val="24"/>
                <w:highlight w:val="none"/>
                <w:lang w:val="en-US" w:eastAsia="zh-CN"/>
              </w:rPr>
              <w:t>43</w:t>
            </w:r>
            <w:r>
              <w:rPr>
                <w:color w:val="auto"/>
                <w:sz w:val="24"/>
                <w:highlight w:val="none"/>
              </w:rPr>
              <w:t>μg/m</w:t>
            </w:r>
            <w:r>
              <w:rPr>
                <w:color w:val="auto"/>
                <w:sz w:val="24"/>
                <w:highlight w:val="none"/>
                <w:vertAlign w:val="superscript"/>
              </w:rPr>
              <w:t>3</w:t>
            </w:r>
            <w:r>
              <w:rPr>
                <w:color w:val="auto"/>
                <w:sz w:val="24"/>
                <w:highlight w:val="none"/>
              </w:rPr>
              <w:t>，符合大气环</w:t>
            </w:r>
            <w:r>
              <w:rPr>
                <w:rFonts w:hint="eastAsia"/>
                <w:color w:val="auto"/>
                <w:sz w:val="24"/>
                <w:highlight w:val="none"/>
              </w:rPr>
              <w:t>境质量底线要求。</w:t>
            </w:r>
          </w:p>
          <w:p w14:paraId="69BF6B3B">
            <w:pPr>
              <w:topLinePunct/>
              <w:adjustRightInd w:val="0"/>
              <w:snapToGrid w:val="0"/>
              <w:spacing w:line="360" w:lineRule="auto"/>
              <w:ind w:firstLine="480" w:firstLineChars="200"/>
              <w:contextualSpacing/>
              <w:rPr>
                <w:rFonts w:hint="eastAsia" w:eastAsia="宋体"/>
                <w:color w:val="auto"/>
                <w:sz w:val="24"/>
                <w:highlight w:val="none"/>
                <w:lang w:eastAsia="zh-CN"/>
              </w:rPr>
            </w:pPr>
            <w:r>
              <w:rPr>
                <w:color w:val="auto"/>
                <w:sz w:val="24"/>
                <w:highlight w:val="none"/>
              </w:rPr>
              <w:t>大气环境分区管控符合性要求：本项目位于大气</w:t>
            </w:r>
            <w:r>
              <w:rPr>
                <w:rFonts w:hint="eastAsia"/>
                <w:color w:val="auto"/>
                <w:sz w:val="24"/>
                <w:highlight w:val="none"/>
              </w:rPr>
              <w:t>高排放</w:t>
            </w:r>
            <w:r>
              <w:rPr>
                <w:color w:val="auto"/>
                <w:sz w:val="24"/>
                <w:highlight w:val="none"/>
              </w:rPr>
              <w:t>重点管控区，其具体要求为：</w:t>
            </w:r>
            <w:r>
              <w:rPr>
                <w:rFonts w:hint="eastAsia"/>
                <w:color w:val="auto"/>
                <w:sz w:val="24"/>
                <w:highlight w:val="none"/>
                <w:lang w:eastAsia="zh-CN"/>
              </w:rPr>
              <w:t>“</w:t>
            </w:r>
            <w:r>
              <w:rPr>
                <w:rFonts w:hint="eastAsia"/>
                <w:color w:val="auto"/>
                <w:sz w:val="24"/>
                <w:highlight w:val="none"/>
              </w:rPr>
              <w:t>全面推进工业窑炉淘汰和深度治理，加快推进火电等重点行业排放提标改造，深化挥发性有机物治理。提高工业低碳水平，加快建材、化工等当地传统高耗能行业节能改造和清洁生产</w:t>
            </w:r>
            <w:r>
              <w:rPr>
                <w:color w:val="auto"/>
                <w:sz w:val="24"/>
                <w:highlight w:val="none"/>
              </w:rPr>
              <w:t>。</w:t>
            </w:r>
            <w:r>
              <w:rPr>
                <w:rFonts w:hint="eastAsia"/>
                <w:color w:val="auto"/>
                <w:sz w:val="24"/>
                <w:highlight w:val="none"/>
                <w:lang w:eastAsia="zh-CN"/>
              </w:rPr>
              <w:t>”</w:t>
            </w:r>
          </w:p>
          <w:p w14:paraId="3F0E357D">
            <w:p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本项目为</w:t>
            </w:r>
            <w:r>
              <w:rPr>
                <w:rFonts w:hint="eastAsia"/>
                <w:color w:val="auto"/>
                <w:sz w:val="24"/>
                <w:highlight w:val="none"/>
                <w:lang w:val="en-US" w:eastAsia="zh-CN"/>
              </w:rPr>
              <w:t>泡沫箱生产</w:t>
            </w:r>
            <w:r>
              <w:rPr>
                <w:rFonts w:hint="eastAsia"/>
                <w:color w:val="auto"/>
                <w:sz w:val="24"/>
                <w:highlight w:val="none"/>
              </w:rPr>
              <w:t>项目，不涉及工业窑炉，不属于火电等重点行业；项目运营期新增废气主要为发泡、成型工序废气、切割工序废气</w:t>
            </w:r>
            <w:r>
              <w:rPr>
                <w:rFonts w:hint="eastAsia"/>
                <w:color w:val="auto"/>
                <w:sz w:val="24"/>
                <w:highlight w:val="none"/>
                <w:lang w:eastAsia="zh-CN"/>
              </w:rPr>
              <w:t>。</w:t>
            </w:r>
            <w:r>
              <w:rPr>
                <w:rFonts w:hint="eastAsia"/>
                <w:color w:val="auto"/>
                <w:kern w:val="0"/>
                <w:sz w:val="24"/>
                <w:highlight w:val="none"/>
              </w:rPr>
              <w:t>发泡、成型工序废气</w:t>
            </w:r>
            <w:r>
              <w:rPr>
                <w:color w:val="auto"/>
                <w:kern w:val="0"/>
                <w:sz w:val="24"/>
                <w:highlight w:val="none"/>
              </w:rPr>
              <w:t>通过集气罩（收集</w:t>
            </w:r>
            <w:r>
              <w:rPr>
                <w:rFonts w:hint="eastAsia"/>
                <w:color w:val="auto"/>
                <w:kern w:val="0"/>
                <w:sz w:val="24"/>
                <w:highlight w:val="none"/>
              </w:rPr>
              <w:t>效</w:t>
            </w:r>
            <w:r>
              <w:rPr>
                <w:color w:val="auto"/>
                <w:kern w:val="0"/>
                <w:sz w:val="24"/>
                <w:highlight w:val="none"/>
              </w:rPr>
              <w:t>率9</w:t>
            </w:r>
            <w:r>
              <w:rPr>
                <w:rFonts w:hint="eastAsia"/>
                <w:color w:val="auto"/>
                <w:kern w:val="0"/>
                <w:sz w:val="24"/>
                <w:highlight w:val="none"/>
              </w:rPr>
              <w:t>0</w:t>
            </w:r>
            <w:r>
              <w:rPr>
                <w:color w:val="auto"/>
                <w:kern w:val="0"/>
                <w:sz w:val="24"/>
                <w:highlight w:val="none"/>
              </w:rPr>
              <w:t>%）收集后经</w:t>
            </w:r>
            <w:r>
              <w:rPr>
                <w:rFonts w:hint="eastAsia"/>
                <w:color w:val="auto"/>
                <w:kern w:val="0"/>
                <w:sz w:val="24"/>
                <w:highlight w:val="none"/>
                <w:lang w:eastAsia="zh-CN"/>
              </w:rPr>
              <w:t>“</w:t>
            </w:r>
            <w:r>
              <w:rPr>
                <w:rFonts w:hint="eastAsia"/>
                <w:color w:val="auto"/>
                <w:kern w:val="0"/>
                <w:sz w:val="24"/>
                <w:highlight w:val="none"/>
              </w:rPr>
              <w:t>二级活性炭吸附装置</w:t>
            </w:r>
            <w:r>
              <w:rPr>
                <w:rFonts w:hint="eastAsia"/>
                <w:color w:val="auto"/>
                <w:kern w:val="0"/>
                <w:sz w:val="24"/>
                <w:highlight w:val="none"/>
                <w:lang w:eastAsia="zh-CN"/>
              </w:rPr>
              <w:t>”</w:t>
            </w:r>
            <w:r>
              <w:rPr>
                <w:color w:val="auto"/>
                <w:kern w:val="0"/>
                <w:sz w:val="24"/>
                <w:highlight w:val="none"/>
              </w:rPr>
              <w:t>（</w:t>
            </w:r>
            <w:r>
              <w:rPr>
                <w:rFonts w:hint="eastAsia"/>
                <w:color w:val="auto"/>
                <w:kern w:val="0"/>
                <w:sz w:val="24"/>
                <w:highlight w:val="none"/>
                <w:lang w:eastAsia="zh-CN"/>
              </w:rPr>
              <w:t>处理效率75</w:t>
            </w:r>
            <w:r>
              <w:rPr>
                <w:rFonts w:hint="eastAsia"/>
                <w:color w:val="auto"/>
                <w:kern w:val="0"/>
                <w:sz w:val="24"/>
                <w:highlight w:val="none"/>
              </w:rPr>
              <w:t>%</w:t>
            </w:r>
            <w:r>
              <w:rPr>
                <w:color w:val="auto"/>
                <w:kern w:val="0"/>
                <w:sz w:val="24"/>
                <w:highlight w:val="none"/>
              </w:rPr>
              <w:t>）处理</w:t>
            </w:r>
            <w:r>
              <w:rPr>
                <w:rFonts w:hint="eastAsia"/>
                <w:color w:val="auto"/>
                <w:kern w:val="0"/>
                <w:sz w:val="24"/>
                <w:highlight w:val="none"/>
              </w:rPr>
              <w:t>，处理后</w:t>
            </w:r>
            <w:r>
              <w:rPr>
                <w:rFonts w:hint="eastAsia"/>
                <w:color w:val="auto"/>
                <w:kern w:val="0"/>
                <w:sz w:val="24"/>
                <w:highlight w:val="none"/>
                <w:lang w:val="en-US" w:eastAsia="zh-CN"/>
              </w:rPr>
              <w:t>通过2</w:t>
            </w:r>
            <w:r>
              <w:rPr>
                <w:color w:val="auto"/>
                <w:kern w:val="0"/>
                <w:sz w:val="24"/>
                <w:highlight w:val="none"/>
              </w:rPr>
              <w:t>根15m高的排气筒（</w:t>
            </w:r>
            <w:r>
              <w:rPr>
                <w:rFonts w:hint="eastAsia"/>
                <w:color w:val="auto"/>
                <w:kern w:val="0"/>
                <w:sz w:val="24"/>
                <w:highlight w:val="none"/>
                <w:lang w:val="en-US" w:eastAsia="zh-CN"/>
              </w:rPr>
              <w:t>一期DA001、二期DA002</w:t>
            </w:r>
            <w:r>
              <w:rPr>
                <w:color w:val="auto"/>
                <w:kern w:val="0"/>
                <w:sz w:val="24"/>
                <w:highlight w:val="none"/>
              </w:rPr>
              <w:t>）排放</w:t>
            </w:r>
            <w:r>
              <w:rPr>
                <w:rFonts w:hint="eastAsia"/>
                <w:color w:val="auto"/>
                <w:kern w:val="0"/>
                <w:sz w:val="24"/>
                <w:highlight w:val="none"/>
                <w:lang w:eastAsia="zh-CN"/>
              </w:rPr>
              <w:t>。</w:t>
            </w:r>
            <w:r>
              <w:rPr>
                <w:color w:val="auto"/>
                <w:kern w:val="0"/>
                <w:sz w:val="24"/>
                <w:highlight w:val="none"/>
              </w:rPr>
              <w:t>综上，项目各项废气均采取合理可行的治理措施，并可达标排放，可满足固原市</w:t>
            </w:r>
            <w:r>
              <w:rPr>
                <w:color w:val="auto"/>
                <w:sz w:val="24"/>
                <w:highlight w:val="none"/>
              </w:rPr>
              <w:t>大气环境高排放重点管控区中的管控要求。</w:t>
            </w:r>
          </w:p>
          <w:p w14:paraId="5AB53E5E">
            <w:p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本</w:t>
            </w:r>
            <w:r>
              <w:rPr>
                <w:color w:val="auto"/>
                <w:sz w:val="24"/>
                <w:highlight w:val="none"/>
              </w:rPr>
              <w:t>项目与大气环境分区管控位置关系图见</w:t>
            </w:r>
            <w:r>
              <w:rPr>
                <w:rFonts w:hint="eastAsia"/>
                <w:color w:val="auto"/>
                <w:sz w:val="24"/>
                <w:highlight w:val="none"/>
                <w:lang w:val="en-US" w:eastAsia="zh-CN"/>
              </w:rPr>
              <w:t>附</w:t>
            </w:r>
            <w:r>
              <w:rPr>
                <w:color w:val="auto"/>
                <w:sz w:val="24"/>
                <w:highlight w:val="none"/>
              </w:rPr>
              <w:t>图1-</w:t>
            </w:r>
            <w:r>
              <w:rPr>
                <w:rFonts w:hint="eastAsia"/>
                <w:color w:val="auto"/>
                <w:sz w:val="24"/>
                <w:highlight w:val="none"/>
              </w:rPr>
              <w:t>5</w:t>
            </w:r>
            <w:r>
              <w:rPr>
                <w:color w:val="auto"/>
                <w:sz w:val="24"/>
                <w:highlight w:val="none"/>
              </w:rPr>
              <w:t>。</w:t>
            </w:r>
          </w:p>
          <w:p w14:paraId="76116839">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③与</w:t>
            </w:r>
            <w:r>
              <w:rPr>
                <w:rFonts w:hint="eastAsia" w:ascii="Times New Roman" w:hAnsi="Times New Roman" w:eastAsia="宋体" w:cs="Times New Roman"/>
                <w:color w:val="auto"/>
                <w:sz w:val="24"/>
                <w:lang w:val="en-US" w:eastAsia="zh-CN"/>
              </w:rPr>
              <w:t>固原市</w:t>
            </w:r>
            <w:r>
              <w:rPr>
                <w:rFonts w:hint="default" w:ascii="Times New Roman" w:hAnsi="Times New Roman" w:eastAsia="宋体" w:cs="Times New Roman"/>
                <w:color w:val="auto"/>
                <w:sz w:val="24"/>
              </w:rPr>
              <w:t>土壤污染风险防控底线及分区管控符合性分析</w:t>
            </w:r>
          </w:p>
          <w:p w14:paraId="1A28AC24">
            <w:pPr>
              <w:autoSpaceDE w:val="0"/>
              <w:autoSpaceDN w:val="0"/>
              <w:adjustRightInd w:val="0"/>
              <w:snapToGrid w:val="0"/>
              <w:spacing w:line="360" w:lineRule="auto"/>
              <w:ind w:firstLine="480" w:firstLineChars="200"/>
              <w:rPr>
                <w:rFonts w:hint="eastAsia"/>
                <w:color w:val="auto"/>
                <w:sz w:val="24"/>
                <w:highlight w:val="none"/>
              </w:rPr>
            </w:pPr>
            <w:r>
              <w:rPr>
                <w:color w:val="auto"/>
                <w:sz w:val="24"/>
                <w:highlight w:val="none"/>
              </w:rPr>
              <w:t>土壤污染风险防控底线：根据固政发〔20</w:t>
            </w:r>
            <w:r>
              <w:rPr>
                <w:rFonts w:hint="eastAsia"/>
                <w:color w:val="auto"/>
                <w:sz w:val="24"/>
                <w:highlight w:val="none"/>
              </w:rPr>
              <w:t>24</w:t>
            </w:r>
            <w:r>
              <w:rPr>
                <w:color w:val="auto"/>
                <w:sz w:val="24"/>
                <w:highlight w:val="none"/>
              </w:rPr>
              <w:t>〕</w:t>
            </w:r>
            <w:r>
              <w:rPr>
                <w:rFonts w:hint="eastAsia"/>
                <w:color w:val="auto"/>
                <w:sz w:val="24"/>
                <w:highlight w:val="none"/>
              </w:rPr>
              <w:t>28</w:t>
            </w:r>
            <w:r>
              <w:rPr>
                <w:color w:val="auto"/>
                <w:sz w:val="24"/>
                <w:highlight w:val="none"/>
              </w:rPr>
              <w:t>号</w:t>
            </w:r>
            <w:r>
              <w:rPr>
                <w:rFonts w:hint="eastAsia"/>
                <w:color w:val="auto"/>
                <w:sz w:val="24"/>
                <w:highlight w:val="none"/>
              </w:rPr>
              <w:t>文件</w:t>
            </w:r>
            <w:r>
              <w:rPr>
                <w:color w:val="auto"/>
                <w:sz w:val="24"/>
                <w:highlight w:val="none"/>
              </w:rPr>
              <w:t>中固原市土壤污染风险管控目标，预期到2025年，</w:t>
            </w:r>
            <w:r>
              <w:rPr>
                <w:rFonts w:hint="eastAsia"/>
                <w:color w:val="auto"/>
                <w:sz w:val="24"/>
                <w:highlight w:val="none"/>
              </w:rPr>
              <w:t>全市受污染耕地安全利用率保持在100%，重点建设用地安全利用得到有效保障。本项目位于</w:t>
            </w:r>
            <w:r>
              <w:rPr>
                <w:color w:val="auto"/>
                <w:sz w:val="24"/>
                <w:highlight w:val="none"/>
              </w:rPr>
              <w:t>宁夏回族自治区固原市</w:t>
            </w:r>
            <w:r>
              <w:rPr>
                <w:rFonts w:hint="eastAsia"/>
                <w:color w:val="auto"/>
                <w:sz w:val="24"/>
                <w:highlight w:val="none"/>
                <w:lang w:val="en-US" w:eastAsia="zh-CN"/>
              </w:rPr>
              <w:t>经济开发区新材料产业</w:t>
            </w:r>
            <w:r>
              <w:rPr>
                <w:color w:val="auto"/>
                <w:kern w:val="0"/>
                <w:sz w:val="24"/>
                <w:highlight w:val="none"/>
              </w:rPr>
              <w:t>园区</w:t>
            </w:r>
            <w:r>
              <w:rPr>
                <w:rFonts w:hint="eastAsia"/>
                <w:color w:val="auto"/>
                <w:kern w:val="0"/>
                <w:sz w:val="24"/>
                <w:highlight w:val="none"/>
              </w:rPr>
              <w:t>内</w:t>
            </w:r>
            <w:r>
              <w:rPr>
                <w:rFonts w:hint="eastAsia"/>
                <w:color w:val="auto"/>
                <w:sz w:val="24"/>
                <w:highlight w:val="none"/>
              </w:rPr>
              <w:t>，不涉及土壤污染风险防控底线。</w:t>
            </w:r>
          </w:p>
          <w:p w14:paraId="3FB62F0A">
            <w:pPr>
              <w:autoSpaceDE w:val="0"/>
              <w:autoSpaceDN w:val="0"/>
              <w:adjustRightInd w:val="0"/>
              <w:snapToGrid w:val="0"/>
              <w:spacing w:line="360" w:lineRule="auto"/>
              <w:ind w:firstLine="480" w:firstLineChars="200"/>
              <w:rPr>
                <w:rFonts w:hint="eastAsia" w:eastAsia="宋体"/>
                <w:color w:val="auto"/>
                <w:sz w:val="24"/>
                <w:highlight w:val="none"/>
                <w:lang w:eastAsia="zh-CN"/>
              </w:rPr>
            </w:pPr>
            <w:r>
              <w:rPr>
                <w:color w:val="auto"/>
                <w:sz w:val="24"/>
                <w:highlight w:val="none"/>
              </w:rPr>
              <w:t>土壤环境分区管控符合性要求：本项目位于土壤环境一般管控区，其具体要求为：</w:t>
            </w:r>
            <w:r>
              <w:rPr>
                <w:rFonts w:hint="eastAsia"/>
                <w:color w:val="auto"/>
                <w:sz w:val="24"/>
                <w:highlight w:val="none"/>
                <w:lang w:eastAsia="zh-CN"/>
              </w:rPr>
              <w:t>“</w:t>
            </w:r>
            <w:r>
              <w:rPr>
                <w:color w:val="auto"/>
                <w:sz w:val="24"/>
                <w:highlight w:val="none"/>
              </w:rPr>
              <w:t>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r>
              <w:rPr>
                <w:rFonts w:hint="eastAsia"/>
                <w:color w:val="auto"/>
                <w:sz w:val="24"/>
                <w:highlight w:val="none"/>
                <w:lang w:eastAsia="zh-CN"/>
              </w:rPr>
              <w:t>”</w:t>
            </w:r>
          </w:p>
          <w:p w14:paraId="48355180">
            <w:pPr>
              <w:autoSpaceDE w:val="0"/>
              <w:autoSpaceDN w:val="0"/>
              <w:adjustRightInd w:val="0"/>
              <w:snapToGrid w:val="0"/>
              <w:spacing w:line="360" w:lineRule="auto"/>
              <w:ind w:firstLine="480" w:firstLineChars="200"/>
              <w:rPr>
                <w:color w:val="auto"/>
                <w:sz w:val="24"/>
                <w:highlight w:val="none"/>
              </w:rPr>
            </w:pPr>
            <w:r>
              <w:rPr>
                <w:color w:val="auto"/>
                <w:sz w:val="24"/>
                <w:highlight w:val="none"/>
              </w:rPr>
              <w:t>本项目为</w:t>
            </w:r>
            <w:r>
              <w:rPr>
                <w:rFonts w:hint="eastAsia"/>
                <w:color w:val="auto"/>
                <w:sz w:val="24"/>
                <w:highlight w:val="none"/>
                <w:lang w:val="en-US" w:eastAsia="zh-CN"/>
              </w:rPr>
              <w:t>泡沫箱生产</w:t>
            </w:r>
            <w:r>
              <w:rPr>
                <w:rFonts w:hint="eastAsia"/>
                <w:color w:val="auto"/>
                <w:sz w:val="24"/>
                <w:highlight w:val="none"/>
              </w:rPr>
              <w:t>项目</w:t>
            </w:r>
            <w:r>
              <w:rPr>
                <w:color w:val="auto"/>
                <w:sz w:val="24"/>
                <w:highlight w:val="none"/>
              </w:rPr>
              <w:t>，不属于有色金属冶炼、焦化等行业企业</w:t>
            </w:r>
            <w:r>
              <w:rPr>
                <w:rFonts w:hint="eastAsia"/>
                <w:color w:val="auto"/>
                <w:sz w:val="24"/>
                <w:highlight w:val="none"/>
              </w:rPr>
              <w:t>；同时，</w:t>
            </w:r>
            <w:r>
              <w:rPr>
                <w:rFonts w:hint="eastAsia"/>
                <w:color w:val="auto"/>
                <w:sz w:val="24"/>
                <w:highlight w:val="none"/>
                <w:lang w:val="en-US" w:eastAsia="zh-CN"/>
              </w:rPr>
              <w:t>项目运营期</w:t>
            </w:r>
            <w:r>
              <w:rPr>
                <w:rFonts w:hint="eastAsia"/>
                <w:color w:val="auto"/>
                <w:sz w:val="24"/>
                <w:highlight w:val="none"/>
              </w:rPr>
              <w:t>采取</w:t>
            </w:r>
            <w:r>
              <w:rPr>
                <w:color w:val="auto"/>
                <w:sz w:val="24"/>
                <w:highlight w:val="none"/>
              </w:rPr>
              <w:t>分区防渗措施</w:t>
            </w:r>
            <w:r>
              <w:rPr>
                <w:rFonts w:hint="eastAsia"/>
                <w:color w:val="auto"/>
                <w:sz w:val="24"/>
                <w:highlight w:val="none"/>
              </w:rPr>
              <w:t>，其中，危废贮存</w:t>
            </w:r>
            <w:r>
              <w:rPr>
                <w:rFonts w:hint="eastAsia"/>
                <w:color w:val="auto"/>
                <w:sz w:val="24"/>
                <w:highlight w:val="none"/>
                <w:lang w:val="en-US" w:eastAsia="zh-CN"/>
              </w:rPr>
              <w:t>点</w:t>
            </w:r>
            <w:r>
              <w:rPr>
                <w:rFonts w:hint="eastAsia"/>
                <w:color w:val="auto"/>
                <w:sz w:val="24"/>
                <w:highlight w:val="none"/>
              </w:rPr>
              <w:t>为重点防渗区，</w:t>
            </w:r>
            <w:r>
              <w:rPr>
                <w:rFonts w:hint="default"/>
                <w:color w:val="auto"/>
                <w:sz w:val="24"/>
                <w:szCs w:val="24"/>
                <w:highlight w:val="none"/>
              </w:rPr>
              <w:t>废活性炭经密封包装后、废润滑油由密闭储油桶收集后与废润滑油桶均置于托盘上</w:t>
            </w:r>
            <w:r>
              <w:rPr>
                <w:rFonts w:hint="eastAsia"/>
                <w:color w:val="auto"/>
                <w:sz w:val="24"/>
                <w:szCs w:val="24"/>
                <w:highlight w:val="none"/>
                <w:lang w:eastAsia="zh-CN"/>
              </w:rPr>
              <w:t>，</w:t>
            </w:r>
            <w:r>
              <w:rPr>
                <w:rFonts w:hint="default"/>
                <w:color w:val="auto"/>
                <w:sz w:val="24"/>
                <w:highlight w:val="none"/>
                <w:lang w:eastAsia="zh-CN"/>
              </w:rPr>
              <w:t>危险废物不与地面直接接触</w:t>
            </w:r>
            <w:r>
              <w:rPr>
                <w:rFonts w:hint="eastAsia"/>
                <w:color w:val="auto"/>
                <w:sz w:val="24"/>
                <w:highlight w:val="none"/>
                <w:lang w:eastAsia="zh-CN"/>
              </w:rPr>
              <w:t>。</w:t>
            </w:r>
            <w:r>
              <w:rPr>
                <w:rFonts w:hint="eastAsia"/>
                <w:color w:val="auto"/>
                <w:sz w:val="24"/>
                <w:highlight w:val="none"/>
              </w:rPr>
              <w:t>危废贮存</w:t>
            </w:r>
            <w:r>
              <w:rPr>
                <w:rFonts w:hint="eastAsia"/>
                <w:color w:val="auto"/>
                <w:sz w:val="24"/>
                <w:highlight w:val="none"/>
                <w:lang w:val="en-US" w:eastAsia="zh-CN"/>
              </w:rPr>
              <w:t>点</w:t>
            </w:r>
            <w:r>
              <w:rPr>
                <w:color w:val="auto"/>
                <w:sz w:val="24"/>
                <w:highlight w:val="none"/>
              </w:rPr>
              <w:t>的地面与裙脚</w:t>
            </w:r>
            <w:r>
              <w:rPr>
                <w:rFonts w:hint="eastAsia"/>
                <w:color w:val="auto"/>
                <w:sz w:val="24"/>
                <w:highlight w:val="none"/>
                <w:lang w:val="en-US" w:eastAsia="zh-CN"/>
              </w:rPr>
              <w:t>应</w:t>
            </w:r>
            <w:r>
              <w:rPr>
                <w:color w:val="auto"/>
                <w:sz w:val="24"/>
                <w:highlight w:val="none"/>
              </w:rPr>
              <w:t>采取</w:t>
            </w:r>
            <w:r>
              <w:rPr>
                <w:rFonts w:hint="eastAsia"/>
                <w:color w:val="auto"/>
                <w:sz w:val="24"/>
                <w:highlight w:val="none"/>
                <w:lang w:val="en-US" w:eastAsia="zh-CN"/>
              </w:rPr>
              <w:t>表面</w:t>
            </w:r>
            <w:r>
              <w:rPr>
                <w:color w:val="auto"/>
                <w:sz w:val="24"/>
                <w:highlight w:val="none"/>
              </w:rPr>
              <w:t>防渗措施</w:t>
            </w:r>
            <w:r>
              <w:rPr>
                <w:rFonts w:hint="eastAsia"/>
                <w:color w:val="auto"/>
                <w:sz w:val="24"/>
                <w:highlight w:val="none"/>
                <w:lang w:eastAsia="zh-CN"/>
              </w:rPr>
              <w:t>；</w:t>
            </w:r>
            <w:r>
              <w:rPr>
                <w:rFonts w:hint="eastAsia"/>
                <w:color w:val="auto"/>
                <w:sz w:val="24"/>
                <w:highlight w:val="none"/>
                <w:lang w:val="en-US" w:eastAsia="zh-CN"/>
              </w:rPr>
              <w:t>表面防渗材料应与所接触的物料或污染物相容，可采用抗渗混凝土、高密度聚乙烯膜、钠基膨润土防水毯或其他防渗性能等效的材料</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其余</w:t>
            </w:r>
            <w:r>
              <w:rPr>
                <w:color w:val="auto"/>
                <w:sz w:val="24"/>
                <w:szCs w:val="24"/>
                <w:highlight w:val="none"/>
              </w:rPr>
              <w:t>区域为简单防渗区，采取一般</w:t>
            </w:r>
            <w:r>
              <w:rPr>
                <w:rFonts w:hint="eastAsia"/>
                <w:color w:val="auto"/>
                <w:sz w:val="24"/>
                <w:szCs w:val="24"/>
                <w:highlight w:val="none"/>
                <w:lang w:eastAsia="zh-CN"/>
              </w:rPr>
              <w:t>水泥</w:t>
            </w:r>
            <w:r>
              <w:rPr>
                <w:color w:val="auto"/>
                <w:sz w:val="24"/>
                <w:szCs w:val="24"/>
                <w:highlight w:val="none"/>
              </w:rPr>
              <w:t>硬化措施</w:t>
            </w:r>
            <w:r>
              <w:rPr>
                <w:color w:val="auto"/>
                <w:sz w:val="24"/>
                <w:highlight w:val="none"/>
              </w:rPr>
              <w:t>，对土壤、地下水的影响较小。因此，本项目的建设可满足土壤环境一般管控区的要求。</w:t>
            </w:r>
          </w:p>
          <w:p w14:paraId="6D2EA54F">
            <w:pPr>
              <w:autoSpaceDE w:val="0"/>
              <w:autoSpaceDN w:val="0"/>
              <w:adjustRightInd w:val="0"/>
              <w:snapToGrid w:val="0"/>
              <w:spacing w:line="360" w:lineRule="auto"/>
              <w:ind w:firstLine="480" w:firstLineChars="200"/>
              <w:rPr>
                <w:color w:val="auto"/>
                <w:sz w:val="24"/>
                <w:highlight w:val="none"/>
              </w:rPr>
            </w:pPr>
            <w:r>
              <w:rPr>
                <w:color w:val="auto"/>
                <w:sz w:val="24"/>
                <w:highlight w:val="none"/>
              </w:rPr>
              <w:t>本项目与固原市土壤污染风险管控关系图见</w:t>
            </w:r>
            <w:r>
              <w:rPr>
                <w:rFonts w:hint="eastAsia"/>
                <w:color w:val="auto"/>
                <w:sz w:val="24"/>
                <w:highlight w:val="none"/>
                <w:lang w:val="en-US" w:eastAsia="zh-CN"/>
              </w:rPr>
              <w:t>附</w:t>
            </w:r>
            <w:r>
              <w:rPr>
                <w:color w:val="auto"/>
                <w:sz w:val="24"/>
                <w:highlight w:val="none"/>
              </w:rPr>
              <w:t>图1-</w:t>
            </w:r>
            <w:r>
              <w:rPr>
                <w:rFonts w:hint="eastAsia"/>
                <w:color w:val="auto"/>
                <w:sz w:val="24"/>
                <w:highlight w:val="none"/>
              </w:rPr>
              <w:t>6</w:t>
            </w:r>
            <w:r>
              <w:rPr>
                <w:color w:val="auto"/>
                <w:sz w:val="24"/>
                <w:highlight w:val="none"/>
              </w:rPr>
              <w:t>。</w:t>
            </w:r>
          </w:p>
          <w:p w14:paraId="4B4DD2F9">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3 \* GB2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⑶</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资源利用上线符合性分析</w:t>
            </w:r>
          </w:p>
          <w:p w14:paraId="003984E8">
            <w:pPr>
              <w:keepNext w:val="0"/>
              <w:keepLines w:val="0"/>
              <w:pageBreakBefore w:val="0"/>
              <w:suppressLineNumbers w:val="0"/>
              <w:kinsoku/>
              <w:wordWrap/>
              <w:overflowPunct/>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①能源（煤炭）资源利用上线及分区管控</w:t>
            </w:r>
          </w:p>
          <w:p w14:paraId="36535448">
            <w:pPr>
              <w:adjustRightInd w:val="0"/>
              <w:snapToGrid w:val="0"/>
              <w:spacing w:line="360" w:lineRule="auto"/>
              <w:ind w:firstLine="480" w:firstLineChars="200"/>
              <w:rPr>
                <w:rFonts w:hint="eastAsia" w:eastAsia="宋体"/>
                <w:color w:val="auto"/>
                <w:sz w:val="24"/>
                <w:highlight w:val="none"/>
                <w:lang w:eastAsia="zh-CN"/>
              </w:rPr>
            </w:pPr>
            <w:r>
              <w:rPr>
                <w:color w:val="auto"/>
                <w:sz w:val="24"/>
                <w:highlight w:val="none"/>
              </w:rPr>
              <w:t>按照《自治区人民政府关于印发宁夏回族自治区</w:t>
            </w:r>
            <w:r>
              <w:rPr>
                <w:rFonts w:hint="eastAsia"/>
                <w:color w:val="auto"/>
                <w:sz w:val="24"/>
                <w:highlight w:val="none"/>
                <w:lang w:eastAsia="zh-CN"/>
              </w:rPr>
              <w:t>“</w:t>
            </w:r>
            <w:r>
              <w:rPr>
                <w:color w:val="auto"/>
                <w:sz w:val="24"/>
                <w:highlight w:val="none"/>
              </w:rPr>
              <w:t>十四五</w:t>
            </w:r>
            <w:r>
              <w:rPr>
                <w:rFonts w:hint="eastAsia"/>
                <w:color w:val="auto"/>
                <w:sz w:val="24"/>
                <w:highlight w:val="none"/>
                <w:lang w:eastAsia="zh-CN"/>
              </w:rPr>
              <w:t>”</w:t>
            </w:r>
            <w:r>
              <w:rPr>
                <w:color w:val="auto"/>
                <w:sz w:val="24"/>
                <w:highlight w:val="none"/>
              </w:rPr>
              <w:t>节能减排综合工作实施方案的通知》（宁政发〔2022〕30号）要求，到2025年，全市单位地区生产总值能耗降低基本目标为13%，激励目标为14%。</w:t>
            </w:r>
            <w:r>
              <w:rPr>
                <w:rFonts w:hint="eastAsia"/>
                <w:color w:val="auto"/>
                <w:kern w:val="0"/>
                <w:sz w:val="24"/>
                <w:highlight w:val="none"/>
              </w:rPr>
              <w:t>《固原市生态环境分区管控实施方案》</w:t>
            </w:r>
            <w:r>
              <w:rPr>
                <w:rFonts w:hint="eastAsia"/>
                <w:color w:val="auto"/>
                <w:sz w:val="24"/>
                <w:highlight w:val="none"/>
              </w:rPr>
              <w:t>（固政规发〔2024〕28号）文件，</w:t>
            </w:r>
            <w:r>
              <w:rPr>
                <w:rFonts w:hint="eastAsia"/>
                <w:color w:val="auto"/>
                <w:kern w:val="0"/>
                <w:sz w:val="24"/>
                <w:highlight w:val="none"/>
              </w:rPr>
              <w:t>控制区内</w:t>
            </w:r>
            <w:r>
              <w:rPr>
                <w:rFonts w:hint="eastAsia"/>
                <w:color w:val="auto"/>
                <w:kern w:val="0"/>
                <w:sz w:val="24"/>
                <w:highlight w:val="none"/>
                <w:lang w:eastAsia="zh-CN"/>
              </w:rPr>
              <w:t>“</w:t>
            </w:r>
            <w:r>
              <w:rPr>
                <w:rFonts w:hint="eastAsia"/>
                <w:color w:val="auto"/>
                <w:kern w:val="0"/>
                <w:sz w:val="24"/>
                <w:highlight w:val="none"/>
              </w:rPr>
              <w:t>高污染燃料限制使用区禁止经营、使用含硫量大于0.5%、灰分大于10%的煤炭及其制品；禁止燃用石油焦、油页岩、原油、重油、渣油、煤焦油燃料。</w:t>
            </w:r>
            <w:r>
              <w:rPr>
                <w:rFonts w:hint="eastAsia"/>
                <w:color w:val="auto"/>
                <w:kern w:val="0"/>
                <w:sz w:val="24"/>
                <w:highlight w:val="none"/>
                <w:lang w:eastAsia="zh-CN"/>
              </w:rPr>
              <w:t>”</w:t>
            </w:r>
          </w:p>
          <w:p w14:paraId="6A34E1D6">
            <w:pPr>
              <w:adjustRightInd w:val="0"/>
              <w:snapToGrid w:val="0"/>
              <w:spacing w:line="360" w:lineRule="auto"/>
              <w:ind w:firstLine="480" w:firstLineChars="200"/>
              <w:rPr>
                <w:color w:val="auto"/>
                <w:sz w:val="24"/>
                <w:highlight w:val="none"/>
              </w:rPr>
            </w:pPr>
            <w:r>
              <w:rPr>
                <w:rFonts w:hint="eastAsia"/>
                <w:color w:val="auto"/>
                <w:sz w:val="24"/>
                <w:highlight w:val="none"/>
              </w:rPr>
              <w:t>经对照，</w:t>
            </w:r>
            <w:r>
              <w:rPr>
                <w:color w:val="auto"/>
                <w:sz w:val="24"/>
                <w:highlight w:val="none"/>
              </w:rPr>
              <w:t>本项目所在区域</w:t>
            </w:r>
            <w:r>
              <w:rPr>
                <w:rFonts w:hint="eastAsia"/>
                <w:color w:val="auto"/>
                <w:sz w:val="24"/>
                <w:highlight w:val="none"/>
                <w:lang w:val="en-US" w:eastAsia="zh-CN"/>
              </w:rPr>
              <w:t>不</w:t>
            </w:r>
            <w:r>
              <w:rPr>
                <w:color w:val="auto"/>
                <w:sz w:val="24"/>
                <w:highlight w:val="none"/>
              </w:rPr>
              <w:t>属于固原市高污染燃料禁燃区，项目生产过程不使用煤炭，因此符合固原市能源（煤炭）资源利用上线及分区管控要求。</w:t>
            </w:r>
          </w:p>
          <w:p w14:paraId="10D68A9C">
            <w:pPr>
              <w:adjustRightInd w:val="0"/>
              <w:snapToGrid w:val="0"/>
              <w:spacing w:line="360" w:lineRule="auto"/>
              <w:ind w:firstLine="480" w:firstLineChars="200"/>
              <w:rPr>
                <w:color w:val="auto"/>
                <w:sz w:val="24"/>
                <w:highlight w:val="none"/>
              </w:rPr>
            </w:pPr>
            <w:r>
              <w:rPr>
                <w:color w:val="auto"/>
                <w:sz w:val="24"/>
                <w:highlight w:val="none"/>
              </w:rPr>
              <w:t>本项目与固原市高污染燃料禁燃区关系图见</w:t>
            </w:r>
            <w:r>
              <w:rPr>
                <w:rFonts w:hint="eastAsia"/>
                <w:color w:val="auto"/>
                <w:sz w:val="24"/>
                <w:highlight w:val="none"/>
                <w:lang w:val="en-US" w:eastAsia="zh-CN"/>
              </w:rPr>
              <w:t>附</w:t>
            </w:r>
            <w:r>
              <w:rPr>
                <w:color w:val="auto"/>
                <w:sz w:val="24"/>
                <w:highlight w:val="none"/>
              </w:rPr>
              <w:t>图1-</w:t>
            </w:r>
            <w:r>
              <w:rPr>
                <w:rFonts w:hint="eastAsia"/>
                <w:color w:val="auto"/>
                <w:sz w:val="24"/>
                <w:highlight w:val="none"/>
              </w:rPr>
              <w:t>7</w:t>
            </w:r>
            <w:r>
              <w:rPr>
                <w:color w:val="auto"/>
                <w:sz w:val="24"/>
                <w:highlight w:val="none"/>
              </w:rPr>
              <w:t>。</w:t>
            </w:r>
          </w:p>
          <w:p w14:paraId="781811EF">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②水资源利用上线及分区管控</w:t>
            </w:r>
          </w:p>
          <w:p w14:paraId="3DB9E66F">
            <w:pPr>
              <w:autoSpaceDE w:val="0"/>
              <w:autoSpaceDN w:val="0"/>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水资源利用上线：选取用水总量、万元GDP用水量、万元工业增加值用水量以及农业灌溉水利用系数等4项约束性指标，作为水资源利用上线指标。当前，衔接《固原市国民经济和社会发展</w:t>
            </w:r>
            <w:r>
              <w:rPr>
                <w:rFonts w:hint="eastAsia"/>
                <w:color w:val="auto"/>
                <w:sz w:val="24"/>
                <w:highlight w:val="none"/>
                <w:lang w:eastAsia="zh-CN"/>
              </w:rPr>
              <w:t>“</w:t>
            </w:r>
            <w:r>
              <w:rPr>
                <w:rFonts w:hint="eastAsia"/>
                <w:color w:val="auto"/>
                <w:sz w:val="24"/>
                <w:highlight w:val="none"/>
              </w:rPr>
              <w:t>十四五</w:t>
            </w:r>
            <w:r>
              <w:rPr>
                <w:rFonts w:hint="eastAsia"/>
                <w:color w:val="auto"/>
                <w:sz w:val="24"/>
                <w:highlight w:val="none"/>
                <w:lang w:eastAsia="zh-CN"/>
              </w:rPr>
              <w:t>”</w:t>
            </w:r>
            <w:r>
              <w:rPr>
                <w:rFonts w:hint="eastAsia"/>
                <w:color w:val="auto"/>
                <w:sz w:val="24"/>
                <w:highlight w:val="none"/>
              </w:rPr>
              <w:t>规划和二〇三五年远景目标纲要》等相关规划，到2025年全市用水总量控制在2.89亿m</w:t>
            </w:r>
            <w:r>
              <w:rPr>
                <w:rFonts w:hint="eastAsia"/>
                <w:color w:val="auto"/>
                <w:sz w:val="24"/>
                <w:highlight w:val="none"/>
                <w:vertAlign w:val="superscript"/>
              </w:rPr>
              <w:t>3</w:t>
            </w:r>
            <w:r>
              <w:rPr>
                <w:rFonts w:hint="eastAsia"/>
                <w:color w:val="auto"/>
                <w:sz w:val="24"/>
                <w:highlight w:val="none"/>
              </w:rPr>
              <w:t>，单位GDP用水量较2020年下降8%，农田灌溉水有效利用系数达到0.7以上。</w:t>
            </w:r>
          </w:p>
          <w:p w14:paraId="6897CA33">
            <w:pPr>
              <w:autoSpaceDE w:val="0"/>
              <w:autoSpaceDN w:val="0"/>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水资源分区管控要求：坚持以水定城、以水定地、以水定人、以水定产，科学配置水资源，严格能耗物耗准入门槛，支撑发展刚需。细化覆盖各行业各领域的节水定额标准，对水资源超载地区实行用水和项目</w:t>
            </w:r>
            <w:r>
              <w:rPr>
                <w:rFonts w:hint="eastAsia"/>
                <w:color w:val="auto"/>
                <w:sz w:val="24"/>
                <w:highlight w:val="none"/>
                <w:lang w:eastAsia="zh-CN"/>
              </w:rPr>
              <w:t>“</w:t>
            </w:r>
            <w:r>
              <w:rPr>
                <w:rFonts w:hint="eastAsia"/>
                <w:color w:val="auto"/>
                <w:sz w:val="24"/>
                <w:highlight w:val="none"/>
              </w:rPr>
              <w:t>双限批</w:t>
            </w:r>
            <w:r>
              <w:rPr>
                <w:rFonts w:hint="eastAsia"/>
                <w:color w:val="auto"/>
                <w:sz w:val="24"/>
                <w:highlight w:val="none"/>
                <w:lang w:eastAsia="zh-CN"/>
              </w:rPr>
              <w:t>”</w:t>
            </w:r>
            <w:r>
              <w:rPr>
                <w:rFonts w:hint="eastAsia"/>
                <w:color w:val="auto"/>
                <w:sz w:val="24"/>
                <w:highlight w:val="none"/>
              </w:rPr>
              <w:t>。推广农业成套综合节水技术，大力发展节水型农业及工业、涵水型林业。实施工业节水增效行动，改造建设节水型工业园区，推动传统高耗水行业转型升级。</w:t>
            </w:r>
          </w:p>
          <w:p w14:paraId="6E5B8F62">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rPr>
            </w:pPr>
            <w:r>
              <w:rPr>
                <w:color w:val="auto"/>
                <w:sz w:val="24"/>
                <w:highlight w:val="none"/>
              </w:rPr>
              <w:t>本项目运营期</w:t>
            </w:r>
            <w:r>
              <w:rPr>
                <w:rFonts w:hint="eastAsia"/>
                <w:color w:val="auto"/>
                <w:sz w:val="24"/>
                <w:highlight w:val="none"/>
                <w:lang w:val="en-US" w:eastAsia="zh-CN"/>
              </w:rPr>
              <w:t>用水量较少，</w:t>
            </w:r>
            <w:r>
              <w:rPr>
                <w:rFonts w:hint="eastAsia"/>
                <w:color w:val="auto"/>
                <w:sz w:val="24"/>
                <w:highlight w:val="none"/>
              </w:rPr>
              <w:t>由</w:t>
            </w:r>
            <w:r>
              <w:rPr>
                <w:color w:val="auto"/>
                <w:sz w:val="24"/>
                <w:highlight w:val="none"/>
              </w:rPr>
              <w:t>园区供水管网</w:t>
            </w:r>
            <w:r>
              <w:rPr>
                <w:rFonts w:hint="eastAsia"/>
                <w:color w:val="auto"/>
                <w:sz w:val="24"/>
                <w:highlight w:val="none"/>
              </w:rPr>
              <w:t>提供，不涉及取用地下水，</w:t>
            </w:r>
            <w:r>
              <w:rPr>
                <w:color w:val="auto"/>
                <w:sz w:val="24"/>
                <w:highlight w:val="none"/>
              </w:rPr>
              <w:t>符合固原市水资源利用上线及分区管控要求。</w:t>
            </w:r>
          </w:p>
          <w:p w14:paraId="7F6F14B0">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③土地资源利用上线及分区管控</w:t>
            </w:r>
          </w:p>
          <w:p w14:paraId="061277E0">
            <w:pPr>
              <w:autoSpaceDE w:val="0"/>
              <w:autoSpaceDN w:val="0"/>
              <w:adjustRightInd w:val="0"/>
              <w:snapToGrid w:val="0"/>
              <w:spacing w:line="360" w:lineRule="auto"/>
              <w:ind w:firstLine="480" w:firstLineChars="200"/>
              <w:rPr>
                <w:color w:val="auto"/>
                <w:sz w:val="24"/>
                <w:highlight w:val="none"/>
              </w:rPr>
            </w:pPr>
            <w:r>
              <w:rPr>
                <w:rFonts w:hint="eastAsia"/>
                <w:color w:val="auto"/>
                <w:sz w:val="24"/>
                <w:highlight w:val="none"/>
              </w:rPr>
              <w:t>土地资源利用上线：</w:t>
            </w:r>
            <w:r>
              <w:rPr>
                <w:color w:val="auto"/>
                <w:sz w:val="24"/>
                <w:highlight w:val="none"/>
              </w:rPr>
              <w:t>本项目位于宁夏固原经济开发区新材料产业园，根据固政发</w:t>
            </w:r>
            <w:r>
              <w:rPr>
                <w:rFonts w:hint="eastAsia"/>
                <w:color w:val="auto"/>
                <w:sz w:val="24"/>
                <w:highlight w:val="none"/>
              </w:rPr>
              <w:t>〔2024〕28号</w:t>
            </w:r>
            <w:r>
              <w:rPr>
                <w:color w:val="auto"/>
                <w:sz w:val="24"/>
                <w:highlight w:val="none"/>
              </w:rPr>
              <w:t>文件：</w:t>
            </w:r>
            <w:r>
              <w:rPr>
                <w:rFonts w:hint="eastAsia"/>
                <w:color w:val="auto"/>
                <w:sz w:val="24"/>
                <w:highlight w:val="none"/>
              </w:rPr>
              <w:t>项目</w:t>
            </w:r>
            <w:r>
              <w:rPr>
                <w:color w:val="auto"/>
                <w:sz w:val="24"/>
                <w:highlight w:val="none"/>
              </w:rPr>
              <w:t>属于土地资源重点管控区</w:t>
            </w:r>
            <w:r>
              <w:rPr>
                <w:rFonts w:hint="eastAsia"/>
                <w:color w:val="auto"/>
                <w:sz w:val="24"/>
                <w:highlight w:val="none"/>
              </w:rPr>
              <w:t>。其具体要求为：</w:t>
            </w:r>
            <w:r>
              <w:rPr>
                <w:color w:val="auto"/>
                <w:sz w:val="24"/>
                <w:highlight w:val="none"/>
              </w:rPr>
              <w:t>强化工业项目节约用地评价，严控新增建设用地规模，盘活</w:t>
            </w:r>
            <w:r>
              <w:rPr>
                <w:rFonts w:hint="eastAsia"/>
                <w:color w:val="auto"/>
                <w:sz w:val="24"/>
                <w:highlight w:val="none"/>
              </w:rPr>
              <w:t>利用批而未供和闲置土地，全面实施节地水平、产出效益双提升行动，不断提升土地利用效率。实行最严格的耕地保护制度，健全和落实耕地保护执法监管共同责任机制，严守永久基本农田，严管城镇开发边界，严格落实耕地占补平衡。</w:t>
            </w:r>
          </w:p>
          <w:p w14:paraId="1C531431">
            <w:pPr>
              <w:autoSpaceDE w:val="0"/>
              <w:autoSpaceDN w:val="0"/>
              <w:adjustRightInd w:val="0"/>
              <w:snapToGrid w:val="0"/>
              <w:spacing w:line="360" w:lineRule="auto"/>
              <w:ind w:firstLine="480" w:firstLineChars="200"/>
              <w:rPr>
                <w:color w:val="auto"/>
                <w:sz w:val="24"/>
                <w:highlight w:val="none"/>
              </w:rPr>
            </w:pPr>
            <w:r>
              <w:rPr>
                <w:rFonts w:hint="eastAsia"/>
                <w:color w:val="auto"/>
                <w:kern w:val="0"/>
                <w:sz w:val="24"/>
                <w:highlight w:val="none"/>
              </w:rPr>
              <w:t>本项目</w:t>
            </w:r>
            <w:r>
              <w:rPr>
                <w:rFonts w:hint="eastAsia"/>
                <w:color w:val="auto"/>
                <w:kern w:val="0"/>
                <w:sz w:val="24"/>
                <w:highlight w:val="none"/>
                <w:lang w:val="en-US" w:eastAsia="zh-CN"/>
              </w:rPr>
              <w:t>租赁宁夏天楹环保能源有限公司内闲置空地</w:t>
            </w:r>
            <w:r>
              <w:rPr>
                <w:rFonts w:hint="eastAsia"/>
                <w:color w:val="auto"/>
                <w:sz w:val="24"/>
                <w:highlight w:val="none"/>
              </w:rPr>
              <w:t>，</w:t>
            </w:r>
            <w:r>
              <w:rPr>
                <w:rFonts w:hint="eastAsia"/>
                <w:color w:val="auto"/>
                <w:kern w:val="0"/>
                <w:sz w:val="24"/>
                <w:highlight w:val="none"/>
              </w:rPr>
              <w:t>用地性质为工业用地，</w:t>
            </w:r>
            <w:r>
              <w:rPr>
                <w:rFonts w:hint="eastAsia"/>
                <w:color w:val="auto"/>
                <w:sz w:val="24"/>
                <w:highlight w:val="none"/>
              </w:rPr>
              <w:t>不涉及占用生态保护红线、永久基本农田等保护区域，</w:t>
            </w:r>
            <w:r>
              <w:rPr>
                <w:color w:val="auto"/>
                <w:sz w:val="24"/>
                <w:highlight w:val="none"/>
              </w:rPr>
              <w:t>符合</w:t>
            </w:r>
            <w:r>
              <w:rPr>
                <w:rFonts w:hint="eastAsia"/>
                <w:color w:val="auto"/>
                <w:sz w:val="24"/>
                <w:highlight w:val="none"/>
              </w:rPr>
              <w:t>固原市</w:t>
            </w:r>
            <w:r>
              <w:rPr>
                <w:color w:val="auto"/>
                <w:sz w:val="24"/>
                <w:highlight w:val="none"/>
              </w:rPr>
              <w:t>土地资源利用上线及分区管控要求。</w:t>
            </w:r>
          </w:p>
          <w:p w14:paraId="1A2CEF53">
            <w:pPr>
              <w:autoSpaceDE w:val="0"/>
              <w:autoSpaceDN w:val="0"/>
              <w:adjustRightInd w:val="0"/>
              <w:snapToGrid w:val="0"/>
              <w:spacing w:line="360" w:lineRule="auto"/>
              <w:ind w:firstLine="480" w:firstLineChars="200"/>
              <w:rPr>
                <w:color w:val="auto"/>
                <w:highlight w:val="none"/>
              </w:rPr>
            </w:pPr>
            <w:r>
              <w:rPr>
                <w:color w:val="auto"/>
                <w:sz w:val="24"/>
                <w:highlight w:val="none"/>
              </w:rPr>
              <w:t>本项目与</w:t>
            </w:r>
            <w:r>
              <w:rPr>
                <w:rFonts w:hint="eastAsia"/>
                <w:color w:val="auto"/>
                <w:sz w:val="24"/>
                <w:highlight w:val="none"/>
              </w:rPr>
              <w:t>固原市土地资源重点管控区</w:t>
            </w:r>
            <w:r>
              <w:rPr>
                <w:color w:val="auto"/>
                <w:sz w:val="24"/>
                <w:highlight w:val="none"/>
              </w:rPr>
              <w:t>位置关系</w:t>
            </w:r>
            <w:r>
              <w:rPr>
                <w:rFonts w:hint="eastAsia"/>
                <w:color w:val="auto"/>
                <w:sz w:val="24"/>
                <w:highlight w:val="none"/>
              </w:rPr>
              <w:t>图</w:t>
            </w:r>
            <w:r>
              <w:rPr>
                <w:color w:val="auto"/>
                <w:sz w:val="24"/>
                <w:highlight w:val="none"/>
              </w:rPr>
              <w:t>见图</w:t>
            </w:r>
            <w:r>
              <w:rPr>
                <w:rFonts w:hint="eastAsia"/>
                <w:color w:val="auto"/>
                <w:sz w:val="24"/>
                <w:highlight w:val="none"/>
              </w:rPr>
              <w:t>1-8。</w:t>
            </w:r>
          </w:p>
          <w:p w14:paraId="7760BF92">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4 \* GB2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⑷</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生态环境准入清单符合性分析</w:t>
            </w:r>
          </w:p>
          <w:p w14:paraId="2ACA52AC">
            <w:pPr>
              <w:adjustRightInd w:val="0"/>
              <w:snapToGrid w:val="0"/>
              <w:spacing w:line="360" w:lineRule="auto"/>
              <w:ind w:firstLine="480" w:firstLineChars="200"/>
              <w:rPr>
                <w:color w:val="auto"/>
                <w:sz w:val="24"/>
                <w:highlight w:val="none"/>
              </w:rPr>
            </w:pPr>
            <w:r>
              <w:rPr>
                <w:color w:val="auto"/>
                <w:sz w:val="24"/>
                <w:highlight w:val="none"/>
              </w:rPr>
              <w:t>①与固原市生态环境总体准入要求符合性分析</w:t>
            </w:r>
          </w:p>
          <w:p w14:paraId="7F65ADC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对照</w:t>
            </w:r>
            <w:r>
              <w:rPr>
                <w:rFonts w:hint="eastAsia" w:ascii="Times New Roman" w:hAnsi="Times New Roman" w:eastAsia="宋体" w:cs="Times New Roman"/>
                <w:color w:val="auto"/>
                <w:sz w:val="24"/>
                <w:szCs w:val="24"/>
                <w:lang w:val="en-US" w:eastAsia="zh-CN"/>
              </w:rPr>
              <w:t>固原市</w:t>
            </w:r>
            <w:r>
              <w:rPr>
                <w:rFonts w:hint="default" w:ascii="Times New Roman" w:hAnsi="Times New Roman" w:eastAsia="宋体" w:cs="Times New Roman"/>
                <w:color w:val="auto"/>
                <w:sz w:val="24"/>
                <w:szCs w:val="24"/>
              </w:rPr>
              <w:t>环境管控单元图，本项目所处区域为重点管控单元。</w:t>
            </w:r>
            <w:r>
              <w:rPr>
                <w:rFonts w:hint="default" w:ascii="Times New Roman" w:hAnsi="Times New Roman" w:eastAsia="宋体" w:cs="Times New Roman"/>
                <w:color w:val="auto"/>
                <w:kern w:val="0"/>
                <w:sz w:val="24"/>
                <w:szCs w:val="24"/>
                <w:lang w:val="en-US" w:eastAsia="zh-CN" w:bidi="ar-SA"/>
              </w:rPr>
              <w:t>本</w:t>
            </w:r>
            <w:r>
              <w:rPr>
                <w:rFonts w:hint="default" w:ascii="Times New Roman" w:hAnsi="Times New Roman" w:eastAsia="宋体" w:cs="Times New Roman"/>
                <w:color w:val="auto"/>
                <w:kern w:val="2"/>
                <w:sz w:val="24"/>
                <w:szCs w:val="24"/>
                <w:lang w:val="en-US" w:eastAsia="zh-CN" w:bidi="ar-SA"/>
              </w:rPr>
              <w:t>项目与</w:t>
            </w:r>
            <w:r>
              <w:rPr>
                <w:rFonts w:hint="eastAsia" w:ascii="Times New Roman" w:hAnsi="Times New Roman" w:eastAsia="宋体" w:cs="Times New Roman"/>
                <w:color w:val="auto"/>
                <w:kern w:val="2"/>
                <w:sz w:val="24"/>
                <w:szCs w:val="24"/>
                <w:lang w:val="en-US" w:eastAsia="zh-CN" w:bidi="ar-SA"/>
              </w:rPr>
              <w:t>固原市</w:t>
            </w:r>
            <w:r>
              <w:rPr>
                <w:rFonts w:hint="default" w:ascii="Times New Roman" w:hAnsi="Times New Roman" w:eastAsia="宋体" w:cs="Times New Roman"/>
                <w:color w:val="auto"/>
                <w:kern w:val="2"/>
                <w:sz w:val="24"/>
                <w:szCs w:val="24"/>
                <w:lang w:val="en-US" w:eastAsia="zh-CN" w:bidi="ar-SA"/>
              </w:rPr>
              <w:t>生态环境准入清单总体要求相符性分析见表</w:t>
            </w:r>
            <w:r>
              <w:rPr>
                <w:rFonts w:hint="eastAsia" w:ascii="Times New Roman" w:hAnsi="Times New Roman" w:eastAsia="宋体" w:cs="Times New Roman"/>
                <w:color w:val="auto"/>
                <w:kern w:val="2"/>
                <w:sz w:val="24"/>
                <w:szCs w:val="24"/>
                <w:lang w:val="en-US" w:eastAsia="zh-CN" w:bidi="ar-SA"/>
              </w:rPr>
              <w:t>1-3</w:t>
            </w:r>
            <w:r>
              <w:rPr>
                <w:rFonts w:hint="default" w:ascii="Times New Roman" w:hAnsi="Times New Roman" w:eastAsia="宋体" w:cs="Times New Roman"/>
                <w:color w:val="auto"/>
                <w:kern w:val="2"/>
                <w:sz w:val="24"/>
                <w:szCs w:val="24"/>
                <w:lang w:val="en-US" w:eastAsia="zh-CN" w:bidi="ar-SA"/>
              </w:rPr>
              <w:t>，本项目与</w:t>
            </w:r>
            <w:r>
              <w:rPr>
                <w:rFonts w:hint="eastAsia" w:ascii="Times New Roman" w:hAnsi="Times New Roman" w:eastAsia="宋体" w:cs="Times New Roman"/>
                <w:color w:val="auto"/>
                <w:kern w:val="2"/>
                <w:sz w:val="24"/>
                <w:szCs w:val="24"/>
                <w:lang w:val="en-US" w:eastAsia="zh-CN" w:bidi="ar-SA"/>
              </w:rPr>
              <w:t>固原市</w:t>
            </w:r>
            <w:r>
              <w:rPr>
                <w:rFonts w:hint="default" w:ascii="Times New Roman" w:hAnsi="Times New Roman" w:eastAsia="宋体" w:cs="Times New Roman"/>
                <w:color w:val="auto"/>
                <w:kern w:val="2"/>
                <w:sz w:val="24"/>
                <w:szCs w:val="24"/>
                <w:lang w:val="en-US" w:eastAsia="zh-CN" w:bidi="ar-SA"/>
              </w:rPr>
              <w:t>生态环境分区管控单元位置关系</w:t>
            </w:r>
            <w:r>
              <w:rPr>
                <w:rFonts w:hint="eastAsia" w:ascii="Times New Roman" w:hAnsi="Times New Roman" w:eastAsia="宋体" w:cs="Times New Roman"/>
                <w:color w:val="auto"/>
                <w:kern w:val="2"/>
                <w:sz w:val="24"/>
                <w:szCs w:val="24"/>
                <w:lang w:val="en-US" w:eastAsia="zh-CN" w:bidi="ar-SA"/>
              </w:rPr>
              <w:t>见附</w:t>
            </w:r>
            <w:r>
              <w:rPr>
                <w:rFonts w:hint="default" w:ascii="Times New Roman" w:hAnsi="Times New Roman" w:eastAsia="宋体" w:cs="Times New Roman"/>
                <w:color w:val="auto"/>
                <w:kern w:val="2"/>
                <w:sz w:val="24"/>
                <w:szCs w:val="24"/>
                <w:lang w:val="en-US" w:eastAsia="zh-CN" w:bidi="ar-SA"/>
              </w:rPr>
              <w:t>图</w:t>
            </w:r>
            <w:r>
              <w:rPr>
                <w:rFonts w:hint="eastAsia" w:ascii="Times New Roman" w:hAnsi="Times New Roman" w:eastAsia="宋体" w:cs="Times New Roman"/>
                <w:color w:val="auto"/>
                <w:kern w:val="2"/>
                <w:sz w:val="24"/>
                <w:szCs w:val="24"/>
                <w:lang w:val="en-US" w:eastAsia="zh-CN" w:bidi="ar-SA"/>
              </w:rPr>
              <w:t>1-9</w:t>
            </w:r>
            <w:r>
              <w:rPr>
                <w:rFonts w:hint="default" w:ascii="Times New Roman" w:hAnsi="Times New Roman" w:eastAsia="宋体" w:cs="Times New Roman"/>
                <w:color w:val="auto"/>
                <w:kern w:val="2"/>
                <w:sz w:val="24"/>
                <w:szCs w:val="24"/>
                <w:lang w:val="en-US" w:eastAsia="zh-CN" w:bidi="ar-SA"/>
              </w:rPr>
              <w:t>。</w:t>
            </w:r>
          </w:p>
          <w:p w14:paraId="530D8859">
            <w:pPr>
              <w:rPr>
                <w:rFonts w:hint="default" w:ascii="Times New Roman" w:hAnsi="Times New Roman" w:eastAsia="宋体" w:cs="Times New Roman"/>
                <w:color w:val="auto"/>
              </w:rPr>
            </w:pPr>
          </w:p>
          <w:p w14:paraId="6E5F1BA1">
            <w:pPr>
              <w:pStyle w:val="51"/>
              <w:rPr>
                <w:rFonts w:hint="default" w:ascii="Times New Roman" w:hAnsi="Times New Roman" w:eastAsia="宋体" w:cs="Times New Roman"/>
                <w:color w:val="auto"/>
              </w:rPr>
            </w:pPr>
          </w:p>
          <w:p w14:paraId="216BDC7C">
            <w:pPr>
              <w:pStyle w:val="51"/>
              <w:rPr>
                <w:rFonts w:hint="default" w:ascii="Times New Roman" w:hAnsi="Times New Roman" w:eastAsia="宋体" w:cs="Times New Roman"/>
                <w:color w:val="auto"/>
              </w:rPr>
            </w:pPr>
          </w:p>
          <w:p w14:paraId="133D3513">
            <w:pPr>
              <w:pStyle w:val="51"/>
              <w:ind w:left="0" w:leftChars="0" w:firstLine="0" w:firstLineChars="0"/>
              <w:rPr>
                <w:rFonts w:hint="default" w:ascii="Times New Roman" w:hAnsi="Times New Roman" w:eastAsia="宋体" w:cs="Times New Roman"/>
                <w:color w:val="auto"/>
              </w:rPr>
            </w:pPr>
          </w:p>
          <w:p w14:paraId="4A4CD787">
            <w:pPr>
              <w:pStyle w:val="51"/>
              <w:ind w:left="0" w:leftChars="0" w:firstLine="0" w:firstLineChars="0"/>
              <w:rPr>
                <w:rFonts w:hint="default" w:ascii="Times New Roman" w:hAnsi="Times New Roman" w:eastAsia="宋体" w:cs="Times New Roman"/>
                <w:color w:val="auto"/>
              </w:rPr>
            </w:pPr>
          </w:p>
          <w:p w14:paraId="4C8A1E45">
            <w:pPr>
              <w:pStyle w:val="51"/>
              <w:ind w:left="0" w:leftChars="0" w:firstLine="0" w:firstLineChars="0"/>
              <w:rPr>
                <w:rFonts w:hint="default" w:ascii="Times New Roman" w:hAnsi="Times New Roman" w:eastAsia="宋体" w:cs="Times New Roman"/>
                <w:color w:val="auto"/>
              </w:rPr>
            </w:pPr>
          </w:p>
          <w:p w14:paraId="128D0EC7">
            <w:pPr>
              <w:pStyle w:val="51"/>
              <w:ind w:left="0" w:leftChars="0" w:firstLine="0" w:firstLineChars="0"/>
              <w:rPr>
                <w:rFonts w:hint="default" w:ascii="Times New Roman" w:hAnsi="Times New Roman" w:eastAsia="宋体" w:cs="Times New Roman"/>
                <w:color w:val="auto"/>
              </w:rPr>
            </w:pPr>
          </w:p>
        </w:tc>
      </w:tr>
    </w:tbl>
    <w:p w14:paraId="49D5BE6A">
      <w:pPr>
        <w:spacing w:line="360" w:lineRule="auto"/>
        <w:outlineLvl w:val="0"/>
        <w:rPr>
          <w:rFonts w:hint="default" w:ascii="Times New Roman" w:hAnsi="Times New Roman" w:eastAsia="宋体" w:cs="Times New Roman"/>
          <w:color w:val="auto"/>
          <w:sz w:val="30"/>
        </w:rPr>
        <w:sectPr>
          <w:footerReference r:id="rId5" w:type="default"/>
          <w:pgSz w:w="11906" w:h="16838"/>
          <w:pgMar w:top="1701" w:right="1531" w:bottom="1701" w:left="1531" w:header="851" w:footer="1077" w:gutter="0"/>
          <w:pgBorders w:offsetFrom="page">
            <w:top w:val="none" w:sz="0" w:space="0"/>
            <w:left w:val="none" w:sz="0" w:space="0"/>
            <w:bottom w:val="none" w:sz="0" w:space="0"/>
            <w:right w:val="none" w:sz="0" w:space="0"/>
          </w:pgBorders>
          <w:pgNumType w:start="1"/>
          <w:cols w:space="720" w:num="1"/>
          <w:docGrid w:linePitch="312" w:charSpace="0"/>
        </w:sectPr>
      </w:pP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468"/>
      </w:tblGrid>
      <w:tr w14:paraId="3E34A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46" w:hRule="atLeast"/>
          <w:jc w:val="center"/>
        </w:trPr>
        <w:tc>
          <w:tcPr>
            <w:tcW w:w="5000" w:type="pct"/>
            <w:noWrap w:val="0"/>
            <w:tcMar>
              <w:top w:w="16" w:type="dxa"/>
              <w:left w:w="16" w:type="dxa"/>
              <w:right w:w="16" w:type="dxa"/>
            </w:tcMar>
            <w:vAlign w:val="center"/>
          </w:tcPr>
          <w:p w14:paraId="0A2E6A2A">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b/>
                <w:bCs/>
                <w:color w:val="auto"/>
                <w:sz w:val="24"/>
                <w:highlight w:val="none"/>
              </w:rPr>
            </w:pPr>
            <w:r>
              <w:rPr>
                <w:bCs/>
                <w:color w:val="auto"/>
                <w:szCs w:val="21"/>
                <w:highlight w:val="none"/>
              </w:rPr>
              <w:t>表1-1</w:t>
            </w:r>
            <w:r>
              <w:rPr>
                <w:b/>
                <w:bCs/>
                <w:color w:val="auto"/>
                <w:sz w:val="24"/>
                <w:highlight w:val="none"/>
              </w:rPr>
              <w:t xml:space="preserve">                             本项目与固原市生态环境总体准入要求符合性分析</w:t>
            </w:r>
          </w:p>
          <w:tbl>
            <w:tblPr>
              <w:tblStyle w:val="30"/>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488"/>
              <w:gridCol w:w="1110"/>
              <w:gridCol w:w="7044"/>
              <w:gridCol w:w="3881"/>
              <w:gridCol w:w="749"/>
            </w:tblGrid>
            <w:tr w14:paraId="6F4EC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602" w:type="pct"/>
                  <w:gridSpan w:val="2"/>
                  <w:noWrap w:val="0"/>
                  <w:vAlign w:val="center"/>
                </w:tcPr>
                <w:p w14:paraId="45F696C1">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管控维度</w:t>
                  </w:r>
                </w:p>
              </w:tc>
              <w:tc>
                <w:tcPr>
                  <w:tcW w:w="2653" w:type="pct"/>
                  <w:noWrap w:val="0"/>
                  <w:vAlign w:val="center"/>
                </w:tcPr>
                <w:p w14:paraId="379BF5B1">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管控要求</w:t>
                  </w:r>
                </w:p>
              </w:tc>
              <w:tc>
                <w:tcPr>
                  <w:tcW w:w="1462" w:type="pct"/>
                  <w:noWrap w:val="0"/>
                  <w:vAlign w:val="center"/>
                </w:tcPr>
                <w:p w14:paraId="3998E9A3">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w:t>
                  </w:r>
                </w:p>
              </w:tc>
              <w:tc>
                <w:tcPr>
                  <w:tcW w:w="282" w:type="pct"/>
                  <w:noWrap w:val="0"/>
                  <w:vAlign w:val="center"/>
                </w:tcPr>
                <w:p w14:paraId="49CD6C8E">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符合性</w:t>
                  </w:r>
                </w:p>
              </w:tc>
            </w:tr>
            <w:tr w14:paraId="1FCF9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3" w:type="pct"/>
                  <w:vMerge w:val="restart"/>
                  <w:noWrap w:val="0"/>
                  <w:vAlign w:val="center"/>
                </w:tcPr>
                <w:p w14:paraId="5095256D">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A1空间布局约束</w:t>
                  </w:r>
                </w:p>
              </w:tc>
              <w:tc>
                <w:tcPr>
                  <w:tcW w:w="418" w:type="pct"/>
                  <w:noWrap w:val="0"/>
                  <w:vAlign w:val="center"/>
                </w:tcPr>
                <w:p w14:paraId="0923F12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A1.1</w:t>
                  </w:r>
                </w:p>
                <w:p w14:paraId="2DB0BA0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禁止开发建设活动的要求</w:t>
                  </w:r>
                </w:p>
              </w:tc>
              <w:tc>
                <w:tcPr>
                  <w:tcW w:w="2653" w:type="pct"/>
                  <w:noWrap w:val="0"/>
                  <w:vAlign w:val="center"/>
                </w:tcPr>
                <w:p w14:paraId="4A9DB01E">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1.严禁产能过剩行业新增产能，各开发区主导产业产值占比达到60%以上，严防发达地区淘汰退出的高污染企业落户固原。</w:t>
                  </w:r>
                </w:p>
                <w:p w14:paraId="31A56BC1">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2.严禁在</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七河</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及其重点支流临岸1公里范围内新建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两高一资</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项目及相关产业园区。</w:t>
                  </w:r>
                </w:p>
                <w:p w14:paraId="7D02FB98">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3.城市建成区一律禁止新建35蒸吨/小时以下燃煤锅炉。</w:t>
                  </w:r>
                </w:p>
              </w:tc>
              <w:tc>
                <w:tcPr>
                  <w:tcW w:w="1462" w:type="pct"/>
                  <w:noWrap w:val="0"/>
                  <w:vAlign w:val="center"/>
                </w:tcPr>
                <w:p w14:paraId="0E8629A1">
                  <w:pPr>
                    <w:adjustRightInd w:val="0"/>
                    <w:snapToGrid w:val="0"/>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1.本项目不属于高污染企业，经采取相应的污染防治措施，污染物可防可控。</w:t>
                  </w:r>
                </w:p>
                <w:p w14:paraId="7DC16C79">
                  <w:pPr>
                    <w:adjustRightInd w:val="0"/>
                    <w:snapToGrid w:val="0"/>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2.本项目区域地表水体为项目东侧1.62km处的冬至河，不在“七河”及其重点支流临岸1</w:t>
                  </w:r>
                  <w:r>
                    <w:rPr>
                      <w:rFonts w:hint="eastAsia" w:cs="Times New Roman"/>
                      <w:color w:val="auto"/>
                      <w:sz w:val="21"/>
                      <w:szCs w:val="21"/>
                      <w:highlight w:val="none"/>
                      <w:lang w:val="en-US" w:eastAsia="zh-CN"/>
                    </w:rPr>
                    <w:t>km</w:t>
                  </w:r>
                  <w:r>
                    <w:rPr>
                      <w:rFonts w:hint="eastAsia" w:ascii="Times New Roman" w:hAnsi="Times New Roman" w:eastAsia="宋体" w:cs="Times New Roman"/>
                      <w:color w:val="auto"/>
                      <w:sz w:val="21"/>
                      <w:szCs w:val="21"/>
                      <w:highlight w:val="none"/>
                      <w:lang w:val="en-US" w:eastAsia="zh-CN"/>
                    </w:rPr>
                    <w:t>范围内，不属于“两高一资”项目。</w:t>
                  </w:r>
                </w:p>
                <w:p w14:paraId="76B22024">
                  <w:pPr>
                    <w:adjustRightInd w:val="0"/>
                    <w:snapToGrid w:val="0"/>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3.本项目不涉及燃煤锅炉的建设。</w:t>
                  </w:r>
                </w:p>
              </w:tc>
              <w:tc>
                <w:tcPr>
                  <w:tcW w:w="282" w:type="pct"/>
                  <w:noWrap w:val="0"/>
                  <w:vAlign w:val="center"/>
                </w:tcPr>
                <w:p w14:paraId="3B30DB53">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31261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3" w:type="pct"/>
                  <w:vMerge w:val="continue"/>
                  <w:noWrap w:val="0"/>
                  <w:vAlign w:val="center"/>
                </w:tcPr>
                <w:p w14:paraId="4F087587">
                  <w:pPr>
                    <w:adjustRightInd w:val="0"/>
                    <w:snapToGrid w:val="0"/>
                    <w:jc w:val="center"/>
                    <w:rPr>
                      <w:rFonts w:hint="default" w:ascii="Times New Roman" w:hAnsi="Times New Roman" w:eastAsia="宋体" w:cs="Times New Roman"/>
                      <w:color w:val="auto"/>
                      <w:sz w:val="21"/>
                      <w:szCs w:val="21"/>
                      <w:highlight w:val="none"/>
                    </w:rPr>
                  </w:pPr>
                </w:p>
              </w:tc>
              <w:tc>
                <w:tcPr>
                  <w:tcW w:w="418" w:type="pct"/>
                  <w:noWrap w:val="0"/>
                  <w:vAlign w:val="center"/>
                </w:tcPr>
                <w:p w14:paraId="09AB1C2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A1.2</w:t>
                  </w:r>
                </w:p>
                <w:p w14:paraId="44AB86C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限制开发建设活动的要求</w:t>
                  </w:r>
                </w:p>
              </w:tc>
              <w:tc>
                <w:tcPr>
                  <w:tcW w:w="2653" w:type="pct"/>
                  <w:noWrap w:val="0"/>
                  <w:vAlign w:val="center"/>
                </w:tcPr>
                <w:p w14:paraId="0761E979">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严格控制在优先保护类耕地集中区域新建有色金属冶炼、石油化工、化工、焦化、电镀、制革等行业企业。</w:t>
                  </w:r>
                </w:p>
              </w:tc>
              <w:tc>
                <w:tcPr>
                  <w:tcW w:w="1462" w:type="pct"/>
                  <w:noWrap w:val="0"/>
                  <w:vAlign w:val="center"/>
                </w:tcPr>
                <w:p w14:paraId="4BC4CE7A">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本项目为</w:t>
                  </w:r>
                  <w:r>
                    <w:rPr>
                      <w:rFonts w:hint="eastAsia" w:ascii="Times New Roman" w:hAnsi="Times New Roman" w:eastAsia="宋体" w:cs="Times New Roman"/>
                      <w:color w:val="auto"/>
                      <w:sz w:val="21"/>
                      <w:szCs w:val="21"/>
                      <w:highlight w:val="none"/>
                      <w:lang w:val="en-US" w:eastAsia="zh-CN"/>
                    </w:rPr>
                    <w:t>泡沫箱生产</w:t>
                  </w:r>
                  <w:r>
                    <w:rPr>
                      <w:rFonts w:hint="default" w:ascii="Times New Roman" w:hAnsi="Times New Roman" w:eastAsia="宋体" w:cs="Times New Roman"/>
                      <w:color w:val="auto"/>
                      <w:sz w:val="21"/>
                      <w:szCs w:val="21"/>
                      <w:highlight w:val="none"/>
                    </w:rPr>
                    <w:t>项目，不属于有色金属冶炼、石油化工、化工、焦化、电镀、制革等行业企业，且项目占地范围内不涉及优先保护类耕地。</w:t>
                  </w:r>
                </w:p>
              </w:tc>
              <w:tc>
                <w:tcPr>
                  <w:tcW w:w="282" w:type="pct"/>
                  <w:noWrap w:val="0"/>
                  <w:vAlign w:val="center"/>
                </w:tcPr>
                <w:p w14:paraId="54C856A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490B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83" w:type="pct"/>
                  <w:vMerge w:val="continue"/>
                  <w:noWrap w:val="0"/>
                  <w:vAlign w:val="center"/>
                </w:tcPr>
                <w:p w14:paraId="3496C4B1">
                  <w:pPr>
                    <w:adjustRightInd w:val="0"/>
                    <w:snapToGrid w:val="0"/>
                    <w:jc w:val="center"/>
                    <w:rPr>
                      <w:rFonts w:hint="default" w:ascii="Times New Roman" w:hAnsi="Times New Roman" w:eastAsia="宋体" w:cs="Times New Roman"/>
                      <w:color w:val="auto"/>
                      <w:sz w:val="21"/>
                      <w:szCs w:val="21"/>
                      <w:highlight w:val="none"/>
                    </w:rPr>
                  </w:pPr>
                </w:p>
              </w:tc>
              <w:tc>
                <w:tcPr>
                  <w:tcW w:w="418" w:type="pct"/>
                  <w:noWrap w:val="0"/>
                  <w:vAlign w:val="center"/>
                </w:tcPr>
                <w:p w14:paraId="78DD99C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A1.3</w:t>
                  </w:r>
                </w:p>
                <w:p w14:paraId="64119A3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不符合空间布局要求的活动的退出要求</w:t>
                  </w:r>
                </w:p>
              </w:tc>
              <w:tc>
                <w:tcPr>
                  <w:tcW w:w="2653" w:type="pct"/>
                  <w:noWrap w:val="0"/>
                  <w:vAlign w:val="center"/>
                </w:tcPr>
                <w:p w14:paraId="2CA1904F">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1.在一定过渡期并给予合理补偿的基础上，依法依规关闭或搬迁禁养区内确需关闭或搬迁的畜禽规模养殖场（园区）。</w:t>
                  </w:r>
                </w:p>
                <w:p w14:paraId="49379EE7">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2.对违反资源环境法律法规、规划，污染环境、破坏生态、乱采滥挖的露天矿山，依法予以关闭。对污染治理不规范的露天矿山，按照</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一矿一策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制定整治方案，依法责令停产整治。</w:t>
                  </w:r>
                </w:p>
                <w:p w14:paraId="5597B3D5">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3.对六盘山水源核心区，坚决退出旅游项目，严禁游客进入。</w:t>
                  </w:r>
                </w:p>
                <w:p w14:paraId="6BE9EC95">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4.淘汰不符合国家规定的燃煤锅炉，实现市、县（区）城区清洁取暖全覆盖。</w:t>
                  </w:r>
                </w:p>
              </w:tc>
              <w:tc>
                <w:tcPr>
                  <w:tcW w:w="1462" w:type="pct"/>
                  <w:noWrap w:val="0"/>
                  <w:vAlign w:val="center"/>
                </w:tcPr>
                <w:p w14:paraId="5B8C55C1">
                  <w:pPr>
                    <w:adjustRightInd w:val="0"/>
                    <w:snapToGrid w:val="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1.2.3.4.不涉及。</w:t>
                  </w:r>
                </w:p>
              </w:tc>
              <w:tc>
                <w:tcPr>
                  <w:tcW w:w="282" w:type="pct"/>
                  <w:noWrap w:val="0"/>
                  <w:vAlign w:val="center"/>
                </w:tcPr>
                <w:p w14:paraId="754F9BB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680E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3" w:type="pct"/>
                  <w:vMerge w:val="restart"/>
                  <w:noWrap w:val="0"/>
                  <w:vAlign w:val="center"/>
                </w:tcPr>
                <w:p w14:paraId="652855F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A2污染物排放管控</w:t>
                  </w:r>
                </w:p>
              </w:tc>
              <w:tc>
                <w:tcPr>
                  <w:tcW w:w="418" w:type="pct"/>
                  <w:noWrap w:val="0"/>
                  <w:vAlign w:val="center"/>
                </w:tcPr>
                <w:p w14:paraId="04550032">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A2.1</w:t>
                  </w:r>
                </w:p>
                <w:p w14:paraId="6B75168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允许排放量要求</w:t>
                  </w:r>
                </w:p>
              </w:tc>
              <w:tc>
                <w:tcPr>
                  <w:tcW w:w="2653" w:type="pct"/>
                  <w:noWrap w:val="0"/>
                  <w:vAlign w:val="center"/>
                </w:tcPr>
                <w:p w14:paraId="162C55ED">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1.化学需氧量、氨氮、氮氧化物、挥发性有机物减排量完成自治区下达任务。</w:t>
                  </w:r>
                </w:p>
                <w:p w14:paraId="4059F6DC">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2.严格重金属排放项目准入，坚持</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减量置换</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等量置换</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原则。</w:t>
                  </w:r>
                </w:p>
                <w:p w14:paraId="6FE984BD">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3.在</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五河</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干流已覆盖集污管网的区域配套建设污水处理设施，确保所有建制镇和中心村污水处理全覆盖。</w:t>
                  </w:r>
                </w:p>
                <w:p w14:paraId="77A5281E">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4.火电、水泥等重点行业及燃煤锅炉，严格按照大气污染物排放标准及特别排放限值要求执行。</w:t>
                  </w:r>
                </w:p>
                <w:p w14:paraId="7DA05399">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5.到2025年，全市工业固体废弃物综合利用率达到80%，中水利用率达到85%以上。</w:t>
                  </w:r>
                </w:p>
              </w:tc>
              <w:tc>
                <w:tcPr>
                  <w:tcW w:w="1462" w:type="pct"/>
                  <w:noWrap w:val="0"/>
                  <w:vAlign w:val="center"/>
                </w:tcPr>
                <w:p w14:paraId="1298750D">
                  <w:pPr>
                    <w:adjustRightInd w:val="0"/>
                    <w:snapToGrid w:val="0"/>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1.本</w:t>
                  </w:r>
                  <w:r>
                    <w:rPr>
                      <w:rFonts w:hint="default" w:ascii="Times New Roman" w:hAnsi="Times New Roman" w:eastAsia="宋体" w:cs="Times New Roman"/>
                      <w:color w:val="auto"/>
                      <w:sz w:val="21"/>
                      <w:szCs w:val="21"/>
                      <w:highlight w:val="none"/>
                    </w:rPr>
                    <w:t>项目</w:t>
                  </w:r>
                  <w:r>
                    <w:rPr>
                      <w:rFonts w:hint="eastAsia"/>
                      <w:color w:val="auto"/>
                      <w:lang w:val="en-US" w:eastAsia="zh-CN"/>
                    </w:rPr>
                    <w:t>化学需氧量、氨氮排放总量及减排量应完成自治区下达任务，不涉及氮氧化物排放</w:t>
                  </w:r>
                  <w:r>
                    <w:rPr>
                      <w:rFonts w:hint="eastAsia" w:ascii="Times New Roman" w:hAnsi="Times New Roman" w:eastAsia="宋体" w:cs="Times New Roman"/>
                      <w:color w:val="auto"/>
                      <w:sz w:val="21"/>
                      <w:szCs w:val="21"/>
                      <w:highlight w:val="none"/>
                      <w:lang w:eastAsia="zh-CN"/>
                    </w:rPr>
                    <w:t>。</w:t>
                  </w:r>
                </w:p>
                <w:p w14:paraId="13DC8A36">
                  <w:pPr>
                    <w:adjustRightInd w:val="0"/>
                    <w:snapToGrid w:val="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2.本项目不涉及重金属排放。</w:t>
                  </w:r>
                </w:p>
                <w:p w14:paraId="5EE0013D">
                  <w:pPr>
                    <w:adjustRightInd w:val="0"/>
                    <w:snapToGrid w:val="0"/>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pacing w:val="-6"/>
                      <w:sz w:val="21"/>
                      <w:szCs w:val="21"/>
                      <w:highlight w:val="none"/>
                      <w:lang w:val="en-US" w:eastAsia="zh-CN"/>
                    </w:rPr>
                    <w:t>3.</w:t>
                  </w:r>
                  <w:r>
                    <w:rPr>
                      <w:rFonts w:hint="default" w:ascii="Times New Roman" w:hAnsi="Times New Roman" w:eastAsia="宋体" w:cs="Times New Roman"/>
                      <w:color w:val="auto"/>
                      <w:spacing w:val="-6"/>
                      <w:sz w:val="21"/>
                      <w:szCs w:val="21"/>
                      <w:highlight w:val="none"/>
                    </w:rPr>
                    <w:t>本项目</w:t>
                  </w:r>
                  <w:r>
                    <w:rPr>
                      <w:rFonts w:hint="eastAsia" w:ascii="Times New Roman" w:hAnsi="Times New Roman" w:eastAsia="宋体" w:cs="Times New Roman"/>
                      <w:color w:val="auto"/>
                      <w:spacing w:val="-6"/>
                      <w:sz w:val="21"/>
                      <w:szCs w:val="21"/>
                      <w:highlight w:val="none"/>
                      <w:lang w:val="en-US" w:eastAsia="zh-CN"/>
                    </w:rPr>
                    <w:t>产生的生活污水</w:t>
                  </w:r>
                  <w:r>
                    <w:rPr>
                      <w:rFonts w:hint="eastAsia"/>
                      <w:color w:val="auto"/>
                      <w:lang w:val="en-US" w:eastAsia="zh-CN"/>
                    </w:rPr>
                    <w:t>经化粪池处理后汇同循环冷却系统排水排入园区污水管网，最终进入</w:t>
                  </w:r>
                  <w:r>
                    <w:rPr>
                      <w:rFonts w:hint="eastAsia" w:cs="Times New Roman"/>
                      <w:color w:val="auto"/>
                      <w:sz w:val="21"/>
                      <w:szCs w:val="21"/>
                      <w:highlight w:val="none"/>
                      <w:lang w:val="en-US" w:eastAsia="zh-CN"/>
                    </w:rPr>
                    <w:t>固原经济技术开发区新材料产业园污水处理厂进行处理</w:t>
                  </w:r>
                  <w:r>
                    <w:rPr>
                      <w:rFonts w:hint="eastAsia" w:ascii="Times New Roman" w:hAnsi="Times New Roman" w:eastAsia="宋体" w:cs="Times New Roman"/>
                      <w:color w:val="auto"/>
                      <w:sz w:val="21"/>
                      <w:szCs w:val="21"/>
                      <w:highlight w:val="none"/>
                      <w:lang w:eastAsia="zh-CN"/>
                    </w:rPr>
                    <w:t>。</w:t>
                  </w:r>
                </w:p>
                <w:p w14:paraId="59FC5D4A">
                  <w:pPr>
                    <w:adjustRightInd w:val="0"/>
                    <w:snapToGrid w:val="0"/>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4.本项目为泡沫箱生产项目，</w:t>
                  </w:r>
                  <w:r>
                    <w:rPr>
                      <w:rFonts w:hint="default" w:ascii="Times New Roman" w:hAnsi="Times New Roman" w:eastAsia="宋体" w:cs="Times New Roman"/>
                      <w:color w:val="auto"/>
                      <w:sz w:val="21"/>
                      <w:szCs w:val="21"/>
                      <w:highlight w:val="none"/>
                    </w:rPr>
                    <w:t>不属于火电、水泥等重点行业及燃煤锅炉</w:t>
                  </w:r>
                  <w:r>
                    <w:rPr>
                      <w:rFonts w:hint="eastAsia" w:ascii="Times New Roman" w:hAnsi="Times New Roman" w:eastAsia="宋体" w:cs="Times New Roman"/>
                      <w:color w:val="auto"/>
                      <w:sz w:val="21"/>
                      <w:szCs w:val="21"/>
                      <w:highlight w:val="none"/>
                      <w:lang w:eastAsia="zh-CN"/>
                    </w:rPr>
                    <w:t>。</w:t>
                  </w:r>
                </w:p>
                <w:p w14:paraId="37397299">
                  <w:pPr>
                    <w:adjustRightInd w:val="0"/>
                    <w:snapToGrid w:val="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5.本项目</w:t>
                  </w:r>
                  <w:r>
                    <w:rPr>
                      <w:rFonts w:hint="default" w:ascii="Times New Roman" w:hAnsi="Times New Roman" w:eastAsia="宋体" w:cs="Times New Roman"/>
                      <w:color w:val="auto"/>
                      <w:sz w:val="21"/>
                      <w:szCs w:val="21"/>
                      <w:highlight w:val="none"/>
                    </w:rPr>
                    <w:t>废包装袋、不合格品集中收集后定期由废品回收单位回收，可有效提高当地工业固体废弃物综合利用率。</w:t>
                  </w:r>
                </w:p>
              </w:tc>
              <w:tc>
                <w:tcPr>
                  <w:tcW w:w="282" w:type="pct"/>
                  <w:vMerge w:val="restart"/>
                  <w:noWrap w:val="0"/>
                  <w:vAlign w:val="center"/>
                </w:tcPr>
                <w:p w14:paraId="4AAC794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2D686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3" w:type="pct"/>
                  <w:vMerge w:val="continue"/>
                  <w:noWrap w:val="0"/>
                  <w:vAlign w:val="center"/>
                </w:tcPr>
                <w:p w14:paraId="63E4948A">
                  <w:pPr>
                    <w:adjustRightInd w:val="0"/>
                    <w:snapToGrid w:val="0"/>
                    <w:jc w:val="center"/>
                    <w:rPr>
                      <w:rFonts w:hint="default" w:ascii="Times New Roman" w:hAnsi="Times New Roman" w:eastAsia="宋体" w:cs="Times New Roman"/>
                      <w:color w:val="auto"/>
                      <w:sz w:val="21"/>
                      <w:szCs w:val="21"/>
                      <w:highlight w:val="none"/>
                    </w:rPr>
                  </w:pPr>
                </w:p>
              </w:tc>
              <w:tc>
                <w:tcPr>
                  <w:tcW w:w="418" w:type="pct"/>
                  <w:noWrap w:val="0"/>
                  <w:vAlign w:val="center"/>
                </w:tcPr>
                <w:p w14:paraId="77ECFE6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A2.2</w:t>
                  </w:r>
                </w:p>
                <w:p w14:paraId="77651DF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现有资源提标升级改造</w:t>
                  </w:r>
                </w:p>
              </w:tc>
              <w:tc>
                <w:tcPr>
                  <w:tcW w:w="2653" w:type="pct"/>
                  <w:noWrap w:val="0"/>
                  <w:vAlign w:val="center"/>
                </w:tcPr>
                <w:p w14:paraId="68D03016">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1.到2025年，65蒸吨/小时及以上燃煤锅炉（含电力）全面实现超低排放；所有燃气锅炉氮氧化物排放浓度低于50毫克/立方米。</w:t>
                  </w:r>
                </w:p>
                <w:p w14:paraId="3ED107BF">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2.探索畜禽养殖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出户入园</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模式，落实</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一控两减三利用</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，减少化肥和农药使用量；实现畜禽粪便、农作物秸秆、农膜资源化利用，到2025年，农业废弃物综合利用率达到94%以上。</w:t>
                  </w:r>
                </w:p>
              </w:tc>
              <w:tc>
                <w:tcPr>
                  <w:tcW w:w="1462" w:type="pct"/>
                  <w:noWrap w:val="0"/>
                  <w:vAlign w:val="center"/>
                </w:tcPr>
                <w:p w14:paraId="474E764B">
                  <w:pPr>
                    <w:adjustRightInd w:val="0"/>
                    <w:snapToGrid w:val="0"/>
                    <w:jc w:val="left"/>
                    <w:rPr>
                      <w:rFonts w:hint="eastAsia" w:ascii="Times New Roman" w:hAnsi="Times New Roman" w:eastAsia="宋体" w:cs="Times New Roman"/>
                      <w:color w:val="auto"/>
                      <w:spacing w:val="4"/>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本项目为</w:t>
                  </w:r>
                  <w:r>
                    <w:rPr>
                      <w:rFonts w:hint="eastAsia" w:ascii="Times New Roman" w:hAnsi="Times New Roman" w:eastAsia="宋体" w:cs="Times New Roman"/>
                      <w:color w:val="auto"/>
                      <w:sz w:val="21"/>
                      <w:szCs w:val="21"/>
                      <w:highlight w:val="none"/>
                      <w:lang w:val="en-US" w:eastAsia="zh-CN"/>
                    </w:rPr>
                    <w:t>泡沫箱</w:t>
                  </w:r>
                  <w:r>
                    <w:rPr>
                      <w:rFonts w:hint="default" w:ascii="Times New Roman" w:hAnsi="Times New Roman" w:eastAsia="宋体" w:cs="Times New Roman"/>
                      <w:color w:val="auto"/>
                      <w:sz w:val="21"/>
                      <w:szCs w:val="21"/>
                      <w:highlight w:val="none"/>
                    </w:rPr>
                    <w:t>加工项目，</w:t>
                  </w:r>
                  <w:r>
                    <w:rPr>
                      <w:rFonts w:hint="eastAsia" w:ascii="Times New Roman" w:hAnsi="Times New Roman" w:eastAsia="宋体" w:cs="Times New Roman"/>
                      <w:color w:val="auto"/>
                      <w:sz w:val="21"/>
                      <w:szCs w:val="21"/>
                      <w:highlight w:val="none"/>
                      <w:lang w:val="en-US" w:eastAsia="zh-CN"/>
                    </w:rPr>
                    <w:t>生产用蒸汽外购，不涉及燃煤、燃气锅炉</w:t>
                  </w:r>
                  <w:r>
                    <w:rPr>
                      <w:rFonts w:hint="eastAsia" w:ascii="Times New Roman" w:hAnsi="Times New Roman" w:eastAsia="宋体" w:cs="Times New Roman"/>
                      <w:color w:val="auto"/>
                      <w:spacing w:val="4"/>
                      <w:sz w:val="21"/>
                      <w:szCs w:val="21"/>
                      <w:highlight w:val="none"/>
                      <w:lang w:eastAsia="zh-CN"/>
                    </w:rPr>
                    <w:t>。</w:t>
                  </w:r>
                </w:p>
                <w:p w14:paraId="47E0B3B9">
                  <w:pPr>
                    <w:adjustRightInd w:val="0"/>
                    <w:snapToGrid w:val="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pacing w:val="4"/>
                      <w:sz w:val="21"/>
                      <w:szCs w:val="21"/>
                      <w:highlight w:val="none"/>
                      <w:lang w:val="en-US" w:eastAsia="zh-CN"/>
                    </w:rPr>
                    <w:t>2.本项目</w:t>
                  </w:r>
                  <w:r>
                    <w:rPr>
                      <w:rFonts w:hint="default" w:ascii="Times New Roman" w:hAnsi="Times New Roman" w:eastAsia="宋体" w:cs="Times New Roman"/>
                      <w:color w:val="auto"/>
                      <w:sz w:val="21"/>
                      <w:szCs w:val="21"/>
                      <w:highlight w:val="none"/>
                    </w:rPr>
                    <w:t>不涉及化肥及农药的使用；不属于畜禽养殖行业。</w:t>
                  </w:r>
                </w:p>
              </w:tc>
              <w:tc>
                <w:tcPr>
                  <w:tcW w:w="282" w:type="pct"/>
                  <w:vMerge w:val="continue"/>
                  <w:noWrap w:val="0"/>
                  <w:vAlign w:val="center"/>
                </w:tcPr>
                <w:p w14:paraId="6FDEC1A5">
                  <w:pPr>
                    <w:adjustRightInd w:val="0"/>
                    <w:snapToGrid w:val="0"/>
                    <w:jc w:val="center"/>
                    <w:rPr>
                      <w:rFonts w:hint="default" w:ascii="Times New Roman" w:hAnsi="Times New Roman" w:eastAsia="宋体" w:cs="Times New Roman"/>
                      <w:color w:val="auto"/>
                      <w:sz w:val="21"/>
                      <w:szCs w:val="21"/>
                      <w:highlight w:val="none"/>
                    </w:rPr>
                  </w:pPr>
                </w:p>
              </w:tc>
            </w:tr>
            <w:tr w14:paraId="1C996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3" w:type="pct"/>
                  <w:noWrap w:val="0"/>
                  <w:vAlign w:val="center"/>
                </w:tcPr>
                <w:p w14:paraId="5094A87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A3环境风险</w:t>
                  </w:r>
                </w:p>
              </w:tc>
              <w:tc>
                <w:tcPr>
                  <w:tcW w:w="418" w:type="pct"/>
                  <w:noWrap w:val="0"/>
                  <w:vAlign w:val="center"/>
                </w:tcPr>
                <w:p w14:paraId="5671342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A3.1</w:t>
                  </w:r>
                </w:p>
                <w:p w14:paraId="22C0BAF1">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联防联控要求</w:t>
                  </w:r>
                </w:p>
              </w:tc>
              <w:tc>
                <w:tcPr>
                  <w:tcW w:w="2653" w:type="pct"/>
                  <w:noWrap w:val="0"/>
                  <w:vAlign w:val="center"/>
                </w:tcPr>
                <w:p w14:paraId="60F8E6F0">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1.开展医疗、化工、石油开采和汽修等重点行业涉及危险废物排查整治，建立健全环境风险重点管控单位名录，严控危险废物贮存环节环境风险，严禁超期、超量贮存各类危险废物。</w:t>
                  </w:r>
                </w:p>
                <w:p w14:paraId="7D91CE5E">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p w14:paraId="3B67CFE4">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3.健全突发环境事件应急预案体系，推进跨区域、跨流域环境应急联动。</w:t>
                  </w:r>
                </w:p>
              </w:tc>
              <w:tc>
                <w:tcPr>
                  <w:tcW w:w="1462" w:type="pct"/>
                  <w:noWrap w:val="0"/>
                  <w:vAlign w:val="center"/>
                </w:tcPr>
                <w:p w14:paraId="280BBCB4">
                  <w:pPr>
                    <w:pStyle w:val="10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1.2.3.不涉及。</w:t>
                  </w:r>
                </w:p>
              </w:tc>
              <w:tc>
                <w:tcPr>
                  <w:tcW w:w="282" w:type="pct"/>
                  <w:noWrap w:val="0"/>
                  <w:vAlign w:val="center"/>
                </w:tcPr>
                <w:p w14:paraId="55F7709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4B9E6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83" w:type="pct"/>
                  <w:vMerge w:val="restart"/>
                  <w:noWrap w:val="0"/>
                  <w:vAlign w:val="center"/>
                </w:tcPr>
                <w:p w14:paraId="79AB8B86">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A4资源利用效率要求</w:t>
                  </w:r>
                </w:p>
              </w:tc>
              <w:tc>
                <w:tcPr>
                  <w:tcW w:w="418" w:type="pct"/>
                  <w:noWrap w:val="0"/>
                  <w:vAlign w:val="center"/>
                </w:tcPr>
                <w:p w14:paraId="52F3C0D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A4.1</w:t>
                  </w:r>
                </w:p>
                <w:p w14:paraId="620D7D3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能源利用总量及效率要求</w:t>
                  </w:r>
                </w:p>
              </w:tc>
              <w:tc>
                <w:tcPr>
                  <w:tcW w:w="2653" w:type="pct"/>
                  <w:noWrap w:val="0"/>
                  <w:vAlign w:val="center"/>
                </w:tcPr>
                <w:p w14:paraId="029F15BB">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1.实行煤炭消费总量控制，严控高耗煤行业新增项目。</w:t>
                  </w:r>
                </w:p>
                <w:p w14:paraId="5A372DF5">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2.到2025年，全市单位地区生产总值能耗降低基本目标为13%，激励目标为14%。</w:t>
                  </w:r>
                </w:p>
              </w:tc>
              <w:tc>
                <w:tcPr>
                  <w:tcW w:w="1462" w:type="pct"/>
                  <w:noWrap w:val="0"/>
                  <w:vAlign w:val="center"/>
                </w:tcPr>
                <w:p w14:paraId="59D1BD6B">
                  <w:pPr>
                    <w:keepNext w:val="0"/>
                    <w:keepLines w:val="0"/>
                    <w:pageBreakBefore w:val="0"/>
                    <w:kinsoku/>
                    <w:wordWrap/>
                    <w:overflowPunct/>
                    <w:topLinePunct w:val="0"/>
                    <w:autoSpaceDE/>
                    <w:autoSpaceDN/>
                    <w:bidi w:val="0"/>
                    <w:adjustRightInd w:val="0"/>
                    <w:snapToGrid w:val="0"/>
                    <w:ind w:firstLine="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本项目为</w:t>
                  </w:r>
                  <w:r>
                    <w:rPr>
                      <w:rFonts w:hint="eastAsia" w:ascii="Times New Roman" w:hAnsi="Times New Roman" w:eastAsia="宋体" w:cs="Times New Roman"/>
                      <w:color w:val="auto"/>
                      <w:sz w:val="21"/>
                      <w:szCs w:val="21"/>
                      <w:highlight w:val="none"/>
                      <w:lang w:val="en-US" w:eastAsia="zh-CN"/>
                    </w:rPr>
                    <w:t>泡沫箱生产项目，</w:t>
                  </w:r>
                  <w:r>
                    <w:rPr>
                      <w:rFonts w:hint="default" w:ascii="Times New Roman" w:hAnsi="Times New Roman" w:eastAsia="宋体" w:cs="Times New Roman"/>
                      <w:color w:val="auto"/>
                      <w:sz w:val="21"/>
                      <w:szCs w:val="21"/>
                      <w:highlight w:val="none"/>
                    </w:rPr>
                    <w:t>不涉及耗煤。</w:t>
                  </w:r>
                </w:p>
                <w:p w14:paraId="5BCDD290">
                  <w:pPr>
                    <w:pStyle w:val="51"/>
                    <w:keepNext w:val="0"/>
                    <w:keepLines w:val="0"/>
                    <w:pageBreakBefore w:val="0"/>
                    <w:kinsoku/>
                    <w:wordWrap/>
                    <w:overflowPunct/>
                    <w:topLinePunct w:val="0"/>
                    <w:autoSpaceDE/>
                    <w:autoSpaceDN/>
                    <w:bidi w:val="0"/>
                    <w:adjustRightInd w:val="0"/>
                    <w:snapToGrid w:val="0"/>
                    <w:ind w:firstLine="0" w:firstLineChars="0"/>
                    <w:jc w:val="left"/>
                    <w:textAlignment w:val="auto"/>
                    <w:rPr>
                      <w:rFonts w:hint="default" w:eastAsia="宋体"/>
                      <w:color w:val="auto"/>
                      <w:lang w:val="en-US" w:eastAsia="zh-CN"/>
                    </w:rPr>
                  </w:pPr>
                  <w:r>
                    <w:rPr>
                      <w:rFonts w:hint="eastAsia" w:ascii="Times New Roman" w:hAnsi="Times New Roman" w:eastAsia="宋体" w:cs="Times New Roman"/>
                      <w:color w:val="auto"/>
                      <w:sz w:val="21"/>
                      <w:szCs w:val="21"/>
                      <w:highlight w:val="none"/>
                      <w:lang w:val="en-US" w:eastAsia="zh-CN"/>
                    </w:rPr>
                    <w:t>2.不涉及。</w:t>
                  </w:r>
                </w:p>
              </w:tc>
              <w:tc>
                <w:tcPr>
                  <w:tcW w:w="282" w:type="pct"/>
                  <w:noWrap w:val="0"/>
                  <w:vAlign w:val="center"/>
                </w:tcPr>
                <w:p w14:paraId="56BCFB3D">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435BA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3" w:type="pct"/>
                  <w:vMerge w:val="continue"/>
                  <w:noWrap w:val="0"/>
                  <w:vAlign w:val="center"/>
                </w:tcPr>
                <w:p w14:paraId="5E849361">
                  <w:pPr>
                    <w:adjustRightInd w:val="0"/>
                    <w:snapToGrid w:val="0"/>
                    <w:jc w:val="center"/>
                    <w:rPr>
                      <w:rFonts w:hint="default" w:ascii="Times New Roman" w:hAnsi="Times New Roman" w:eastAsia="宋体" w:cs="Times New Roman"/>
                      <w:color w:val="auto"/>
                      <w:sz w:val="21"/>
                      <w:szCs w:val="21"/>
                      <w:highlight w:val="none"/>
                    </w:rPr>
                  </w:pPr>
                </w:p>
              </w:tc>
              <w:tc>
                <w:tcPr>
                  <w:tcW w:w="418" w:type="pct"/>
                  <w:noWrap w:val="0"/>
                  <w:vAlign w:val="center"/>
                </w:tcPr>
                <w:p w14:paraId="69111F0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A4.2</w:t>
                  </w:r>
                </w:p>
                <w:p w14:paraId="332A213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水资源利用总量及效率要求</w:t>
                  </w:r>
                </w:p>
              </w:tc>
              <w:tc>
                <w:tcPr>
                  <w:tcW w:w="2653" w:type="pct"/>
                  <w:noWrap w:val="0"/>
                  <w:vAlign w:val="center"/>
                </w:tcPr>
                <w:p w14:paraId="53B8DE47">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1.落实节水指标纳入县（区）政绩考核，对水资源超载地区实行用水和项目</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双限批</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，到2025年全市用水总量控制在2.90亿立方米，单位GDP用水量较2020年下降13%。积极推广农业成套综合节水技术，到2025年农田灌溉水有效利用系数达到0.79。</w:t>
                  </w:r>
                </w:p>
              </w:tc>
              <w:tc>
                <w:tcPr>
                  <w:tcW w:w="1462" w:type="pct"/>
                  <w:noWrap w:val="0"/>
                  <w:vAlign w:val="center"/>
                </w:tcPr>
                <w:p w14:paraId="2F6C8341">
                  <w:pPr>
                    <w:keepNext w:val="0"/>
                    <w:keepLines w:val="0"/>
                    <w:pageBreakBefore w:val="0"/>
                    <w:kinsoku/>
                    <w:wordWrap/>
                    <w:overflowPunct/>
                    <w:topLinePunct w:val="0"/>
                    <w:autoSpaceDE/>
                    <w:autoSpaceDN/>
                    <w:bidi w:val="0"/>
                    <w:adjustRightInd w:val="0"/>
                    <w:snapToGrid w:val="0"/>
                    <w:ind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本项目不属于水资源超载地区，项目</w:t>
                  </w:r>
                  <w:r>
                    <w:rPr>
                      <w:rFonts w:hint="eastAsia" w:ascii="Times New Roman" w:hAnsi="Times New Roman" w:eastAsia="宋体" w:cs="Times New Roman"/>
                      <w:color w:val="auto"/>
                      <w:sz w:val="21"/>
                      <w:szCs w:val="21"/>
                      <w:highlight w:val="none"/>
                      <w:lang w:val="en-US" w:eastAsia="zh-CN"/>
                    </w:rPr>
                    <w:t>二期建成后全厂</w:t>
                  </w:r>
                  <w:r>
                    <w:rPr>
                      <w:rFonts w:hint="default" w:ascii="Times New Roman" w:hAnsi="Times New Roman" w:eastAsia="宋体" w:cs="Times New Roman"/>
                      <w:color w:val="auto"/>
                      <w:sz w:val="21"/>
                      <w:szCs w:val="21"/>
                      <w:highlight w:val="none"/>
                    </w:rPr>
                    <w:t>运营期</w:t>
                  </w:r>
                  <w:r>
                    <w:rPr>
                      <w:rFonts w:hint="default" w:ascii="Times New Roman" w:hAnsi="Times New Roman" w:eastAsia="宋体" w:cs="Times New Roman"/>
                      <w:bCs/>
                      <w:color w:val="auto"/>
                      <w:sz w:val="21"/>
                      <w:szCs w:val="21"/>
                      <w:highlight w:val="none"/>
                    </w:rPr>
                    <w:t>新鲜水</w:t>
                  </w:r>
                  <w:r>
                    <w:rPr>
                      <w:rFonts w:hint="default" w:ascii="Times New Roman" w:hAnsi="Times New Roman" w:eastAsia="宋体" w:cs="Times New Roman"/>
                      <w:color w:val="auto"/>
                      <w:sz w:val="21"/>
                      <w:szCs w:val="21"/>
                      <w:highlight w:val="none"/>
                    </w:rPr>
                    <w:t>用水量</w:t>
                  </w:r>
                  <w:r>
                    <w:rPr>
                      <w:rFonts w:hint="eastAsia" w:ascii="Times New Roman" w:hAnsi="Times New Roman" w:eastAsia="宋体" w:cs="Times New Roman"/>
                      <w:color w:val="auto"/>
                      <w:sz w:val="21"/>
                      <w:szCs w:val="21"/>
                      <w:highlight w:val="none"/>
                      <w:lang w:val="en-US" w:eastAsia="zh-CN"/>
                    </w:rPr>
                    <w:t>为</w:t>
                  </w:r>
                  <w:r>
                    <w:rPr>
                      <w:rFonts w:hint="eastAsia" w:cs="Times New Roman"/>
                      <w:color w:val="auto"/>
                      <w:sz w:val="21"/>
                      <w:szCs w:val="21"/>
                      <w:highlight w:val="none"/>
                      <w:lang w:val="en-US" w:eastAsia="zh-CN"/>
                    </w:rPr>
                    <w:t>530.4</w:t>
                  </w:r>
                  <w:r>
                    <w:rPr>
                      <w:rFonts w:cs="Times New Roman"/>
                      <w:b w:val="0"/>
                      <w:bCs/>
                      <w:color w:val="auto"/>
                      <w:sz w:val="21"/>
                      <w:szCs w:val="21"/>
                      <w:highlight w:val="none"/>
                      <w:shd w:val="clear" w:color="auto" w:fill="FFFFFF"/>
                      <w:lang w:val="en-US"/>
                    </w:rPr>
                    <w:t>m</w:t>
                  </w:r>
                  <w:r>
                    <w:rPr>
                      <w:rFonts w:cs="Times New Roman"/>
                      <w:b w:val="0"/>
                      <w:bCs/>
                      <w:color w:val="auto"/>
                      <w:sz w:val="21"/>
                      <w:szCs w:val="21"/>
                      <w:highlight w:val="none"/>
                      <w:shd w:val="clear" w:color="auto" w:fill="FFFFFF"/>
                      <w:vertAlign w:val="superscript"/>
                      <w:lang w:val="en-US"/>
                    </w:rPr>
                    <w:t>3</w:t>
                  </w:r>
                  <w:r>
                    <w:rPr>
                      <w:rFonts w:cs="Times New Roman"/>
                      <w:b w:val="0"/>
                      <w:bCs/>
                      <w:color w:val="auto"/>
                      <w:sz w:val="21"/>
                      <w:szCs w:val="21"/>
                      <w:highlight w:val="none"/>
                      <w:shd w:val="clear" w:color="auto" w:fill="FFFFFF"/>
                      <w:lang w:val="en-US"/>
                    </w:rPr>
                    <w:t>/a</w:t>
                  </w:r>
                  <w:r>
                    <w:rPr>
                      <w:rFonts w:hint="eastAsia" w:cs="Times New Roman"/>
                      <w:b w:val="0"/>
                      <w:bCs/>
                      <w:color w:val="auto"/>
                      <w:sz w:val="21"/>
                      <w:szCs w:val="21"/>
                      <w:highlight w:val="none"/>
                      <w:shd w:val="clear" w:color="auto" w:fill="FFFFFF"/>
                      <w:lang w:val="en-US" w:eastAsia="zh-CN"/>
                    </w:rPr>
                    <w:t>（3.54</w:t>
                  </w:r>
                  <w:r>
                    <w:rPr>
                      <w:rFonts w:cs="Times New Roman"/>
                      <w:b w:val="0"/>
                      <w:bCs/>
                      <w:color w:val="auto"/>
                      <w:sz w:val="21"/>
                      <w:szCs w:val="21"/>
                      <w:shd w:val="clear" w:color="auto" w:fill="FFFFFF"/>
                      <w:lang w:val="en-US"/>
                    </w:rPr>
                    <w:t>m</w:t>
                  </w:r>
                  <w:r>
                    <w:rPr>
                      <w:rFonts w:cs="Times New Roman"/>
                      <w:b w:val="0"/>
                      <w:bCs/>
                      <w:color w:val="auto"/>
                      <w:sz w:val="21"/>
                      <w:szCs w:val="21"/>
                      <w:shd w:val="clear" w:color="auto" w:fill="FFFFFF"/>
                      <w:vertAlign w:val="superscript"/>
                      <w:lang w:val="en-US"/>
                    </w:rPr>
                    <w:t>3</w:t>
                  </w:r>
                  <w:r>
                    <w:rPr>
                      <w:rFonts w:cs="Times New Roman"/>
                      <w:b w:val="0"/>
                      <w:bCs/>
                      <w:color w:val="auto"/>
                      <w:sz w:val="21"/>
                      <w:szCs w:val="21"/>
                      <w:shd w:val="clear" w:color="auto" w:fill="FFFFFF"/>
                      <w:lang w:val="en-US"/>
                    </w:rPr>
                    <w:t>/d</w:t>
                  </w:r>
                  <w:r>
                    <w:rPr>
                      <w:rFonts w:hint="eastAsia" w:cs="Times New Roman"/>
                      <w:b w:val="0"/>
                      <w:bCs/>
                      <w:color w:val="auto"/>
                      <w:sz w:val="21"/>
                      <w:szCs w:val="21"/>
                      <w:highlight w:val="none"/>
                      <w:shd w:val="clear" w:color="auto" w:fill="FFFFFF"/>
                      <w:lang w:val="en-US" w:eastAsia="zh-CN"/>
                    </w:rPr>
                    <w:t>）</w:t>
                  </w:r>
                  <w:r>
                    <w:rPr>
                      <w:rFonts w:hint="eastAsia" w:ascii="Times New Roman" w:hAnsi="Times New Roman" w:eastAsia="宋体" w:cs="Times New Roman"/>
                      <w:color w:val="auto"/>
                      <w:sz w:val="21"/>
                      <w:szCs w:val="21"/>
                      <w:highlight w:val="none"/>
                      <w:lang w:val="en-US" w:eastAsia="zh-CN"/>
                    </w:rPr>
                    <w:t>，用水量较少</w:t>
                  </w:r>
                  <w:r>
                    <w:rPr>
                      <w:rFonts w:hint="default" w:ascii="Times New Roman" w:hAnsi="Times New Roman" w:eastAsia="宋体" w:cs="Times New Roman"/>
                      <w:bCs/>
                      <w:color w:val="auto"/>
                      <w:sz w:val="21"/>
                      <w:szCs w:val="21"/>
                      <w:highlight w:val="none"/>
                    </w:rPr>
                    <w:t>，</w:t>
                  </w:r>
                  <w:r>
                    <w:rPr>
                      <w:rFonts w:hint="default" w:ascii="Times New Roman" w:hAnsi="Times New Roman" w:eastAsia="宋体" w:cs="Times New Roman"/>
                      <w:color w:val="auto"/>
                      <w:sz w:val="21"/>
                      <w:szCs w:val="21"/>
                      <w:highlight w:val="none"/>
                    </w:rPr>
                    <w:t>由园区供水管网提供，不涉及取用地下水。</w:t>
                  </w:r>
                </w:p>
              </w:tc>
              <w:tc>
                <w:tcPr>
                  <w:tcW w:w="282" w:type="pct"/>
                  <w:noWrap w:val="0"/>
                  <w:vAlign w:val="center"/>
                </w:tcPr>
                <w:p w14:paraId="01EC45F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14:paraId="3D60C9AA">
            <w:pPr>
              <w:keepNext w:val="0"/>
              <w:keepLines w:val="0"/>
              <w:pageBreakBefore w:val="0"/>
              <w:widowControl w:val="0"/>
              <w:kinsoku/>
              <w:wordWrap w:val="0"/>
              <w:overflowPunct/>
              <w:topLinePunct/>
              <w:bidi w:val="0"/>
              <w:adjustRightInd w:val="0"/>
              <w:snapToGrid w:val="0"/>
              <w:spacing w:line="360" w:lineRule="auto"/>
              <w:ind w:firstLine="480" w:firstLineChars="200"/>
              <w:textAlignment w:val="auto"/>
              <w:rPr>
                <w:color w:val="auto"/>
                <w:sz w:val="24"/>
                <w:highlight w:val="none"/>
              </w:rPr>
            </w:pPr>
            <w:r>
              <w:rPr>
                <w:color w:val="auto"/>
                <w:sz w:val="24"/>
                <w:highlight w:val="none"/>
              </w:rPr>
              <w:t>综上，本项目与固原市生态环境总体准入要求相符。</w:t>
            </w:r>
          </w:p>
          <w:p w14:paraId="5FA19EAC">
            <w:pPr>
              <w:keepNext w:val="0"/>
              <w:keepLines w:val="0"/>
              <w:pageBreakBefore w:val="0"/>
              <w:widowControl w:val="0"/>
              <w:kinsoku/>
              <w:overflowPunct/>
              <w:autoSpaceDE w:val="0"/>
              <w:autoSpaceDN w:val="0"/>
              <w:bidi w:val="0"/>
              <w:adjustRightInd w:val="0"/>
              <w:snapToGrid w:val="0"/>
              <w:spacing w:line="360" w:lineRule="auto"/>
              <w:ind w:firstLine="480" w:firstLineChars="200"/>
              <w:textAlignment w:val="auto"/>
              <w:rPr>
                <w:color w:val="auto"/>
                <w:sz w:val="24"/>
                <w:highlight w:val="none"/>
              </w:rPr>
            </w:pPr>
            <w:r>
              <w:rPr>
                <w:color w:val="auto"/>
                <w:sz w:val="24"/>
                <w:highlight w:val="none"/>
              </w:rPr>
              <w:t>②与固原市环境管控单元生态环境准入清单符合性分析</w:t>
            </w:r>
          </w:p>
          <w:p w14:paraId="1F904736">
            <w:pPr>
              <w:autoSpaceDE w:val="0"/>
              <w:autoSpaceDN w:val="0"/>
              <w:adjustRightInd w:val="0"/>
              <w:snapToGrid w:val="0"/>
              <w:spacing w:line="360" w:lineRule="auto"/>
              <w:ind w:firstLine="480" w:firstLineChars="200"/>
              <w:rPr>
                <w:color w:val="auto"/>
                <w:sz w:val="24"/>
                <w:highlight w:val="none"/>
              </w:rPr>
            </w:pPr>
            <w:r>
              <w:rPr>
                <w:color w:val="auto"/>
                <w:sz w:val="24"/>
                <w:highlight w:val="none"/>
              </w:rPr>
              <w:t>本项目</w:t>
            </w:r>
            <w:r>
              <w:rPr>
                <w:rFonts w:hint="eastAsia"/>
                <w:color w:val="auto"/>
                <w:sz w:val="24"/>
                <w:highlight w:val="none"/>
              </w:rPr>
              <w:t>位于固原市</w:t>
            </w:r>
            <w:r>
              <w:rPr>
                <w:rFonts w:hint="eastAsia" w:ascii="宋体" w:hAnsi="宋体" w:eastAsia="宋体" w:cs="宋体"/>
                <w:i w:val="0"/>
                <w:iCs w:val="0"/>
                <w:color w:val="auto"/>
                <w:kern w:val="0"/>
                <w:sz w:val="24"/>
                <w:szCs w:val="24"/>
                <w:u w:val="none"/>
                <w:lang w:val="en-US" w:eastAsia="zh-CN" w:bidi="ar"/>
              </w:rPr>
              <w:t>固原经济开发区</w:t>
            </w:r>
            <w:r>
              <w:rPr>
                <w:color w:val="auto"/>
                <w:sz w:val="24"/>
                <w:highlight w:val="none"/>
              </w:rPr>
              <w:t>，属于</w:t>
            </w:r>
            <w:r>
              <w:rPr>
                <w:rFonts w:hint="eastAsia"/>
                <w:color w:val="auto"/>
                <w:sz w:val="24"/>
                <w:highlight w:val="none"/>
                <w:lang w:eastAsia="zh-CN"/>
              </w:rPr>
              <w:t>“</w:t>
            </w:r>
            <w:r>
              <w:rPr>
                <w:rFonts w:hint="eastAsia"/>
                <w:color w:val="auto"/>
                <w:sz w:val="24"/>
                <w:highlight w:val="none"/>
                <w:lang w:val="en-US" w:eastAsia="zh-CN"/>
              </w:rPr>
              <w:t>原州区宁夏固原经济开发区重点管控单元</w:t>
            </w:r>
            <w:r>
              <w:rPr>
                <w:color w:val="auto"/>
                <w:sz w:val="24"/>
                <w:highlight w:val="none"/>
              </w:rPr>
              <w:t>（</w:t>
            </w:r>
            <w:r>
              <w:rPr>
                <w:rFonts w:hint="eastAsia"/>
                <w:color w:val="auto"/>
                <w:sz w:val="24"/>
                <w:highlight w:val="none"/>
              </w:rPr>
              <w:t>ZH64040220001</w:t>
            </w:r>
            <w:r>
              <w:rPr>
                <w:color w:val="auto"/>
                <w:sz w:val="24"/>
                <w:highlight w:val="none"/>
              </w:rPr>
              <w:t>）</w:t>
            </w:r>
            <w:r>
              <w:rPr>
                <w:rFonts w:hint="eastAsia"/>
                <w:color w:val="auto"/>
                <w:sz w:val="24"/>
                <w:highlight w:val="none"/>
                <w:lang w:eastAsia="zh-CN"/>
              </w:rPr>
              <w:t>”</w:t>
            </w:r>
            <w:r>
              <w:rPr>
                <w:color w:val="auto"/>
                <w:sz w:val="24"/>
                <w:highlight w:val="none"/>
              </w:rPr>
              <w:t>，项目与该管控单元生态环境准入清单符合性分析见表1-2。</w:t>
            </w:r>
          </w:p>
          <w:p w14:paraId="6C603163">
            <w:pPr>
              <w:adjustRightInd w:val="0"/>
              <w:snapToGrid w:val="0"/>
              <w:ind w:firstLine="420" w:firstLineChars="200"/>
              <w:rPr>
                <w:b/>
                <w:bCs/>
                <w:color w:val="auto"/>
                <w:sz w:val="24"/>
                <w:highlight w:val="none"/>
              </w:rPr>
            </w:pPr>
            <w:r>
              <w:rPr>
                <w:bCs/>
                <w:color w:val="auto"/>
                <w:szCs w:val="21"/>
                <w:highlight w:val="none"/>
              </w:rPr>
              <w:t>表1-2</w:t>
            </w:r>
            <w:r>
              <w:rPr>
                <w:b/>
                <w:bCs/>
                <w:color w:val="auto"/>
                <w:sz w:val="24"/>
                <w:highlight w:val="none"/>
              </w:rPr>
              <w:t xml:space="preserve">                              本项目与固原市环境管控单元生态环境准入清单符合性分析</w:t>
            </w:r>
          </w:p>
          <w:tbl>
            <w:tblPr>
              <w:tblStyle w:val="30"/>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478"/>
              <w:gridCol w:w="990"/>
              <w:gridCol w:w="480"/>
              <w:gridCol w:w="420"/>
              <w:gridCol w:w="450"/>
              <w:gridCol w:w="1005"/>
              <w:gridCol w:w="922"/>
              <w:gridCol w:w="427"/>
              <w:gridCol w:w="4706"/>
              <w:gridCol w:w="2640"/>
              <w:gridCol w:w="754"/>
            </w:tblGrid>
            <w:tr w14:paraId="4F5AF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0" w:type="pct"/>
                  <w:vMerge w:val="restart"/>
                  <w:noWrap w:val="0"/>
                  <w:vAlign w:val="center"/>
                </w:tcPr>
                <w:p w14:paraId="5B136752">
                  <w:pPr>
                    <w:adjustRightInd w:val="0"/>
                    <w:snapToGrid w:val="0"/>
                    <w:jc w:val="center"/>
                    <w:outlineLvl w:val="0"/>
                    <w:rPr>
                      <w:b/>
                      <w:bCs/>
                      <w:color w:val="auto"/>
                      <w:szCs w:val="21"/>
                      <w:highlight w:val="none"/>
                    </w:rPr>
                  </w:pPr>
                  <w:r>
                    <w:rPr>
                      <w:b/>
                      <w:bCs/>
                      <w:color w:val="auto"/>
                      <w:szCs w:val="21"/>
                      <w:highlight w:val="none"/>
                    </w:rPr>
                    <w:t>序号</w:t>
                  </w:r>
                </w:p>
              </w:tc>
              <w:tc>
                <w:tcPr>
                  <w:tcW w:w="372" w:type="pct"/>
                  <w:vMerge w:val="restart"/>
                  <w:noWrap w:val="0"/>
                  <w:vAlign w:val="center"/>
                </w:tcPr>
                <w:p w14:paraId="7D90A3C4">
                  <w:pPr>
                    <w:adjustRightInd w:val="0"/>
                    <w:snapToGrid w:val="0"/>
                    <w:jc w:val="center"/>
                    <w:outlineLvl w:val="0"/>
                    <w:rPr>
                      <w:b/>
                      <w:bCs/>
                      <w:color w:val="auto"/>
                      <w:szCs w:val="21"/>
                      <w:highlight w:val="none"/>
                    </w:rPr>
                  </w:pPr>
                  <w:r>
                    <w:rPr>
                      <w:b/>
                      <w:bCs/>
                      <w:color w:val="auto"/>
                      <w:szCs w:val="21"/>
                      <w:highlight w:val="none"/>
                    </w:rPr>
                    <w:t>环境管控单元名称</w:t>
                  </w:r>
                </w:p>
              </w:tc>
              <w:tc>
                <w:tcPr>
                  <w:tcW w:w="508" w:type="pct"/>
                  <w:gridSpan w:val="3"/>
                  <w:noWrap w:val="0"/>
                  <w:vAlign w:val="center"/>
                </w:tcPr>
                <w:p w14:paraId="664E8537">
                  <w:pPr>
                    <w:adjustRightInd w:val="0"/>
                    <w:snapToGrid w:val="0"/>
                    <w:jc w:val="center"/>
                    <w:outlineLvl w:val="0"/>
                    <w:rPr>
                      <w:b/>
                      <w:bCs/>
                      <w:color w:val="auto"/>
                      <w:szCs w:val="21"/>
                      <w:highlight w:val="none"/>
                    </w:rPr>
                  </w:pPr>
                  <w:r>
                    <w:rPr>
                      <w:b/>
                      <w:color w:val="auto"/>
                      <w:szCs w:val="21"/>
                      <w:highlight w:val="none"/>
                    </w:rPr>
                    <w:t>行政区划</w:t>
                  </w:r>
                </w:p>
              </w:tc>
              <w:tc>
                <w:tcPr>
                  <w:tcW w:w="378" w:type="pct"/>
                  <w:vMerge w:val="restart"/>
                  <w:noWrap w:val="0"/>
                  <w:vAlign w:val="center"/>
                </w:tcPr>
                <w:p w14:paraId="596AD6A7">
                  <w:pPr>
                    <w:adjustRightInd w:val="0"/>
                    <w:snapToGrid w:val="0"/>
                    <w:jc w:val="center"/>
                    <w:outlineLvl w:val="0"/>
                    <w:rPr>
                      <w:b/>
                      <w:bCs/>
                      <w:color w:val="auto"/>
                      <w:szCs w:val="21"/>
                      <w:highlight w:val="none"/>
                    </w:rPr>
                  </w:pPr>
                  <w:r>
                    <w:rPr>
                      <w:b/>
                      <w:color w:val="auto"/>
                      <w:szCs w:val="21"/>
                      <w:highlight w:val="none"/>
                    </w:rPr>
                    <w:t>要素属性</w:t>
                  </w:r>
                </w:p>
              </w:tc>
              <w:tc>
                <w:tcPr>
                  <w:tcW w:w="347" w:type="pct"/>
                  <w:vMerge w:val="restart"/>
                  <w:noWrap w:val="0"/>
                  <w:vAlign w:val="center"/>
                </w:tcPr>
                <w:p w14:paraId="626A4272">
                  <w:pPr>
                    <w:adjustRightInd w:val="0"/>
                    <w:snapToGrid w:val="0"/>
                    <w:jc w:val="center"/>
                    <w:outlineLvl w:val="0"/>
                    <w:rPr>
                      <w:b/>
                      <w:bCs/>
                      <w:color w:val="auto"/>
                      <w:szCs w:val="21"/>
                      <w:highlight w:val="none"/>
                    </w:rPr>
                  </w:pPr>
                  <w:r>
                    <w:rPr>
                      <w:b/>
                      <w:color w:val="auto"/>
                      <w:szCs w:val="21"/>
                      <w:highlight w:val="none"/>
                    </w:rPr>
                    <w:t>管控单元分类</w:t>
                  </w:r>
                </w:p>
              </w:tc>
              <w:tc>
                <w:tcPr>
                  <w:tcW w:w="1933" w:type="pct"/>
                  <w:gridSpan w:val="2"/>
                  <w:vMerge w:val="restart"/>
                  <w:noWrap w:val="0"/>
                  <w:vAlign w:val="center"/>
                </w:tcPr>
                <w:p w14:paraId="40E81F7B">
                  <w:pPr>
                    <w:adjustRightInd w:val="0"/>
                    <w:snapToGrid w:val="0"/>
                    <w:jc w:val="center"/>
                    <w:outlineLvl w:val="0"/>
                    <w:rPr>
                      <w:b/>
                      <w:bCs/>
                      <w:color w:val="auto"/>
                      <w:szCs w:val="21"/>
                      <w:highlight w:val="none"/>
                    </w:rPr>
                  </w:pPr>
                  <w:r>
                    <w:rPr>
                      <w:b/>
                      <w:bCs/>
                      <w:color w:val="auto"/>
                      <w:szCs w:val="21"/>
                      <w:highlight w:val="none"/>
                    </w:rPr>
                    <w:t>管控要求</w:t>
                  </w:r>
                </w:p>
              </w:tc>
              <w:tc>
                <w:tcPr>
                  <w:tcW w:w="994" w:type="pct"/>
                  <w:vMerge w:val="restart"/>
                  <w:noWrap w:val="0"/>
                  <w:vAlign w:val="center"/>
                </w:tcPr>
                <w:p w14:paraId="128C6973">
                  <w:pPr>
                    <w:adjustRightInd w:val="0"/>
                    <w:snapToGrid w:val="0"/>
                    <w:jc w:val="center"/>
                    <w:outlineLvl w:val="0"/>
                    <w:rPr>
                      <w:b/>
                      <w:bCs/>
                      <w:color w:val="auto"/>
                      <w:szCs w:val="21"/>
                      <w:highlight w:val="none"/>
                    </w:rPr>
                  </w:pPr>
                  <w:r>
                    <w:rPr>
                      <w:b/>
                      <w:bCs/>
                      <w:color w:val="auto"/>
                      <w:szCs w:val="21"/>
                      <w:highlight w:val="none"/>
                    </w:rPr>
                    <w:t>本项目</w:t>
                  </w:r>
                </w:p>
              </w:tc>
              <w:tc>
                <w:tcPr>
                  <w:tcW w:w="284" w:type="pct"/>
                  <w:vMerge w:val="restart"/>
                  <w:noWrap w:val="0"/>
                  <w:vAlign w:val="center"/>
                </w:tcPr>
                <w:p w14:paraId="5851615E">
                  <w:pPr>
                    <w:adjustRightInd w:val="0"/>
                    <w:snapToGrid w:val="0"/>
                    <w:jc w:val="center"/>
                    <w:outlineLvl w:val="0"/>
                    <w:rPr>
                      <w:b/>
                      <w:bCs/>
                      <w:color w:val="auto"/>
                      <w:szCs w:val="21"/>
                      <w:highlight w:val="none"/>
                    </w:rPr>
                  </w:pPr>
                  <w:r>
                    <w:rPr>
                      <w:b/>
                      <w:bCs/>
                      <w:color w:val="auto"/>
                      <w:szCs w:val="21"/>
                      <w:highlight w:val="none"/>
                    </w:rPr>
                    <w:t>符合性</w:t>
                  </w:r>
                </w:p>
              </w:tc>
            </w:tr>
            <w:tr w14:paraId="7ADAB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0" w:type="pct"/>
                  <w:vMerge w:val="continue"/>
                  <w:noWrap w:val="0"/>
                  <w:vAlign w:val="center"/>
                </w:tcPr>
                <w:p w14:paraId="6B5EB36D">
                  <w:pPr>
                    <w:adjustRightInd w:val="0"/>
                    <w:snapToGrid w:val="0"/>
                    <w:jc w:val="center"/>
                    <w:outlineLvl w:val="0"/>
                    <w:rPr>
                      <w:b/>
                      <w:bCs/>
                      <w:color w:val="auto"/>
                      <w:szCs w:val="21"/>
                      <w:highlight w:val="none"/>
                    </w:rPr>
                  </w:pPr>
                </w:p>
              </w:tc>
              <w:tc>
                <w:tcPr>
                  <w:tcW w:w="372" w:type="pct"/>
                  <w:vMerge w:val="continue"/>
                  <w:noWrap w:val="0"/>
                  <w:vAlign w:val="center"/>
                </w:tcPr>
                <w:p w14:paraId="22D0A715">
                  <w:pPr>
                    <w:adjustRightInd w:val="0"/>
                    <w:snapToGrid w:val="0"/>
                    <w:jc w:val="center"/>
                    <w:outlineLvl w:val="0"/>
                    <w:rPr>
                      <w:b/>
                      <w:bCs/>
                      <w:color w:val="auto"/>
                      <w:szCs w:val="21"/>
                      <w:highlight w:val="none"/>
                    </w:rPr>
                  </w:pPr>
                </w:p>
              </w:tc>
              <w:tc>
                <w:tcPr>
                  <w:tcW w:w="180" w:type="pct"/>
                  <w:noWrap w:val="0"/>
                  <w:vAlign w:val="center"/>
                </w:tcPr>
                <w:p w14:paraId="6069D963">
                  <w:pPr>
                    <w:adjustRightInd w:val="0"/>
                    <w:snapToGrid w:val="0"/>
                    <w:jc w:val="center"/>
                    <w:outlineLvl w:val="0"/>
                    <w:rPr>
                      <w:b/>
                      <w:bCs/>
                      <w:color w:val="auto"/>
                      <w:szCs w:val="21"/>
                      <w:highlight w:val="none"/>
                    </w:rPr>
                  </w:pPr>
                  <w:r>
                    <w:rPr>
                      <w:b/>
                      <w:color w:val="auto"/>
                      <w:szCs w:val="21"/>
                      <w:highlight w:val="none"/>
                    </w:rPr>
                    <w:t>省</w:t>
                  </w:r>
                </w:p>
              </w:tc>
              <w:tc>
                <w:tcPr>
                  <w:tcW w:w="158" w:type="pct"/>
                  <w:noWrap w:val="0"/>
                  <w:vAlign w:val="center"/>
                </w:tcPr>
                <w:p w14:paraId="29CE15CB">
                  <w:pPr>
                    <w:adjustRightInd w:val="0"/>
                    <w:snapToGrid w:val="0"/>
                    <w:jc w:val="center"/>
                    <w:outlineLvl w:val="0"/>
                    <w:rPr>
                      <w:b/>
                      <w:bCs/>
                      <w:color w:val="auto"/>
                      <w:szCs w:val="21"/>
                      <w:highlight w:val="none"/>
                    </w:rPr>
                  </w:pPr>
                  <w:r>
                    <w:rPr>
                      <w:b/>
                      <w:color w:val="auto"/>
                      <w:szCs w:val="21"/>
                      <w:highlight w:val="none"/>
                    </w:rPr>
                    <w:t>市</w:t>
                  </w:r>
                </w:p>
              </w:tc>
              <w:tc>
                <w:tcPr>
                  <w:tcW w:w="169" w:type="pct"/>
                  <w:noWrap w:val="0"/>
                  <w:vAlign w:val="center"/>
                </w:tcPr>
                <w:p w14:paraId="30D6193B">
                  <w:pPr>
                    <w:adjustRightInd w:val="0"/>
                    <w:snapToGrid w:val="0"/>
                    <w:jc w:val="center"/>
                    <w:outlineLvl w:val="0"/>
                    <w:rPr>
                      <w:b/>
                      <w:bCs/>
                      <w:color w:val="auto"/>
                      <w:szCs w:val="21"/>
                      <w:highlight w:val="none"/>
                    </w:rPr>
                  </w:pPr>
                  <w:r>
                    <w:rPr>
                      <w:b/>
                      <w:color w:val="auto"/>
                      <w:szCs w:val="21"/>
                      <w:highlight w:val="none"/>
                    </w:rPr>
                    <w:t>县</w:t>
                  </w:r>
                </w:p>
              </w:tc>
              <w:tc>
                <w:tcPr>
                  <w:tcW w:w="378" w:type="pct"/>
                  <w:vMerge w:val="continue"/>
                  <w:noWrap w:val="0"/>
                  <w:vAlign w:val="center"/>
                </w:tcPr>
                <w:p w14:paraId="0C11062D">
                  <w:pPr>
                    <w:adjustRightInd w:val="0"/>
                    <w:snapToGrid w:val="0"/>
                    <w:jc w:val="center"/>
                    <w:outlineLvl w:val="0"/>
                    <w:rPr>
                      <w:b/>
                      <w:bCs/>
                      <w:color w:val="auto"/>
                      <w:szCs w:val="21"/>
                      <w:highlight w:val="none"/>
                    </w:rPr>
                  </w:pPr>
                </w:p>
              </w:tc>
              <w:tc>
                <w:tcPr>
                  <w:tcW w:w="347" w:type="pct"/>
                  <w:vMerge w:val="continue"/>
                  <w:noWrap w:val="0"/>
                  <w:vAlign w:val="center"/>
                </w:tcPr>
                <w:p w14:paraId="6CC0B9F5">
                  <w:pPr>
                    <w:adjustRightInd w:val="0"/>
                    <w:snapToGrid w:val="0"/>
                    <w:jc w:val="center"/>
                    <w:outlineLvl w:val="0"/>
                    <w:rPr>
                      <w:b/>
                      <w:bCs/>
                      <w:color w:val="auto"/>
                      <w:szCs w:val="21"/>
                      <w:highlight w:val="none"/>
                    </w:rPr>
                  </w:pPr>
                </w:p>
              </w:tc>
              <w:tc>
                <w:tcPr>
                  <w:tcW w:w="1933" w:type="pct"/>
                  <w:gridSpan w:val="2"/>
                  <w:vMerge w:val="continue"/>
                  <w:noWrap w:val="0"/>
                  <w:vAlign w:val="center"/>
                </w:tcPr>
                <w:p w14:paraId="5298E1DF">
                  <w:pPr>
                    <w:adjustRightInd w:val="0"/>
                    <w:snapToGrid w:val="0"/>
                    <w:jc w:val="center"/>
                    <w:outlineLvl w:val="0"/>
                    <w:rPr>
                      <w:b/>
                      <w:bCs/>
                      <w:color w:val="auto"/>
                      <w:szCs w:val="21"/>
                      <w:highlight w:val="none"/>
                    </w:rPr>
                  </w:pPr>
                </w:p>
              </w:tc>
              <w:tc>
                <w:tcPr>
                  <w:tcW w:w="994" w:type="pct"/>
                  <w:vMerge w:val="continue"/>
                  <w:noWrap w:val="0"/>
                  <w:vAlign w:val="center"/>
                </w:tcPr>
                <w:p w14:paraId="3CD315BC">
                  <w:pPr>
                    <w:adjustRightInd w:val="0"/>
                    <w:snapToGrid w:val="0"/>
                    <w:jc w:val="center"/>
                    <w:outlineLvl w:val="0"/>
                    <w:rPr>
                      <w:b/>
                      <w:bCs/>
                      <w:color w:val="auto"/>
                      <w:szCs w:val="21"/>
                      <w:highlight w:val="none"/>
                    </w:rPr>
                  </w:pPr>
                </w:p>
              </w:tc>
              <w:tc>
                <w:tcPr>
                  <w:tcW w:w="284" w:type="pct"/>
                  <w:vMerge w:val="continue"/>
                  <w:noWrap w:val="0"/>
                  <w:vAlign w:val="center"/>
                </w:tcPr>
                <w:p w14:paraId="2B84EBEA">
                  <w:pPr>
                    <w:adjustRightInd w:val="0"/>
                    <w:snapToGrid w:val="0"/>
                    <w:jc w:val="center"/>
                    <w:outlineLvl w:val="0"/>
                    <w:rPr>
                      <w:b/>
                      <w:bCs/>
                      <w:color w:val="auto"/>
                      <w:szCs w:val="21"/>
                      <w:highlight w:val="none"/>
                    </w:rPr>
                  </w:pPr>
                </w:p>
              </w:tc>
            </w:tr>
            <w:tr w14:paraId="5636A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0" w:type="pct"/>
                  <w:vMerge w:val="restart"/>
                  <w:noWrap w:val="0"/>
                  <w:vAlign w:val="center"/>
                </w:tcPr>
                <w:p w14:paraId="58870A76">
                  <w:pPr>
                    <w:adjustRightInd w:val="0"/>
                    <w:snapToGrid w:val="0"/>
                    <w:jc w:val="center"/>
                    <w:outlineLvl w:val="0"/>
                    <w:rPr>
                      <w:rFonts w:hint="eastAsia"/>
                      <w:color w:val="auto"/>
                      <w:szCs w:val="21"/>
                      <w:highlight w:val="none"/>
                    </w:rPr>
                  </w:pPr>
                  <w:r>
                    <w:rPr>
                      <w:rFonts w:hint="eastAsia"/>
                      <w:color w:val="auto"/>
                      <w:szCs w:val="21"/>
                      <w:highlight w:val="none"/>
                    </w:rPr>
                    <w:t>ZH64040220001</w:t>
                  </w:r>
                </w:p>
              </w:tc>
              <w:tc>
                <w:tcPr>
                  <w:tcW w:w="372" w:type="pct"/>
                  <w:vMerge w:val="restart"/>
                  <w:noWrap w:val="0"/>
                  <w:vAlign w:val="center"/>
                </w:tcPr>
                <w:p w14:paraId="70DE5693">
                  <w:pPr>
                    <w:adjustRightInd w:val="0"/>
                    <w:snapToGrid w:val="0"/>
                    <w:jc w:val="center"/>
                    <w:outlineLvl w:val="0"/>
                    <w:rPr>
                      <w:rFonts w:hint="eastAsia"/>
                      <w:color w:val="auto"/>
                      <w:szCs w:val="21"/>
                      <w:highlight w:val="none"/>
                    </w:rPr>
                  </w:pPr>
                  <w:r>
                    <w:rPr>
                      <w:rFonts w:hint="eastAsia" w:ascii="宋体" w:hAnsi="宋体" w:eastAsia="宋体" w:cs="宋体"/>
                      <w:i w:val="0"/>
                      <w:iCs w:val="0"/>
                      <w:color w:val="auto"/>
                      <w:kern w:val="0"/>
                      <w:sz w:val="24"/>
                      <w:szCs w:val="24"/>
                      <w:u w:val="none"/>
                      <w:lang w:val="en-US" w:eastAsia="zh-CN" w:bidi="ar"/>
                    </w:rPr>
                    <w:t>原州区宁夏固原经济开发区重点管控单元</w:t>
                  </w:r>
                </w:p>
              </w:tc>
              <w:tc>
                <w:tcPr>
                  <w:tcW w:w="180" w:type="pct"/>
                  <w:vMerge w:val="restart"/>
                  <w:noWrap w:val="0"/>
                  <w:vAlign w:val="center"/>
                </w:tcPr>
                <w:p w14:paraId="79C21DC7">
                  <w:pPr>
                    <w:adjustRightInd w:val="0"/>
                    <w:snapToGrid w:val="0"/>
                    <w:jc w:val="center"/>
                    <w:outlineLvl w:val="0"/>
                    <w:rPr>
                      <w:color w:val="auto"/>
                      <w:szCs w:val="21"/>
                      <w:highlight w:val="none"/>
                    </w:rPr>
                  </w:pPr>
                  <w:r>
                    <w:rPr>
                      <w:color w:val="auto"/>
                      <w:szCs w:val="21"/>
                      <w:highlight w:val="none"/>
                    </w:rPr>
                    <w:t>宁夏回族自治区</w:t>
                  </w:r>
                </w:p>
              </w:tc>
              <w:tc>
                <w:tcPr>
                  <w:tcW w:w="158" w:type="pct"/>
                  <w:vMerge w:val="restart"/>
                  <w:noWrap w:val="0"/>
                  <w:vAlign w:val="center"/>
                </w:tcPr>
                <w:p w14:paraId="22A421BC">
                  <w:pPr>
                    <w:adjustRightInd w:val="0"/>
                    <w:snapToGrid w:val="0"/>
                    <w:jc w:val="center"/>
                    <w:outlineLvl w:val="0"/>
                    <w:rPr>
                      <w:color w:val="auto"/>
                      <w:szCs w:val="21"/>
                      <w:highlight w:val="none"/>
                    </w:rPr>
                  </w:pPr>
                  <w:r>
                    <w:rPr>
                      <w:color w:val="auto"/>
                      <w:szCs w:val="21"/>
                      <w:highlight w:val="none"/>
                    </w:rPr>
                    <w:t>固原市</w:t>
                  </w:r>
                </w:p>
              </w:tc>
              <w:tc>
                <w:tcPr>
                  <w:tcW w:w="169" w:type="pct"/>
                  <w:vMerge w:val="restart"/>
                  <w:noWrap w:val="0"/>
                  <w:vAlign w:val="center"/>
                </w:tcPr>
                <w:p w14:paraId="7B958A56">
                  <w:pPr>
                    <w:adjustRightInd w:val="0"/>
                    <w:snapToGrid w:val="0"/>
                    <w:jc w:val="center"/>
                    <w:outlineLvl w:val="0"/>
                    <w:rPr>
                      <w:rFonts w:hint="default" w:eastAsia="宋体"/>
                      <w:color w:val="auto"/>
                      <w:szCs w:val="21"/>
                      <w:highlight w:val="none"/>
                      <w:lang w:val="en-US" w:eastAsia="zh-CN"/>
                    </w:rPr>
                  </w:pPr>
                  <w:r>
                    <w:rPr>
                      <w:rFonts w:hint="eastAsia"/>
                      <w:color w:val="auto"/>
                      <w:szCs w:val="21"/>
                      <w:highlight w:val="none"/>
                      <w:lang w:val="en-US" w:eastAsia="zh-CN"/>
                    </w:rPr>
                    <w:t>原州区</w:t>
                  </w:r>
                </w:p>
              </w:tc>
              <w:tc>
                <w:tcPr>
                  <w:tcW w:w="378" w:type="pct"/>
                  <w:vMerge w:val="restart"/>
                  <w:noWrap w:val="0"/>
                  <w:vAlign w:val="center"/>
                </w:tcPr>
                <w:p w14:paraId="3CCC2465">
                  <w:pPr>
                    <w:adjustRightInd w:val="0"/>
                    <w:snapToGrid w:val="0"/>
                    <w:jc w:val="center"/>
                    <w:outlineLvl w:val="0"/>
                    <w:rPr>
                      <w:color w:val="auto"/>
                      <w:szCs w:val="21"/>
                      <w:highlight w:val="none"/>
                    </w:rPr>
                  </w:pPr>
                  <w:r>
                    <w:rPr>
                      <w:color w:val="auto"/>
                      <w:szCs w:val="21"/>
                      <w:highlight w:val="none"/>
                    </w:rPr>
                    <w:t>水环境工业源重点管控区＋大气环境高排放重点管控区＋高污染燃料禁燃区</w:t>
                  </w:r>
                </w:p>
              </w:tc>
              <w:tc>
                <w:tcPr>
                  <w:tcW w:w="347" w:type="pct"/>
                  <w:vMerge w:val="restart"/>
                  <w:noWrap w:val="0"/>
                  <w:vAlign w:val="center"/>
                </w:tcPr>
                <w:p w14:paraId="2456ED43">
                  <w:pPr>
                    <w:adjustRightInd w:val="0"/>
                    <w:snapToGrid w:val="0"/>
                    <w:jc w:val="center"/>
                    <w:outlineLvl w:val="0"/>
                    <w:rPr>
                      <w:color w:val="auto"/>
                      <w:szCs w:val="21"/>
                      <w:highlight w:val="none"/>
                    </w:rPr>
                  </w:pPr>
                  <w:r>
                    <w:rPr>
                      <w:color w:val="auto"/>
                      <w:szCs w:val="21"/>
                      <w:highlight w:val="none"/>
                    </w:rPr>
                    <w:t>重点管控单元</w:t>
                  </w:r>
                </w:p>
              </w:tc>
              <w:tc>
                <w:tcPr>
                  <w:tcW w:w="160" w:type="pct"/>
                  <w:noWrap w:val="0"/>
                  <w:vAlign w:val="center"/>
                </w:tcPr>
                <w:p w14:paraId="5E4AA4E4">
                  <w:pPr>
                    <w:adjustRightInd w:val="0"/>
                    <w:snapToGrid w:val="0"/>
                    <w:jc w:val="center"/>
                    <w:outlineLvl w:val="0"/>
                    <w:rPr>
                      <w:color w:val="auto"/>
                      <w:szCs w:val="21"/>
                      <w:highlight w:val="none"/>
                    </w:rPr>
                  </w:pPr>
                  <w:r>
                    <w:rPr>
                      <w:color w:val="auto"/>
                      <w:szCs w:val="21"/>
                      <w:highlight w:val="none"/>
                    </w:rPr>
                    <w:t>空间布局约束</w:t>
                  </w:r>
                </w:p>
              </w:tc>
              <w:tc>
                <w:tcPr>
                  <w:tcW w:w="1772" w:type="pct"/>
                  <w:noWrap w:val="0"/>
                  <w:vAlign w:val="center"/>
                </w:tcPr>
                <w:p w14:paraId="7BEB986F">
                  <w:pPr>
                    <w:adjustRightInd w:val="0"/>
                    <w:snapToGrid w:val="0"/>
                    <w:jc w:val="left"/>
                    <w:outlineLvl w:val="0"/>
                    <w:rPr>
                      <w:rFonts w:hint="eastAsia"/>
                      <w:color w:val="auto"/>
                      <w:szCs w:val="21"/>
                      <w:highlight w:val="none"/>
                    </w:rPr>
                  </w:pPr>
                  <w:r>
                    <w:rPr>
                      <w:rFonts w:hint="eastAsia"/>
                      <w:color w:val="auto"/>
                      <w:szCs w:val="21"/>
                      <w:highlight w:val="none"/>
                    </w:rPr>
                    <w:t>1.除园区基础设施及国家、自治区重大战略项目外，严格禁止高耗能、高排放、低水平项目盲目发展。</w:t>
                  </w:r>
                </w:p>
                <w:p w14:paraId="556C2A6B">
                  <w:pPr>
                    <w:adjustRightInd w:val="0"/>
                    <w:snapToGrid w:val="0"/>
                    <w:jc w:val="left"/>
                    <w:outlineLvl w:val="0"/>
                    <w:rPr>
                      <w:rFonts w:hint="eastAsia"/>
                      <w:color w:val="auto"/>
                      <w:szCs w:val="21"/>
                      <w:highlight w:val="none"/>
                    </w:rPr>
                  </w:pPr>
                  <w:r>
                    <w:rPr>
                      <w:rFonts w:hint="eastAsia"/>
                      <w:color w:val="auto"/>
                      <w:szCs w:val="21"/>
                      <w:highlight w:val="none"/>
                    </w:rPr>
                    <w:t>2.对未达标排放、不符合生产条件的企业禁止生产，对属于落后产能且污染严重的企业依法关停。</w:t>
                  </w:r>
                </w:p>
                <w:p w14:paraId="2EC67873">
                  <w:pPr>
                    <w:adjustRightInd w:val="0"/>
                    <w:snapToGrid w:val="0"/>
                    <w:jc w:val="left"/>
                    <w:outlineLvl w:val="0"/>
                    <w:rPr>
                      <w:rFonts w:hint="eastAsia"/>
                      <w:color w:val="auto"/>
                      <w:szCs w:val="21"/>
                      <w:highlight w:val="none"/>
                    </w:rPr>
                  </w:pPr>
                  <w:r>
                    <w:rPr>
                      <w:rFonts w:hint="eastAsia"/>
                      <w:color w:val="auto"/>
                      <w:szCs w:val="21"/>
                      <w:highlight w:val="none"/>
                    </w:rPr>
                    <w:t>3.污染地块（土壤重金属超标、污染企业退出的遗留污染宗地）未经治理与修复，或者经治理与修复但未达到土壤污染风险评估报告确定的风险管控、修复目标的建设用地地块，禁止开工建设任何与风险管控、修复无关的项目。</w:t>
                  </w:r>
                </w:p>
                <w:p w14:paraId="13DCFA44">
                  <w:pPr>
                    <w:adjustRightInd w:val="0"/>
                    <w:snapToGrid w:val="0"/>
                    <w:jc w:val="left"/>
                    <w:outlineLvl w:val="0"/>
                    <w:rPr>
                      <w:color w:val="auto"/>
                      <w:szCs w:val="21"/>
                      <w:highlight w:val="none"/>
                    </w:rPr>
                  </w:pPr>
                  <w:r>
                    <w:rPr>
                      <w:rFonts w:hint="eastAsia"/>
                      <w:color w:val="auto"/>
                      <w:szCs w:val="21"/>
                      <w:highlight w:val="none"/>
                    </w:rPr>
                    <w:t>4.不得新建、改（扩）建产生异味的生物发酵项目。</w:t>
                  </w:r>
                </w:p>
              </w:tc>
              <w:tc>
                <w:tcPr>
                  <w:tcW w:w="994" w:type="pct"/>
                  <w:noWrap w:val="0"/>
                  <w:vAlign w:val="center"/>
                </w:tcPr>
                <w:p w14:paraId="5E00E0FC">
                  <w:pPr>
                    <w:pStyle w:val="83"/>
                    <w:tabs>
                      <w:tab w:val="left" w:pos="294"/>
                    </w:tabs>
                    <w:adjustRightInd w:val="0"/>
                    <w:snapToGrid w:val="0"/>
                    <w:ind w:left="33"/>
                    <w:jc w:val="left"/>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本项目为</w:t>
                  </w:r>
                  <w:r>
                    <w:rPr>
                      <w:rFonts w:hint="default" w:ascii="Times New Roman" w:hAnsi="Times New Roman" w:cs="Times New Roman"/>
                      <w:color w:val="auto"/>
                      <w:sz w:val="21"/>
                      <w:szCs w:val="21"/>
                      <w:highlight w:val="none"/>
                      <w:lang w:val="en-US" w:eastAsia="zh-CN"/>
                    </w:rPr>
                    <w:t>泡沫箱生产</w:t>
                  </w:r>
                  <w:r>
                    <w:rPr>
                      <w:rFonts w:hint="default" w:ascii="Times New Roman" w:hAnsi="Times New Roman" w:cs="Times New Roman"/>
                      <w:color w:val="auto"/>
                      <w:sz w:val="21"/>
                      <w:szCs w:val="21"/>
                      <w:highlight w:val="none"/>
                      <w:lang w:val="en-US"/>
                    </w:rPr>
                    <w:t>加工项目</w:t>
                  </w:r>
                  <w:r>
                    <w:rPr>
                      <w:rFonts w:hint="default" w:ascii="Times New Roman" w:hAnsi="Times New Roman" w:cs="Times New Roman"/>
                      <w:color w:val="auto"/>
                      <w:sz w:val="21"/>
                      <w:szCs w:val="21"/>
                      <w:highlight w:val="none"/>
                    </w:rPr>
                    <w:t>，不属于高耗能、高排放、低水平项目</w:t>
                  </w:r>
                  <w:r>
                    <w:rPr>
                      <w:rFonts w:hint="default" w:ascii="Times New Roman" w:hAnsi="Times New Roman" w:cs="Times New Roman"/>
                      <w:color w:val="auto"/>
                      <w:sz w:val="21"/>
                      <w:szCs w:val="21"/>
                      <w:highlight w:val="none"/>
                      <w:lang w:eastAsia="zh-CN"/>
                    </w:rPr>
                    <w:t>。</w:t>
                  </w:r>
                </w:p>
                <w:p w14:paraId="58EE1B7D">
                  <w:pPr>
                    <w:pStyle w:val="83"/>
                    <w:tabs>
                      <w:tab w:val="left" w:pos="294"/>
                    </w:tabs>
                    <w:adjustRightInd w:val="0"/>
                    <w:snapToGrid w:val="0"/>
                    <w:ind w:left="33"/>
                    <w:jc w:val="lef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不涉及。</w:t>
                  </w:r>
                </w:p>
                <w:p w14:paraId="2BE07DA9">
                  <w:pPr>
                    <w:pStyle w:val="83"/>
                    <w:tabs>
                      <w:tab w:val="left" w:pos="294"/>
                    </w:tabs>
                    <w:adjustRightInd w:val="0"/>
                    <w:snapToGrid w:val="0"/>
                    <w:ind w:left="33"/>
                    <w:jc w:val="left"/>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本项目为</w:t>
                  </w:r>
                  <w:r>
                    <w:rPr>
                      <w:rFonts w:hint="default" w:ascii="Times New Roman" w:hAnsi="Times New Roman" w:cs="Times New Roman"/>
                      <w:color w:val="auto"/>
                      <w:sz w:val="21"/>
                      <w:szCs w:val="21"/>
                      <w:highlight w:val="none"/>
                      <w:lang w:val="en-US" w:eastAsia="zh-CN"/>
                    </w:rPr>
                    <w:t>泡沫箱生产</w:t>
                  </w:r>
                  <w:r>
                    <w:rPr>
                      <w:rFonts w:hint="default" w:ascii="Times New Roman" w:hAnsi="Times New Roman" w:cs="Times New Roman"/>
                      <w:color w:val="auto"/>
                      <w:sz w:val="21"/>
                      <w:szCs w:val="21"/>
                      <w:highlight w:val="none"/>
                      <w:lang w:val="en-US"/>
                    </w:rPr>
                    <w:t>加工项目</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不涉及产生异味的生物发酵项目</w:t>
                  </w:r>
                  <w:r>
                    <w:rPr>
                      <w:rFonts w:hint="default" w:ascii="Times New Roman" w:hAnsi="Times New Roman" w:cs="Times New Roman"/>
                      <w:color w:val="auto"/>
                      <w:sz w:val="21"/>
                      <w:szCs w:val="21"/>
                      <w:highlight w:val="none"/>
                    </w:rPr>
                    <w:t>。</w:t>
                  </w:r>
                </w:p>
              </w:tc>
              <w:tc>
                <w:tcPr>
                  <w:tcW w:w="284" w:type="pct"/>
                  <w:noWrap w:val="0"/>
                  <w:vAlign w:val="center"/>
                </w:tcPr>
                <w:p w14:paraId="789F4764">
                  <w:pPr>
                    <w:adjustRightInd w:val="0"/>
                    <w:snapToGrid w:val="0"/>
                    <w:jc w:val="center"/>
                    <w:outlineLvl w:val="0"/>
                    <w:rPr>
                      <w:color w:val="auto"/>
                      <w:szCs w:val="21"/>
                      <w:highlight w:val="none"/>
                    </w:rPr>
                  </w:pPr>
                  <w:r>
                    <w:rPr>
                      <w:color w:val="auto"/>
                      <w:szCs w:val="21"/>
                      <w:highlight w:val="none"/>
                    </w:rPr>
                    <w:t>符合</w:t>
                  </w:r>
                </w:p>
              </w:tc>
            </w:tr>
            <w:tr w14:paraId="12E30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0" w:type="pct"/>
                  <w:vMerge w:val="continue"/>
                  <w:noWrap w:val="0"/>
                  <w:vAlign w:val="center"/>
                </w:tcPr>
                <w:p w14:paraId="6D62F032">
                  <w:pPr>
                    <w:adjustRightInd w:val="0"/>
                    <w:snapToGrid w:val="0"/>
                    <w:jc w:val="center"/>
                    <w:outlineLvl w:val="0"/>
                    <w:rPr>
                      <w:color w:val="auto"/>
                      <w:szCs w:val="21"/>
                      <w:highlight w:val="none"/>
                    </w:rPr>
                  </w:pPr>
                </w:p>
              </w:tc>
              <w:tc>
                <w:tcPr>
                  <w:tcW w:w="372" w:type="pct"/>
                  <w:vMerge w:val="continue"/>
                  <w:noWrap w:val="0"/>
                  <w:vAlign w:val="top"/>
                </w:tcPr>
                <w:p w14:paraId="6E3A67CD">
                  <w:pPr>
                    <w:adjustRightInd w:val="0"/>
                    <w:snapToGrid w:val="0"/>
                    <w:jc w:val="center"/>
                    <w:outlineLvl w:val="0"/>
                    <w:rPr>
                      <w:color w:val="auto"/>
                      <w:szCs w:val="21"/>
                      <w:highlight w:val="none"/>
                    </w:rPr>
                  </w:pPr>
                </w:p>
              </w:tc>
              <w:tc>
                <w:tcPr>
                  <w:tcW w:w="180" w:type="pct"/>
                  <w:vMerge w:val="continue"/>
                  <w:noWrap w:val="0"/>
                  <w:vAlign w:val="top"/>
                </w:tcPr>
                <w:p w14:paraId="32581D12">
                  <w:pPr>
                    <w:adjustRightInd w:val="0"/>
                    <w:snapToGrid w:val="0"/>
                    <w:jc w:val="center"/>
                    <w:outlineLvl w:val="0"/>
                    <w:rPr>
                      <w:color w:val="auto"/>
                      <w:szCs w:val="21"/>
                      <w:highlight w:val="none"/>
                    </w:rPr>
                  </w:pPr>
                </w:p>
              </w:tc>
              <w:tc>
                <w:tcPr>
                  <w:tcW w:w="158" w:type="pct"/>
                  <w:vMerge w:val="continue"/>
                  <w:noWrap w:val="0"/>
                  <w:vAlign w:val="top"/>
                </w:tcPr>
                <w:p w14:paraId="198149C0">
                  <w:pPr>
                    <w:adjustRightInd w:val="0"/>
                    <w:snapToGrid w:val="0"/>
                    <w:jc w:val="center"/>
                    <w:outlineLvl w:val="0"/>
                    <w:rPr>
                      <w:color w:val="auto"/>
                      <w:szCs w:val="21"/>
                      <w:highlight w:val="none"/>
                    </w:rPr>
                  </w:pPr>
                </w:p>
              </w:tc>
              <w:tc>
                <w:tcPr>
                  <w:tcW w:w="169" w:type="pct"/>
                  <w:vMerge w:val="continue"/>
                  <w:noWrap w:val="0"/>
                  <w:vAlign w:val="top"/>
                </w:tcPr>
                <w:p w14:paraId="6E5D5F46">
                  <w:pPr>
                    <w:adjustRightInd w:val="0"/>
                    <w:snapToGrid w:val="0"/>
                    <w:jc w:val="center"/>
                    <w:outlineLvl w:val="0"/>
                    <w:rPr>
                      <w:color w:val="auto"/>
                      <w:szCs w:val="21"/>
                      <w:highlight w:val="none"/>
                    </w:rPr>
                  </w:pPr>
                </w:p>
              </w:tc>
              <w:tc>
                <w:tcPr>
                  <w:tcW w:w="378" w:type="pct"/>
                  <w:vMerge w:val="continue"/>
                  <w:noWrap w:val="0"/>
                  <w:vAlign w:val="center"/>
                </w:tcPr>
                <w:p w14:paraId="65E3B1A3">
                  <w:pPr>
                    <w:adjustRightInd w:val="0"/>
                    <w:snapToGrid w:val="0"/>
                    <w:jc w:val="center"/>
                    <w:outlineLvl w:val="0"/>
                    <w:rPr>
                      <w:color w:val="auto"/>
                      <w:szCs w:val="21"/>
                      <w:highlight w:val="none"/>
                    </w:rPr>
                  </w:pPr>
                </w:p>
              </w:tc>
              <w:tc>
                <w:tcPr>
                  <w:tcW w:w="347" w:type="pct"/>
                  <w:vMerge w:val="continue"/>
                  <w:noWrap w:val="0"/>
                  <w:vAlign w:val="center"/>
                </w:tcPr>
                <w:p w14:paraId="3695FBA1">
                  <w:pPr>
                    <w:adjustRightInd w:val="0"/>
                    <w:snapToGrid w:val="0"/>
                    <w:jc w:val="center"/>
                    <w:outlineLvl w:val="0"/>
                    <w:rPr>
                      <w:color w:val="auto"/>
                      <w:szCs w:val="21"/>
                      <w:highlight w:val="none"/>
                    </w:rPr>
                  </w:pPr>
                </w:p>
              </w:tc>
              <w:tc>
                <w:tcPr>
                  <w:tcW w:w="160" w:type="pct"/>
                  <w:noWrap w:val="0"/>
                  <w:vAlign w:val="center"/>
                </w:tcPr>
                <w:p w14:paraId="00562E27">
                  <w:pPr>
                    <w:adjustRightInd w:val="0"/>
                    <w:snapToGrid w:val="0"/>
                    <w:jc w:val="center"/>
                    <w:outlineLvl w:val="0"/>
                    <w:rPr>
                      <w:color w:val="auto"/>
                      <w:szCs w:val="21"/>
                      <w:highlight w:val="none"/>
                    </w:rPr>
                  </w:pPr>
                  <w:r>
                    <w:rPr>
                      <w:color w:val="auto"/>
                      <w:szCs w:val="21"/>
                      <w:highlight w:val="none"/>
                    </w:rPr>
                    <w:t>污染物排放管控要求</w:t>
                  </w:r>
                </w:p>
              </w:tc>
              <w:tc>
                <w:tcPr>
                  <w:tcW w:w="1772" w:type="pct"/>
                  <w:noWrap w:val="0"/>
                  <w:vAlign w:val="center"/>
                </w:tcPr>
                <w:p w14:paraId="7B650752">
                  <w:pPr>
                    <w:numPr>
                      <w:ilvl w:val="0"/>
                      <w:numId w:val="0"/>
                    </w:numPr>
                    <w:adjustRightInd w:val="0"/>
                    <w:snapToGrid w:val="0"/>
                    <w:jc w:val="left"/>
                    <w:outlineLvl w:val="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建设项目要按照区域污染物削减要求，实施等量替代。</w:t>
                  </w:r>
                </w:p>
                <w:p w14:paraId="13EAA760">
                  <w:pPr>
                    <w:numPr>
                      <w:ilvl w:val="0"/>
                      <w:numId w:val="0"/>
                    </w:numPr>
                    <w:adjustRightInd w:val="0"/>
                    <w:snapToGrid w:val="0"/>
                    <w:jc w:val="left"/>
                    <w:outlineLvl w:val="0"/>
                    <w:rPr>
                      <w:color w:val="auto"/>
                      <w:szCs w:val="21"/>
                      <w:highlight w:val="none"/>
                    </w:rPr>
                  </w:pPr>
                  <w:r>
                    <w:rPr>
                      <w:rFonts w:hint="eastAsia"/>
                      <w:color w:val="auto"/>
                      <w:szCs w:val="21"/>
                      <w:highlight w:val="none"/>
                    </w:rPr>
                    <w:t>2.园区生产废水要做到有效处理，达标排入管网，或循环利用、不外排；对生活污水经处理达标后排入工业园区污水处理厂。加强金昱元公司污水排放监管力度，确保生产过程中产生的污水集中处理，封堵生产废水排污口，严禁排入园区公网，达到零排放。</w:t>
                  </w:r>
                </w:p>
              </w:tc>
              <w:tc>
                <w:tcPr>
                  <w:tcW w:w="994" w:type="pct"/>
                  <w:noWrap w:val="0"/>
                  <w:vAlign w:val="center"/>
                </w:tcPr>
                <w:p w14:paraId="42CB7EF6">
                  <w:pPr>
                    <w:pStyle w:val="83"/>
                    <w:tabs>
                      <w:tab w:val="left" w:pos="294"/>
                    </w:tabs>
                    <w:adjustRightInd w:val="0"/>
                    <w:snapToGrid w:val="0"/>
                    <w:ind w:left="33"/>
                    <w:jc w:val="left"/>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rPr>
                    <w:t>本项目涉及VOCs排放，应按照区域污染物削减要求，实施等量替代。</w:t>
                  </w:r>
                </w:p>
                <w:p w14:paraId="5F6F6B19">
                  <w:pPr>
                    <w:pStyle w:val="83"/>
                    <w:tabs>
                      <w:tab w:val="left" w:pos="294"/>
                    </w:tabs>
                    <w:adjustRightInd w:val="0"/>
                    <w:snapToGrid w:val="0"/>
                    <w:ind w:left="33"/>
                    <w:jc w:val="both"/>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cs="Times New Roman"/>
                      <w:color w:val="auto"/>
                      <w:sz w:val="21"/>
                      <w:szCs w:val="21"/>
                      <w:highlight w:val="none"/>
                      <w:lang w:val="en-US" w:eastAsia="zh-CN"/>
                    </w:rPr>
                    <w:t>2.本项目运营期产生的废水主要为循环冷却系统排水及生活污水，</w:t>
                  </w:r>
                  <w:r>
                    <w:rPr>
                      <w:rFonts w:hint="eastAsia"/>
                      <w:color w:val="auto"/>
                      <w:lang w:val="en-US" w:eastAsia="zh-CN"/>
                    </w:rPr>
                    <w:t>生活污水经化粪池处理后汇同循环冷却系统排水排入园区污水管网，最终进入固原经济技术开发区新材料产业园污水处理厂进行处理</w:t>
                  </w:r>
                  <w:r>
                    <w:rPr>
                      <w:rFonts w:hint="eastAsia"/>
                      <w:color w:val="auto"/>
                      <w:lang w:eastAsia="zh-CN"/>
                    </w:rPr>
                    <w:t>。</w:t>
                  </w:r>
                </w:p>
              </w:tc>
              <w:tc>
                <w:tcPr>
                  <w:tcW w:w="284" w:type="pct"/>
                  <w:noWrap w:val="0"/>
                  <w:vAlign w:val="center"/>
                </w:tcPr>
                <w:p w14:paraId="7CA89481">
                  <w:pPr>
                    <w:adjustRightInd w:val="0"/>
                    <w:snapToGrid w:val="0"/>
                    <w:jc w:val="center"/>
                    <w:outlineLvl w:val="0"/>
                    <w:rPr>
                      <w:color w:val="auto"/>
                      <w:szCs w:val="21"/>
                      <w:highlight w:val="none"/>
                    </w:rPr>
                  </w:pPr>
                  <w:r>
                    <w:rPr>
                      <w:color w:val="auto"/>
                      <w:szCs w:val="21"/>
                      <w:highlight w:val="none"/>
                    </w:rPr>
                    <w:t>符合</w:t>
                  </w:r>
                </w:p>
              </w:tc>
            </w:tr>
            <w:tr w14:paraId="45137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0" w:type="pct"/>
                  <w:vMerge w:val="continue"/>
                  <w:noWrap w:val="0"/>
                  <w:vAlign w:val="center"/>
                </w:tcPr>
                <w:p w14:paraId="6C5EC960">
                  <w:pPr>
                    <w:adjustRightInd w:val="0"/>
                    <w:snapToGrid w:val="0"/>
                    <w:jc w:val="center"/>
                    <w:outlineLvl w:val="0"/>
                    <w:rPr>
                      <w:color w:val="auto"/>
                      <w:szCs w:val="21"/>
                      <w:highlight w:val="none"/>
                    </w:rPr>
                  </w:pPr>
                </w:p>
              </w:tc>
              <w:tc>
                <w:tcPr>
                  <w:tcW w:w="372" w:type="pct"/>
                  <w:vMerge w:val="continue"/>
                  <w:noWrap w:val="0"/>
                  <w:vAlign w:val="top"/>
                </w:tcPr>
                <w:p w14:paraId="349F7BEA">
                  <w:pPr>
                    <w:adjustRightInd w:val="0"/>
                    <w:snapToGrid w:val="0"/>
                    <w:jc w:val="center"/>
                    <w:outlineLvl w:val="0"/>
                    <w:rPr>
                      <w:color w:val="auto"/>
                      <w:szCs w:val="21"/>
                      <w:highlight w:val="none"/>
                    </w:rPr>
                  </w:pPr>
                </w:p>
              </w:tc>
              <w:tc>
                <w:tcPr>
                  <w:tcW w:w="180" w:type="pct"/>
                  <w:vMerge w:val="continue"/>
                  <w:noWrap w:val="0"/>
                  <w:vAlign w:val="top"/>
                </w:tcPr>
                <w:p w14:paraId="461AC217">
                  <w:pPr>
                    <w:adjustRightInd w:val="0"/>
                    <w:snapToGrid w:val="0"/>
                    <w:jc w:val="center"/>
                    <w:outlineLvl w:val="0"/>
                    <w:rPr>
                      <w:color w:val="auto"/>
                      <w:szCs w:val="21"/>
                      <w:highlight w:val="none"/>
                    </w:rPr>
                  </w:pPr>
                </w:p>
              </w:tc>
              <w:tc>
                <w:tcPr>
                  <w:tcW w:w="158" w:type="pct"/>
                  <w:vMerge w:val="continue"/>
                  <w:noWrap w:val="0"/>
                  <w:vAlign w:val="top"/>
                </w:tcPr>
                <w:p w14:paraId="46D0FFD4">
                  <w:pPr>
                    <w:adjustRightInd w:val="0"/>
                    <w:snapToGrid w:val="0"/>
                    <w:jc w:val="center"/>
                    <w:outlineLvl w:val="0"/>
                    <w:rPr>
                      <w:color w:val="auto"/>
                      <w:szCs w:val="21"/>
                      <w:highlight w:val="none"/>
                    </w:rPr>
                  </w:pPr>
                </w:p>
              </w:tc>
              <w:tc>
                <w:tcPr>
                  <w:tcW w:w="169" w:type="pct"/>
                  <w:vMerge w:val="continue"/>
                  <w:noWrap w:val="0"/>
                  <w:vAlign w:val="top"/>
                </w:tcPr>
                <w:p w14:paraId="56A303B2">
                  <w:pPr>
                    <w:adjustRightInd w:val="0"/>
                    <w:snapToGrid w:val="0"/>
                    <w:jc w:val="center"/>
                    <w:outlineLvl w:val="0"/>
                    <w:rPr>
                      <w:color w:val="auto"/>
                      <w:szCs w:val="21"/>
                      <w:highlight w:val="none"/>
                    </w:rPr>
                  </w:pPr>
                </w:p>
              </w:tc>
              <w:tc>
                <w:tcPr>
                  <w:tcW w:w="378" w:type="pct"/>
                  <w:vMerge w:val="continue"/>
                  <w:noWrap w:val="0"/>
                  <w:vAlign w:val="center"/>
                </w:tcPr>
                <w:p w14:paraId="69432F1D">
                  <w:pPr>
                    <w:adjustRightInd w:val="0"/>
                    <w:snapToGrid w:val="0"/>
                    <w:jc w:val="center"/>
                    <w:outlineLvl w:val="0"/>
                    <w:rPr>
                      <w:color w:val="auto"/>
                      <w:szCs w:val="21"/>
                      <w:highlight w:val="none"/>
                    </w:rPr>
                  </w:pPr>
                </w:p>
              </w:tc>
              <w:tc>
                <w:tcPr>
                  <w:tcW w:w="347" w:type="pct"/>
                  <w:vMerge w:val="continue"/>
                  <w:noWrap w:val="0"/>
                  <w:vAlign w:val="center"/>
                </w:tcPr>
                <w:p w14:paraId="533097EE">
                  <w:pPr>
                    <w:adjustRightInd w:val="0"/>
                    <w:snapToGrid w:val="0"/>
                    <w:jc w:val="center"/>
                    <w:outlineLvl w:val="0"/>
                    <w:rPr>
                      <w:color w:val="auto"/>
                      <w:szCs w:val="21"/>
                      <w:highlight w:val="none"/>
                    </w:rPr>
                  </w:pPr>
                </w:p>
              </w:tc>
              <w:tc>
                <w:tcPr>
                  <w:tcW w:w="160" w:type="pct"/>
                  <w:noWrap w:val="0"/>
                  <w:vAlign w:val="center"/>
                </w:tcPr>
                <w:p w14:paraId="1E7E2ACA">
                  <w:pPr>
                    <w:adjustRightInd w:val="0"/>
                    <w:snapToGrid w:val="0"/>
                    <w:jc w:val="center"/>
                    <w:outlineLvl w:val="0"/>
                    <w:rPr>
                      <w:color w:val="auto"/>
                      <w:szCs w:val="21"/>
                      <w:highlight w:val="none"/>
                    </w:rPr>
                  </w:pPr>
                  <w:r>
                    <w:rPr>
                      <w:color w:val="auto"/>
                      <w:szCs w:val="21"/>
                      <w:highlight w:val="none"/>
                    </w:rPr>
                    <w:t>环境风险防控</w:t>
                  </w:r>
                </w:p>
              </w:tc>
              <w:tc>
                <w:tcPr>
                  <w:tcW w:w="1772" w:type="pct"/>
                  <w:noWrap w:val="0"/>
                  <w:vAlign w:val="center"/>
                </w:tcPr>
                <w:p w14:paraId="5529DAEE">
                  <w:pPr>
                    <w:adjustRightInd w:val="0"/>
                    <w:snapToGrid w:val="0"/>
                    <w:jc w:val="left"/>
                    <w:outlineLvl w:val="0"/>
                    <w:rPr>
                      <w:color w:val="auto"/>
                      <w:szCs w:val="21"/>
                      <w:highlight w:val="none"/>
                    </w:rPr>
                  </w:pPr>
                  <w:r>
                    <w:rPr>
                      <w:color w:val="auto"/>
                      <w:szCs w:val="21"/>
                      <w:highlight w:val="none"/>
                    </w:rPr>
                    <w:t>1.</w:t>
                  </w:r>
                  <w:r>
                    <w:rPr>
                      <w:rFonts w:hint="eastAsia"/>
                      <w:color w:val="auto"/>
                      <w:szCs w:val="21"/>
                      <w:highlight w:val="none"/>
                    </w:rPr>
                    <w:t>土壤重点监管、涉重金属企业应采取措施加强土壤环境监测和土壤污染风险防控。</w:t>
                  </w:r>
                </w:p>
                <w:p w14:paraId="4AEFF34E">
                  <w:pPr>
                    <w:adjustRightInd w:val="0"/>
                    <w:snapToGrid w:val="0"/>
                    <w:jc w:val="left"/>
                    <w:outlineLvl w:val="0"/>
                    <w:rPr>
                      <w:rFonts w:hint="eastAsia"/>
                      <w:color w:val="auto"/>
                      <w:szCs w:val="21"/>
                      <w:highlight w:val="none"/>
                    </w:rPr>
                  </w:pPr>
                  <w:r>
                    <w:rPr>
                      <w:rFonts w:hint="eastAsia"/>
                      <w:color w:val="auto"/>
                      <w:szCs w:val="21"/>
                      <w:highlight w:val="none"/>
                    </w:rPr>
                    <w:t>2.应建立环境污染事故风险管理组织机制。</w:t>
                  </w:r>
                </w:p>
                <w:p w14:paraId="6BB61B79">
                  <w:pPr>
                    <w:adjustRightInd w:val="0"/>
                    <w:snapToGrid w:val="0"/>
                    <w:jc w:val="left"/>
                    <w:outlineLvl w:val="0"/>
                    <w:rPr>
                      <w:color w:val="auto"/>
                      <w:szCs w:val="21"/>
                      <w:highlight w:val="none"/>
                    </w:rPr>
                  </w:pPr>
                  <w:r>
                    <w:rPr>
                      <w:rFonts w:hint="eastAsia"/>
                      <w:color w:val="auto"/>
                      <w:szCs w:val="21"/>
                      <w:highlight w:val="none"/>
                    </w:rPr>
                    <w:t>3.依据《建设项目环境风险评价技术导则》（HJ169-2018），环境风</w:t>
                  </w:r>
                  <w:r>
                    <w:rPr>
                      <w:rFonts w:hint="default" w:ascii="Times New Roman" w:hAnsi="Times New Roman" w:cs="Times New Roman"/>
                      <w:color w:val="auto"/>
                      <w:szCs w:val="21"/>
                      <w:highlight w:val="none"/>
                    </w:rPr>
                    <w:t>险潜势为极高环境风险（Ⅳ+）且毒性终点浓度-1/（mg/m</w:t>
                  </w:r>
                  <w:r>
                    <w:rPr>
                      <w:rFonts w:hint="eastAsia"/>
                      <w:color w:val="auto"/>
                      <w:szCs w:val="21"/>
                      <w:highlight w:val="none"/>
                      <w:vertAlign w:val="superscript"/>
                    </w:rPr>
                    <w:t>3</w:t>
                  </w:r>
                  <w:r>
                    <w:rPr>
                      <w:rFonts w:hint="eastAsia"/>
                      <w:color w:val="auto"/>
                      <w:szCs w:val="21"/>
                      <w:highlight w:val="none"/>
                    </w:rPr>
                    <w:t>）范围有居民区的建设项目禁止引入化工集中区。</w:t>
                  </w:r>
                </w:p>
              </w:tc>
              <w:tc>
                <w:tcPr>
                  <w:tcW w:w="994" w:type="pct"/>
                  <w:noWrap w:val="0"/>
                  <w:vAlign w:val="center"/>
                </w:tcPr>
                <w:p w14:paraId="0A45B04E">
                  <w:pPr>
                    <w:adjustRightInd w:val="0"/>
                    <w:snapToGrid w:val="0"/>
                    <w:jc w:val="left"/>
                    <w:outlineLvl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不涉及。</w:t>
                  </w:r>
                </w:p>
                <w:p w14:paraId="7142DDF5">
                  <w:pPr>
                    <w:adjustRightInd w:val="0"/>
                    <w:snapToGrid w:val="0"/>
                    <w:jc w:val="both"/>
                    <w:outlineLvl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根据</w:t>
                  </w:r>
                  <w:r>
                    <w:rPr>
                      <w:rFonts w:hint="default" w:ascii="Times New Roman" w:hAnsi="Times New Roman" w:eastAsia="宋体" w:cs="Times New Roman"/>
                      <w:color w:val="auto"/>
                      <w:sz w:val="21"/>
                      <w:szCs w:val="21"/>
                      <w:highlight w:val="none"/>
                      <w:lang w:val="en-US" w:eastAsia="zh-CN"/>
                    </w:rPr>
                    <w:t>风险物质识别</w:t>
                  </w:r>
                  <w:r>
                    <w:rPr>
                      <w:rFonts w:hint="default" w:ascii="Times New Roman" w:hAnsi="Times New Roman" w:eastAsia="宋体" w:cs="Times New Roman"/>
                      <w:color w:val="auto"/>
                      <w:sz w:val="21"/>
                      <w:szCs w:val="21"/>
                      <w:highlight w:val="none"/>
                      <w:lang w:eastAsia="zh-CN"/>
                    </w:rPr>
                    <w:t>，本项目涉及的危险物质主要为</w:t>
                  </w:r>
                  <w:r>
                    <w:rPr>
                      <w:rFonts w:hint="eastAsia" w:ascii="Times New Roman" w:hAnsi="Times New Roman" w:eastAsia="宋体" w:cs="Times New Roman"/>
                      <w:color w:val="auto"/>
                      <w:spacing w:val="0"/>
                      <w:kern w:val="0"/>
                      <w:sz w:val="21"/>
                      <w:szCs w:val="21"/>
                      <w:highlight w:val="none"/>
                      <w:lang w:val="en-US" w:eastAsia="zh-CN" w:bidi="ar-SA"/>
                    </w:rPr>
                    <w:t>废润滑油</w:t>
                  </w:r>
                  <w:r>
                    <w:rPr>
                      <w:rFonts w:hint="eastAsia" w:cs="Times New Roman"/>
                      <w:color w:val="auto"/>
                      <w:spacing w:val="0"/>
                      <w:kern w:val="0"/>
                      <w:sz w:val="21"/>
                      <w:szCs w:val="21"/>
                      <w:highlight w:val="none"/>
                      <w:lang w:val="en-US" w:eastAsia="zh-CN" w:bidi="ar-SA"/>
                    </w:rPr>
                    <w:t>及戊烷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项目Q值为</w:t>
                  </w:r>
                  <w:r>
                    <w:rPr>
                      <w:rFonts w:hint="default" w:ascii="Times New Roman" w:hAnsi="Times New Roman" w:eastAsia="宋体" w:cs="Times New Roman"/>
                      <w:color w:val="auto"/>
                      <w:sz w:val="21"/>
                      <w:szCs w:val="21"/>
                      <w:highlight w:val="none"/>
                    </w:rPr>
                    <w:t>0.</w:t>
                  </w:r>
                  <w:r>
                    <w:rPr>
                      <w:rFonts w:hint="eastAsia" w:cs="Times New Roman"/>
                      <w:color w:val="auto"/>
                      <w:sz w:val="21"/>
                      <w:szCs w:val="21"/>
                      <w:highlight w:val="none"/>
                      <w:lang w:val="en-US" w:eastAsia="zh-CN"/>
                    </w:rPr>
                    <w:t>110012</w:t>
                  </w:r>
                  <w:r>
                    <w:rPr>
                      <w:rFonts w:hint="default" w:ascii="Times New Roman" w:hAnsi="Times New Roman" w:eastAsia="宋体" w:cs="Times New Roman"/>
                      <w:color w:val="auto"/>
                      <w:sz w:val="21"/>
                      <w:szCs w:val="21"/>
                      <w:highlight w:val="none"/>
                    </w:rPr>
                    <w:t>&lt;1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不属于</w:t>
                  </w:r>
                  <w:r>
                    <w:rPr>
                      <w:rFonts w:hint="default" w:ascii="Times New Roman" w:hAnsi="Times New Roman" w:eastAsia="宋体" w:cs="Times New Roman"/>
                      <w:color w:val="auto"/>
                      <w:sz w:val="21"/>
                      <w:szCs w:val="21"/>
                      <w:highlight w:val="none"/>
                      <w:lang w:eastAsia="zh-CN"/>
                    </w:rPr>
                    <w:t>环境风险潜势为极高环境风险（Ⅳ+）且毒性终点浓度-1/（mg/m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）范围有居民区的建设项目</w:t>
                  </w:r>
                  <w:r>
                    <w:rPr>
                      <w:rFonts w:hint="default" w:ascii="Times New Roman" w:hAnsi="Times New Roman" w:eastAsia="宋体" w:cs="Times New Roman"/>
                      <w:color w:val="auto"/>
                      <w:sz w:val="21"/>
                      <w:szCs w:val="21"/>
                      <w:highlight w:val="none"/>
                      <w:lang w:val="en-US" w:eastAsia="zh-CN"/>
                    </w:rPr>
                    <w:t>。</w:t>
                  </w:r>
                </w:p>
              </w:tc>
              <w:tc>
                <w:tcPr>
                  <w:tcW w:w="284" w:type="pct"/>
                  <w:noWrap w:val="0"/>
                  <w:vAlign w:val="center"/>
                </w:tcPr>
                <w:p w14:paraId="0B0E0D73">
                  <w:pPr>
                    <w:adjustRightInd w:val="0"/>
                    <w:snapToGrid w:val="0"/>
                    <w:jc w:val="center"/>
                    <w:outlineLvl w:val="0"/>
                    <w:rPr>
                      <w:color w:val="auto"/>
                      <w:szCs w:val="21"/>
                      <w:highlight w:val="none"/>
                    </w:rPr>
                  </w:pPr>
                  <w:r>
                    <w:rPr>
                      <w:color w:val="auto"/>
                      <w:szCs w:val="21"/>
                      <w:highlight w:val="none"/>
                    </w:rPr>
                    <w:t>符合</w:t>
                  </w:r>
                </w:p>
              </w:tc>
            </w:tr>
            <w:tr w14:paraId="31BC5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jc w:val="center"/>
              </w:trPr>
              <w:tc>
                <w:tcPr>
                  <w:tcW w:w="180" w:type="pct"/>
                  <w:vMerge w:val="continue"/>
                  <w:noWrap w:val="0"/>
                  <w:vAlign w:val="center"/>
                </w:tcPr>
                <w:p w14:paraId="3896F8BD">
                  <w:pPr>
                    <w:adjustRightInd w:val="0"/>
                    <w:snapToGrid w:val="0"/>
                    <w:jc w:val="center"/>
                    <w:outlineLvl w:val="0"/>
                    <w:rPr>
                      <w:color w:val="auto"/>
                      <w:szCs w:val="21"/>
                      <w:highlight w:val="none"/>
                    </w:rPr>
                  </w:pPr>
                </w:p>
              </w:tc>
              <w:tc>
                <w:tcPr>
                  <w:tcW w:w="372" w:type="pct"/>
                  <w:vMerge w:val="continue"/>
                  <w:noWrap w:val="0"/>
                  <w:vAlign w:val="top"/>
                </w:tcPr>
                <w:p w14:paraId="60209961">
                  <w:pPr>
                    <w:adjustRightInd w:val="0"/>
                    <w:snapToGrid w:val="0"/>
                    <w:jc w:val="center"/>
                    <w:outlineLvl w:val="0"/>
                    <w:rPr>
                      <w:color w:val="auto"/>
                      <w:szCs w:val="21"/>
                      <w:highlight w:val="none"/>
                    </w:rPr>
                  </w:pPr>
                </w:p>
              </w:tc>
              <w:tc>
                <w:tcPr>
                  <w:tcW w:w="180" w:type="pct"/>
                  <w:vMerge w:val="continue"/>
                  <w:noWrap w:val="0"/>
                  <w:vAlign w:val="top"/>
                </w:tcPr>
                <w:p w14:paraId="6C3A1925">
                  <w:pPr>
                    <w:adjustRightInd w:val="0"/>
                    <w:snapToGrid w:val="0"/>
                    <w:jc w:val="center"/>
                    <w:outlineLvl w:val="0"/>
                    <w:rPr>
                      <w:color w:val="auto"/>
                      <w:szCs w:val="21"/>
                      <w:highlight w:val="none"/>
                    </w:rPr>
                  </w:pPr>
                </w:p>
              </w:tc>
              <w:tc>
                <w:tcPr>
                  <w:tcW w:w="158" w:type="pct"/>
                  <w:vMerge w:val="continue"/>
                  <w:noWrap w:val="0"/>
                  <w:vAlign w:val="top"/>
                </w:tcPr>
                <w:p w14:paraId="28ADB04B">
                  <w:pPr>
                    <w:adjustRightInd w:val="0"/>
                    <w:snapToGrid w:val="0"/>
                    <w:jc w:val="center"/>
                    <w:outlineLvl w:val="0"/>
                    <w:rPr>
                      <w:color w:val="auto"/>
                      <w:szCs w:val="21"/>
                      <w:highlight w:val="none"/>
                    </w:rPr>
                  </w:pPr>
                </w:p>
              </w:tc>
              <w:tc>
                <w:tcPr>
                  <w:tcW w:w="169" w:type="pct"/>
                  <w:vMerge w:val="continue"/>
                  <w:noWrap w:val="0"/>
                  <w:vAlign w:val="top"/>
                </w:tcPr>
                <w:p w14:paraId="778AA591">
                  <w:pPr>
                    <w:adjustRightInd w:val="0"/>
                    <w:snapToGrid w:val="0"/>
                    <w:jc w:val="center"/>
                    <w:outlineLvl w:val="0"/>
                    <w:rPr>
                      <w:color w:val="auto"/>
                      <w:szCs w:val="21"/>
                      <w:highlight w:val="none"/>
                    </w:rPr>
                  </w:pPr>
                </w:p>
              </w:tc>
              <w:tc>
                <w:tcPr>
                  <w:tcW w:w="378" w:type="pct"/>
                  <w:vMerge w:val="continue"/>
                  <w:noWrap w:val="0"/>
                  <w:vAlign w:val="center"/>
                </w:tcPr>
                <w:p w14:paraId="78AAF625">
                  <w:pPr>
                    <w:adjustRightInd w:val="0"/>
                    <w:snapToGrid w:val="0"/>
                    <w:jc w:val="center"/>
                    <w:outlineLvl w:val="0"/>
                    <w:rPr>
                      <w:color w:val="auto"/>
                      <w:szCs w:val="21"/>
                      <w:highlight w:val="none"/>
                    </w:rPr>
                  </w:pPr>
                </w:p>
              </w:tc>
              <w:tc>
                <w:tcPr>
                  <w:tcW w:w="347" w:type="pct"/>
                  <w:vMerge w:val="continue"/>
                  <w:noWrap w:val="0"/>
                  <w:vAlign w:val="center"/>
                </w:tcPr>
                <w:p w14:paraId="5D0E1F7B">
                  <w:pPr>
                    <w:adjustRightInd w:val="0"/>
                    <w:snapToGrid w:val="0"/>
                    <w:jc w:val="center"/>
                    <w:outlineLvl w:val="0"/>
                    <w:rPr>
                      <w:color w:val="auto"/>
                      <w:szCs w:val="21"/>
                      <w:highlight w:val="none"/>
                    </w:rPr>
                  </w:pPr>
                </w:p>
              </w:tc>
              <w:tc>
                <w:tcPr>
                  <w:tcW w:w="160" w:type="pct"/>
                  <w:noWrap w:val="0"/>
                  <w:vAlign w:val="center"/>
                </w:tcPr>
                <w:p w14:paraId="36E3978D">
                  <w:pPr>
                    <w:adjustRightInd w:val="0"/>
                    <w:snapToGrid w:val="0"/>
                    <w:jc w:val="center"/>
                    <w:outlineLvl w:val="0"/>
                    <w:rPr>
                      <w:color w:val="auto"/>
                      <w:szCs w:val="21"/>
                      <w:highlight w:val="none"/>
                    </w:rPr>
                  </w:pPr>
                  <w:r>
                    <w:rPr>
                      <w:color w:val="auto"/>
                      <w:szCs w:val="21"/>
                      <w:highlight w:val="none"/>
                    </w:rPr>
                    <w:t>资源开发效率要求</w:t>
                  </w:r>
                </w:p>
              </w:tc>
              <w:tc>
                <w:tcPr>
                  <w:tcW w:w="1772" w:type="pct"/>
                  <w:noWrap w:val="0"/>
                  <w:vAlign w:val="center"/>
                </w:tcPr>
                <w:p w14:paraId="3EC986CC">
                  <w:pPr>
                    <w:adjustRightInd w:val="0"/>
                    <w:snapToGrid w:val="0"/>
                    <w:jc w:val="left"/>
                    <w:outlineLvl w:val="0"/>
                    <w:rPr>
                      <w:rFonts w:hint="eastAsia"/>
                      <w:color w:val="auto"/>
                      <w:szCs w:val="21"/>
                      <w:highlight w:val="none"/>
                    </w:rPr>
                  </w:pPr>
                  <w:r>
                    <w:rPr>
                      <w:rFonts w:hint="eastAsia"/>
                      <w:color w:val="auto"/>
                      <w:szCs w:val="21"/>
                      <w:highlight w:val="none"/>
                    </w:rPr>
                    <w:t>1.新建、扩建煤电项目应采用先进适用的技术、工艺和设备，供电煤耗和大气污染物排放应达到煤炭清洁高效利用标杆水平。</w:t>
                  </w:r>
                </w:p>
                <w:p w14:paraId="12AA35B0">
                  <w:pPr>
                    <w:adjustRightInd w:val="0"/>
                    <w:snapToGrid w:val="0"/>
                    <w:jc w:val="left"/>
                    <w:outlineLvl w:val="0"/>
                    <w:rPr>
                      <w:rFonts w:hint="eastAsia"/>
                      <w:color w:val="auto"/>
                      <w:szCs w:val="21"/>
                      <w:highlight w:val="none"/>
                    </w:rPr>
                  </w:pPr>
                  <w:r>
                    <w:rPr>
                      <w:rFonts w:hint="eastAsia"/>
                      <w:color w:val="auto"/>
                      <w:szCs w:val="21"/>
                      <w:highlight w:val="none"/>
                    </w:rPr>
                    <w:t>2.单位产品水耗、废水排放量、资源综合利用等指标，应达到相应行业清洁生产国内先进水平。</w:t>
                  </w:r>
                </w:p>
                <w:p w14:paraId="471967B4">
                  <w:pPr>
                    <w:adjustRightInd w:val="0"/>
                    <w:snapToGrid w:val="0"/>
                    <w:jc w:val="left"/>
                    <w:outlineLvl w:val="0"/>
                    <w:rPr>
                      <w:rFonts w:hint="eastAsia"/>
                      <w:color w:val="auto"/>
                      <w:szCs w:val="21"/>
                      <w:highlight w:val="none"/>
                    </w:rPr>
                  </w:pPr>
                  <w:r>
                    <w:rPr>
                      <w:rFonts w:hint="eastAsia"/>
                      <w:color w:val="auto"/>
                      <w:szCs w:val="21"/>
                      <w:highlight w:val="none"/>
                    </w:rPr>
                    <w:t>3.强化节水措施，减少新鲜水用量，优先使用再生水、矿井水等非常规水源。优先采用空冷节水技术。</w:t>
                  </w:r>
                </w:p>
              </w:tc>
              <w:tc>
                <w:tcPr>
                  <w:tcW w:w="994" w:type="pct"/>
                  <w:noWrap w:val="0"/>
                  <w:vAlign w:val="center"/>
                </w:tcPr>
                <w:p w14:paraId="6DCE1D6C">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0"/>
                    <w:rPr>
                      <w:rFonts w:hint="default" w:ascii="Times New Roman" w:hAnsi="Times New Roman" w:cs="Times New Roman"/>
                      <w:color w:val="auto"/>
                      <w:sz w:val="21"/>
                      <w:szCs w:val="21"/>
                      <w:highlight w:val="none"/>
                      <w:lang w:eastAsia="zh-CN"/>
                    </w:rPr>
                  </w:pPr>
                  <w:r>
                    <w:rPr>
                      <w:rFonts w:hint="eastAsia"/>
                      <w:color w:val="auto"/>
                      <w:szCs w:val="21"/>
                      <w:highlight w:val="none"/>
                      <w:lang w:val="en-US" w:eastAsia="zh-CN"/>
                    </w:rPr>
                    <w:t>1.</w:t>
                  </w:r>
                  <w:r>
                    <w:rPr>
                      <w:rFonts w:hint="default" w:ascii="Times New Roman" w:hAnsi="Times New Roman" w:cs="Times New Roman"/>
                      <w:color w:val="auto"/>
                      <w:sz w:val="21"/>
                      <w:szCs w:val="21"/>
                      <w:highlight w:val="none"/>
                    </w:rPr>
                    <w:t>本项目为</w:t>
                  </w:r>
                  <w:r>
                    <w:rPr>
                      <w:rFonts w:hint="default" w:ascii="Times New Roman" w:hAnsi="Times New Roman" w:cs="Times New Roman"/>
                      <w:color w:val="auto"/>
                      <w:sz w:val="21"/>
                      <w:szCs w:val="21"/>
                      <w:highlight w:val="none"/>
                      <w:lang w:val="en-US" w:eastAsia="zh-CN"/>
                    </w:rPr>
                    <w:t>泡沫箱生产</w:t>
                  </w:r>
                  <w:r>
                    <w:rPr>
                      <w:rFonts w:hint="default" w:ascii="Times New Roman" w:hAnsi="Times New Roman" w:cs="Times New Roman"/>
                      <w:color w:val="auto"/>
                      <w:sz w:val="21"/>
                      <w:szCs w:val="21"/>
                      <w:highlight w:val="none"/>
                      <w:lang w:val="en-US"/>
                    </w:rPr>
                    <w:t>加工项目</w:t>
                  </w:r>
                  <w:r>
                    <w:rPr>
                      <w:rFonts w:hint="default" w:ascii="Times New Roman" w:hAnsi="Times New Roman" w:cs="Times New Roman"/>
                      <w:color w:val="auto"/>
                      <w:sz w:val="21"/>
                      <w:szCs w:val="21"/>
                      <w:highlight w:val="none"/>
                    </w:rPr>
                    <w:t>，不属于</w:t>
                  </w:r>
                  <w:r>
                    <w:rPr>
                      <w:rFonts w:hint="eastAsia" w:ascii="Times New Roman" w:hAnsi="Times New Roman" w:cs="Times New Roman"/>
                      <w:color w:val="auto"/>
                      <w:sz w:val="21"/>
                      <w:szCs w:val="21"/>
                      <w:highlight w:val="none"/>
                      <w:lang w:val="en-US" w:eastAsia="zh-CN"/>
                    </w:rPr>
                    <w:t>煤电</w:t>
                  </w:r>
                  <w:r>
                    <w:rPr>
                      <w:rFonts w:hint="default" w:ascii="Times New Roman" w:hAnsi="Times New Roman" w:cs="Times New Roman"/>
                      <w:color w:val="auto"/>
                      <w:sz w:val="21"/>
                      <w:szCs w:val="21"/>
                      <w:highlight w:val="none"/>
                    </w:rPr>
                    <w:t>项目</w:t>
                  </w:r>
                  <w:r>
                    <w:rPr>
                      <w:rFonts w:hint="default" w:ascii="Times New Roman" w:hAnsi="Times New Roman" w:cs="Times New Roman"/>
                      <w:color w:val="auto"/>
                      <w:sz w:val="21"/>
                      <w:szCs w:val="21"/>
                      <w:highlight w:val="none"/>
                      <w:lang w:eastAsia="zh-CN"/>
                    </w:rPr>
                    <w:t>。</w:t>
                  </w:r>
                </w:p>
                <w:p w14:paraId="4524A54B">
                  <w:pPr>
                    <w:pStyle w:val="11"/>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default"/>
                      <w:color w:val="auto"/>
                      <w:highlight w:val="yellow"/>
                      <w:lang w:val="en-US"/>
                    </w:rPr>
                  </w:pPr>
                  <w:r>
                    <w:rPr>
                      <w:rFonts w:hint="eastAsia" w:ascii="Times New Roman" w:hAnsi="Times New Roman" w:cs="Times New Roman"/>
                      <w:color w:val="auto"/>
                      <w:sz w:val="21"/>
                      <w:szCs w:val="21"/>
                      <w:highlight w:val="none"/>
                      <w:lang w:val="en-US" w:eastAsia="zh-CN"/>
                    </w:rPr>
                    <w:t>2.3</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本项目单位产品水耗、废水排放量、资源综合利用等指标可达到相应行业清洁生产国内先进水平。</w:t>
                  </w:r>
                </w:p>
              </w:tc>
              <w:tc>
                <w:tcPr>
                  <w:tcW w:w="284" w:type="pct"/>
                  <w:noWrap w:val="0"/>
                  <w:vAlign w:val="center"/>
                </w:tcPr>
                <w:p w14:paraId="28378904">
                  <w:pPr>
                    <w:adjustRightInd w:val="0"/>
                    <w:snapToGrid w:val="0"/>
                    <w:jc w:val="center"/>
                    <w:outlineLvl w:val="0"/>
                    <w:rPr>
                      <w:rFonts w:hint="eastAsia"/>
                      <w:color w:val="auto"/>
                      <w:szCs w:val="21"/>
                      <w:highlight w:val="none"/>
                    </w:rPr>
                  </w:pPr>
                  <w:r>
                    <w:rPr>
                      <w:rFonts w:hint="eastAsia"/>
                      <w:color w:val="auto"/>
                      <w:szCs w:val="21"/>
                      <w:highlight w:val="none"/>
                    </w:rPr>
                    <w:t>/</w:t>
                  </w:r>
                </w:p>
              </w:tc>
            </w:tr>
          </w:tbl>
          <w:p w14:paraId="6FB768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rPr>
            </w:pPr>
            <w:r>
              <w:rPr>
                <w:color w:val="auto"/>
                <w:sz w:val="24"/>
                <w:highlight w:val="none"/>
              </w:rPr>
              <w:t>综上，本项目与固原市环境管控单元生态环境准入清单要求相符</w:t>
            </w:r>
            <w:r>
              <w:rPr>
                <w:rFonts w:hint="eastAsia"/>
                <w:color w:val="auto"/>
                <w:sz w:val="24"/>
                <w:highlight w:val="none"/>
              </w:rPr>
              <w:t>。</w:t>
            </w:r>
            <w:r>
              <w:rPr>
                <w:rFonts w:hint="default" w:ascii="Times New Roman" w:hAnsi="Times New Roman" w:eastAsia="宋体" w:cs="Times New Roman"/>
                <w:b w:val="0"/>
                <w:bCs w:val="0"/>
                <w:color w:val="auto"/>
                <w:sz w:val="24"/>
                <w:lang w:val="en-US" w:eastAsia="zh-CN"/>
              </w:rPr>
              <w:t>综上，本项目的建设符合</w:t>
            </w:r>
            <w:r>
              <w:rPr>
                <w:rFonts w:hint="eastAsia" w:cs="Times New Roman"/>
                <w:color w:val="auto"/>
                <w:kern w:val="0"/>
                <w:sz w:val="24"/>
                <w:szCs w:val="24"/>
                <w:lang w:val="en-US" w:eastAsia="zh-CN"/>
              </w:rPr>
              <w:t>固原市</w:t>
            </w:r>
            <w:r>
              <w:rPr>
                <w:rFonts w:hint="default" w:ascii="Times New Roman" w:hAnsi="Times New Roman" w:eastAsia="宋体" w:cs="Times New Roman"/>
                <w:color w:val="auto"/>
                <w:kern w:val="0"/>
                <w:sz w:val="24"/>
              </w:rPr>
              <w:t>环境管控单元生态环境准入清单</w:t>
            </w:r>
            <w:r>
              <w:rPr>
                <w:rFonts w:hint="default" w:ascii="Times New Roman" w:hAnsi="Times New Roman" w:eastAsia="宋体" w:cs="Times New Roman"/>
                <w:color w:val="auto"/>
                <w:kern w:val="0"/>
                <w:sz w:val="24"/>
                <w:szCs w:val="24"/>
                <w:lang w:val="en-US" w:eastAsia="zh-CN"/>
              </w:rPr>
              <w:t>的相关要求。</w:t>
            </w:r>
          </w:p>
        </w:tc>
      </w:tr>
    </w:tbl>
    <w:p w14:paraId="3BADF380">
      <w:pPr>
        <w:pStyle w:val="2"/>
        <w:rPr>
          <w:rFonts w:hint="default"/>
          <w:color w:val="auto"/>
        </w:rPr>
        <w:sectPr>
          <w:pgSz w:w="16838" w:h="11906" w:orient="landscape"/>
          <w:pgMar w:top="1531" w:right="1701" w:bottom="1531" w:left="1701" w:header="851" w:footer="1077" w:gutter="0"/>
          <w:pgBorders w:offsetFrom="page">
            <w:top w:val="none" w:sz="0" w:space="0"/>
            <w:left w:val="none" w:sz="0" w:space="0"/>
            <w:bottom w:val="none" w:sz="0" w:space="0"/>
            <w:right w:val="none" w:sz="0" w:space="0"/>
          </w:pgBorders>
          <w:cols w:space="720" w:num="1"/>
          <w:docGrid w:linePitch="312" w:charSpace="0"/>
        </w:sectPr>
      </w:pPr>
    </w:p>
    <w:tbl>
      <w:tblPr>
        <w:tblStyle w:val="30"/>
        <w:tblW w:w="9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457"/>
      </w:tblGrid>
      <w:tr w14:paraId="77A80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785" w:type="dxa"/>
            <w:noWrap w:val="0"/>
            <w:vAlign w:val="center"/>
          </w:tcPr>
          <w:p w14:paraId="612DDCB1">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b/>
                <w:bCs/>
                <w:color w:val="auto"/>
                <w:sz w:val="24"/>
                <w:lang w:val="en-US" w:eastAsia="zh-CN"/>
              </w:rPr>
              <w:t>其他规划符合性分析</w:t>
            </w:r>
          </w:p>
        </w:tc>
        <w:tc>
          <w:tcPr>
            <w:tcW w:w="8457" w:type="dxa"/>
            <w:noWrap w:val="0"/>
            <w:vAlign w:val="top"/>
          </w:tcPr>
          <w:p w14:paraId="3C2CB0A6">
            <w:pPr>
              <w:autoSpaceDE w:val="0"/>
              <w:autoSpaceDN w:val="0"/>
              <w:adjustRightInd w:val="0"/>
              <w:snapToGrid w:val="0"/>
              <w:spacing w:line="360" w:lineRule="auto"/>
              <w:ind w:firstLine="482" w:firstLineChars="200"/>
              <w:rPr>
                <w:b/>
                <w:color w:val="auto"/>
                <w:kern w:val="0"/>
                <w:sz w:val="24"/>
                <w:highlight w:val="none"/>
              </w:rPr>
            </w:pPr>
            <w:r>
              <w:rPr>
                <w:rFonts w:hint="eastAsia"/>
                <w:b/>
                <w:bCs/>
                <w:color w:val="auto"/>
                <w:kern w:val="0"/>
                <w:sz w:val="24"/>
                <w:highlight w:val="none"/>
                <w:lang w:val="en-US" w:eastAsia="zh-CN"/>
              </w:rPr>
              <w:t>4</w:t>
            </w:r>
            <w:r>
              <w:rPr>
                <w:rFonts w:hint="eastAsia"/>
                <w:b/>
                <w:bCs/>
                <w:color w:val="auto"/>
                <w:kern w:val="0"/>
                <w:sz w:val="24"/>
                <w:highlight w:val="none"/>
              </w:rPr>
              <w:t>、</w:t>
            </w:r>
            <w:r>
              <w:rPr>
                <w:rFonts w:hint="eastAsia"/>
                <w:b/>
                <w:color w:val="auto"/>
                <w:kern w:val="0"/>
                <w:sz w:val="24"/>
                <w:highlight w:val="none"/>
              </w:rPr>
              <w:t>与《</w:t>
            </w:r>
            <w:r>
              <w:rPr>
                <w:rFonts w:hint="eastAsia"/>
                <w:b/>
                <w:color w:val="auto"/>
                <w:kern w:val="0"/>
                <w:sz w:val="24"/>
                <w:highlight w:val="none"/>
                <w:lang w:val="en-US" w:eastAsia="zh-CN"/>
              </w:rPr>
              <w:t>固原市国土空间总体规划</w:t>
            </w:r>
            <w:r>
              <w:rPr>
                <w:rFonts w:hint="eastAsia"/>
                <w:b/>
                <w:color w:val="auto"/>
                <w:kern w:val="0"/>
                <w:sz w:val="24"/>
                <w:highlight w:val="none"/>
              </w:rPr>
              <w:t>（2021-2035年）》的符合性分析</w:t>
            </w:r>
          </w:p>
          <w:p w14:paraId="215E3BD9">
            <w:pPr>
              <w:autoSpaceDE w:val="0"/>
              <w:autoSpaceDN w:val="0"/>
              <w:adjustRightInd w:val="0"/>
              <w:snapToGrid w:val="0"/>
              <w:spacing w:line="360" w:lineRule="auto"/>
              <w:ind w:firstLine="480" w:firstLineChars="200"/>
              <w:rPr>
                <w:rFonts w:hint="eastAsia"/>
                <w:color w:val="auto"/>
                <w:kern w:val="0"/>
                <w:sz w:val="24"/>
                <w:highlight w:val="none"/>
              </w:rPr>
            </w:pPr>
            <w:r>
              <w:rPr>
                <w:rFonts w:hint="eastAsia"/>
                <w:color w:val="auto"/>
                <w:kern w:val="0"/>
                <w:sz w:val="24"/>
                <w:highlight w:val="none"/>
              </w:rPr>
              <w:t>根据《</w:t>
            </w:r>
            <w:r>
              <w:rPr>
                <w:rFonts w:hint="eastAsia"/>
                <w:color w:val="auto"/>
                <w:kern w:val="0"/>
                <w:sz w:val="24"/>
                <w:highlight w:val="none"/>
                <w:lang w:val="en-US" w:eastAsia="zh-CN"/>
              </w:rPr>
              <w:t>固原市</w:t>
            </w:r>
            <w:r>
              <w:rPr>
                <w:rFonts w:hint="eastAsia"/>
                <w:color w:val="auto"/>
                <w:kern w:val="0"/>
                <w:sz w:val="24"/>
                <w:highlight w:val="none"/>
              </w:rPr>
              <w:t>国土空间总体规划（2021-2035年</w:t>
            </w:r>
            <w:r>
              <w:rPr>
                <w:rFonts w:hint="eastAsia"/>
                <w:color w:val="auto"/>
                <w:kern w:val="0"/>
                <w:sz w:val="24"/>
                <w:highlight w:val="none"/>
                <w:lang w:eastAsia="zh-CN"/>
              </w:rPr>
              <w:t>）</w:t>
            </w:r>
            <w:r>
              <w:rPr>
                <w:rFonts w:hint="eastAsia"/>
                <w:color w:val="auto"/>
                <w:kern w:val="0"/>
                <w:sz w:val="24"/>
                <w:highlight w:val="none"/>
              </w:rPr>
              <w:t>》，</w:t>
            </w:r>
            <w:r>
              <w:rPr>
                <w:rFonts w:hint="eastAsia"/>
                <w:color w:val="auto"/>
                <w:kern w:val="0"/>
                <w:sz w:val="24"/>
                <w:highlight w:val="none"/>
                <w:lang w:eastAsia="zh-CN"/>
              </w:rPr>
              <w:t>“立足宁夏固原经济开发区产业基础，促进产业与城镇的协调发展，打造宁南生态经济区、核心辐射带动区及特色农产品精深加工基地，在保持原有盐化工产业发展的基础上，以能源新材料、装备制造、轻工纺织作为主导，保障宁电入湘等重大项目落地，集中全力打造煤电一体、循环经济特色工业区，形成高质量发展新的增长极。”</w:t>
            </w:r>
            <w:r>
              <w:rPr>
                <w:rFonts w:hint="eastAsia"/>
                <w:color w:val="auto"/>
                <w:kern w:val="0"/>
                <w:sz w:val="24"/>
                <w:highlight w:val="none"/>
              </w:rPr>
              <w:t>。</w:t>
            </w:r>
          </w:p>
          <w:p w14:paraId="12842782">
            <w:pPr>
              <w:autoSpaceDE w:val="0"/>
              <w:autoSpaceDN w:val="0"/>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color w:val="auto"/>
                <w:kern w:val="0"/>
                <w:sz w:val="24"/>
                <w:highlight w:val="none"/>
              </w:rPr>
              <w:t>本项目</w:t>
            </w:r>
            <w:r>
              <w:rPr>
                <w:rFonts w:hint="eastAsia" w:ascii="Times New Roman" w:hAnsi="Times New Roman" w:eastAsia="宋体" w:cs="Times New Roman"/>
                <w:color w:val="auto"/>
                <w:kern w:val="0"/>
                <w:sz w:val="24"/>
                <w:lang w:val="en-US" w:eastAsia="zh-CN"/>
              </w:rPr>
              <w:t>位于固原经济开发区新材料产业园区内，租赁宁夏天楹环保能源有限公司内东北角的闲置空地。</w:t>
            </w:r>
            <w:r>
              <w:rPr>
                <w:rFonts w:hint="eastAsia"/>
                <w:color w:val="auto"/>
                <w:kern w:val="0"/>
                <w:sz w:val="24"/>
                <w:highlight w:val="none"/>
              </w:rPr>
              <w:t>已取得该项目用地使用权，用地性质为工业用地，可满足《</w:t>
            </w:r>
            <w:r>
              <w:rPr>
                <w:rFonts w:hint="eastAsia"/>
                <w:color w:val="auto"/>
                <w:kern w:val="0"/>
                <w:sz w:val="24"/>
                <w:highlight w:val="none"/>
                <w:lang w:val="en-US" w:eastAsia="zh-CN"/>
              </w:rPr>
              <w:t>固原市国土空间总体规划</w:t>
            </w:r>
            <w:r>
              <w:rPr>
                <w:rFonts w:hint="eastAsia"/>
                <w:color w:val="auto"/>
                <w:kern w:val="0"/>
                <w:sz w:val="24"/>
                <w:highlight w:val="none"/>
              </w:rPr>
              <w:t>（2021-2035年）</w:t>
            </w:r>
            <w:r>
              <w:rPr>
                <w:rFonts w:hint="eastAsia" w:ascii="Times New Roman" w:hAnsi="Times New Roman" w:eastAsia="宋体" w:cs="Times New Roman"/>
                <w:color w:val="auto"/>
                <w:kern w:val="0"/>
                <w:sz w:val="24"/>
                <w:highlight w:val="none"/>
              </w:rPr>
              <w:t>》中的相关要求。</w:t>
            </w:r>
          </w:p>
          <w:p w14:paraId="71BC3B37">
            <w:pPr>
              <w:autoSpaceDE w:val="0"/>
              <w:autoSpaceDN w:val="0"/>
              <w:adjustRightInd w:val="0"/>
              <w:snapToGrid w:val="0"/>
              <w:spacing w:line="360" w:lineRule="auto"/>
              <w:ind w:firstLine="482" w:firstLineChars="20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eastAsia="宋体" w:cs="Times New Roman"/>
                <w:b/>
                <w:color w:val="auto"/>
                <w:kern w:val="0"/>
                <w:sz w:val="24"/>
                <w:highlight w:val="none"/>
                <w:lang w:val="en-US" w:eastAsia="zh-CN"/>
              </w:rPr>
              <w:t>5、与《重点行业挥发性有机物综合治理方案》符合性分析</w:t>
            </w:r>
          </w:p>
          <w:p w14:paraId="1F349CA5">
            <w:pPr>
              <w:autoSpaceDE w:val="0"/>
              <w:autoSpaceDN w:val="0"/>
              <w:adjustRightInd w:val="0"/>
              <w:snapToGrid w:val="0"/>
              <w:spacing w:line="360" w:lineRule="auto"/>
              <w:ind w:firstLine="480" w:firstLineChars="200"/>
              <w:rPr>
                <w:rFonts w:hint="eastAsia" w:ascii="Times New Roman" w:hAnsi="Times New Roman" w:eastAsia="宋体" w:cs="Times New Roman"/>
                <w:color w:val="auto"/>
                <w:kern w:val="0"/>
                <w:sz w:val="24"/>
                <w:highlight w:val="none"/>
              </w:rPr>
            </w:pPr>
            <w:r>
              <w:rPr>
                <w:rFonts w:hint="eastAsia" w:ascii="Times New Roman" w:hAnsi="Times New Roman" w:eastAsia="宋体" w:cs="Times New Roman"/>
                <w:color w:val="auto"/>
                <w:kern w:val="0"/>
                <w:sz w:val="24"/>
                <w:highlight w:val="none"/>
              </w:rPr>
              <w:t>根据生态环境部《重点行业挥发性有机物综合治理方案》（环大气〔2019〕53号），目前VOCs污染治理的形势和问题，提出了大力推进源头替代、全面加强无组织排放控制、推进建设适宜高效的治污设施、深入实施精细化管控等具体的控制思路和要求。</w:t>
            </w:r>
          </w:p>
          <w:p w14:paraId="69E5AE34">
            <w:pPr>
              <w:autoSpaceDE w:val="0"/>
              <w:autoSpaceDN w:val="0"/>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全面加强无组织排放控制。重点对含VOCs物料（包括含VOCs原辅材料、含VOCs产品、含VOCs废料以及有机聚合物材料等）储存、转移和输送、设备与管线组件泄露、敞开液面逸散以及工艺过程等五类排放源实施管控，通过采取设备与场所密闭、工艺改进、废气有效收集等措施，消减VOCs无组织排放；加强设备与场所密闭管理。含VOCs物料生产和使用过程，应采取有效收集措施或在密闭空间中操作；推荐使用先进生产工艺。通过采用全密闭、连续化、自动化等生产技术，以及高效工艺与设备等，减少工艺过程无组织排放。</w:t>
            </w:r>
          </w:p>
          <w:p w14:paraId="008B565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outlineLvl w:val="9"/>
              <w:rPr>
                <w:color w:val="auto"/>
                <w:kern w:val="0"/>
                <w:sz w:val="24"/>
                <w:szCs w:val="24"/>
              </w:rPr>
            </w:pPr>
            <w:r>
              <w:rPr>
                <w:rFonts w:hint="eastAsia" w:ascii="Times New Roman" w:hAnsi="Times New Roman" w:eastAsia="宋体" w:cs="Times New Roman"/>
                <w:color w:val="auto"/>
                <w:kern w:val="0"/>
                <w:sz w:val="24"/>
                <w:szCs w:val="24"/>
                <w:highlight w:val="none"/>
              </w:rPr>
              <w:t>本项目</w:t>
            </w:r>
            <w:r>
              <w:rPr>
                <w:rFonts w:hint="eastAsia" w:ascii="Times New Roman" w:hAnsi="Times New Roman" w:eastAsia="宋体" w:cs="Times New Roman"/>
                <w:bCs/>
                <w:color w:val="auto"/>
                <w:sz w:val="24"/>
                <w:szCs w:val="24"/>
                <w:highlight w:val="none"/>
                <w:lang w:val="en-US" w:eastAsia="zh-CN"/>
              </w:rPr>
              <w:t>为泡沫箱生产加工项目</w:t>
            </w:r>
            <w:r>
              <w:rPr>
                <w:rFonts w:hint="eastAsia" w:ascii="Times New Roman" w:hAnsi="Times New Roman" w:eastAsia="宋体" w:cs="Times New Roman"/>
                <w:color w:val="auto"/>
                <w:kern w:val="0"/>
                <w:sz w:val="24"/>
                <w:szCs w:val="24"/>
                <w:highlight w:val="none"/>
              </w:rPr>
              <w:t>，</w:t>
            </w:r>
            <w:r>
              <w:rPr>
                <w:rFonts w:hint="eastAsia"/>
                <w:color w:val="auto"/>
                <w:sz w:val="24"/>
                <w:szCs w:val="24"/>
                <w:lang w:val="en-US" w:eastAsia="zh-CN"/>
              </w:rPr>
              <w:t>运营期废气主要为非甲烷总烃，建设单位加强源头控制，</w:t>
            </w:r>
            <w:r>
              <w:rPr>
                <w:color w:val="auto"/>
                <w:kern w:val="0"/>
                <w:sz w:val="24"/>
                <w:szCs w:val="24"/>
              </w:rPr>
              <w:t>生产过程均在密闭车间内进行，产生的有机废气</w:t>
            </w:r>
            <w:r>
              <w:rPr>
                <w:rFonts w:hint="eastAsia" w:ascii="Times New Roman" w:hAnsi="Times New Roman" w:eastAsia="宋体" w:cs="Times New Roman"/>
                <w:color w:val="auto"/>
                <w:kern w:val="0"/>
                <w:sz w:val="24"/>
                <w:szCs w:val="24"/>
                <w:lang w:val="en-US" w:eastAsia="zh-CN"/>
              </w:rPr>
              <w:t>经集气罩收集后经“二级活性炭吸附装置”处理后，通过2根15m高的排气筒（一期DA001、二期DA002）排放</w:t>
            </w:r>
            <w:r>
              <w:rPr>
                <w:color w:val="auto"/>
                <w:kern w:val="0"/>
                <w:sz w:val="24"/>
                <w:szCs w:val="24"/>
              </w:rPr>
              <w:t>，排放浓度</w:t>
            </w:r>
            <w:r>
              <w:rPr>
                <w:rFonts w:hint="eastAsia"/>
                <w:color w:val="auto"/>
                <w:kern w:val="0"/>
                <w:sz w:val="24"/>
                <w:szCs w:val="24"/>
              </w:rPr>
              <w:t>可</w:t>
            </w:r>
            <w:r>
              <w:rPr>
                <w:color w:val="auto"/>
                <w:kern w:val="0"/>
                <w:sz w:val="24"/>
                <w:szCs w:val="24"/>
              </w:rPr>
              <w:t>满足《合成树脂工业污染物排放标准》</w:t>
            </w:r>
            <w:r>
              <w:rPr>
                <w:color w:val="auto"/>
                <w:sz w:val="24"/>
                <w:szCs w:val="24"/>
              </w:rPr>
              <w:t>（GB31572-2015</w:t>
            </w:r>
            <w:r>
              <w:rPr>
                <w:rFonts w:hint="eastAsia"/>
                <w:color w:val="auto"/>
                <w:sz w:val="24"/>
                <w:szCs w:val="24"/>
              </w:rPr>
              <w:t>及2024年修改单</w:t>
            </w:r>
            <w:r>
              <w:rPr>
                <w:color w:val="auto"/>
                <w:sz w:val="24"/>
                <w:szCs w:val="24"/>
              </w:rPr>
              <w:t>）</w:t>
            </w:r>
            <w:r>
              <w:rPr>
                <w:color w:val="auto"/>
                <w:kern w:val="0"/>
                <w:sz w:val="24"/>
                <w:szCs w:val="24"/>
              </w:rPr>
              <w:t>中表4中的标准限值要求。因此，项目符合《</w:t>
            </w:r>
            <w:r>
              <w:rPr>
                <w:rFonts w:hint="eastAsia"/>
                <w:color w:val="auto"/>
                <w:kern w:val="0"/>
                <w:sz w:val="24"/>
                <w:szCs w:val="24"/>
              </w:rPr>
              <w:t>重点行业挥发性有机物综合治理方案</w:t>
            </w:r>
            <w:r>
              <w:rPr>
                <w:color w:val="auto"/>
                <w:kern w:val="0"/>
                <w:sz w:val="24"/>
                <w:szCs w:val="24"/>
              </w:rPr>
              <w:t>》中的相关要求。</w:t>
            </w:r>
          </w:p>
          <w:p w14:paraId="2C383186">
            <w:pPr>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spacing w:val="0"/>
                <w:kern w:val="0"/>
                <w:sz w:val="24"/>
                <w:szCs w:val="24"/>
                <w:lang w:eastAsia="zh-CN"/>
              </w:rPr>
            </w:pPr>
            <w:r>
              <w:rPr>
                <w:rFonts w:hint="eastAsia" w:ascii="Times New Roman" w:hAnsi="Times New Roman" w:eastAsia="宋体" w:cs="Times New Roman"/>
                <w:b/>
                <w:color w:val="auto"/>
                <w:spacing w:val="0"/>
                <w:kern w:val="0"/>
                <w:sz w:val="24"/>
                <w:szCs w:val="24"/>
                <w:lang w:val="en-US" w:eastAsia="zh-CN"/>
              </w:rPr>
              <w:t>6</w:t>
            </w:r>
            <w:r>
              <w:rPr>
                <w:rFonts w:hint="default" w:ascii="Times New Roman" w:hAnsi="Times New Roman" w:eastAsia="宋体" w:cs="Times New Roman"/>
                <w:b/>
                <w:color w:val="auto"/>
                <w:spacing w:val="0"/>
                <w:kern w:val="0"/>
                <w:sz w:val="24"/>
                <w:szCs w:val="24"/>
                <w:lang w:val="en-US" w:eastAsia="zh-CN"/>
              </w:rPr>
              <w:t>、</w:t>
            </w:r>
            <w:r>
              <w:rPr>
                <w:rFonts w:hint="default" w:ascii="Times New Roman" w:hAnsi="Times New Roman" w:eastAsia="宋体" w:cs="Times New Roman"/>
                <w:b/>
                <w:color w:val="auto"/>
                <w:spacing w:val="0"/>
                <w:kern w:val="0"/>
                <w:sz w:val="24"/>
                <w:szCs w:val="24"/>
                <w:lang w:eastAsia="zh-CN"/>
              </w:rPr>
              <w:t>与《宁夏回族自治区挥发性有机物污染专项治理工作方案》的符合性分析</w:t>
            </w:r>
          </w:p>
          <w:p w14:paraId="60C4C1E6">
            <w:pPr>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kern w:val="0"/>
                <w:sz w:val="24"/>
                <w:szCs w:val="24"/>
              </w:rPr>
            </w:pPr>
            <w:r>
              <w:rPr>
                <w:color w:val="auto"/>
                <w:kern w:val="0"/>
                <w:sz w:val="24"/>
                <w:szCs w:val="24"/>
              </w:rPr>
              <w:t>根据《宁夏回族自治区挥发性有机物污染专项治理工作方案》中要求：要严格落实</w:t>
            </w:r>
            <w:r>
              <w:rPr>
                <w:rFonts w:hint="eastAsia"/>
                <w:color w:val="auto"/>
                <w:kern w:val="0"/>
                <w:sz w:val="24"/>
                <w:szCs w:val="24"/>
                <w:lang w:eastAsia="zh-CN"/>
              </w:rPr>
              <w:t>“</w:t>
            </w:r>
            <w:r>
              <w:rPr>
                <w:color w:val="auto"/>
                <w:kern w:val="0"/>
                <w:sz w:val="24"/>
                <w:szCs w:val="24"/>
              </w:rPr>
              <w:t>生态保护红线、环境质量底线、资源利用上线和环境准入负面清单</w:t>
            </w:r>
            <w:r>
              <w:rPr>
                <w:rFonts w:hint="eastAsia"/>
                <w:color w:val="auto"/>
                <w:kern w:val="0"/>
                <w:sz w:val="24"/>
                <w:szCs w:val="24"/>
                <w:lang w:eastAsia="zh-CN"/>
              </w:rPr>
              <w:t>”</w:t>
            </w:r>
            <w:r>
              <w:rPr>
                <w:color w:val="auto"/>
                <w:kern w:val="0"/>
                <w:sz w:val="24"/>
                <w:szCs w:val="24"/>
              </w:rPr>
              <w:t>，逐步提高石化、化工、包装印刷、工业涂装等高VOCs排放建设项目的环保准入门槛，实行严格的控制措施。新建涉VOCs排放的工业企业要入园区。</w:t>
            </w:r>
            <w:r>
              <w:rPr>
                <w:rFonts w:hint="eastAsia"/>
                <w:color w:val="auto"/>
                <w:kern w:val="0"/>
                <w:sz w:val="24"/>
                <w:szCs w:val="24"/>
                <w:lang w:val="en-US" w:eastAsia="zh-CN"/>
              </w:rPr>
              <w:t>严格涉VOCs建设项目环境影响评价，实行区域内VOCs排放量等量或倍量削减替代，并将替代方案落实到企业排污许可证中纳入环境执法管理。</w:t>
            </w:r>
            <w:r>
              <w:rPr>
                <w:color w:val="auto"/>
                <w:kern w:val="0"/>
                <w:sz w:val="24"/>
                <w:szCs w:val="24"/>
              </w:rPr>
              <w:t>新、改、扩建涉VOCs排放项目，应从源头加强控制，</w:t>
            </w:r>
            <w:r>
              <w:rPr>
                <w:rFonts w:hint="eastAsia"/>
                <w:color w:val="auto"/>
                <w:kern w:val="0"/>
                <w:sz w:val="24"/>
                <w:szCs w:val="24"/>
                <w:lang w:val="en-US" w:eastAsia="zh-CN"/>
              </w:rPr>
              <w:t>使用低（无）VOCs含量的原辅材料，</w:t>
            </w:r>
            <w:r>
              <w:rPr>
                <w:color w:val="auto"/>
                <w:kern w:val="0"/>
                <w:sz w:val="24"/>
                <w:szCs w:val="24"/>
              </w:rPr>
              <w:t>加强废气收集，安装高效治理设施。加强有机废气收集与治理，有机废气收集率不低于80%，建设吸附燃烧等高效治理设施，实现达标排放。</w:t>
            </w:r>
            <w:r>
              <w:rPr>
                <w:rFonts w:hint="eastAsia"/>
                <w:color w:val="auto"/>
                <w:kern w:val="0"/>
                <w:sz w:val="24"/>
                <w:szCs w:val="24"/>
              </w:rPr>
              <w:t>加大工业企业生产季节性调控力度，鼓励VOCs排放企业实施错峰生产。</w:t>
            </w:r>
          </w:p>
          <w:p w14:paraId="7A3A0BF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outlineLvl w:val="9"/>
              <w:rPr>
                <w:color w:val="auto"/>
                <w:kern w:val="0"/>
                <w:sz w:val="24"/>
                <w:szCs w:val="24"/>
              </w:rPr>
            </w:pPr>
            <w:r>
              <w:rPr>
                <w:rFonts w:hint="default" w:ascii="Times New Roman" w:hAnsi="Times New Roman" w:eastAsia="宋体" w:cs="Times New Roman"/>
                <w:color w:val="auto"/>
                <w:spacing w:val="0"/>
                <w:kern w:val="0"/>
                <w:sz w:val="24"/>
                <w:szCs w:val="24"/>
                <w:lang w:eastAsia="zh-CN"/>
              </w:rPr>
              <w:t>本项目属于</w:t>
            </w:r>
            <w:r>
              <w:rPr>
                <w:rFonts w:hint="eastAsia"/>
                <w:color w:val="auto"/>
                <w:kern w:val="0"/>
                <w:sz w:val="24"/>
                <w:szCs w:val="24"/>
                <w:lang w:val="en-US" w:eastAsia="zh-CN"/>
              </w:rPr>
              <w:t>新建</w:t>
            </w:r>
            <w:r>
              <w:rPr>
                <w:rFonts w:hint="eastAsia"/>
                <w:color w:val="auto"/>
                <w:kern w:val="0"/>
                <w:sz w:val="24"/>
                <w:szCs w:val="24"/>
              </w:rPr>
              <w:t>项目，</w:t>
            </w:r>
            <w:r>
              <w:rPr>
                <w:rFonts w:hint="eastAsia"/>
                <w:color w:val="auto"/>
                <w:sz w:val="24"/>
                <w:szCs w:val="24"/>
                <w:lang w:val="en-US" w:eastAsia="zh-CN"/>
              </w:rPr>
              <w:t>建设单位加强源头控制，</w:t>
            </w:r>
            <w:r>
              <w:rPr>
                <w:color w:val="auto"/>
                <w:kern w:val="0"/>
                <w:sz w:val="24"/>
                <w:szCs w:val="24"/>
              </w:rPr>
              <w:t>生产过程均在密闭车间内进行，产生的有机废气</w:t>
            </w:r>
            <w:r>
              <w:rPr>
                <w:rFonts w:hint="eastAsia" w:ascii="Times New Roman" w:hAnsi="Times New Roman" w:eastAsia="宋体" w:cs="Times New Roman"/>
                <w:color w:val="auto"/>
                <w:kern w:val="0"/>
                <w:sz w:val="24"/>
                <w:lang w:val="en-US" w:eastAsia="zh-CN"/>
              </w:rPr>
              <w:t>经集气罩收集后进入2套“二级活性炭吸附装置”处理后，通过2根15m高的排气筒（一期DA001、二期DA002）排放</w:t>
            </w:r>
            <w:r>
              <w:rPr>
                <w:color w:val="auto"/>
                <w:kern w:val="0"/>
                <w:sz w:val="24"/>
                <w:szCs w:val="24"/>
              </w:rPr>
              <w:t>，排放浓度</w:t>
            </w:r>
            <w:r>
              <w:rPr>
                <w:rFonts w:hint="eastAsia"/>
                <w:color w:val="auto"/>
                <w:kern w:val="0"/>
                <w:sz w:val="24"/>
                <w:szCs w:val="24"/>
              </w:rPr>
              <w:t>可</w:t>
            </w:r>
            <w:r>
              <w:rPr>
                <w:color w:val="auto"/>
                <w:kern w:val="0"/>
                <w:sz w:val="24"/>
                <w:szCs w:val="24"/>
              </w:rPr>
              <w:t>满足《合成树脂工业污染物排放标准》</w:t>
            </w:r>
            <w:r>
              <w:rPr>
                <w:color w:val="auto"/>
                <w:sz w:val="24"/>
                <w:szCs w:val="24"/>
              </w:rPr>
              <w:t>（GB31572-2015</w:t>
            </w:r>
            <w:r>
              <w:rPr>
                <w:rFonts w:hint="eastAsia"/>
                <w:color w:val="auto"/>
                <w:sz w:val="24"/>
                <w:szCs w:val="24"/>
              </w:rPr>
              <w:t>及2024年修改单</w:t>
            </w:r>
            <w:r>
              <w:rPr>
                <w:color w:val="auto"/>
                <w:sz w:val="24"/>
                <w:szCs w:val="24"/>
              </w:rPr>
              <w:t>）</w:t>
            </w:r>
            <w:r>
              <w:rPr>
                <w:color w:val="auto"/>
                <w:kern w:val="0"/>
                <w:sz w:val="24"/>
                <w:szCs w:val="24"/>
              </w:rPr>
              <w:t>中表4中的标准限值要求。有机废气收集效率为</w:t>
            </w:r>
            <w:r>
              <w:rPr>
                <w:rFonts w:hint="eastAsia"/>
                <w:color w:val="auto"/>
                <w:kern w:val="0"/>
                <w:sz w:val="24"/>
                <w:szCs w:val="24"/>
                <w:lang w:val="en-US" w:eastAsia="zh-CN"/>
              </w:rPr>
              <w:t>90</w:t>
            </w:r>
            <w:r>
              <w:rPr>
                <w:color w:val="auto"/>
                <w:kern w:val="0"/>
                <w:sz w:val="24"/>
                <w:szCs w:val="24"/>
              </w:rPr>
              <w:t>%</w:t>
            </w:r>
            <w:r>
              <w:rPr>
                <w:rFonts w:hint="eastAsia"/>
                <w:color w:val="auto"/>
                <w:kern w:val="0"/>
                <w:sz w:val="24"/>
                <w:szCs w:val="24"/>
                <w:lang w:eastAsia="zh-CN"/>
              </w:rPr>
              <w:t>，</w:t>
            </w:r>
            <w:r>
              <w:rPr>
                <w:rFonts w:hint="eastAsia"/>
                <w:color w:val="auto"/>
                <w:kern w:val="0"/>
                <w:sz w:val="24"/>
                <w:szCs w:val="24"/>
                <w:lang w:val="en-US" w:eastAsia="zh-CN"/>
              </w:rPr>
              <w:t>大于</w:t>
            </w:r>
            <w:r>
              <w:rPr>
                <w:color w:val="auto"/>
                <w:kern w:val="0"/>
                <w:sz w:val="24"/>
                <w:szCs w:val="24"/>
              </w:rPr>
              <w:t>80%</w:t>
            </w:r>
            <w:r>
              <w:rPr>
                <w:rFonts w:hint="eastAsia"/>
                <w:color w:val="auto"/>
                <w:kern w:val="0"/>
                <w:sz w:val="24"/>
                <w:szCs w:val="24"/>
              </w:rPr>
              <w:t>。</w:t>
            </w:r>
            <w:r>
              <w:rPr>
                <w:color w:val="auto"/>
                <w:kern w:val="0"/>
                <w:sz w:val="24"/>
                <w:szCs w:val="24"/>
              </w:rPr>
              <w:t>因此，项目符合《宁夏回族自治区挥发性有机物污染专项治理工作方案》中的相关要求。</w:t>
            </w:r>
          </w:p>
          <w:p w14:paraId="28863C16">
            <w:pPr>
              <w:autoSpaceDE w:val="0"/>
              <w:autoSpaceDN w:val="0"/>
              <w:adjustRightInd w:val="0"/>
              <w:snapToGrid w:val="0"/>
              <w:spacing w:line="360" w:lineRule="auto"/>
              <w:rPr>
                <w:rFonts w:hint="default" w:ascii="Times New Roman" w:hAnsi="Times New Roman" w:eastAsia="宋体" w:cs="Times New Roman"/>
                <w:color w:val="auto"/>
                <w:kern w:val="0"/>
                <w:sz w:val="24"/>
              </w:rPr>
            </w:pPr>
          </w:p>
          <w:p w14:paraId="7F70AFE0">
            <w:pPr>
              <w:pStyle w:val="56"/>
              <w:ind w:left="0" w:leftChars="0" w:firstLine="0" w:firstLineChars="0"/>
              <w:rPr>
                <w:rFonts w:hint="default" w:ascii="Times New Roman" w:hAnsi="Times New Roman" w:eastAsia="宋体" w:cs="Times New Roman"/>
                <w:color w:val="auto"/>
                <w:kern w:val="0"/>
                <w:sz w:val="24"/>
              </w:rPr>
            </w:pPr>
          </w:p>
        </w:tc>
      </w:tr>
    </w:tbl>
    <w:p w14:paraId="587B6DE7">
      <w:pPr>
        <w:rPr>
          <w:rFonts w:hint="default"/>
          <w:color w:val="auto"/>
        </w:rPr>
        <w:sectPr>
          <w:pgSz w:w="11906" w:h="16838"/>
          <w:pgMar w:top="1701" w:right="1531" w:bottom="1701" w:left="1531" w:header="851" w:footer="1077" w:gutter="0"/>
          <w:pgBorders w:offsetFrom="page">
            <w:top w:val="none" w:sz="0" w:space="0"/>
            <w:left w:val="none" w:sz="0" w:space="0"/>
            <w:bottom w:val="none" w:sz="0" w:space="0"/>
            <w:right w:val="none" w:sz="0" w:space="0"/>
          </w:pgBorders>
          <w:cols w:space="720" w:num="1"/>
          <w:docGrid w:linePitch="312" w:charSpace="0"/>
        </w:sectPr>
      </w:pPr>
    </w:p>
    <w:p w14:paraId="5A94EC29">
      <w:pPr>
        <w:pStyle w:val="27"/>
        <w:adjustRightInd w:val="0"/>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283"/>
        <w:gridCol w:w="8323"/>
      </w:tblGrid>
      <w:tr w14:paraId="22B49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5" w:type="dxa"/>
            <w:noWrap w:val="0"/>
            <w:vAlign w:val="center"/>
          </w:tcPr>
          <w:p w14:paraId="7BA08089">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建设内容</w:t>
            </w:r>
          </w:p>
        </w:tc>
        <w:tc>
          <w:tcPr>
            <w:tcW w:w="8606" w:type="dxa"/>
            <w:gridSpan w:val="2"/>
            <w:noWrap w:val="0"/>
            <w:vAlign w:val="top"/>
          </w:tcPr>
          <w:p w14:paraId="7D4B41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2" w:firstLineChars="200"/>
              <w:textAlignment w:val="auto"/>
              <w:rPr>
                <w:rFonts w:hint="eastAsia" w:ascii="Times New Roman" w:hAnsi="Times New Roman" w:eastAsia="宋体" w:cs="Times New Roman"/>
                <w:b/>
                <w:color w:val="auto"/>
                <w:kern w:val="0"/>
                <w:sz w:val="24"/>
                <w:lang w:val="en-US" w:eastAsia="zh-CN"/>
              </w:rPr>
            </w:pPr>
            <w:r>
              <w:rPr>
                <w:rFonts w:hint="default" w:ascii="Times New Roman" w:hAnsi="Times New Roman" w:eastAsia="宋体" w:cs="Times New Roman"/>
                <w:b/>
                <w:color w:val="auto"/>
                <w:kern w:val="0"/>
                <w:sz w:val="24"/>
                <w:szCs w:val="21"/>
                <w:lang w:val="en-US" w:eastAsia="zh-CN" w:bidi="ar-SA"/>
              </w:rPr>
              <w:t>1、</w:t>
            </w:r>
            <w:r>
              <w:rPr>
                <w:rFonts w:hint="default" w:ascii="Times New Roman" w:hAnsi="Times New Roman" w:eastAsia="宋体" w:cs="Times New Roman"/>
                <w:b/>
                <w:color w:val="auto"/>
                <w:kern w:val="0"/>
                <w:sz w:val="24"/>
              </w:rPr>
              <w:t>建设</w:t>
            </w:r>
            <w:r>
              <w:rPr>
                <w:rFonts w:hint="eastAsia" w:ascii="Times New Roman" w:hAnsi="Times New Roman" w:eastAsia="宋体" w:cs="Times New Roman"/>
                <w:b/>
                <w:color w:val="auto"/>
                <w:kern w:val="0"/>
                <w:sz w:val="24"/>
                <w:lang w:val="en-US" w:eastAsia="zh-CN"/>
              </w:rPr>
              <w:t>内容</w:t>
            </w:r>
          </w:p>
          <w:p w14:paraId="7A467F05">
            <w:pPr>
              <w:autoSpaceDE w:val="0"/>
              <w:autoSpaceDN w:val="0"/>
              <w:adjustRightInd w:val="0"/>
              <w:snapToGrid w:val="0"/>
              <w:spacing w:line="360" w:lineRule="auto"/>
              <w:ind w:firstLine="480" w:firstLineChars="200"/>
              <w:rPr>
                <w:rFonts w:hint="eastAsia" w:ascii="Times New Roman" w:hAnsi="Times New Roman" w:eastAsia="宋体" w:cs="Times New Roman"/>
                <w:i w:val="0"/>
                <w:iCs w:val="0"/>
                <w:caps w:val="0"/>
                <w:color w:val="auto"/>
                <w:spacing w:val="0"/>
                <w:sz w:val="24"/>
                <w:szCs w:val="24"/>
                <w:shd w:val="clear" w:color="auto" w:fill="FFFFFF"/>
                <w:lang w:val="en-US" w:eastAsia="zh-CN"/>
              </w:rPr>
            </w:pPr>
            <w:r>
              <w:rPr>
                <w:rFonts w:hint="eastAsia" w:ascii="Times New Roman" w:hAnsi="Times New Roman" w:eastAsia="宋体" w:cs="Times New Roman"/>
                <w:i w:val="0"/>
                <w:iCs w:val="0"/>
                <w:caps w:val="0"/>
                <w:color w:val="auto"/>
                <w:spacing w:val="0"/>
                <w:sz w:val="24"/>
                <w:szCs w:val="24"/>
                <w:shd w:val="clear" w:color="auto" w:fill="FFFFFF"/>
                <w:lang w:val="en-US" w:eastAsia="zh-CN"/>
              </w:rPr>
              <w:t>固原市金昭财泡沫包装材料有限公司成立于2025年11月18日，主要经营范围为塑料制品制造；塑料包装箱及容器制造等。</w:t>
            </w:r>
          </w:p>
          <w:p w14:paraId="57F680AF">
            <w:pPr>
              <w:autoSpaceDE w:val="0"/>
              <w:autoSpaceDN w:val="0"/>
              <w:adjustRightInd w:val="0"/>
              <w:snapToGrid w:val="0"/>
              <w:spacing w:line="360" w:lineRule="auto"/>
              <w:ind w:firstLine="480" w:firstLineChars="200"/>
              <w:rPr>
                <w:rFonts w:hint="eastAsia" w:ascii="Times New Roman" w:hAnsi="Times New Roman" w:eastAsia="宋体" w:cs="Times New Roman"/>
                <w:i w:val="0"/>
                <w:iCs w:val="0"/>
                <w:caps w:val="0"/>
                <w:color w:val="auto"/>
                <w:spacing w:val="0"/>
                <w:sz w:val="24"/>
                <w:szCs w:val="24"/>
                <w:shd w:val="clear" w:color="auto" w:fill="FFFFFF"/>
                <w:lang w:val="en-US" w:eastAsia="zh-CN"/>
              </w:rPr>
            </w:pPr>
            <w:r>
              <w:rPr>
                <w:rFonts w:hint="eastAsia"/>
                <w:color w:val="auto"/>
                <w:sz w:val="24"/>
                <w:szCs w:val="24"/>
              </w:rPr>
              <w:t>固原市金昭财泡沫包装材料有限公司</w:t>
            </w:r>
            <w:r>
              <w:rPr>
                <w:rFonts w:hint="eastAsia" w:ascii="Times New Roman" w:hAnsi="Times New Roman" w:eastAsia="宋体" w:cs="Times New Roman"/>
                <w:i w:val="0"/>
                <w:iCs w:val="0"/>
                <w:caps w:val="0"/>
                <w:color w:val="auto"/>
                <w:spacing w:val="0"/>
                <w:sz w:val="24"/>
                <w:szCs w:val="24"/>
                <w:shd w:val="clear" w:color="auto" w:fill="FFFFFF"/>
                <w:lang w:val="en-US" w:eastAsia="zh-CN"/>
              </w:rPr>
              <w:t>依托宁夏固原经济开发区新材料产业园的产业资源优势，生产符合市场需求的泡沫箱产品，填补园区内泡沫包装配套产业空白，完善园区新材料产业链下游配套体系；同时，泡沫箱可广泛应用于农产品保鲜、工业产品包装、物流运输防护等领域，满足区域内及周边相关产业的包装、保鲜需求，带动就业、提升产业附加值，助力园区实现规模经济和集成化产业发展目标，契合园区生态工业园建设导向。因此，建设单位拟在固原经济开发区新材料产业园区内，租赁宁夏天楹环保能源有限公司内闲置空地，建设“固原市泡沫箱生产及农产品包装配套项目”（以下简称“本项目”）。</w:t>
            </w:r>
          </w:p>
          <w:p w14:paraId="4461F4AF">
            <w:pPr>
              <w:autoSpaceDE w:val="0"/>
              <w:autoSpaceDN w:val="0"/>
              <w:adjustRightInd w:val="0"/>
              <w:snapToGrid w:val="0"/>
              <w:spacing w:line="360" w:lineRule="auto"/>
              <w:ind w:firstLine="480" w:firstLineChars="200"/>
              <w:rPr>
                <w:rFonts w:hint="eastAsia" w:ascii="Times New Roman" w:hAnsi="Times New Roman" w:eastAsia="宋体" w:cs="Times New Roman"/>
                <w:i w:val="0"/>
                <w:iCs w:val="0"/>
                <w:caps w:val="0"/>
                <w:color w:val="auto"/>
                <w:spacing w:val="0"/>
                <w:sz w:val="24"/>
                <w:szCs w:val="24"/>
                <w:shd w:val="clear" w:color="auto" w:fill="FFFFFF"/>
                <w:lang w:val="en-US" w:eastAsia="zh-CN"/>
              </w:rPr>
            </w:pPr>
            <w:r>
              <w:rPr>
                <w:rFonts w:hint="eastAsia" w:ascii="Times New Roman" w:hAnsi="Times New Roman" w:eastAsia="宋体" w:cs="Times New Roman"/>
                <w:i w:val="0"/>
                <w:iCs w:val="0"/>
                <w:caps w:val="0"/>
                <w:color w:val="auto"/>
                <w:spacing w:val="0"/>
                <w:sz w:val="24"/>
                <w:szCs w:val="24"/>
                <w:shd w:val="clear" w:color="auto" w:fill="FFFFFF"/>
                <w:lang w:val="en-US" w:eastAsia="zh-CN"/>
              </w:rPr>
              <w:t>本项目分两期建设，其中，一期工程生产规模为年产600万个泡沫箱，二期工程生产规模为年产1200万个泡沫箱，总生产规模为年产1800万个泡沫箱。</w:t>
            </w:r>
          </w:p>
          <w:p w14:paraId="23185A65">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color w:val="auto"/>
                <w:spacing w:val="0"/>
                <w:sz w:val="24"/>
                <w:szCs w:val="24"/>
                <w:shd w:val="clear" w:color="auto" w:fill="FFFFFF"/>
                <w:lang w:val="en-US" w:eastAsia="zh-CN"/>
              </w:rPr>
            </w:pPr>
            <w:r>
              <w:rPr>
                <w:rFonts w:hint="eastAsia" w:ascii="Times New Roman" w:hAnsi="Times New Roman" w:eastAsia="宋体" w:cs="Times New Roman"/>
                <w:bCs/>
                <w:color w:val="auto"/>
                <w:sz w:val="24"/>
                <w:lang w:val="en-US" w:eastAsia="zh-CN"/>
              </w:rPr>
              <w:t>本项目占地面积</w:t>
            </w:r>
            <w:r>
              <w:rPr>
                <w:rFonts w:hint="eastAsia" w:ascii="Times New Roman" w:hAnsi="Times New Roman" w:eastAsia="宋体" w:cs="Times New Roman"/>
                <w:color w:val="auto"/>
                <w:sz w:val="24"/>
                <w:lang w:val="en-US" w:eastAsia="zh-CN"/>
              </w:rPr>
              <w:t>12000</w:t>
            </w:r>
            <w:r>
              <w:rPr>
                <w:bCs/>
                <w:color w:val="auto"/>
                <w:sz w:val="24"/>
              </w:rPr>
              <w:t>m</w:t>
            </w:r>
            <w:r>
              <w:rPr>
                <w:bCs/>
                <w:color w:val="auto"/>
                <w:sz w:val="24"/>
                <w:vertAlign w:val="superscript"/>
              </w:rPr>
              <w:t>2</w:t>
            </w:r>
            <w:r>
              <w:rPr>
                <w:bCs/>
                <w:color w:val="auto"/>
                <w:sz w:val="24"/>
              </w:rPr>
              <w:t>（</w:t>
            </w:r>
            <w:r>
              <w:rPr>
                <w:rFonts w:hint="eastAsia"/>
                <w:bCs/>
                <w:color w:val="auto"/>
                <w:sz w:val="24"/>
                <w:lang w:val="en-US" w:eastAsia="zh-CN"/>
              </w:rPr>
              <w:t>约18</w:t>
            </w:r>
            <w:r>
              <w:rPr>
                <w:bCs/>
                <w:color w:val="auto"/>
                <w:sz w:val="24"/>
              </w:rPr>
              <w:t>亩），</w:t>
            </w:r>
            <w:r>
              <w:rPr>
                <w:rFonts w:hint="eastAsia"/>
                <w:bCs/>
                <w:color w:val="auto"/>
                <w:sz w:val="24"/>
                <w:lang w:val="en-US" w:eastAsia="zh-CN"/>
              </w:rPr>
              <w:t>一期主要建设生产车间2座、库房1座、管理用房</w:t>
            </w:r>
            <w:r>
              <w:rPr>
                <w:rFonts w:hint="eastAsia"/>
                <w:bCs/>
                <w:color w:val="auto"/>
                <w:sz w:val="24"/>
                <w:szCs w:val="24"/>
                <w:lang w:val="en-US" w:eastAsia="zh-CN"/>
              </w:rPr>
              <w:t>1座</w:t>
            </w:r>
            <w:r>
              <w:rPr>
                <w:rFonts w:hint="eastAsia"/>
                <w:color w:val="auto"/>
                <w:sz w:val="24"/>
                <w:szCs w:val="24"/>
                <w:lang w:eastAsia="zh-CN"/>
              </w:rPr>
              <w:t>，</w:t>
            </w:r>
            <w:r>
              <w:rPr>
                <w:rFonts w:hint="eastAsia"/>
                <w:color w:val="auto"/>
                <w:sz w:val="24"/>
                <w:szCs w:val="24"/>
                <w:lang w:val="en-US" w:eastAsia="zh-CN"/>
              </w:rPr>
              <w:t>在生产车间1中购置泡沫箱生产设备</w:t>
            </w:r>
            <w:r>
              <w:rPr>
                <w:rFonts w:hint="eastAsia"/>
                <w:bCs/>
                <w:color w:val="auto"/>
                <w:sz w:val="24"/>
                <w:szCs w:val="24"/>
                <w:lang w:val="en-US" w:eastAsia="zh-CN"/>
              </w:rPr>
              <w:t>；</w:t>
            </w:r>
            <w:r>
              <w:rPr>
                <w:rFonts w:hint="eastAsia"/>
                <w:bCs/>
                <w:color w:val="auto"/>
                <w:sz w:val="24"/>
                <w:lang w:val="en-US" w:eastAsia="zh-CN"/>
              </w:rPr>
              <w:t>二期不新增建构筑物，仅在生产车间2内新增购置泡沫箱生产设备</w:t>
            </w:r>
            <w:r>
              <w:rPr>
                <w:rFonts w:hint="eastAsia" w:ascii="Times New Roman" w:hAnsi="Times New Roman" w:eastAsia="宋体" w:cs="Times New Roman"/>
                <w:i w:val="0"/>
                <w:iCs w:val="0"/>
                <w:caps w:val="0"/>
                <w:color w:val="auto"/>
                <w:spacing w:val="0"/>
                <w:sz w:val="24"/>
                <w:szCs w:val="24"/>
                <w:shd w:val="clear" w:color="auto" w:fill="FFFFFF"/>
                <w:lang w:val="en-US" w:eastAsia="zh-CN"/>
              </w:rPr>
              <w:t>。</w:t>
            </w:r>
            <w:r>
              <w:rPr>
                <w:rFonts w:cs="Times New Roman"/>
                <w:color w:val="auto"/>
                <w:sz w:val="24"/>
                <w:szCs w:val="24"/>
                <w:lang w:val="en-US"/>
              </w:rPr>
              <w:t>项目工程组成由主体工程、辅助工程</w:t>
            </w:r>
            <w:r>
              <w:rPr>
                <w:rFonts w:hint="eastAsia" w:cs="Times New Roman"/>
                <w:color w:val="auto"/>
                <w:sz w:val="24"/>
                <w:szCs w:val="24"/>
                <w:lang w:val="en-US"/>
              </w:rPr>
              <w:t>、</w:t>
            </w:r>
            <w:r>
              <w:rPr>
                <w:rFonts w:cs="Times New Roman"/>
                <w:color w:val="auto"/>
                <w:sz w:val="24"/>
                <w:szCs w:val="24"/>
                <w:lang w:val="en-US"/>
              </w:rPr>
              <w:t>公用工程</w:t>
            </w:r>
            <w:r>
              <w:rPr>
                <w:rFonts w:hint="eastAsia" w:cs="Times New Roman"/>
                <w:color w:val="auto"/>
                <w:sz w:val="24"/>
                <w:szCs w:val="24"/>
                <w:lang w:val="en-US"/>
              </w:rPr>
              <w:t>及环保工程</w:t>
            </w:r>
            <w:r>
              <w:rPr>
                <w:rFonts w:cs="Times New Roman"/>
                <w:color w:val="auto"/>
                <w:sz w:val="24"/>
                <w:szCs w:val="24"/>
                <w:lang w:val="en-US"/>
              </w:rPr>
              <w:t>组成</w:t>
            </w:r>
            <w:r>
              <w:rPr>
                <w:rFonts w:hint="default" w:ascii="Times New Roman" w:hAnsi="Times New Roman" w:eastAsia="宋体" w:cs="Times New Roman"/>
                <w:bCs/>
                <w:color w:val="auto"/>
                <w:sz w:val="24"/>
              </w:rPr>
              <w:t>，具体项目组成情况见表</w:t>
            </w:r>
            <w:r>
              <w:rPr>
                <w:rFonts w:hint="eastAsia" w:ascii="Times New Roman" w:hAnsi="Times New Roman" w:eastAsia="宋体" w:cs="Times New Roman"/>
                <w:bCs/>
                <w:color w:val="auto"/>
                <w:sz w:val="24"/>
                <w:lang w:val="en-US" w:eastAsia="zh-CN"/>
              </w:rPr>
              <w:t>2-1</w:t>
            </w:r>
            <w:r>
              <w:rPr>
                <w:rFonts w:hint="default"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本项目平面布置图见附图2-1。</w:t>
            </w:r>
          </w:p>
          <w:p w14:paraId="3925BE38">
            <w:pPr>
              <w:snapToGrid w:val="0"/>
              <w:ind w:firstLine="630" w:firstLineChars="300"/>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rPr>
              <w:t>表</w:t>
            </w:r>
            <w:r>
              <w:rPr>
                <w:rFonts w:hint="eastAsia" w:ascii="Times New Roman" w:hAnsi="Times New Roman" w:eastAsia="宋体" w:cs="Times New Roman"/>
                <w:bCs/>
                <w:color w:val="auto"/>
                <w:lang w:val="en-US" w:eastAsia="zh-CN"/>
              </w:rPr>
              <w:t>2-1</w:t>
            </w:r>
            <w:r>
              <w:rPr>
                <w:rFonts w:hint="default" w:ascii="Times New Roman" w:hAnsi="Times New Roman" w:eastAsia="宋体" w:cs="Times New Roman"/>
                <w:bCs/>
                <w:color w:val="auto"/>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本项目工程组成一览表</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651"/>
              <w:gridCol w:w="806"/>
              <w:gridCol w:w="644"/>
              <w:gridCol w:w="5314"/>
              <w:gridCol w:w="943"/>
            </w:tblGrid>
            <w:tr w14:paraId="7919E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noWrap w:val="0"/>
                  <w:vAlign w:val="center"/>
                </w:tcPr>
                <w:p w14:paraId="50F0567C">
                  <w:pPr>
                    <w:pStyle w:val="16"/>
                    <w:snapToGrid w:val="0"/>
                    <w:jc w:val="center"/>
                    <w:rPr>
                      <w:rFonts w:hint="default" w:ascii="Times New Roman" w:hAnsi="Times New Roman" w:eastAsia="宋体" w:cs="Times New Roman"/>
                      <w:b/>
                      <w:color w:val="auto"/>
                      <w:spacing w:val="-4"/>
                      <w:sz w:val="21"/>
                      <w:szCs w:val="21"/>
                    </w:rPr>
                  </w:pPr>
                  <w:r>
                    <w:rPr>
                      <w:rFonts w:hint="eastAsia" w:ascii="Times New Roman" w:hAnsi="Times New Roman" w:eastAsia="宋体" w:cs="Times New Roman"/>
                      <w:b/>
                      <w:color w:val="auto"/>
                      <w:spacing w:val="-4"/>
                      <w:sz w:val="21"/>
                      <w:szCs w:val="21"/>
                      <w:lang w:val="en-US" w:eastAsia="zh-CN"/>
                    </w:rPr>
                    <w:t>工程</w:t>
                  </w:r>
                  <w:r>
                    <w:rPr>
                      <w:rFonts w:hint="default" w:ascii="Times New Roman" w:hAnsi="Times New Roman" w:eastAsia="宋体" w:cs="Times New Roman"/>
                      <w:b/>
                      <w:color w:val="auto"/>
                      <w:spacing w:val="-4"/>
                      <w:sz w:val="21"/>
                      <w:szCs w:val="21"/>
                    </w:rPr>
                    <w:t>类别</w:t>
                  </w:r>
                </w:p>
              </w:tc>
              <w:tc>
                <w:tcPr>
                  <w:tcW w:w="482" w:type="pct"/>
                  <w:noWrap w:val="0"/>
                  <w:vAlign w:val="center"/>
                </w:tcPr>
                <w:p w14:paraId="720C13C8">
                  <w:pPr>
                    <w:pStyle w:val="16"/>
                    <w:snapToGrid w:val="0"/>
                    <w:jc w:val="center"/>
                    <w:rPr>
                      <w:rFonts w:hint="default" w:ascii="Times New Roman" w:hAnsi="Times New Roman" w:eastAsia="宋体" w:cs="Times New Roman"/>
                      <w:b/>
                      <w:color w:val="auto"/>
                      <w:spacing w:val="-4"/>
                      <w:sz w:val="21"/>
                      <w:szCs w:val="21"/>
                    </w:rPr>
                  </w:pPr>
                  <w:r>
                    <w:rPr>
                      <w:rFonts w:hint="eastAsia" w:ascii="Times New Roman" w:hAnsi="Times New Roman" w:eastAsia="宋体" w:cs="Times New Roman"/>
                      <w:b/>
                      <w:color w:val="auto"/>
                      <w:spacing w:val="-4"/>
                      <w:sz w:val="21"/>
                      <w:szCs w:val="21"/>
                      <w:lang w:val="en-US" w:eastAsia="zh-CN"/>
                    </w:rPr>
                    <w:t>项目</w:t>
                  </w:r>
                </w:p>
              </w:tc>
              <w:tc>
                <w:tcPr>
                  <w:tcW w:w="3563" w:type="pct"/>
                  <w:gridSpan w:val="2"/>
                  <w:noWrap w:val="0"/>
                  <w:vAlign w:val="center"/>
                </w:tcPr>
                <w:p w14:paraId="70D77DE6">
                  <w:pPr>
                    <w:pStyle w:val="16"/>
                    <w:snapToGrid w:val="0"/>
                    <w:jc w:val="center"/>
                    <w:rPr>
                      <w:rFonts w:hint="eastAsia" w:ascii="Times New Roman" w:hAnsi="Times New Roman" w:eastAsia="宋体" w:cs="Times New Roman"/>
                      <w:b/>
                      <w:color w:val="auto"/>
                      <w:spacing w:val="-4"/>
                      <w:sz w:val="21"/>
                      <w:szCs w:val="21"/>
                      <w:lang w:eastAsia="zh-CN"/>
                    </w:rPr>
                  </w:pPr>
                  <w:r>
                    <w:rPr>
                      <w:rFonts w:hint="eastAsia" w:ascii="Times New Roman" w:hAnsi="Times New Roman" w:eastAsia="宋体" w:cs="Times New Roman"/>
                      <w:b/>
                      <w:color w:val="auto"/>
                      <w:spacing w:val="-4"/>
                      <w:sz w:val="21"/>
                      <w:szCs w:val="21"/>
                      <w:lang w:val="en-US" w:eastAsia="zh-CN"/>
                    </w:rPr>
                    <w:t>主要建设内容</w:t>
                  </w:r>
                </w:p>
              </w:tc>
              <w:tc>
                <w:tcPr>
                  <w:tcW w:w="564" w:type="pct"/>
                  <w:noWrap w:val="0"/>
                  <w:vAlign w:val="center"/>
                </w:tcPr>
                <w:p w14:paraId="0890E6D2">
                  <w:pPr>
                    <w:pStyle w:val="16"/>
                    <w:snapToGrid w:val="0"/>
                    <w:jc w:val="center"/>
                    <w:rPr>
                      <w:rFonts w:hint="default" w:ascii="Times New Roman" w:hAnsi="Times New Roman" w:eastAsia="宋体" w:cs="Times New Roman"/>
                      <w:b/>
                      <w:color w:val="auto"/>
                      <w:spacing w:val="-4"/>
                      <w:sz w:val="21"/>
                      <w:szCs w:val="21"/>
                      <w:lang w:val="en-US" w:eastAsia="zh-CN"/>
                    </w:rPr>
                  </w:pPr>
                  <w:r>
                    <w:rPr>
                      <w:rFonts w:hint="eastAsia" w:ascii="Times New Roman" w:hAnsi="Times New Roman" w:eastAsia="宋体" w:cs="Times New Roman"/>
                      <w:b/>
                      <w:color w:val="auto"/>
                      <w:spacing w:val="-4"/>
                      <w:sz w:val="21"/>
                      <w:szCs w:val="21"/>
                      <w:lang w:val="en-US" w:eastAsia="zh-CN"/>
                    </w:rPr>
                    <w:t>备注</w:t>
                  </w:r>
                </w:p>
              </w:tc>
            </w:tr>
            <w:tr w14:paraId="4A606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restart"/>
                  <w:noWrap w:val="0"/>
                  <w:vAlign w:val="center"/>
                </w:tcPr>
                <w:p w14:paraId="4FD14BF9">
                  <w:pPr>
                    <w:pStyle w:val="16"/>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主体工程</w:t>
                  </w:r>
                </w:p>
              </w:tc>
              <w:tc>
                <w:tcPr>
                  <w:tcW w:w="482" w:type="pct"/>
                  <w:noWrap w:val="0"/>
                  <w:vAlign w:val="center"/>
                </w:tcPr>
                <w:p w14:paraId="3E2A792F">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生产车间1</w:t>
                  </w:r>
                </w:p>
              </w:tc>
              <w:tc>
                <w:tcPr>
                  <w:tcW w:w="3563" w:type="pct"/>
                  <w:gridSpan w:val="2"/>
                  <w:noWrap w:val="0"/>
                  <w:vAlign w:val="center"/>
                </w:tcPr>
                <w:p w14:paraId="675D303F">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位于厂区</w:t>
                  </w:r>
                  <w:r>
                    <w:rPr>
                      <w:rFonts w:hint="eastAsia" w:ascii="Times New Roman" w:hAnsi="Times New Roman" w:eastAsia="宋体" w:cs="Times New Roman"/>
                      <w:color w:val="auto"/>
                      <w:kern w:val="0"/>
                      <w:sz w:val="21"/>
                      <w:szCs w:val="21"/>
                      <w:lang w:val="en-US" w:eastAsia="zh-CN" w:bidi="ar-SA"/>
                    </w:rPr>
                    <w:t>西南侧，占地面积1800</w:t>
                  </w:r>
                  <w:r>
                    <w:rPr>
                      <w:rFonts w:hint="default" w:ascii="Times New Roman" w:hAnsi="Times New Roman" w:eastAsia="宋体" w:cs="Times New Roman"/>
                      <w:color w:val="auto"/>
                      <w:kern w:val="0"/>
                      <w:sz w:val="21"/>
                      <w:szCs w:val="21"/>
                      <w:lang w:val="en-US" w:eastAsia="zh-CN" w:bidi="ar-SA"/>
                    </w:rPr>
                    <w:t>m</w:t>
                  </w:r>
                  <w:r>
                    <w:rPr>
                      <w:rFonts w:hint="default" w:ascii="Times New Roman" w:hAnsi="Times New Roman" w:eastAsia="宋体" w:cs="Times New Roman"/>
                      <w:color w:val="auto"/>
                      <w:kern w:val="0"/>
                      <w:sz w:val="21"/>
                      <w:szCs w:val="21"/>
                      <w:vertAlign w:val="superscript"/>
                      <w:lang w:val="en-US" w:eastAsia="zh-CN" w:bidi="ar-SA"/>
                    </w:rPr>
                    <w:t>2</w:t>
                  </w:r>
                  <w:r>
                    <w:rPr>
                      <w:rFonts w:hint="eastAsia" w:ascii="Times New Roman" w:hAnsi="Times New Roman" w:eastAsia="宋体" w:cs="Times New Roman"/>
                      <w:color w:val="auto"/>
                      <w:kern w:val="0"/>
                      <w:sz w:val="21"/>
                      <w:szCs w:val="21"/>
                      <w:vertAlign w:val="baseline"/>
                      <w:lang w:val="en-US" w:eastAsia="zh-CN" w:bidi="ar-SA"/>
                    </w:rPr>
                    <w:t>，1F，H=12m，</w:t>
                  </w:r>
                  <w:r>
                    <w:rPr>
                      <w:rFonts w:hint="default" w:ascii="Times New Roman" w:hAnsi="Times New Roman" w:eastAsia="宋体" w:cs="Times New Roman"/>
                      <w:color w:val="auto"/>
                      <w:kern w:val="0"/>
                      <w:sz w:val="21"/>
                      <w:szCs w:val="21"/>
                      <w:lang w:val="en-US" w:eastAsia="zh-CN" w:bidi="ar-SA"/>
                    </w:rPr>
                    <w:t>钢棚结构标准厂房</w:t>
                  </w:r>
                  <w:r>
                    <w:rPr>
                      <w:rFonts w:hint="eastAsia" w:ascii="Times New Roman" w:hAnsi="Times New Roman" w:eastAsia="宋体" w:cs="Times New Roman"/>
                      <w:color w:val="auto"/>
                      <w:kern w:val="0"/>
                      <w:sz w:val="21"/>
                      <w:szCs w:val="21"/>
                      <w:lang w:val="en-US" w:eastAsia="zh-CN" w:bidi="ar-SA"/>
                    </w:rPr>
                    <w:t>；布设1条泡沫箱生产线，主要购置6台先进泡沫箱生产设备</w:t>
                  </w:r>
                  <w:r>
                    <w:rPr>
                      <w:rFonts w:hint="eastAsia" w:cs="Times New Roman"/>
                      <w:color w:val="auto"/>
                      <w:kern w:val="0"/>
                      <w:sz w:val="21"/>
                      <w:szCs w:val="21"/>
                      <w:lang w:val="en-US" w:eastAsia="zh-CN" w:bidi="ar-SA"/>
                    </w:rPr>
                    <w:t>（一期）</w:t>
                  </w:r>
                  <w:r>
                    <w:rPr>
                      <w:rFonts w:hint="eastAsia" w:ascii="Times New Roman" w:hAnsi="Times New Roman" w:eastAsia="宋体" w:cs="Times New Roman"/>
                      <w:color w:val="auto"/>
                      <w:kern w:val="0"/>
                      <w:sz w:val="21"/>
                      <w:szCs w:val="21"/>
                      <w:lang w:val="en-US" w:eastAsia="zh-CN" w:bidi="ar-SA"/>
                    </w:rPr>
                    <w:t>。</w:t>
                  </w:r>
                </w:p>
              </w:tc>
              <w:tc>
                <w:tcPr>
                  <w:tcW w:w="564" w:type="pct"/>
                  <w:vMerge w:val="restart"/>
                  <w:noWrap w:val="0"/>
                  <w:vAlign w:val="center"/>
                </w:tcPr>
                <w:p w14:paraId="2F139C4B">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一期完成厂房建设</w:t>
                  </w:r>
                  <w:r>
                    <w:rPr>
                      <w:rFonts w:hint="eastAsia" w:cs="Times New Roman"/>
                      <w:color w:val="auto"/>
                      <w:kern w:val="0"/>
                      <w:sz w:val="21"/>
                      <w:szCs w:val="21"/>
                      <w:lang w:val="en-US" w:eastAsia="zh-CN" w:bidi="ar-SA"/>
                    </w:rPr>
                    <w:t>及购置一期设备</w:t>
                  </w:r>
                  <w:r>
                    <w:rPr>
                      <w:rFonts w:hint="eastAsia" w:ascii="Times New Roman" w:hAnsi="Times New Roman" w:eastAsia="宋体" w:cs="Times New Roman"/>
                      <w:color w:val="auto"/>
                      <w:kern w:val="0"/>
                      <w:sz w:val="21"/>
                      <w:szCs w:val="21"/>
                      <w:lang w:val="en-US" w:eastAsia="zh-CN" w:bidi="ar-SA"/>
                    </w:rPr>
                    <w:t>，二期仅购置设备</w:t>
                  </w:r>
                </w:p>
              </w:tc>
            </w:tr>
            <w:tr w14:paraId="21F6C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320B1CF6">
                  <w:pPr>
                    <w:pStyle w:val="16"/>
                    <w:snapToGrid w:val="0"/>
                    <w:jc w:val="center"/>
                    <w:rPr>
                      <w:rFonts w:hint="default" w:ascii="Times New Roman" w:hAnsi="Times New Roman" w:eastAsia="宋体" w:cs="Times New Roman"/>
                      <w:color w:val="auto"/>
                      <w:spacing w:val="-4"/>
                      <w:sz w:val="21"/>
                      <w:szCs w:val="21"/>
                    </w:rPr>
                  </w:pPr>
                </w:p>
              </w:tc>
              <w:tc>
                <w:tcPr>
                  <w:tcW w:w="482" w:type="pct"/>
                  <w:noWrap w:val="0"/>
                  <w:vAlign w:val="center"/>
                </w:tcPr>
                <w:p w14:paraId="5A128EBC">
                  <w:pPr>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生产车间2</w:t>
                  </w:r>
                </w:p>
              </w:tc>
              <w:tc>
                <w:tcPr>
                  <w:tcW w:w="3563" w:type="pct"/>
                  <w:gridSpan w:val="2"/>
                  <w:noWrap w:val="0"/>
                  <w:vAlign w:val="center"/>
                </w:tcPr>
                <w:p w14:paraId="155F38AB">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位于厂区</w:t>
                  </w:r>
                  <w:r>
                    <w:rPr>
                      <w:rFonts w:hint="eastAsia" w:ascii="Times New Roman" w:hAnsi="Times New Roman" w:eastAsia="宋体" w:cs="Times New Roman"/>
                      <w:color w:val="auto"/>
                      <w:kern w:val="0"/>
                      <w:sz w:val="21"/>
                      <w:szCs w:val="21"/>
                      <w:lang w:val="en-US" w:eastAsia="zh-CN" w:bidi="ar-SA"/>
                    </w:rPr>
                    <w:t>北侧，占地面积4725</w:t>
                  </w:r>
                  <w:r>
                    <w:rPr>
                      <w:rFonts w:hint="default" w:ascii="Times New Roman" w:hAnsi="Times New Roman" w:eastAsia="宋体" w:cs="Times New Roman"/>
                      <w:color w:val="auto"/>
                      <w:kern w:val="0"/>
                      <w:sz w:val="21"/>
                      <w:szCs w:val="21"/>
                      <w:lang w:val="en-US" w:eastAsia="zh-CN" w:bidi="ar-SA"/>
                    </w:rPr>
                    <w:t>m</w:t>
                  </w:r>
                  <w:r>
                    <w:rPr>
                      <w:rFonts w:hint="default" w:ascii="Times New Roman" w:hAnsi="Times New Roman" w:eastAsia="宋体" w:cs="Times New Roman"/>
                      <w:color w:val="auto"/>
                      <w:kern w:val="0"/>
                      <w:sz w:val="21"/>
                      <w:szCs w:val="21"/>
                      <w:vertAlign w:val="superscript"/>
                      <w:lang w:val="en-US" w:eastAsia="zh-CN" w:bidi="ar-SA"/>
                    </w:rPr>
                    <w:t>2</w:t>
                  </w:r>
                  <w:r>
                    <w:rPr>
                      <w:rFonts w:hint="eastAsia" w:ascii="Times New Roman" w:hAnsi="Times New Roman" w:eastAsia="宋体" w:cs="Times New Roman"/>
                      <w:color w:val="auto"/>
                      <w:kern w:val="0"/>
                      <w:sz w:val="21"/>
                      <w:szCs w:val="21"/>
                      <w:vertAlign w:val="baseline"/>
                      <w:lang w:val="en-US" w:eastAsia="zh-CN" w:bidi="ar-SA"/>
                    </w:rPr>
                    <w:t>，1F，H=12m，</w:t>
                  </w:r>
                  <w:r>
                    <w:rPr>
                      <w:rFonts w:hint="default" w:ascii="Times New Roman" w:hAnsi="Times New Roman" w:eastAsia="宋体" w:cs="Times New Roman"/>
                      <w:color w:val="auto"/>
                      <w:kern w:val="0"/>
                      <w:sz w:val="21"/>
                      <w:szCs w:val="21"/>
                      <w:lang w:val="en-US" w:eastAsia="zh-CN" w:bidi="ar-SA"/>
                    </w:rPr>
                    <w:t>钢棚结构标准厂房</w:t>
                  </w:r>
                  <w:r>
                    <w:rPr>
                      <w:rFonts w:hint="eastAsia" w:ascii="Times New Roman" w:hAnsi="Times New Roman" w:eastAsia="宋体" w:cs="Times New Roman"/>
                      <w:color w:val="auto"/>
                      <w:kern w:val="0"/>
                      <w:sz w:val="21"/>
                      <w:szCs w:val="21"/>
                      <w:lang w:val="en-US" w:eastAsia="zh-CN" w:bidi="ar-SA"/>
                    </w:rPr>
                    <w:t>；</w:t>
                  </w:r>
                  <w:r>
                    <w:rPr>
                      <w:rFonts w:hint="eastAsia"/>
                      <w:color w:val="auto"/>
                      <w:sz w:val="21"/>
                      <w:szCs w:val="21"/>
                      <w:lang w:val="en-US" w:eastAsia="zh-CN"/>
                    </w:rPr>
                    <w:t>依托一期建成生产车间，</w:t>
                  </w:r>
                  <w:r>
                    <w:rPr>
                      <w:rFonts w:hint="eastAsia" w:ascii="Times New Roman" w:hAnsi="Times New Roman" w:eastAsia="宋体" w:cs="Times New Roman"/>
                      <w:color w:val="auto"/>
                      <w:kern w:val="0"/>
                      <w:sz w:val="21"/>
                      <w:szCs w:val="21"/>
                      <w:lang w:val="en-US" w:eastAsia="zh-CN" w:bidi="ar-SA"/>
                    </w:rPr>
                    <w:t>布设1条泡沫箱生产线，主要购置10台先进泡沫箱生产设备</w:t>
                  </w:r>
                  <w:r>
                    <w:rPr>
                      <w:rFonts w:hint="eastAsia" w:cs="Times New Roman"/>
                      <w:color w:val="auto"/>
                      <w:kern w:val="0"/>
                      <w:sz w:val="21"/>
                      <w:szCs w:val="21"/>
                      <w:lang w:val="en-US" w:eastAsia="zh-CN" w:bidi="ar-SA"/>
                    </w:rPr>
                    <w:t>（二期）</w:t>
                  </w:r>
                  <w:r>
                    <w:rPr>
                      <w:rFonts w:hint="eastAsia" w:ascii="Times New Roman" w:hAnsi="Times New Roman" w:eastAsia="宋体" w:cs="Times New Roman"/>
                      <w:color w:val="auto"/>
                      <w:kern w:val="0"/>
                      <w:sz w:val="21"/>
                      <w:szCs w:val="21"/>
                      <w:lang w:val="en-US" w:eastAsia="zh-CN" w:bidi="ar-SA"/>
                    </w:rPr>
                    <w:t>。</w:t>
                  </w:r>
                </w:p>
              </w:tc>
              <w:tc>
                <w:tcPr>
                  <w:tcW w:w="564" w:type="pct"/>
                  <w:vMerge w:val="continue"/>
                  <w:noWrap w:val="0"/>
                  <w:vAlign w:val="center"/>
                </w:tcPr>
                <w:p w14:paraId="5EFBDF95">
                  <w:pPr>
                    <w:adjustRightInd w:val="0"/>
                    <w:snapToGrid w:val="0"/>
                    <w:jc w:val="center"/>
                    <w:rPr>
                      <w:rFonts w:hint="default" w:ascii="Times New Roman" w:hAnsi="Times New Roman" w:eastAsia="宋体" w:cs="Times New Roman"/>
                      <w:color w:val="auto"/>
                      <w:kern w:val="0"/>
                      <w:sz w:val="21"/>
                      <w:szCs w:val="21"/>
                      <w:lang w:val="en-US" w:eastAsia="zh-CN" w:bidi="ar-SA"/>
                    </w:rPr>
                  </w:pPr>
                </w:p>
              </w:tc>
            </w:tr>
            <w:tr w14:paraId="3600E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43" w:hRule="atLeast"/>
                <w:jc w:val="center"/>
              </w:trPr>
              <w:tc>
                <w:tcPr>
                  <w:tcW w:w="390" w:type="pct"/>
                  <w:noWrap w:val="0"/>
                  <w:vAlign w:val="center"/>
                </w:tcPr>
                <w:p w14:paraId="6C167CBC">
                  <w:pPr>
                    <w:pStyle w:val="16"/>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辅助工程</w:t>
                  </w:r>
                </w:p>
              </w:tc>
              <w:tc>
                <w:tcPr>
                  <w:tcW w:w="482" w:type="pct"/>
                  <w:noWrap w:val="0"/>
                  <w:vAlign w:val="center"/>
                </w:tcPr>
                <w:p w14:paraId="78C2B361">
                  <w:pPr>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管理用房</w:t>
                  </w:r>
                </w:p>
              </w:tc>
              <w:tc>
                <w:tcPr>
                  <w:tcW w:w="3563" w:type="pct"/>
                  <w:gridSpan w:val="2"/>
                  <w:noWrap w:val="0"/>
                  <w:vAlign w:val="center"/>
                </w:tcPr>
                <w:p w14:paraId="043C9C22">
                  <w:pPr>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SA"/>
                    </w:rPr>
                    <w:t>位于厂区</w:t>
                  </w:r>
                  <w:r>
                    <w:rPr>
                      <w:rFonts w:hint="eastAsia" w:ascii="Times New Roman" w:hAnsi="Times New Roman" w:eastAsia="宋体" w:cs="Times New Roman"/>
                      <w:color w:val="auto"/>
                      <w:kern w:val="0"/>
                      <w:sz w:val="21"/>
                      <w:szCs w:val="21"/>
                      <w:lang w:val="en-US" w:eastAsia="zh-CN" w:bidi="ar-SA"/>
                    </w:rPr>
                    <w:t>东南侧，占地面积173.28</w:t>
                  </w:r>
                  <w:r>
                    <w:rPr>
                      <w:rFonts w:hint="default" w:ascii="Times New Roman" w:hAnsi="Times New Roman" w:eastAsia="宋体" w:cs="Times New Roman"/>
                      <w:color w:val="auto"/>
                      <w:kern w:val="0"/>
                      <w:sz w:val="21"/>
                      <w:szCs w:val="21"/>
                      <w:lang w:val="en-US" w:eastAsia="zh-CN" w:bidi="ar-SA"/>
                    </w:rPr>
                    <w:t>m</w:t>
                  </w:r>
                  <w:r>
                    <w:rPr>
                      <w:rFonts w:hint="default" w:ascii="Times New Roman" w:hAnsi="Times New Roman" w:eastAsia="宋体" w:cs="Times New Roman"/>
                      <w:color w:val="auto"/>
                      <w:kern w:val="0"/>
                      <w:sz w:val="21"/>
                      <w:szCs w:val="21"/>
                      <w:vertAlign w:val="superscript"/>
                      <w:lang w:val="en-US" w:eastAsia="zh-CN" w:bidi="ar-SA"/>
                    </w:rPr>
                    <w:t>2</w:t>
                  </w:r>
                  <w:r>
                    <w:rPr>
                      <w:rFonts w:hint="eastAsia" w:ascii="Times New Roman" w:hAnsi="Times New Roman" w:eastAsia="宋体" w:cs="Times New Roman"/>
                      <w:color w:val="auto"/>
                      <w:kern w:val="0"/>
                      <w:sz w:val="21"/>
                      <w:szCs w:val="21"/>
                      <w:vertAlign w:val="baseline"/>
                      <w:lang w:val="en-US" w:eastAsia="zh-CN" w:bidi="ar-SA"/>
                    </w:rPr>
                    <w:t>，</w:t>
                  </w:r>
                  <w:r>
                    <w:rPr>
                      <w:rFonts w:hint="eastAsia" w:ascii="Times New Roman" w:hAnsi="Times New Roman" w:eastAsia="宋体" w:cs="Times New Roman"/>
                      <w:color w:val="auto"/>
                      <w:kern w:val="0"/>
                      <w:sz w:val="21"/>
                      <w:szCs w:val="21"/>
                      <w:lang w:val="en-US" w:eastAsia="zh-CN"/>
                    </w:rPr>
                    <w:t>2F，</w:t>
                  </w:r>
                  <w:r>
                    <w:rPr>
                      <w:rFonts w:hint="eastAsia" w:ascii="Times New Roman" w:hAnsi="Times New Roman" w:eastAsia="宋体" w:cs="Times New Roman"/>
                      <w:color w:val="auto"/>
                      <w:kern w:val="0"/>
                      <w:sz w:val="21"/>
                      <w:szCs w:val="21"/>
                      <w:lang w:val="en-US" w:eastAsia="zh-CN" w:bidi="ar-SA"/>
                    </w:rPr>
                    <w:t>用于办公、员工休息等日常管理用途。</w:t>
                  </w:r>
                </w:p>
              </w:tc>
              <w:tc>
                <w:tcPr>
                  <w:tcW w:w="564" w:type="pct"/>
                  <w:noWrap w:val="0"/>
                  <w:vAlign w:val="center"/>
                </w:tcPr>
                <w:p w14:paraId="6D23D6E1">
                  <w:pPr>
                    <w:adjustRightInd w:val="0"/>
                    <w:snapToGrid w:val="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sz w:val="21"/>
                      <w:szCs w:val="21"/>
                      <w:lang w:val="en-US" w:eastAsia="zh-CN"/>
                    </w:rPr>
                    <w:t>一、二期共用</w:t>
                  </w:r>
                </w:p>
              </w:tc>
            </w:tr>
            <w:tr w14:paraId="17869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787" w:hRule="atLeast"/>
                <w:jc w:val="center"/>
              </w:trPr>
              <w:tc>
                <w:tcPr>
                  <w:tcW w:w="390" w:type="pct"/>
                  <w:noWrap w:val="0"/>
                  <w:vAlign w:val="center"/>
                </w:tcPr>
                <w:p w14:paraId="28BD8C36">
                  <w:pPr>
                    <w:pStyle w:val="16"/>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储运工程</w:t>
                  </w:r>
                </w:p>
              </w:tc>
              <w:tc>
                <w:tcPr>
                  <w:tcW w:w="482" w:type="pct"/>
                  <w:noWrap w:val="0"/>
                  <w:vAlign w:val="center"/>
                </w:tcPr>
                <w:p w14:paraId="73534248">
                  <w:pPr>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原料及成品仓库</w:t>
                  </w:r>
                </w:p>
              </w:tc>
              <w:tc>
                <w:tcPr>
                  <w:tcW w:w="3563" w:type="pct"/>
                  <w:gridSpan w:val="2"/>
                  <w:noWrap w:val="0"/>
                  <w:vAlign w:val="center"/>
                </w:tcPr>
                <w:p w14:paraId="67736A6C">
                  <w:pPr>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SA"/>
                    </w:rPr>
                    <w:t>位于厂区</w:t>
                  </w:r>
                  <w:r>
                    <w:rPr>
                      <w:rFonts w:hint="eastAsia" w:ascii="Times New Roman" w:hAnsi="Times New Roman" w:eastAsia="宋体" w:cs="Times New Roman"/>
                      <w:color w:val="auto"/>
                      <w:kern w:val="0"/>
                      <w:sz w:val="21"/>
                      <w:szCs w:val="21"/>
                      <w:lang w:val="en-US" w:eastAsia="zh-CN" w:bidi="ar-SA"/>
                    </w:rPr>
                    <w:t>南侧，建筑面积4680</w:t>
                  </w:r>
                  <w:r>
                    <w:rPr>
                      <w:rFonts w:hint="default" w:ascii="Times New Roman" w:hAnsi="Times New Roman" w:eastAsia="宋体" w:cs="Times New Roman"/>
                      <w:color w:val="auto"/>
                      <w:kern w:val="0"/>
                      <w:sz w:val="21"/>
                      <w:szCs w:val="21"/>
                      <w:lang w:val="en-US" w:eastAsia="zh-CN" w:bidi="ar-SA"/>
                    </w:rPr>
                    <w:t>m</w:t>
                  </w:r>
                  <w:r>
                    <w:rPr>
                      <w:rFonts w:hint="default" w:ascii="Times New Roman" w:hAnsi="Times New Roman" w:eastAsia="宋体" w:cs="Times New Roman"/>
                      <w:color w:val="auto"/>
                      <w:kern w:val="0"/>
                      <w:sz w:val="21"/>
                      <w:szCs w:val="21"/>
                      <w:vertAlign w:val="superscript"/>
                      <w:lang w:val="en-US" w:eastAsia="zh-CN" w:bidi="ar-SA"/>
                    </w:rPr>
                    <w:t>2</w:t>
                  </w:r>
                  <w:r>
                    <w:rPr>
                      <w:rFonts w:hint="eastAsia" w:ascii="Times New Roman" w:hAnsi="Times New Roman" w:eastAsia="宋体" w:cs="Times New Roman"/>
                      <w:color w:val="auto"/>
                      <w:kern w:val="0"/>
                      <w:sz w:val="21"/>
                      <w:szCs w:val="21"/>
                      <w:vertAlign w:val="baseline"/>
                      <w:lang w:val="en-US" w:eastAsia="zh-CN" w:bidi="ar-SA"/>
                    </w:rPr>
                    <w:t>，</w:t>
                  </w:r>
                  <w:r>
                    <w:rPr>
                      <w:rFonts w:hint="eastAsia" w:ascii="Times New Roman" w:hAnsi="Times New Roman" w:eastAsia="宋体" w:cs="Times New Roman"/>
                      <w:color w:val="auto"/>
                      <w:kern w:val="0"/>
                      <w:sz w:val="21"/>
                      <w:szCs w:val="21"/>
                      <w:lang w:val="en-US" w:eastAsia="zh-CN"/>
                    </w:rPr>
                    <w:t>1F，H=9m，</w:t>
                  </w:r>
                  <w:r>
                    <w:rPr>
                      <w:rFonts w:hint="default" w:ascii="Times New Roman" w:hAnsi="Times New Roman" w:eastAsia="宋体" w:cs="Times New Roman"/>
                      <w:color w:val="auto"/>
                      <w:kern w:val="0"/>
                      <w:sz w:val="21"/>
                      <w:szCs w:val="21"/>
                      <w:lang w:val="en-US" w:eastAsia="zh-CN" w:bidi="ar-SA"/>
                    </w:rPr>
                    <w:t>钢棚结构标准厂房，</w:t>
                  </w:r>
                  <w:r>
                    <w:rPr>
                      <w:rFonts w:hint="eastAsia" w:ascii="Times New Roman" w:hAnsi="Times New Roman" w:eastAsia="宋体" w:cs="Times New Roman"/>
                      <w:color w:val="auto"/>
                      <w:kern w:val="0"/>
                      <w:sz w:val="21"/>
                      <w:szCs w:val="21"/>
                      <w:lang w:val="en-US" w:eastAsia="zh-CN" w:bidi="ar-SA"/>
                    </w:rPr>
                    <w:t>用于堆放原料及成品。</w:t>
                  </w:r>
                </w:p>
              </w:tc>
              <w:tc>
                <w:tcPr>
                  <w:tcW w:w="564" w:type="pct"/>
                  <w:noWrap w:val="0"/>
                  <w:vAlign w:val="center"/>
                </w:tcPr>
                <w:p w14:paraId="49C40C3B">
                  <w:pPr>
                    <w:adjustRightInd w:val="0"/>
                    <w:snapToGrid w:val="0"/>
                    <w:jc w:val="center"/>
                    <w:rPr>
                      <w:rFonts w:hint="eastAsia" w:ascii="Times New Roman" w:hAnsi="Times New Roman" w:eastAsia="宋体" w:cs="Times New Roman"/>
                      <w:color w:val="auto"/>
                      <w:kern w:val="0"/>
                      <w:sz w:val="21"/>
                      <w:szCs w:val="21"/>
                      <w:lang w:val="en-US" w:eastAsia="zh-CN"/>
                    </w:rPr>
                  </w:pPr>
                  <w:r>
                    <w:rPr>
                      <w:rFonts w:hint="eastAsia" w:cs="Times New Roman"/>
                      <w:color w:val="auto"/>
                      <w:sz w:val="21"/>
                      <w:szCs w:val="21"/>
                      <w:lang w:val="en-US" w:eastAsia="zh-CN"/>
                    </w:rPr>
                    <w:t>一、二期共用</w:t>
                  </w:r>
                </w:p>
              </w:tc>
            </w:tr>
            <w:tr w14:paraId="29802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8" w:hRule="atLeast"/>
                <w:jc w:val="center"/>
              </w:trPr>
              <w:tc>
                <w:tcPr>
                  <w:tcW w:w="390" w:type="pct"/>
                  <w:vMerge w:val="restart"/>
                  <w:noWrap w:val="0"/>
                  <w:vAlign w:val="center"/>
                </w:tcPr>
                <w:p w14:paraId="13B095B5">
                  <w:pPr>
                    <w:pStyle w:val="16"/>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公用工程</w:t>
                  </w:r>
                </w:p>
              </w:tc>
              <w:tc>
                <w:tcPr>
                  <w:tcW w:w="482" w:type="pct"/>
                  <w:noWrap w:val="0"/>
                  <w:vAlign w:val="center"/>
                </w:tcPr>
                <w:p w14:paraId="5EC59C64">
                  <w:pPr>
                    <w:pStyle w:val="16"/>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供水</w:t>
                  </w:r>
                </w:p>
              </w:tc>
              <w:tc>
                <w:tcPr>
                  <w:tcW w:w="3563" w:type="pct"/>
                  <w:gridSpan w:val="2"/>
                  <w:noWrap w:val="0"/>
                  <w:vAlign w:val="center"/>
                </w:tcPr>
                <w:p w14:paraId="1D2D71E0">
                  <w:pPr>
                    <w:pStyle w:val="16"/>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cs="Times New Roman"/>
                      <w:color w:val="auto"/>
                      <w:kern w:val="0"/>
                      <w:sz w:val="21"/>
                      <w:szCs w:val="21"/>
                      <w:highlight w:val="none"/>
                    </w:rPr>
                    <w:t>本项目用水由</w:t>
                  </w:r>
                  <w:r>
                    <w:rPr>
                      <w:rFonts w:hint="eastAsia" w:ascii="Times New Roman" w:hAnsi="Times New Roman" w:cs="Times New Roman"/>
                      <w:color w:val="auto"/>
                      <w:kern w:val="0"/>
                      <w:sz w:val="21"/>
                      <w:szCs w:val="21"/>
                      <w:highlight w:val="none"/>
                      <w:lang w:val="en-US" w:eastAsia="zh-CN"/>
                    </w:rPr>
                    <w:t>园区</w:t>
                  </w:r>
                  <w:r>
                    <w:rPr>
                      <w:rFonts w:hint="default" w:ascii="Times New Roman" w:hAnsi="Times New Roman" w:cs="Times New Roman"/>
                      <w:color w:val="auto"/>
                      <w:kern w:val="0"/>
                      <w:sz w:val="21"/>
                      <w:szCs w:val="21"/>
                      <w:highlight w:val="none"/>
                    </w:rPr>
                    <w:t>供水管网提供，项目用水主要为</w:t>
                  </w:r>
                  <w:r>
                    <w:rPr>
                      <w:rFonts w:hint="eastAsia" w:ascii="Times New Roman" w:hAnsi="Times New Roman" w:cs="Times New Roman"/>
                      <w:color w:val="auto"/>
                      <w:kern w:val="0"/>
                      <w:sz w:val="21"/>
                      <w:szCs w:val="21"/>
                      <w:highlight w:val="none"/>
                      <w:lang w:val="en-US" w:eastAsia="zh-CN"/>
                    </w:rPr>
                    <w:t>循环冷却系统补水及</w:t>
                  </w:r>
                  <w:r>
                    <w:rPr>
                      <w:rFonts w:hint="default" w:ascii="Times New Roman" w:hAnsi="Times New Roman" w:cs="Times New Roman"/>
                      <w:color w:val="auto"/>
                      <w:kern w:val="0"/>
                      <w:sz w:val="21"/>
                      <w:szCs w:val="21"/>
                      <w:highlight w:val="none"/>
                    </w:rPr>
                    <w:t>生活用水，</w:t>
                  </w:r>
                  <w:r>
                    <w:rPr>
                      <w:rFonts w:hint="eastAsia" w:ascii="Times New Roman" w:hAnsi="Times New Roman" w:cs="Times New Roman"/>
                      <w:color w:val="auto"/>
                      <w:kern w:val="0"/>
                      <w:sz w:val="21"/>
                      <w:szCs w:val="21"/>
                      <w:highlight w:val="none"/>
                      <w:lang w:val="en-US" w:eastAsia="zh-CN"/>
                    </w:rPr>
                    <w:t>全部使用新鲜水，新鲜水用量</w:t>
                  </w:r>
                  <w:r>
                    <w:rPr>
                      <w:rFonts w:hint="default" w:ascii="Times New Roman" w:hAnsi="Times New Roman" w:cs="Times New Roman"/>
                      <w:color w:val="auto"/>
                      <w:kern w:val="0"/>
                      <w:sz w:val="21"/>
                      <w:szCs w:val="21"/>
                      <w:highlight w:val="none"/>
                    </w:rPr>
                    <w:t>为</w:t>
                  </w:r>
                  <w:r>
                    <w:rPr>
                      <w:rFonts w:hint="eastAsia" w:ascii="Times New Roman" w:hAnsi="Times New Roman" w:cs="Times New Roman"/>
                      <w:color w:val="auto"/>
                      <w:kern w:val="0"/>
                      <w:sz w:val="21"/>
                      <w:szCs w:val="21"/>
                      <w:highlight w:val="none"/>
                      <w:lang w:val="en-US" w:eastAsia="zh-CN"/>
                    </w:rPr>
                    <w:t>530.4</w:t>
                  </w: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/a（</w:t>
                  </w:r>
                  <w:r>
                    <w:rPr>
                      <w:rFonts w:hint="eastAsia" w:ascii="Times New Roman" w:hAnsi="Times New Roman" w:cs="Times New Roman"/>
                      <w:color w:val="auto"/>
                      <w:kern w:val="0"/>
                      <w:sz w:val="21"/>
                      <w:szCs w:val="21"/>
                      <w:highlight w:val="none"/>
                      <w:lang w:val="en-US" w:eastAsia="zh-CN"/>
                    </w:rPr>
                    <w:t>3.54</w:t>
                  </w: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/d）</w:t>
                  </w:r>
                  <w:r>
                    <w:rPr>
                      <w:rFonts w:hint="eastAsia" w:ascii="Times New Roman" w:hAnsi="Times New Roman" w:cs="Times New Roman"/>
                      <w:color w:val="auto"/>
                      <w:kern w:val="0"/>
                      <w:sz w:val="21"/>
                      <w:szCs w:val="21"/>
                      <w:highlight w:val="none"/>
                      <w:lang w:eastAsia="zh-CN"/>
                    </w:rPr>
                    <w:t>。</w:t>
                  </w:r>
                </w:p>
              </w:tc>
              <w:tc>
                <w:tcPr>
                  <w:tcW w:w="564" w:type="pct"/>
                  <w:noWrap w:val="0"/>
                  <w:vAlign w:val="center"/>
                </w:tcPr>
                <w:p w14:paraId="5AB95235">
                  <w:pPr>
                    <w:pStyle w:val="16"/>
                    <w:adjustRightInd w:val="0"/>
                    <w:snapToGrid w:val="0"/>
                    <w:jc w:val="center"/>
                    <w:rPr>
                      <w:rFonts w:hint="default" w:ascii="Times New Roman" w:hAnsi="Times New Roman" w:eastAsia="宋体" w:cs="Times New Roman"/>
                      <w:color w:val="auto"/>
                      <w:spacing w:val="-4"/>
                      <w:sz w:val="21"/>
                      <w:szCs w:val="21"/>
                      <w:lang w:val="en-US" w:eastAsia="zh-CN"/>
                    </w:rPr>
                  </w:pPr>
                  <w:r>
                    <w:rPr>
                      <w:rFonts w:hint="eastAsia" w:ascii="Times New Roman" w:hAnsi="Times New Roman" w:eastAsia="宋体" w:cs="Times New Roman"/>
                      <w:color w:val="auto"/>
                      <w:spacing w:val="-4"/>
                      <w:sz w:val="21"/>
                      <w:szCs w:val="21"/>
                      <w:lang w:val="en-US" w:eastAsia="zh-CN"/>
                    </w:rPr>
                    <w:t>/</w:t>
                  </w:r>
                </w:p>
              </w:tc>
            </w:tr>
            <w:tr w14:paraId="1A106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314EFBD6">
                  <w:pPr>
                    <w:pStyle w:val="16"/>
                    <w:snapToGrid w:val="0"/>
                    <w:jc w:val="center"/>
                    <w:rPr>
                      <w:rFonts w:hint="default" w:ascii="Times New Roman" w:hAnsi="Times New Roman" w:eastAsia="宋体" w:cs="Times New Roman"/>
                      <w:color w:val="auto"/>
                      <w:spacing w:val="-4"/>
                      <w:sz w:val="21"/>
                      <w:szCs w:val="21"/>
                    </w:rPr>
                  </w:pPr>
                </w:p>
              </w:tc>
              <w:tc>
                <w:tcPr>
                  <w:tcW w:w="482" w:type="pct"/>
                  <w:noWrap w:val="0"/>
                  <w:vAlign w:val="center"/>
                </w:tcPr>
                <w:p w14:paraId="03F678EC">
                  <w:pPr>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排水</w:t>
                  </w:r>
                </w:p>
              </w:tc>
              <w:tc>
                <w:tcPr>
                  <w:tcW w:w="3563" w:type="pct"/>
                  <w:gridSpan w:val="2"/>
                  <w:noWrap w:val="0"/>
                  <w:vAlign w:val="center"/>
                </w:tcPr>
                <w:p w14:paraId="24A43B12">
                  <w:pPr>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cs="Times New Roman"/>
                      <w:color w:val="auto"/>
                      <w:kern w:val="0"/>
                      <w:sz w:val="21"/>
                      <w:szCs w:val="21"/>
                      <w:highlight w:val="none"/>
                    </w:rPr>
                    <w:t>本项目废水主要为</w:t>
                  </w:r>
                  <w:r>
                    <w:rPr>
                      <w:rFonts w:hint="eastAsia" w:ascii="Times New Roman" w:hAnsi="Times New Roman" w:cs="Times New Roman"/>
                      <w:color w:val="auto"/>
                      <w:kern w:val="0"/>
                      <w:sz w:val="21"/>
                      <w:szCs w:val="21"/>
                      <w:highlight w:val="none"/>
                      <w:lang w:val="en-US" w:eastAsia="zh-CN"/>
                    </w:rPr>
                    <w:t>循环冷却系统排水及</w:t>
                  </w:r>
                  <w:r>
                    <w:rPr>
                      <w:rFonts w:hint="default" w:ascii="Times New Roman" w:hAnsi="Times New Roman" w:cs="Times New Roman"/>
                      <w:color w:val="auto"/>
                      <w:kern w:val="0"/>
                      <w:sz w:val="21"/>
                      <w:szCs w:val="21"/>
                      <w:highlight w:val="none"/>
                    </w:rPr>
                    <w:t>生活污水，</w:t>
                  </w:r>
                  <w:r>
                    <w:rPr>
                      <w:rFonts w:hint="eastAsia" w:ascii="Times New Roman" w:hAnsi="Times New Roman" w:cs="Times New Roman"/>
                      <w:color w:val="auto"/>
                      <w:kern w:val="0"/>
                      <w:sz w:val="21"/>
                      <w:szCs w:val="21"/>
                      <w:highlight w:val="none"/>
                      <w:lang w:val="en-US" w:eastAsia="zh-CN"/>
                    </w:rPr>
                    <w:t>废水</w:t>
                  </w:r>
                  <w:r>
                    <w:rPr>
                      <w:rFonts w:hint="eastAsia" w:ascii="Times New Roman" w:hAnsi="Times New Roman" w:cs="Times New Roman"/>
                      <w:color w:val="auto"/>
                      <w:kern w:val="0"/>
                      <w:sz w:val="21"/>
                      <w:szCs w:val="21"/>
                      <w:highlight w:val="none"/>
                      <w:lang w:eastAsia="zh-CN"/>
                    </w:rPr>
                    <w:t>产生量为</w:t>
                  </w:r>
                  <w:r>
                    <w:rPr>
                      <w:rFonts w:hint="eastAsia" w:cs="Times New Roman"/>
                      <w:color w:val="auto"/>
                      <w:kern w:val="0"/>
                      <w:sz w:val="21"/>
                      <w:szCs w:val="21"/>
                      <w:highlight w:val="none"/>
                      <w:lang w:val="en-US" w:eastAsia="zh-CN"/>
                    </w:rPr>
                    <w:t>294</w:t>
                  </w: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/a</w:t>
                  </w:r>
                  <w:r>
                    <w:rPr>
                      <w:rFonts w:hint="default"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1.96</w:t>
                  </w:r>
                  <w:r>
                    <w:rPr>
                      <w:rFonts w:hint="default" w:ascii="Times New Roman" w:hAnsi="Times New Roman" w:cs="Times New Roman"/>
                      <w:color w:val="auto"/>
                      <w:kern w:val="0"/>
                      <w:sz w:val="21"/>
                      <w:szCs w:val="21"/>
                      <w:highlight w:val="none"/>
                    </w:rPr>
                    <w:t>m</w:t>
                  </w:r>
                  <w:r>
                    <w:rPr>
                      <w:rFonts w:hint="default" w:ascii="Times New Roman" w:hAnsi="Times New Roman" w:cs="Times New Roman"/>
                      <w:color w:val="auto"/>
                      <w:kern w:val="0"/>
                      <w:sz w:val="21"/>
                      <w:szCs w:val="21"/>
                      <w:highlight w:val="none"/>
                      <w:vertAlign w:val="superscript"/>
                    </w:rPr>
                    <w:t>3</w:t>
                  </w:r>
                  <w:r>
                    <w:rPr>
                      <w:rFonts w:hint="default" w:ascii="Times New Roman" w:hAnsi="Times New Roman" w:cs="Times New Roman"/>
                      <w:color w:val="auto"/>
                      <w:kern w:val="0"/>
                      <w:sz w:val="21"/>
                      <w:szCs w:val="21"/>
                      <w:highlight w:val="none"/>
                    </w:rPr>
                    <w:t>/</w:t>
                  </w:r>
                  <w:r>
                    <w:rPr>
                      <w:rFonts w:hint="default" w:ascii="Times New Roman" w:hAnsi="Times New Roman" w:cs="Times New Roman"/>
                      <w:color w:val="auto"/>
                      <w:kern w:val="0"/>
                      <w:sz w:val="21"/>
                      <w:szCs w:val="21"/>
                      <w:highlight w:val="none"/>
                      <w:lang w:val="en-US" w:eastAsia="zh-CN"/>
                    </w:rPr>
                    <w:t>d）</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生活污水经化粪池处理后</w:t>
                  </w:r>
                  <w:r>
                    <w:rPr>
                      <w:rFonts w:hint="eastAsia" w:ascii="Times New Roman" w:hAnsi="Times New Roman" w:cs="Times New Roman"/>
                      <w:color w:val="auto"/>
                      <w:kern w:val="0"/>
                      <w:sz w:val="21"/>
                      <w:szCs w:val="21"/>
                      <w:highlight w:val="none"/>
                      <w:lang w:val="en-US" w:eastAsia="zh-CN"/>
                    </w:rPr>
                    <w:t>汇同循环冷却系统排水排入园区污水管网，最终进入</w:t>
                  </w:r>
                  <w:r>
                    <w:rPr>
                      <w:rFonts w:hint="eastAsia" w:cs="Times New Roman"/>
                      <w:color w:val="auto"/>
                      <w:sz w:val="21"/>
                      <w:szCs w:val="21"/>
                      <w:highlight w:val="none"/>
                      <w:lang w:val="en-US" w:eastAsia="zh-CN"/>
                    </w:rPr>
                    <w:t>固原经济技术开发区新材料产业园污水处理厂进行处理</w:t>
                  </w:r>
                  <w:r>
                    <w:rPr>
                      <w:rFonts w:hint="eastAsia"/>
                      <w:color w:val="auto"/>
                      <w:sz w:val="21"/>
                      <w:szCs w:val="21"/>
                      <w:highlight w:val="none"/>
                      <w:lang w:eastAsia="zh-CN"/>
                    </w:rPr>
                    <w:t>。</w:t>
                  </w:r>
                </w:p>
              </w:tc>
              <w:tc>
                <w:tcPr>
                  <w:tcW w:w="564" w:type="pct"/>
                  <w:noWrap w:val="0"/>
                  <w:vAlign w:val="center"/>
                </w:tcPr>
                <w:p w14:paraId="6BEDFAEB">
                  <w:pPr>
                    <w:adjustRightInd w:val="0"/>
                    <w:snapToGrid w:val="0"/>
                    <w:jc w:val="center"/>
                    <w:rPr>
                      <w:rFonts w:hint="eastAsia" w:ascii="Times New Roman" w:hAnsi="Times New Roman" w:eastAsia="宋体" w:cs="Times New Roman"/>
                      <w:color w:val="auto"/>
                      <w:spacing w:val="-4"/>
                      <w:sz w:val="21"/>
                      <w:szCs w:val="21"/>
                      <w:lang w:val="en-US" w:eastAsia="zh-CN"/>
                    </w:rPr>
                  </w:pPr>
                  <w:r>
                    <w:rPr>
                      <w:rFonts w:hint="eastAsia" w:ascii="Times New Roman" w:hAnsi="Times New Roman" w:eastAsia="宋体" w:cs="Times New Roman"/>
                      <w:color w:val="auto"/>
                      <w:spacing w:val="-4"/>
                      <w:sz w:val="21"/>
                      <w:szCs w:val="21"/>
                      <w:lang w:val="en-US" w:eastAsia="zh-CN"/>
                    </w:rPr>
                    <w:t>/</w:t>
                  </w:r>
                </w:p>
              </w:tc>
            </w:tr>
            <w:tr w14:paraId="62C87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448CD051">
                  <w:pPr>
                    <w:pStyle w:val="16"/>
                    <w:snapToGrid w:val="0"/>
                    <w:jc w:val="center"/>
                    <w:rPr>
                      <w:rFonts w:hint="default" w:ascii="Times New Roman" w:hAnsi="Times New Roman" w:eastAsia="宋体" w:cs="Times New Roman"/>
                      <w:color w:val="auto"/>
                      <w:spacing w:val="-4"/>
                      <w:sz w:val="21"/>
                      <w:szCs w:val="21"/>
                    </w:rPr>
                  </w:pPr>
                </w:p>
              </w:tc>
              <w:tc>
                <w:tcPr>
                  <w:tcW w:w="482" w:type="pct"/>
                  <w:noWrap w:val="0"/>
                  <w:vAlign w:val="center"/>
                </w:tcPr>
                <w:p w14:paraId="5FEA10ED">
                  <w:pPr>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供电</w:t>
                  </w:r>
                </w:p>
              </w:tc>
              <w:tc>
                <w:tcPr>
                  <w:tcW w:w="3563" w:type="pct"/>
                  <w:gridSpan w:val="2"/>
                  <w:noWrap w:val="0"/>
                  <w:vAlign w:val="center"/>
                </w:tcPr>
                <w:p w14:paraId="0FE9EFB5">
                  <w:pPr>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由园区供电电网供给。</w:t>
                  </w:r>
                </w:p>
              </w:tc>
              <w:tc>
                <w:tcPr>
                  <w:tcW w:w="564" w:type="pct"/>
                  <w:noWrap w:val="0"/>
                  <w:vAlign w:val="center"/>
                </w:tcPr>
                <w:p w14:paraId="68E2AE7B">
                  <w:pPr>
                    <w:adjustRightInd w:val="0"/>
                    <w:snapToGrid w:val="0"/>
                    <w:jc w:val="center"/>
                    <w:rPr>
                      <w:rFonts w:hint="eastAsia" w:ascii="Times New Roman" w:hAnsi="Times New Roman" w:eastAsia="宋体" w:cs="Times New Roman"/>
                      <w:color w:val="auto"/>
                      <w:spacing w:val="-4"/>
                      <w:sz w:val="21"/>
                      <w:szCs w:val="21"/>
                      <w:lang w:val="en-US" w:eastAsia="zh-CN"/>
                    </w:rPr>
                  </w:pPr>
                  <w:r>
                    <w:rPr>
                      <w:rFonts w:hint="eastAsia" w:ascii="Times New Roman" w:hAnsi="Times New Roman" w:eastAsia="宋体" w:cs="Times New Roman"/>
                      <w:color w:val="auto"/>
                      <w:spacing w:val="-4"/>
                      <w:sz w:val="21"/>
                      <w:szCs w:val="21"/>
                      <w:lang w:val="en-US" w:eastAsia="zh-CN"/>
                    </w:rPr>
                    <w:t>/</w:t>
                  </w:r>
                </w:p>
              </w:tc>
            </w:tr>
            <w:tr w14:paraId="77195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7ABB2AF9">
                  <w:pPr>
                    <w:pStyle w:val="16"/>
                    <w:snapToGrid w:val="0"/>
                    <w:jc w:val="center"/>
                    <w:rPr>
                      <w:rFonts w:hint="default" w:ascii="Times New Roman" w:hAnsi="Times New Roman" w:eastAsia="宋体" w:cs="Times New Roman"/>
                      <w:color w:val="auto"/>
                      <w:spacing w:val="-4"/>
                      <w:sz w:val="21"/>
                      <w:szCs w:val="21"/>
                    </w:rPr>
                  </w:pPr>
                </w:p>
              </w:tc>
              <w:tc>
                <w:tcPr>
                  <w:tcW w:w="482" w:type="pct"/>
                  <w:noWrap w:val="0"/>
                  <w:vAlign w:val="center"/>
                </w:tcPr>
                <w:p w14:paraId="548A73C8">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供暖</w:t>
                  </w:r>
                </w:p>
              </w:tc>
              <w:tc>
                <w:tcPr>
                  <w:tcW w:w="3563" w:type="pct"/>
                  <w:gridSpan w:val="2"/>
                  <w:noWrap w:val="0"/>
                  <w:vAlign w:val="center"/>
                </w:tcPr>
                <w:p w14:paraId="5CB8F669">
                  <w:pPr>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冬季不生产，无</w:t>
                  </w:r>
                  <w:r>
                    <w:rPr>
                      <w:rFonts w:hint="default" w:ascii="Times New Roman" w:hAnsi="Times New Roman" w:eastAsia="宋体" w:cs="Times New Roman"/>
                      <w:color w:val="auto"/>
                      <w:sz w:val="21"/>
                      <w:szCs w:val="21"/>
                      <w:lang w:val="en-US" w:eastAsia="zh-CN"/>
                    </w:rPr>
                    <w:t>需供暖。</w:t>
                  </w:r>
                </w:p>
              </w:tc>
              <w:tc>
                <w:tcPr>
                  <w:tcW w:w="564" w:type="pct"/>
                  <w:noWrap w:val="0"/>
                  <w:vAlign w:val="center"/>
                </w:tcPr>
                <w:p w14:paraId="5FC4820F">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7D715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42" w:hRule="atLeast"/>
                <w:jc w:val="center"/>
              </w:trPr>
              <w:tc>
                <w:tcPr>
                  <w:tcW w:w="390" w:type="pct"/>
                  <w:vMerge w:val="continue"/>
                  <w:noWrap w:val="0"/>
                  <w:vAlign w:val="center"/>
                </w:tcPr>
                <w:p w14:paraId="347109FD">
                  <w:pPr>
                    <w:pStyle w:val="16"/>
                    <w:snapToGrid w:val="0"/>
                    <w:jc w:val="center"/>
                    <w:rPr>
                      <w:rFonts w:hint="default" w:ascii="Times New Roman" w:hAnsi="Times New Roman" w:eastAsia="宋体" w:cs="Times New Roman"/>
                      <w:color w:val="auto"/>
                      <w:spacing w:val="-4"/>
                      <w:sz w:val="21"/>
                      <w:szCs w:val="21"/>
                    </w:rPr>
                  </w:pPr>
                </w:p>
              </w:tc>
              <w:tc>
                <w:tcPr>
                  <w:tcW w:w="482" w:type="pct"/>
                  <w:noWrap w:val="0"/>
                  <w:vAlign w:val="center"/>
                </w:tcPr>
                <w:p w14:paraId="1AB5F029">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供汽</w:t>
                  </w:r>
                </w:p>
              </w:tc>
              <w:tc>
                <w:tcPr>
                  <w:tcW w:w="3563" w:type="pct"/>
                  <w:gridSpan w:val="2"/>
                  <w:noWrap w:val="0"/>
                  <w:vAlign w:val="center"/>
                </w:tcPr>
                <w:p w14:paraId="7AC40566">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生产用蒸汽外购。</w:t>
                  </w:r>
                </w:p>
              </w:tc>
              <w:tc>
                <w:tcPr>
                  <w:tcW w:w="564" w:type="pct"/>
                  <w:noWrap w:val="0"/>
                  <w:vAlign w:val="center"/>
                </w:tcPr>
                <w:p w14:paraId="7DA17CC6">
                  <w:pPr>
                    <w:adjustRightInd w:val="0"/>
                    <w:snapToGrid w:val="0"/>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r>
            <w:tr w14:paraId="6B227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restart"/>
                  <w:noWrap w:val="0"/>
                  <w:vAlign w:val="center"/>
                </w:tcPr>
                <w:p w14:paraId="3341D8DA">
                  <w:pPr>
                    <w:pStyle w:val="16"/>
                    <w:snapToGrid w:val="0"/>
                    <w:jc w:val="center"/>
                    <w:rPr>
                      <w:rFonts w:hint="eastAsia" w:ascii="Times New Roman" w:hAnsi="Times New Roman" w:eastAsia="宋体" w:cs="Times New Roman"/>
                      <w:color w:val="auto"/>
                      <w:spacing w:val="-4"/>
                      <w:sz w:val="21"/>
                      <w:szCs w:val="21"/>
                      <w:lang w:val="en-US" w:eastAsia="zh-CN"/>
                    </w:rPr>
                  </w:pPr>
                  <w:r>
                    <w:rPr>
                      <w:rFonts w:hint="eastAsia" w:ascii="Times New Roman" w:hAnsi="Times New Roman" w:eastAsia="宋体" w:cs="Times New Roman"/>
                      <w:color w:val="auto"/>
                      <w:spacing w:val="-4"/>
                      <w:sz w:val="21"/>
                      <w:szCs w:val="21"/>
                      <w:lang w:val="en-US" w:eastAsia="zh-CN"/>
                    </w:rPr>
                    <w:t>环保工程</w:t>
                  </w:r>
                </w:p>
              </w:tc>
              <w:tc>
                <w:tcPr>
                  <w:tcW w:w="482" w:type="pct"/>
                  <w:noWrap w:val="0"/>
                  <w:vAlign w:val="center"/>
                </w:tcPr>
                <w:p w14:paraId="2F2CDE5D">
                  <w:pPr>
                    <w:pStyle w:val="16"/>
                    <w:tabs>
                      <w:tab w:val="left" w:pos="3364"/>
                    </w:tabs>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废气治理</w:t>
                  </w:r>
                </w:p>
              </w:tc>
              <w:tc>
                <w:tcPr>
                  <w:tcW w:w="385" w:type="pct"/>
                  <w:noWrap w:val="0"/>
                  <w:vAlign w:val="center"/>
                </w:tcPr>
                <w:p w14:paraId="65956587">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发泡工序、成型工序废气</w:t>
                  </w:r>
                </w:p>
              </w:tc>
              <w:tc>
                <w:tcPr>
                  <w:tcW w:w="3178" w:type="pct"/>
                  <w:noWrap w:val="0"/>
                  <w:vAlign w:val="center"/>
                </w:tcPr>
                <w:p w14:paraId="6138E7DA">
                  <w:pPr>
                    <w:adjustRightInd w:val="0"/>
                    <w:snapToGrid w:val="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通过集气罩（收集效率90%）收集后经2套“二级活性炭吸附装置”（处理效率75%）处理后由2根</w:t>
                  </w:r>
                  <w:r>
                    <w:rPr>
                      <w:rFonts w:hint="default" w:ascii="Times New Roman" w:hAnsi="Times New Roman" w:eastAsia="宋体" w:cs="Times New Roman"/>
                      <w:color w:val="auto"/>
                      <w:sz w:val="21"/>
                      <w:szCs w:val="21"/>
                      <w:lang w:val="en-US" w:eastAsia="zh-CN"/>
                    </w:rPr>
                    <w:t>15m</w:t>
                  </w:r>
                  <w:r>
                    <w:rPr>
                      <w:rFonts w:hint="eastAsia" w:ascii="Times New Roman" w:hAnsi="Times New Roman" w:eastAsia="宋体" w:cs="Times New Roman"/>
                      <w:color w:val="auto"/>
                      <w:sz w:val="21"/>
                      <w:szCs w:val="21"/>
                      <w:lang w:val="en-US" w:eastAsia="zh-CN"/>
                    </w:rPr>
                    <w:t>高的排气筒（一期</w:t>
                  </w:r>
                  <w:r>
                    <w:rPr>
                      <w:rFonts w:hint="default" w:ascii="Times New Roman" w:hAnsi="Times New Roman" w:eastAsia="宋体" w:cs="Times New Roman"/>
                      <w:color w:val="auto"/>
                      <w:sz w:val="21"/>
                      <w:szCs w:val="21"/>
                      <w:lang w:val="en-US" w:eastAsia="zh-CN"/>
                    </w:rPr>
                    <w:t>DA00</w:t>
                  </w:r>
                  <w:r>
                    <w:rPr>
                      <w:rFonts w:hint="eastAsia" w:ascii="Times New Roman" w:hAnsi="Times New Roman" w:eastAsia="宋体" w:cs="Times New Roman"/>
                      <w:color w:val="auto"/>
                      <w:sz w:val="21"/>
                      <w:szCs w:val="21"/>
                      <w:lang w:val="en-US" w:eastAsia="zh-CN"/>
                    </w:rPr>
                    <w:t>1、二期DA002）排放</w:t>
                  </w:r>
                  <w:r>
                    <w:rPr>
                      <w:rFonts w:hint="eastAsia"/>
                      <w:color w:val="auto"/>
                      <w:sz w:val="21"/>
                      <w:szCs w:val="21"/>
                      <w:lang w:eastAsia="zh-CN"/>
                    </w:rPr>
                    <w:t>。</w:t>
                  </w:r>
                </w:p>
              </w:tc>
              <w:tc>
                <w:tcPr>
                  <w:tcW w:w="564" w:type="pct"/>
                  <w:noWrap w:val="0"/>
                  <w:vAlign w:val="center"/>
                </w:tcPr>
                <w:p w14:paraId="017A388A">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一期DA001、二期DA002</w:t>
                  </w:r>
                </w:p>
              </w:tc>
            </w:tr>
            <w:tr w14:paraId="268BA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67" w:hRule="atLeast"/>
                <w:jc w:val="center"/>
              </w:trPr>
              <w:tc>
                <w:tcPr>
                  <w:tcW w:w="390" w:type="pct"/>
                  <w:vMerge w:val="continue"/>
                  <w:noWrap w:val="0"/>
                  <w:vAlign w:val="center"/>
                </w:tcPr>
                <w:p w14:paraId="025C7D6D">
                  <w:pPr>
                    <w:pStyle w:val="16"/>
                    <w:snapToGrid w:val="0"/>
                    <w:jc w:val="center"/>
                    <w:rPr>
                      <w:rFonts w:hint="default" w:ascii="Times New Roman" w:hAnsi="Times New Roman" w:eastAsia="宋体" w:cs="Times New Roman"/>
                      <w:color w:val="auto"/>
                      <w:spacing w:val="-4"/>
                      <w:sz w:val="21"/>
                      <w:szCs w:val="21"/>
                    </w:rPr>
                  </w:pPr>
                </w:p>
              </w:tc>
              <w:tc>
                <w:tcPr>
                  <w:tcW w:w="482" w:type="pct"/>
                  <w:vMerge w:val="restart"/>
                  <w:noWrap w:val="0"/>
                  <w:vAlign w:val="center"/>
                </w:tcPr>
                <w:p w14:paraId="2493B38E">
                  <w:pPr>
                    <w:pStyle w:val="16"/>
                    <w:tabs>
                      <w:tab w:val="left" w:pos="3364"/>
                    </w:tabs>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废水治理</w:t>
                  </w:r>
                </w:p>
              </w:tc>
              <w:tc>
                <w:tcPr>
                  <w:tcW w:w="385" w:type="pct"/>
                  <w:noWrap w:val="0"/>
                  <w:vAlign w:val="center"/>
                </w:tcPr>
                <w:p w14:paraId="02EB614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3178" w:type="pct"/>
                  <w:vMerge w:val="restart"/>
                  <w:noWrap w:val="0"/>
                  <w:vAlign w:val="center"/>
                </w:tcPr>
                <w:p w14:paraId="483A9938">
                  <w:pPr>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kern w:val="0"/>
                      <w:sz w:val="21"/>
                      <w:szCs w:val="21"/>
                      <w:lang w:val="en-US" w:eastAsia="zh-CN"/>
                    </w:rPr>
                    <w:t>生活污水</w:t>
                  </w:r>
                  <w:r>
                    <w:rPr>
                      <w:rFonts w:hint="default" w:ascii="Times New Roman" w:hAnsi="Times New Roman" w:cs="Times New Roman"/>
                      <w:color w:val="auto"/>
                      <w:kern w:val="0"/>
                      <w:sz w:val="21"/>
                      <w:szCs w:val="21"/>
                      <w:lang w:val="en-US" w:eastAsia="zh-CN"/>
                    </w:rPr>
                    <w:t>经化粪池处理后</w:t>
                  </w:r>
                  <w:r>
                    <w:rPr>
                      <w:rFonts w:hint="eastAsia" w:ascii="Times New Roman" w:hAnsi="Times New Roman" w:cs="Times New Roman"/>
                      <w:color w:val="auto"/>
                      <w:kern w:val="0"/>
                      <w:sz w:val="21"/>
                      <w:szCs w:val="21"/>
                      <w:lang w:val="en-US" w:eastAsia="zh-CN"/>
                    </w:rPr>
                    <w:t>汇同循环冷却系统排水排入园区污水管网，最终进入</w:t>
                  </w:r>
                  <w:r>
                    <w:rPr>
                      <w:rFonts w:hint="eastAsia" w:cs="Times New Roman"/>
                      <w:color w:val="auto"/>
                      <w:sz w:val="21"/>
                      <w:szCs w:val="21"/>
                      <w:highlight w:val="none"/>
                      <w:lang w:val="en-US" w:eastAsia="zh-CN"/>
                    </w:rPr>
                    <w:t>固原经济技术开发区新材料产业园污水处理厂进行处理</w:t>
                  </w:r>
                  <w:r>
                    <w:rPr>
                      <w:rFonts w:hint="eastAsia" w:ascii="Times New Roman" w:hAnsi="Times New Roman" w:cs="Times New Roman"/>
                      <w:color w:val="auto"/>
                      <w:kern w:val="0"/>
                      <w:sz w:val="21"/>
                      <w:szCs w:val="21"/>
                      <w:lang w:val="en-US" w:eastAsia="zh-CN"/>
                    </w:rPr>
                    <w:t>。</w:t>
                  </w:r>
                </w:p>
              </w:tc>
              <w:tc>
                <w:tcPr>
                  <w:tcW w:w="564" w:type="pct"/>
                  <w:noWrap w:val="0"/>
                  <w:vAlign w:val="center"/>
                </w:tcPr>
                <w:p w14:paraId="59C1A4DF">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依托，一、二期共用</w:t>
                  </w:r>
                </w:p>
              </w:tc>
            </w:tr>
            <w:tr w14:paraId="03AA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6853B267">
                  <w:pPr>
                    <w:pStyle w:val="16"/>
                    <w:snapToGrid w:val="0"/>
                    <w:jc w:val="center"/>
                    <w:rPr>
                      <w:rFonts w:hint="default" w:ascii="Times New Roman" w:hAnsi="Times New Roman" w:eastAsia="宋体" w:cs="Times New Roman"/>
                      <w:color w:val="auto"/>
                      <w:spacing w:val="-4"/>
                      <w:sz w:val="21"/>
                      <w:szCs w:val="21"/>
                    </w:rPr>
                  </w:pPr>
                </w:p>
              </w:tc>
              <w:tc>
                <w:tcPr>
                  <w:tcW w:w="482" w:type="pct"/>
                  <w:vMerge w:val="continue"/>
                  <w:noWrap w:val="0"/>
                  <w:vAlign w:val="center"/>
                </w:tcPr>
                <w:p w14:paraId="74359586">
                  <w:pPr>
                    <w:pStyle w:val="16"/>
                    <w:tabs>
                      <w:tab w:val="left" w:pos="3364"/>
                    </w:tabs>
                    <w:adjustRightInd w:val="0"/>
                    <w:snapToGrid w:val="0"/>
                    <w:jc w:val="center"/>
                    <w:rPr>
                      <w:rFonts w:hint="default" w:ascii="Times New Roman" w:hAnsi="Times New Roman" w:eastAsia="宋体" w:cs="Times New Roman"/>
                      <w:color w:val="auto"/>
                      <w:spacing w:val="-4"/>
                      <w:sz w:val="21"/>
                      <w:szCs w:val="21"/>
                    </w:rPr>
                  </w:pPr>
                </w:p>
              </w:tc>
              <w:tc>
                <w:tcPr>
                  <w:tcW w:w="385" w:type="pct"/>
                  <w:noWrap w:val="0"/>
                  <w:vAlign w:val="center"/>
                </w:tcPr>
                <w:p w14:paraId="48A0D520">
                  <w:pPr>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kern w:val="0"/>
                      <w:sz w:val="21"/>
                      <w:szCs w:val="21"/>
                      <w:lang w:val="en-US" w:eastAsia="zh-CN"/>
                    </w:rPr>
                    <w:t>循环冷却系统排水</w:t>
                  </w:r>
                </w:p>
              </w:tc>
              <w:tc>
                <w:tcPr>
                  <w:tcW w:w="3178" w:type="pct"/>
                  <w:vMerge w:val="continue"/>
                  <w:noWrap w:val="0"/>
                  <w:vAlign w:val="center"/>
                </w:tcPr>
                <w:p w14:paraId="1F92D0FA">
                  <w:pPr>
                    <w:adjustRightInd w:val="0"/>
                    <w:snapToGrid w:val="0"/>
                    <w:jc w:val="center"/>
                    <w:rPr>
                      <w:rFonts w:hint="eastAsia" w:ascii="Times New Roman" w:hAnsi="Times New Roman" w:eastAsia="宋体" w:cs="Times New Roman"/>
                      <w:color w:val="auto"/>
                      <w:sz w:val="21"/>
                      <w:szCs w:val="21"/>
                      <w:lang w:val="en-US" w:eastAsia="zh-CN"/>
                    </w:rPr>
                  </w:pPr>
                </w:p>
              </w:tc>
              <w:tc>
                <w:tcPr>
                  <w:tcW w:w="564" w:type="pct"/>
                  <w:noWrap w:val="0"/>
                  <w:vAlign w:val="center"/>
                </w:tcPr>
                <w:p w14:paraId="39E00E42">
                  <w:pPr>
                    <w:adjustRightInd w:val="0"/>
                    <w:snapToGrid w:val="0"/>
                    <w:jc w:val="center"/>
                    <w:rPr>
                      <w:rFonts w:hint="eastAsia" w:ascii="Times New Roman" w:hAnsi="Times New Roman" w:eastAsia="宋体" w:cs="Times New Roman"/>
                      <w:color w:val="auto"/>
                      <w:sz w:val="21"/>
                      <w:szCs w:val="21"/>
                      <w:lang w:val="en-US" w:eastAsia="zh-CN"/>
                    </w:rPr>
                  </w:pPr>
                </w:p>
              </w:tc>
            </w:tr>
            <w:tr w14:paraId="66DFD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0EBB6953">
                  <w:pPr>
                    <w:pStyle w:val="16"/>
                    <w:snapToGrid w:val="0"/>
                    <w:jc w:val="center"/>
                    <w:rPr>
                      <w:rFonts w:hint="default" w:ascii="Times New Roman" w:hAnsi="Times New Roman" w:eastAsia="宋体" w:cs="Times New Roman"/>
                      <w:color w:val="auto"/>
                      <w:spacing w:val="-4"/>
                      <w:sz w:val="21"/>
                      <w:szCs w:val="21"/>
                    </w:rPr>
                  </w:pPr>
                </w:p>
              </w:tc>
              <w:tc>
                <w:tcPr>
                  <w:tcW w:w="482" w:type="pct"/>
                  <w:noWrap w:val="0"/>
                  <w:vAlign w:val="center"/>
                </w:tcPr>
                <w:p w14:paraId="34E57B85">
                  <w:pPr>
                    <w:pStyle w:val="16"/>
                    <w:adjustRightInd w:val="0"/>
                    <w:snapToGrid w:val="0"/>
                    <w:jc w:val="center"/>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噪声治理</w:t>
                  </w:r>
                </w:p>
              </w:tc>
              <w:tc>
                <w:tcPr>
                  <w:tcW w:w="3563" w:type="pct"/>
                  <w:gridSpan w:val="2"/>
                  <w:noWrap w:val="0"/>
                  <w:vAlign w:val="center"/>
                </w:tcPr>
                <w:p w14:paraId="49EC21FF">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厂房隔声，选用低噪声设备，设备减振等措施</w:t>
                  </w:r>
                  <w:r>
                    <w:rPr>
                      <w:rFonts w:hint="eastAsia" w:ascii="Times New Roman" w:hAnsi="Times New Roman" w:eastAsia="宋体" w:cs="Times New Roman"/>
                      <w:color w:val="auto"/>
                      <w:sz w:val="21"/>
                      <w:szCs w:val="21"/>
                      <w:lang w:val="en-US" w:eastAsia="zh-CN"/>
                    </w:rPr>
                    <w:t>。</w:t>
                  </w:r>
                </w:p>
              </w:tc>
              <w:tc>
                <w:tcPr>
                  <w:tcW w:w="564" w:type="pct"/>
                  <w:noWrap w:val="0"/>
                  <w:vAlign w:val="center"/>
                </w:tcPr>
                <w:p w14:paraId="04A89BC2">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0212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38" w:hRule="atLeast"/>
                <w:jc w:val="center"/>
              </w:trPr>
              <w:tc>
                <w:tcPr>
                  <w:tcW w:w="390" w:type="pct"/>
                  <w:vMerge w:val="continue"/>
                  <w:noWrap w:val="0"/>
                  <w:vAlign w:val="center"/>
                </w:tcPr>
                <w:p w14:paraId="4183DF2C">
                  <w:pPr>
                    <w:pStyle w:val="16"/>
                    <w:snapToGrid w:val="0"/>
                    <w:jc w:val="center"/>
                    <w:rPr>
                      <w:rFonts w:hint="default" w:ascii="Times New Roman" w:hAnsi="Times New Roman" w:eastAsia="宋体" w:cs="Times New Roman"/>
                      <w:color w:val="auto"/>
                      <w:spacing w:val="-4"/>
                      <w:sz w:val="21"/>
                      <w:szCs w:val="21"/>
                    </w:rPr>
                  </w:pPr>
                </w:p>
              </w:tc>
              <w:tc>
                <w:tcPr>
                  <w:tcW w:w="482" w:type="pct"/>
                  <w:vMerge w:val="restart"/>
                  <w:noWrap w:val="0"/>
                  <w:vAlign w:val="center"/>
                </w:tcPr>
                <w:p w14:paraId="5EBD0E1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固废处置</w:t>
                  </w:r>
                </w:p>
              </w:tc>
              <w:tc>
                <w:tcPr>
                  <w:tcW w:w="385" w:type="pct"/>
                  <w:noWrap w:val="0"/>
                  <w:vAlign w:val="center"/>
                </w:tcPr>
                <w:p w14:paraId="40BF61A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废包装袋</w:t>
                  </w:r>
                </w:p>
              </w:tc>
              <w:tc>
                <w:tcPr>
                  <w:tcW w:w="3178" w:type="pct"/>
                  <w:vMerge w:val="restart"/>
                  <w:noWrap w:val="0"/>
                  <w:vAlign w:val="center"/>
                </w:tcPr>
                <w:p w14:paraId="3539B268">
                  <w:pPr>
                    <w:adjustRightInd w:val="0"/>
                    <w:snapToGrid w:val="0"/>
                    <w:jc w:val="center"/>
                    <w:rPr>
                      <w:rFonts w:hint="default" w:ascii="Times New Roman" w:hAnsi="Times New Roman" w:eastAsia="宋体" w:cs="Times New Roman"/>
                      <w:color w:val="auto"/>
                      <w:sz w:val="21"/>
                      <w:szCs w:val="21"/>
                    </w:rPr>
                  </w:pPr>
                  <w:r>
                    <w:rPr>
                      <w:bCs/>
                      <w:color w:val="auto"/>
                      <w:spacing w:val="4"/>
                      <w:sz w:val="21"/>
                      <w:szCs w:val="21"/>
                      <w:highlight w:val="none"/>
                    </w:rPr>
                    <w:t>集中收集后，定期由废品回收单位回收。</w:t>
                  </w:r>
                </w:p>
              </w:tc>
              <w:tc>
                <w:tcPr>
                  <w:tcW w:w="564" w:type="pct"/>
                  <w:vMerge w:val="restart"/>
                  <w:noWrap w:val="0"/>
                  <w:vAlign w:val="center"/>
                </w:tcPr>
                <w:p w14:paraId="0B13D7FC">
                  <w:pPr>
                    <w:adjustRightInd w:val="0"/>
                    <w:snapToGrid w:val="0"/>
                    <w:jc w:val="center"/>
                    <w:rPr>
                      <w:rFonts w:hint="eastAsia"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color w:val="auto"/>
                      <w:sz w:val="21"/>
                      <w:szCs w:val="21"/>
                      <w:lang w:val="en-US" w:eastAsia="zh-CN"/>
                    </w:rPr>
                    <w:t>一、二期共用</w:t>
                  </w:r>
                </w:p>
              </w:tc>
            </w:tr>
            <w:tr w14:paraId="10D69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90" w:type="pct"/>
                  <w:vMerge w:val="continue"/>
                  <w:noWrap w:val="0"/>
                  <w:vAlign w:val="center"/>
                </w:tcPr>
                <w:p w14:paraId="7E1CE063">
                  <w:pPr>
                    <w:pStyle w:val="16"/>
                    <w:snapToGrid w:val="0"/>
                    <w:jc w:val="center"/>
                    <w:rPr>
                      <w:rFonts w:hint="default" w:ascii="Times New Roman" w:hAnsi="Times New Roman" w:eastAsia="宋体" w:cs="Times New Roman"/>
                      <w:color w:val="auto"/>
                      <w:spacing w:val="-4"/>
                      <w:sz w:val="21"/>
                      <w:szCs w:val="21"/>
                    </w:rPr>
                  </w:pPr>
                </w:p>
              </w:tc>
              <w:tc>
                <w:tcPr>
                  <w:tcW w:w="482" w:type="pct"/>
                  <w:vMerge w:val="continue"/>
                  <w:noWrap w:val="0"/>
                  <w:vAlign w:val="center"/>
                </w:tcPr>
                <w:p w14:paraId="50A18447">
                  <w:pPr>
                    <w:adjustRightInd w:val="0"/>
                    <w:snapToGrid w:val="0"/>
                    <w:jc w:val="center"/>
                    <w:rPr>
                      <w:rFonts w:hint="default" w:ascii="Times New Roman" w:hAnsi="Times New Roman" w:eastAsia="宋体" w:cs="Times New Roman"/>
                      <w:color w:val="auto"/>
                      <w:sz w:val="21"/>
                      <w:szCs w:val="21"/>
                    </w:rPr>
                  </w:pPr>
                </w:p>
              </w:tc>
              <w:tc>
                <w:tcPr>
                  <w:tcW w:w="385" w:type="pct"/>
                  <w:noWrap w:val="0"/>
                  <w:vAlign w:val="center"/>
                </w:tcPr>
                <w:p w14:paraId="687C4330">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不合格品</w:t>
                  </w:r>
                </w:p>
              </w:tc>
              <w:tc>
                <w:tcPr>
                  <w:tcW w:w="3178" w:type="pct"/>
                  <w:vMerge w:val="continue"/>
                  <w:noWrap w:val="0"/>
                  <w:vAlign w:val="center"/>
                </w:tcPr>
                <w:p w14:paraId="1BF66417">
                  <w:pPr>
                    <w:adjustRightInd w:val="0"/>
                    <w:snapToGrid w:val="0"/>
                    <w:jc w:val="center"/>
                    <w:rPr>
                      <w:bCs/>
                      <w:color w:val="auto"/>
                      <w:spacing w:val="4"/>
                      <w:sz w:val="21"/>
                      <w:szCs w:val="21"/>
                      <w:highlight w:val="none"/>
                    </w:rPr>
                  </w:pPr>
                </w:p>
              </w:tc>
              <w:tc>
                <w:tcPr>
                  <w:tcW w:w="564" w:type="pct"/>
                  <w:vMerge w:val="continue"/>
                  <w:noWrap w:val="0"/>
                  <w:vAlign w:val="center"/>
                </w:tcPr>
                <w:p w14:paraId="76C8A6C5">
                  <w:pPr>
                    <w:adjustRightInd w:val="0"/>
                    <w:snapToGrid w:val="0"/>
                    <w:jc w:val="center"/>
                    <w:rPr>
                      <w:rFonts w:hint="eastAsia" w:ascii="Times New Roman" w:hAnsi="Times New Roman" w:eastAsia="宋体" w:cs="Times New Roman"/>
                      <w:snapToGrid w:val="0"/>
                      <w:color w:val="auto"/>
                      <w:kern w:val="0"/>
                      <w:sz w:val="21"/>
                      <w:szCs w:val="21"/>
                      <w:lang w:val="en-US" w:eastAsia="zh-CN"/>
                    </w:rPr>
                  </w:pPr>
                </w:p>
              </w:tc>
            </w:tr>
            <w:tr w14:paraId="0600A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46C26D67">
                  <w:pPr>
                    <w:pStyle w:val="16"/>
                    <w:snapToGrid w:val="0"/>
                    <w:jc w:val="center"/>
                    <w:rPr>
                      <w:rFonts w:hint="default" w:ascii="Times New Roman" w:hAnsi="Times New Roman" w:eastAsia="宋体" w:cs="Times New Roman"/>
                      <w:color w:val="auto"/>
                      <w:spacing w:val="-4"/>
                      <w:sz w:val="21"/>
                      <w:szCs w:val="21"/>
                    </w:rPr>
                  </w:pPr>
                </w:p>
              </w:tc>
              <w:tc>
                <w:tcPr>
                  <w:tcW w:w="482" w:type="pct"/>
                  <w:vMerge w:val="continue"/>
                  <w:noWrap w:val="0"/>
                  <w:vAlign w:val="center"/>
                </w:tcPr>
                <w:p w14:paraId="4E0CBB35">
                  <w:pPr>
                    <w:adjustRightInd w:val="0"/>
                    <w:snapToGrid w:val="0"/>
                    <w:jc w:val="center"/>
                    <w:rPr>
                      <w:rFonts w:hint="default" w:ascii="Times New Roman" w:hAnsi="Times New Roman" w:eastAsia="宋体" w:cs="Times New Roman"/>
                      <w:color w:val="auto"/>
                      <w:sz w:val="21"/>
                      <w:szCs w:val="21"/>
                    </w:rPr>
                  </w:pPr>
                </w:p>
              </w:tc>
              <w:tc>
                <w:tcPr>
                  <w:tcW w:w="385" w:type="pct"/>
                  <w:noWrap w:val="0"/>
                  <w:vAlign w:val="center"/>
                </w:tcPr>
                <w:p w14:paraId="47E44514">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废边角料</w:t>
                  </w:r>
                </w:p>
              </w:tc>
              <w:tc>
                <w:tcPr>
                  <w:tcW w:w="3178" w:type="pct"/>
                  <w:vMerge w:val="continue"/>
                  <w:noWrap w:val="0"/>
                  <w:vAlign w:val="center"/>
                </w:tcPr>
                <w:p w14:paraId="6AA85AB0">
                  <w:pPr>
                    <w:adjustRightInd w:val="0"/>
                    <w:snapToGrid w:val="0"/>
                    <w:jc w:val="center"/>
                    <w:rPr>
                      <w:bCs/>
                      <w:color w:val="auto"/>
                      <w:spacing w:val="4"/>
                      <w:sz w:val="21"/>
                      <w:szCs w:val="21"/>
                      <w:highlight w:val="none"/>
                    </w:rPr>
                  </w:pPr>
                </w:p>
              </w:tc>
              <w:tc>
                <w:tcPr>
                  <w:tcW w:w="564" w:type="pct"/>
                  <w:vMerge w:val="continue"/>
                  <w:noWrap w:val="0"/>
                  <w:vAlign w:val="center"/>
                </w:tcPr>
                <w:p w14:paraId="3C6E7162">
                  <w:pPr>
                    <w:adjustRightInd w:val="0"/>
                    <w:snapToGrid w:val="0"/>
                    <w:jc w:val="center"/>
                    <w:rPr>
                      <w:rFonts w:hint="eastAsia" w:ascii="Times New Roman" w:hAnsi="Times New Roman" w:eastAsia="宋体" w:cs="Times New Roman"/>
                      <w:snapToGrid w:val="0"/>
                      <w:color w:val="auto"/>
                      <w:kern w:val="0"/>
                      <w:sz w:val="21"/>
                      <w:szCs w:val="21"/>
                      <w:lang w:val="en-US" w:eastAsia="zh-CN"/>
                    </w:rPr>
                  </w:pPr>
                </w:p>
              </w:tc>
            </w:tr>
            <w:tr w14:paraId="0F8D4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jc w:val="center"/>
              </w:trPr>
              <w:tc>
                <w:tcPr>
                  <w:tcW w:w="390" w:type="pct"/>
                  <w:vMerge w:val="continue"/>
                  <w:noWrap w:val="0"/>
                  <w:vAlign w:val="center"/>
                </w:tcPr>
                <w:p w14:paraId="4BFEB20D">
                  <w:pPr>
                    <w:pStyle w:val="16"/>
                    <w:snapToGrid w:val="0"/>
                    <w:jc w:val="center"/>
                    <w:rPr>
                      <w:rFonts w:hint="default" w:ascii="Times New Roman" w:hAnsi="Times New Roman" w:eastAsia="宋体" w:cs="Times New Roman"/>
                      <w:color w:val="auto"/>
                      <w:spacing w:val="-4"/>
                      <w:sz w:val="21"/>
                      <w:szCs w:val="21"/>
                    </w:rPr>
                  </w:pPr>
                </w:p>
              </w:tc>
              <w:tc>
                <w:tcPr>
                  <w:tcW w:w="482" w:type="pct"/>
                  <w:vMerge w:val="continue"/>
                  <w:noWrap w:val="0"/>
                  <w:vAlign w:val="center"/>
                </w:tcPr>
                <w:p w14:paraId="78C889C8">
                  <w:pPr>
                    <w:adjustRightInd w:val="0"/>
                    <w:snapToGrid w:val="0"/>
                    <w:jc w:val="center"/>
                    <w:rPr>
                      <w:rFonts w:hint="default" w:ascii="Times New Roman" w:hAnsi="Times New Roman" w:eastAsia="宋体" w:cs="Times New Roman"/>
                      <w:color w:val="auto"/>
                      <w:sz w:val="21"/>
                      <w:szCs w:val="21"/>
                    </w:rPr>
                  </w:pPr>
                </w:p>
              </w:tc>
              <w:tc>
                <w:tcPr>
                  <w:tcW w:w="385" w:type="pct"/>
                  <w:noWrap w:val="0"/>
                  <w:vAlign w:val="center"/>
                </w:tcPr>
                <w:p w14:paraId="026A75BC">
                  <w:pPr>
                    <w:adjustRightInd w:val="0"/>
                    <w:snapToGrid w:val="0"/>
                    <w:jc w:val="center"/>
                    <w:rPr>
                      <w:rFonts w:hint="default" w:ascii="Times New Roman" w:hAnsi="Times New Roman" w:eastAsia="宋体" w:cs="Times New Roman"/>
                      <w:snapToGrid w:val="0"/>
                      <w:color w:val="auto"/>
                      <w:kern w:val="0"/>
                      <w:sz w:val="21"/>
                      <w:szCs w:val="21"/>
                    </w:rPr>
                  </w:pPr>
                  <w:r>
                    <w:rPr>
                      <w:rFonts w:hint="eastAsia" w:ascii="Times New Roman" w:hAnsi="Times New Roman" w:eastAsia="宋体" w:cs="Times New Roman"/>
                      <w:color w:val="auto"/>
                      <w:sz w:val="21"/>
                      <w:szCs w:val="21"/>
                      <w:lang w:val="en-US" w:eastAsia="zh-CN"/>
                    </w:rPr>
                    <w:t>废活性炭</w:t>
                  </w:r>
                </w:p>
              </w:tc>
              <w:tc>
                <w:tcPr>
                  <w:tcW w:w="3178" w:type="pct"/>
                  <w:vMerge w:val="restart"/>
                  <w:noWrap w:val="0"/>
                  <w:vAlign w:val="center"/>
                </w:tcPr>
                <w:p w14:paraId="5EEA2579">
                  <w:pPr>
                    <w:adjustRightInd w:val="0"/>
                    <w:snapToGrid w:val="0"/>
                    <w:jc w:val="center"/>
                    <w:rPr>
                      <w:rFonts w:hint="eastAsia" w:ascii="Times New Roman" w:hAnsi="Times New Roman" w:eastAsia="宋体" w:cs="Times New Roman"/>
                      <w:color w:val="auto"/>
                      <w:spacing w:val="4"/>
                      <w:sz w:val="21"/>
                      <w:szCs w:val="21"/>
                      <w:lang w:eastAsia="zh-CN"/>
                    </w:rPr>
                  </w:pPr>
                  <w:r>
                    <w:rPr>
                      <w:rFonts w:hint="default" w:ascii="Times New Roman" w:hAnsi="Times New Roman" w:cs="Times New Roman"/>
                      <w:snapToGrid w:val="0"/>
                      <w:color w:val="auto"/>
                      <w:kern w:val="0"/>
                      <w:sz w:val="21"/>
                      <w:szCs w:val="21"/>
                      <w:lang w:bidi="ar"/>
                    </w:rPr>
                    <w:t>废活性炭经密封包装后、废润滑油由密闭储油桶收集后与废润滑油桶均置于托盘上，分区暂存于</w:t>
                  </w:r>
                  <w:r>
                    <w:rPr>
                      <w:rFonts w:hint="eastAsia" w:ascii="Times New Roman" w:hAnsi="Times New Roman" w:cs="Times New Roman"/>
                      <w:snapToGrid w:val="0"/>
                      <w:color w:val="auto"/>
                      <w:kern w:val="0"/>
                      <w:sz w:val="21"/>
                      <w:szCs w:val="21"/>
                      <w:lang w:eastAsia="zh-CN" w:bidi="ar"/>
                    </w:rPr>
                    <w:t>危废贮存点（</w:t>
                  </w:r>
                  <w:r>
                    <w:rPr>
                      <w:rFonts w:hint="eastAsia" w:ascii="Times New Roman" w:hAnsi="Times New Roman" w:cs="Times New Roman"/>
                      <w:snapToGrid w:val="0"/>
                      <w:color w:val="auto"/>
                      <w:kern w:val="0"/>
                      <w:sz w:val="21"/>
                      <w:szCs w:val="21"/>
                      <w:lang w:val="en-US" w:eastAsia="zh-CN" w:bidi="ar"/>
                    </w:rPr>
                    <w:t>1座，</w:t>
                  </w:r>
                  <w:r>
                    <w:rPr>
                      <w:rFonts w:hint="eastAsia" w:ascii="Times New Roman" w:hAnsi="Times New Roman" w:cs="Times New Roman"/>
                      <w:bCs/>
                      <w:color w:val="auto"/>
                      <w:sz w:val="21"/>
                      <w:szCs w:val="21"/>
                      <w:lang w:val="en-US" w:eastAsia="zh-CN"/>
                    </w:rPr>
                    <w:t>10m</w:t>
                  </w:r>
                  <w:r>
                    <w:rPr>
                      <w:rFonts w:hint="default" w:ascii="Times New Roman" w:hAnsi="Times New Roman" w:cs="Times New Roman"/>
                      <w:bCs/>
                      <w:color w:val="auto"/>
                      <w:sz w:val="21"/>
                      <w:szCs w:val="21"/>
                      <w:vertAlign w:val="superscript"/>
                    </w:rPr>
                    <w:t>2</w:t>
                  </w:r>
                  <w:r>
                    <w:rPr>
                      <w:rFonts w:hint="eastAsia" w:ascii="Times New Roman" w:hAnsi="Times New Roman" w:cs="Times New Roman"/>
                      <w:snapToGrid w:val="0"/>
                      <w:color w:val="auto"/>
                      <w:kern w:val="0"/>
                      <w:sz w:val="21"/>
                      <w:szCs w:val="21"/>
                      <w:lang w:eastAsia="zh-CN" w:bidi="ar"/>
                    </w:rPr>
                    <w:t>）</w:t>
                  </w:r>
                  <w:r>
                    <w:rPr>
                      <w:rFonts w:hint="default" w:ascii="Times New Roman" w:hAnsi="Times New Roman" w:cs="Times New Roman"/>
                      <w:snapToGrid w:val="0"/>
                      <w:color w:val="auto"/>
                      <w:kern w:val="0"/>
                      <w:sz w:val="21"/>
                      <w:szCs w:val="21"/>
                      <w:lang w:bidi="ar"/>
                    </w:rPr>
                    <w:t>内，定期委托有资质的单位进行处置</w:t>
                  </w:r>
                  <w:r>
                    <w:rPr>
                      <w:rFonts w:hint="eastAsia" w:ascii="Times New Roman" w:hAnsi="Times New Roman" w:cs="Times New Roman"/>
                      <w:snapToGrid w:val="0"/>
                      <w:color w:val="auto"/>
                      <w:kern w:val="0"/>
                      <w:sz w:val="21"/>
                      <w:szCs w:val="21"/>
                      <w:lang w:eastAsia="zh-CN" w:bidi="ar"/>
                    </w:rPr>
                    <w:t>。</w:t>
                  </w:r>
                </w:p>
              </w:tc>
              <w:tc>
                <w:tcPr>
                  <w:tcW w:w="564" w:type="pct"/>
                  <w:vMerge w:val="restart"/>
                  <w:noWrap w:val="0"/>
                  <w:vAlign w:val="center"/>
                </w:tcPr>
                <w:p w14:paraId="3333870B">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color w:val="auto"/>
                      <w:sz w:val="21"/>
                      <w:szCs w:val="21"/>
                      <w:lang w:val="en-US" w:eastAsia="zh-CN"/>
                    </w:rPr>
                    <w:t>一、二期共用</w:t>
                  </w:r>
                </w:p>
              </w:tc>
            </w:tr>
            <w:tr w14:paraId="132E0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jc w:val="center"/>
              </w:trPr>
              <w:tc>
                <w:tcPr>
                  <w:tcW w:w="390" w:type="pct"/>
                  <w:vMerge w:val="continue"/>
                  <w:noWrap w:val="0"/>
                  <w:vAlign w:val="center"/>
                </w:tcPr>
                <w:p w14:paraId="018415B4">
                  <w:pPr>
                    <w:adjustRightInd w:val="0"/>
                    <w:snapToGrid w:val="0"/>
                    <w:jc w:val="center"/>
                    <w:rPr>
                      <w:color w:val="auto"/>
                      <w:sz w:val="21"/>
                      <w:szCs w:val="21"/>
                    </w:rPr>
                  </w:pPr>
                </w:p>
              </w:tc>
              <w:tc>
                <w:tcPr>
                  <w:tcW w:w="482" w:type="pct"/>
                  <w:vMerge w:val="continue"/>
                  <w:noWrap w:val="0"/>
                  <w:vAlign w:val="center"/>
                </w:tcPr>
                <w:p w14:paraId="5877DF9E">
                  <w:pPr>
                    <w:adjustRightInd w:val="0"/>
                    <w:snapToGrid w:val="0"/>
                    <w:jc w:val="center"/>
                    <w:rPr>
                      <w:color w:val="auto"/>
                      <w:sz w:val="21"/>
                      <w:szCs w:val="21"/>
                    </w:rPr>
                  </w:pPr>
                </w:p>
              </w:tc>
              <w:tc>
                <w:tcPr>
                  <w:tcW w:w="385" w:type="pct"/>
                  <w:noWrap w:val="0"/>
                  <w:vAlign w:val="center"/>
                </w:tcPr>
                <w:p w14:paraId="64A5C366">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废润滑油</w:t>
                  </w:r>
                </w:p>
              </w:tc>
              <w:tc>
                <w:tcPr>
                  <w:tcW w:w="3178" w:type="pct"/>
                  <w:vMerge w:val="continue"/>
                  <w:noWrap w:val="0"/>
                  <w:vAlign w:val="center"/>
                </w:tcPr>
                <w:p w14:paraId="0F5B1D65">
                  <w:pPr>
                    <w:adjustRightInd w:val="0"/>
                    <w:snapToGrid w:val="0"/>
                    <w:jc w:val="center"/>
                    <w:rPr>
                      <w:rFonts w:hint="eastAsia" w:ascii="Times New Roman" w:hAnsi="Times New Roman" w:eastAsia="宋体" w:cs="Times New Roman"/>
                      <w:color w:val="auto"/>
                      <w:sz w:val="21"/>
                      <w:szCs w:val="21"/>
                      <w:lang w:val="en-US" w:eastAsia="zh-CN"/>
                    </w:rPr>
                  </w:pPr>
                </w:p>
              </w:tc>
              <w:tc>
                <w:tcPr>
                  <w:tcW w:w="564" w:type="pct"/>
                  <w:vMerge w:val="continue"/>
                  <w:noWrap w:val="0"/>
                  <w:vAlign w:val="center"/>
                </w:tcPr>
                <w:p w14:paraId="2E6D85FB">
                  <w:pPr>
                    <w:adjustRightInd w:val="0"/>
                    <w:snapToGrid w:val="0"/>
                    <w:jc w:val="center"/>
                    <w:rPr>
                      <w:rFonts w:hint="eastAsia" w:ascii="Times New Roman" w:hAnsi="Times New Roman" w:eastAsia="宋体" w:cs="Times New Roman"/>
                      <w:color w:val="auto"/>
                      <w:sz w:val="21"/>
                      <w:szCs w:val="21"/>
                      <w:lang w:val="en-US" w:eastAsia="zh-CN"/>
                    </w:rPr>
                  </w:pPr>
                </w:p>
              </w:tc>
            </w:tr>
            <w:tr w14:paraId="0A6AE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jc w:val="center"/>
              </w:trPr>
              <w:tc>
                <w:tcPr>
                  <w:tcW w:w="390" w:type="pct"/>
                  <w:vMerge w:val="continue"/>
                  <w:noWrap w:val="0"/>
                  <w:vAlign w:val="center"/>
                </w:tcPr>
                <w:p w14:paraId="49509EC9">
                  <w:pPr>
                    <w:adjustRightInd w:val="0"/>
                    <w:snapToGrid w:val="0"/>
                    <w:jc w:val="center"/>
                    <w:rPr>
                      <w:rFonts w:hint="eastAsia" w:ascii="Times New Roman" w:hAnsi="Times New Roman" w:eastAsia="宋体" w:cs="Times New Roman"/>
                      <w:color w:val="auto"/>
                      <w:sz w:val="21"/>
                      <w:szCs w:val="21"/>
                      <w:lang w:val="en-US" w:eastAsia="zh-CN"/>
                    </w:rPr>
                  </w:pPr>
                </w:p>
              </w:tc>
              <w:tc>
                <w:tcPr>
                  <w:tcW w:w="482" w:type="pct"/>
                  <w:vMerge w:val="continue"/>
                  <w:noWrap w:val="0"/>
                  <w:vAlign w:val="center"/>
                </w:tcPr>
                <w:p w14:paraId="6B197164">
                  <w:pPr>
                    <w:adjustRightInd w:val="0"/>
                    <w:snapToGrid w:val="0"/>
                    <w:jc w:val="center"/>
                    <w:rPr>
                      <w:rFonts w:hint="eastAsia" w:ascii="Times New Roman" w:hAnsi="Times New Roman" w:eastAsia="宋体" w:cs="Times New Roman"/>
                      <w:color w:val="auto"/>
                      <w:sz w:val="21"/>
                      <w:szCs w:val="21"/>
                      <w:lang w:val="en-US" w:eastAsia="zh-CN"/>
                    </w:rPr>
                  </w:pPr>
                </w:p>
              </w:tc>
              <w:tc>
                <w:tcPr>
                  <w:tcW w:w="385" w:type="pct"/>
                  <w:noWrap w:val="0"/>
                  <w:vAlign w:val="center"/>
                </w:tcPr>
                <w:p w14:paraId="6C4AB55C">
                  <w:pPr>
                    <w:adjustRightInd w:val="0"/>
                    <w:snapToGrid w:val="0"/>
                    <w:jc w:val="center"/>
                    <w:rPr>
                      <w:rFonts w:hint="eastAsia" w:ascii="Times New Roman" w:hAnsi="Times New Roman" w:eastAsia="宋体" w:cs="Times New Roman"/>
                      <w:color w:val="auto"/>
                      <w:sz w:val="21"/>
                      <w:szCs w:val="21"/>
                      <w:lang w:val="en-US" w:eastAsia="zh-CN"/>
                    </w:rPr>
                  </w:pPr>
                  <w:r>
                    <w:rPr>
                      <w:color w:val="auto"/>
                      <w:sz w:val="21"/>
                      <w:szCs w:val="21"/>
                      <w:highlight w:val="none"/>
                    </w:rPr>
                    <w:t>废润滑油桶</w:t>
                  </w:r>
                </w:p>
              </w:tc>
              <w:tc>
                <w:tcPr>
                  <w:tcW w:w="3178" w:type="pct"/>
                  <w:vMerge w:val="continue"/>
                  <w:noWrap w:val="0"/>
                  <w:vAlign w:val="center"/>
                </w:tcPr>
                <w:p w14:paraId="21FFDE6C">
                  <w:pPr>
                    <w:adjustRightInd w:val="0"/>
                    <w:snapToGrid w:val="0"/>
                    <w:jc w:val="center"/>
                    <w:rPr>
                      <w:rFonts w:hint="eastAsia" w:ascii="Times New Roman" w:hAnsi="Times New Roman" w:eastAsia="宋体" w:cs="Times New Roman"/>
                      <w:color w:val="auto"/>
                      <w:sz w:val="21"/>
                      <w:szCs w:val="21"/>
                      <w:lang w:val="en-US" w:eastAsia="zh-CN"/>
                    </w:rPr>
                  </w:pPr>
                </w:p>
              </w:tc>
              <w:tc>
                <w:tcPr>
                  <w:tcW w:w="564" w:type="pct"/>
                  <w:vMerge w:val="continue"/>
                  <w:noWrap w:val="0"/>
                  <w:vAlign w:val="center"/>
                </w:tcPr>
                <w:p w14:paraId="668DA7A3">
                  <w:pPr>
                    <w:adjustRightInd w:val="0"/>
                    <w:snapToGrid w:val="0"/>
                    <w:jc w:val="center"/>
                    <w:rPr>
                      <w:rFonts w:hint="eastAsia" w:ascii="Times New Roman" w:hAnsi="Times New Roman" w:eastAsia="宋体" w:cs="Times New Roman"/>
                      <w:color w:val="auto"/>
                      <w:sz w:val="21"/>
                      <w:szCs w:val="21"/>
                      <w:lang w:val="en-US" w:eastAsia="zh-CN"/>
                    </w:rPr>
                  </w:pPr>
                </w:p>
              </w:tc>
            </w:tr>
            <w:tr w14:paraId="2061C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6DF1A303">
                  <w:pPr>
                    <w:pStyle w:val="16"/>
                    <w:snapToGrid w:val="0"/>
                    <w:jc w:val="center"/>
                    <w:rPr>
                      <w:rFonts w:hint="default" w:ascii="Times New Roman" w:hAnsi="Times New Roman" w:eastAsia="宋体" w:cs="Times New Roman"/>
                      <w:color w:val="auto"/>
                      <w:spacing w:val="-4"/>
                      <w:sz w:val="21"/>
                      <w:szCs w:val="21"/>
                    </w:rPr>
                  </w:pPr>
                </w:p>
              </w:tc>
              <w:tc>
                <w:tcPr>
                  <w:tcW w:w="482" w:type="pct"/>
                  <w:vMerge w:val="continue"/>
                  <w:noWrap w:val="0"/>
                  <w:vAlign w:val="center"/>
                </w:tcPr>
                <w:p w14:paraId="6503C754">
                  <w:pPr>
                    <w:adjustRightInd w:val="0"/>
                    <w:snapToGrid w:val="0"/>
                    <w:jc w:val="center"/>
                    <w:rPr>
                      <w:rFonts w:hint="default" w:ascii="Times New Roman" w:hAnsi="Times New Roman" w:eastAsia="宋体" w:cs="Times New Roman"/>
                      <w:color w:val="auto"/>
                      <w:sz w:val="21"/>
                      <w:szCs w:val="21"/>
                    </w:rPr>
                  </w:pPr>
                </w:p>
              </w:tc>
              <w:tc>
                <w:tcPr>
                  <w:tcW w:w="385" w:type="pct"/>
                  <w:noWrap w:val="0"/>
                  <w:vAlign w:val="center"/>
                </w:tcPr>
                <w:p w14:paraId="317AC6CC">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3178" w:type="pct"/>
                  <w:noWrap w:val="0"/>
                  <w:vAlign w:val="center"/>
                </w:tcPr>
                <w:p w14:paraId="1F46FF2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厂区内设置生活垃圾分类收集设施，集中收集后交由园区环卫部门进行处置。</w:t>
                  </w:r>
                </w:p>
              </w:tc>
              <w:tc>
                <w:tcPr>
                  <w:tcW w:w="564" w:type="pct"/>
                  <w:noWrap w:val="0"/>
                  <w:vAlign w:val="center"/>
                </w:tcPr>
                <w:p w14:paraId="7F69B0EE">
                  <w:pPr>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一、二期共用</w:t>
                  </w:r>
                </w:p>
              </w:tc>
            </w:tr>
            <w:tr w14:paraId="281F8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390" w:type="pct"/>
                  <w:vMerge w:val="continue"/>
                  <w:noWrap w:val="0"/>
                  <w:vAlign w:val="center"/>
                </w:tcPr>
                <w:p w14:paraId="44439784">
                  <w:pPr>
                    <w:pStyle w:val="16"/>
                    <w:snapToGrid w:val="0"/>
                    <w:jc w:val="center"/>
                    <w:rPr>
                      <w:rFonts w:hint="default" w:ascii="Times New Roman" w:hAnsi="Times New Roman" w:eastAsia="宋体" w:cs="Times New Roman"/>
                      <w:color w:val="auto"/>
                      <w:spacing w:val="-4"/>
                      <w:sz w:val="21"/>
                      <w:szCs w:val="21"/>
                    </w:rPr>
                  </w:pPr>
                </w:p>
              </w:tc>
              <w:tc>
                <w:tcPr>
                  <w:tcW w:w="482" w:type="pct"/>
                  <w:vMerge w:val="restart"/>
                  <w:noWrap w:val="0"/>
                  <w:vAlign w:val="center"/>
                </w:tcPr>
                <w:p w14:paraId="7C322470">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防渗措施</w:t>
                  </w:r>
                </w:p>
              </w:tc>
              <w:tc>
                <w:tcPr>
                  <w:tcW w:w="385" w:type="pct"/>
                  <w:noWrap w:val="0"/>
                  <w:vAlign w:val="center"/>
                </w:tcPr>
                <w:p w14:paraId="5EBF3EBE">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重点防渗区</w:t>
                  </w:r>
                </w:p>
              </w:tc>
              <w:tc>
                <w:tcPr>
                  <w:tcW w:w="3178" w:type="pct"/>
                  <w:noWrap w:val="0"/>
                  <w:vAlign w:val="center"/>
                </w:tcPr>
                <w:p w14:paraId="6B1DCAC8">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主要为危废贮存点，</w:t>
                  </w:r>
                  <w:r>
                    <w:rPr>
                      <w:rFonts w:hint="default" w:ascii="Times New Roman" w:hAnsi="Times New Roman" w:eastAsia="宋体" w:cs="Times New Roman"/>
                      <w:color w:val="auto"/>
                      <w:kern w:val="0"/>
                      <w:sz w:val="21"/>
                      <w:szCs w:val="21"/>
                      <w:lang w:eastAsia="zh-CN"/>
                    </w:rPr>
                    <w:t>项目</w:t>
                  </w:r>
                  <w:r>
                    <w:rPr>
                      <w:rFonts w:hint="eastAsia" w:ascii="Times New Roman" w:hAnsi="Times New Roman" w:eastAsia="宋体" w:cs="Times New Roman"/>
                      <w:color w:val="auto"/>
                      <w:kern w:val="0"/>
                      <w:sz w:val="21"/>
                      <w:szCs w:val="21"/>
                      <w:lang w:val="en-US" w:eastAsia="zh-CN"/>
                    </w:rPr>
                    <w:t>产生的</w:t>
                  </w:r>
                  <w:r>
                    <w:rPr>
                      <w:rFonts w:hint="default" w:ascii="Times New Roman" w:hAnsi="Times New Roman" w:cs="Times New Roman"/>
                      <w:snapToGrid w:val="0"/>
                      <w:color w:val="auto"/>
                      <w:kern w:val="0"/>
                      <w:sz w:val="21"/>
                      <w:szCs w:val="21"/>
                      <w:lang w:bidi="ar"/>
                    </w:rPr>
                    <w:t>废活性炭经密封包装后、</w:t>
                  </w:r>
                  <w:r>
                    <w:rPr>
                      <w:rFonts w:hint="eastAsia"/>
                      <w:snapToGrid w:val="0"/>
                      <w:color w:val="auto"/>
                      <w:sz w:val="21"/>
                      <w:szCs w:val="21"/>
                      <w:lang w:eastAsia="zh-CN"/>
                    </w:rPr>
                    <w:t>废润滑油由专用闭口储油桶收集后与废润滑油桶置于托盘上</w:t>
                  </w:r>
                  <w:r>
                    <w:rPr>
                      <w:rFonts w:hint="default" w:ascii="Times New Roman" w:hAnsi="Times New Roman" w:eastAsia="宋体" w:cs="Times New Roman"/>
                      <w:color w:val="auto"/>
                      <w:kern w:val="0"/>
                      <w:sz w:val="21"/>
                      <w:szCs w:val="21"/>
                      <w:lang w:eastAsia="zh-CN"/>
                    </w:rPr>
                    <w:t>，危险废物不与地面直接接触</w:t>
                  </w:r>
                  <w:r>
                    <w:rPr>
                      <w:rFonts w:hint="eastAsia" w:ascii="Times New Roman" w:hAnsi="Times New Roman" w:eastAsia="宋体" w:cs="Times New Roman"/>
                      <w:color w:val="auto"/>
                      <w:kern w:val="0"/>
                      <w:sz w:val="21"/>
                      <w:szCs w:val="21"/>
                      <w:lang w:eastAsia="zh-CN"/>
                    </w:rPr>
                    <w:t>。</w:t>
                  </w:r>
                  <w:r>
                    <w:rPr>
                      <w:rFonts w:hint="eastAsia"/>
                      <w:color w:val="auto"/>
                      <w:kern w:val="0"/>
                      <w:sz w:val="21"/>
                      <w:szCs w:val="21"/>
                    </w:rPr>
                    <w:t>危废贮存</w:t>
                  </w:r>
                  <w:r>
                    <w:rPr>
                      <w:rFonts w:hint="eastAsia"/>
                      <w:color w:val="auto"/>
                      <w:kern w:val="0"/>
                      <w:sz w:val="21"/>
                      <w:szCs w:val="21"/>
                      <w:lang w:val="en-US" w:eastAsia="zh-CN"/>
                    </w:rPr>
                    <w:t>点</w:t>
                  </w:r>
                  <w:r>
                    <w:rPr>
                      <w:color w:val="auto"/>
                      <w:kern w:val="0"/>
                      <w:sz w:val="21"/>
                      <w:szCs w:val="21"/>
                    </w:rPr>
                    <w:t>的地面与裙脚</w:t>
                  </w:r>
                  <w:r>
                    <w:rPr>
                      <w:rFonts w:hint="eastAsia"/>
                      <w:color w:val="auto"/>
                      <w:kern w:val="0"/>
                      <w:sz w:val="21"/>
                      <w:szCs w:val="21"/>
                      <w:lang w:val="en-US" w:eastAsia="zh-CN"/>
                    </w:rPr>
                    <w:t>应</w:t>
                  </w:r>
                  <w:r>
                    <w:rPr>
                      <w:color w:val="auto"/>
                      <w:kern w:val="0"/>
                      <w:sz w:val="21"/>
                      <w:szCs w:val="21"/>
                    </w:rPr>
                    <w:t>采取</w:t>
                  </w:r>
                  <w:r>
                    <w:rPr>
                      <w:rFonts w:hint="eastAsia"/>
                      <w:color w:val="auto"/>
                      <w:kern w:val="0"/>
                      <w:sz w:val="21"/>
                      <w:szCs w:val="21"/>
                      <w:lang w:val="en-US" w:eastAsia="zh-CN"/>
                    </w:rPr>
                    <w:t>表面</w:t>
                  </w:r>
                  <w:r>
                    <w:rPr>
                      <w:color w:val="auto"/>
                      <w:kern w:val="0"/>
                      <w:sz w:val="21"/>
                      <w:szCs w:val="21"/>
                    </w:rPr>
                    <w:t>防渗措施</w:t>
                  </w:r>
                  <w:r>
                    <w:rPr>
                      <w:rFonts w:hint="eastAsia"/>
                      <w:color w:val="auto"/>
                      <w:kern w:val="0"/>
                      <w:sz w:val="21"/>
                      <w:szCs w:val="21"/>
                      <w:lang w:eastAsia="zh-CN"/>
                    </w:rPr>
                    <w:t>；</w:t>
                  </w:r>
                  <w:r>
                    <w:rPr>
                      <w:rFonts w:hint="eastAsia"/>
                      <w:color w:val="auto"/>
                      <w:kern w:val="0"/>
                      <w:sz w:val="21"/>
                      <w:szCs w:val="21"/>
                      <w:lang w:val="en-US" w:eastAsia="zh-CN"/>
                    </w:rPr>
                    <w:t>表面防渗材料应与所接触的物料或污染物相容，可采用抗渗混凝土、高密度聚乙烯膜、钠基膨润土防水毯或其他防渗性能等效的材料</w:t>
                  </w:r>
                  <w:r>
                    <w:rPr>
                      <w:rFonts w:hint="eastAsia" w:ascii="Times New Roman" w:hAnsi="Times New Roman" w:eastAsia="宋体" w:cs="Times New Roman"/>
                      <w:color w:val="auto"/>
                      <w:kern w:val="0"/>
                      <w:sz w:val="21"/>
                      <w:szCs w:val="21"/>
                      <w:lang w:val="en-US" w:eastAsia="zh-CN"/>
                    </w:rPr>
                    <w:t>。</w:t>
                  </w:r>
                </w:p>
              </w:tc>
              <w:tc>
                <w:tcPr>
                  <w:tcW w:w="564" w:type="pct"/>
                  <w:noWrap w:val="0"/>
                  <w:vAlign w:val="center"/>
                </w:tcPr>
                <w:p w14:paraId="2CBD2384">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一、二期共用</w:t>
                  </w:r>
                </w:p>
              </w:tc>
            </w:tr>
            <w:tr w14:paraId="29A04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0" w:type="pct"/>
                  <w:vMerge w:val="continue"/>
                  <w:noWrap w:val="0"/>
                  <w:vAlign w:val="center"/>
                </w:tcPr>
                <w:p w14:paraId="365E8B79">
                  <w:pPr>
                    <w:pStyle w:val="16"/>
                    <w:snapToGrid w:val="0"/>
                    <w:jc w:val="center"/>
                    <w:rPr>
                      <w:rFonts w:hint="default" w:ascii="Times New Roman" w:hAnsi="Times New Roman" w:eastAsia="宋体" w:cs="Times New Roman"/>
                      <w:color w:val="auto"/>
                      <w:spacing w:val="-4"/>
                      <w:sz w:val="21"/>
                      <w:szCs w:val="21"/>
                    </w:rPr>
                  </w:pPr>
                </w:p>
              </w:tc>
              <w:tc>
                <w:tcPr>
                  <w:tcW w:w="482" w:type="pct"/>
                  <w:vMerge w:val="continue"/>
                  <w:noWrap w:val="0"/>
                  <w:vAlign w:val="center"/>
                </w:tcPr>
                <w:p w14:paraId="0E2C9FA6">
                  <w:pPr>
                    <w:adjustRightInd w:val="0"/>
                    <w:snapToGrid w:val="0"/>
                    <w:jc w:val="center"/>
                    <w:rPr>
                      <w:rFonts w:hint="default" w:ascii="Times New Roman" w:hAnsi="Times New Roman" w:eastAsia="宋体" w:cs="Times New Roman"/>
                      <w:color w:val="auto"/>
                      <w:sz w:val="21"/>
                      <w:szCs w:val="21"/>
                    </w:rPr>
                  </w:pPr>
                </w:p>
              </w:tc>
              <w:tc>
                <w:tcPr>
                  <w:tcW w:w="385" w:type="pct"/>
                  <w:noWrap w:val="0"/>
                  <w:vAlign w:val="center"/>
                </w:tcPr>
                <w:p w14:paraId="6E3049C4">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简单防渗区</w:t>
                  </w:r>
                </w:p>
              </w:tc>
              <w:tc>
                <w:tcPr>
                  <w:tcW w:w="3178" w:type="pct"/>
                  <w:noWrap w:val="0"/>
                  <w:vAlign w:val="center"/>
                </w:tcPr>
                <w:p w14:paraId="77A9DC9F">
                  <w:pPr>
                    <w:adjustRightInd w:val="0"/>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其他区域为简单防渗区</w:t>
                  </w:r>
                  <w:r>
                    <w:rPr>
                      <w:rFonts w:hint="default" w:ascii="Times New Roman" w:hAnsi="Times New Roman" w:eastAsia="宋体" w:cs="Times New Roman"/>
                      <w:color w:val="auto"/>
                      <w:kern w:val="0"/>
                      <w:sz w:val="21"/>
                      <w:szCs w:val="21"/>
                    </w:rPr>
                    <w:t>，</w:t>
                  </w:r>
                  <w:r>
                    <w:rPr>
                      <w:rFonts w:hint="eastAsia" w:ascii="Times New Roman" w:hAnsi="Times New Roman" w:eastAsia="宋体" w:cs="Times New Roman"/>
                      <w:color w:val="auto"/>
                      <w:kern w:val="0"/>
                      <w:sz w:val="21"/>
                      <w:szCs w:val="21"/>
                      <w:lang w:val="en-US" w:eastAsia="zh-CN"/>
                    </w:rPr>
                    <w:t>实施</w:t>
                  </w:r>
                  <w:r>
                    <w:rPr>
                      <w:rFonts w:hint="default" w:ascii="Times New Roman" w:hAnsi="Times New Roman" w:eastAsia="宋体" w:cs="Times New Roman"/>
                      <w:color w:val="auto"/>
                      <w:kern w:val="0"/>
                      <w:sz w:val="21"/>
                      <w:szCs w:val="21"/>
                    </w:rPr>
                    <w:t>一般地面硬化</w:t>
                  </w:r>
                  <w:r>
                    <w:rPr>
                      <w:rFonts w:hint="eastAsia" w:ascii="Times New Roman" w:hAnsi="Times New Roman" w:eastAsia="宋体" w:cs="Times New Roman"/>
                      <w:color w:val="auto"/>
                      <w:kern w:val="0"/>
                      <w:sz w:val="21"/>
                      <w:szCs w:val="21"/>
                      <w:lang w:eastAsia="zh-CN"/>
                    </w:rPr>
                    <w:t>。</w:t>
                  </w:r>
                </w:p>
              </w:tc>
              <w:tc>
                <w:tcPr>
                  <w:tcW w:w="564" w:type="pct"/>
                  <w:noWrap w:val="0"/>
                  <w:vAlign w:val="center"/>
                </w:tcPr>
                <w:p w14:paraId="48324BF8">
                  <w:pPr>
                    <w:adjustRightInd w:val="0"/>
                    <w:snapToGrid w:val="0"/>
                    <w:jc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sz w:val="21"/>
                      <w:szCs w:val="21"/>
                      <w:lang w:val="en-US" w:eastAsia="zh-CN"/>
                    </w:rPr>
                    <w:t>一、二期共用</w:t>
                  </w:r>
                </w:p>
              </w:tc>
            </w:tr>
          </w:tbl>
          <w:p w14:paraId="115AD91A">
            <w:pPr>
              <w:autoSpaceDE w:val="0"/>
              <w:autoSpaceDN w:val="0"/>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2、项目主要</w:t>
            </w:r>
            <w:r>
              <w:rPr>
                <w:rFonts w:hint="eastAsia" w:ascii="Times New Roman" w:hAnsi="Times New Roman" w:eastAsia="宋体" w:cs="Times New Roman"/>
                <w:b/>
                <w:color w:val="auto"/>
                <w:kern w:val="0"/>
                <w:sz w:val="24"/>
                <w:lang w:val="en-US" w:eastAsia="zh-CN"/>
              </w:rPr>
              <w:t>生产</w:t>
            </w:r>
            <w:r>
              <w:rPr>
                <w:rFonts w:hint="default" w:ascii="Times New Roman" w:hAnsi="Times New Roman" w:eastAsia="宋体" w:cs="Times New Roman"/>
                <w:b/>
                <w:color w:val="auto"/>
                <w:kern w:val="0"/>
                <w:sz w:val="24"/>
              </w:rPr>
              <w:t>设备</w:t>
            </w:r>
          </w:p>
          <w:p w14:paraId="06990BD7">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本项目主要</w:t>
            </w:r>
            <w:r>
              <w:rPr>
                <w:rFonts w:hint="eastAsia" w:ascii="Times New Roman" w:hAnsi="Times New Roman" w:eastAsia="宋体" w:cs="Times New Roman"/>
                <w:color w:val="auto"/>
                <w:kern w:val="0"/>
                <w:sz w:val="24"/>
                <w:lang w:val="en-US" w:eastAsia="zh-CN"/>
              </w:rPr>
              <w:t>生产</w:t>
            </w:r>
            <w:r>
              <w:rPr>
                <w:rFonts w:hint="default" w:ascii="Times New Roman" w:hAnsi="Times New Roman" w:eastAsia="宋体" w:cs="Times New Roman"/>
                <w:color w:val="auto"/>
                <w:kern w:val="0"/>
                <w:sz w:val="24"/>
              </w:rPr>
              <w:t>设备</w:t>
            </w:r>
            <w:r>
              <w:rPr>
                <w:rFonts w:hint="eastAsia" w:ascii="Times New Roman" w:hAnsi="Times New Roman" w:eastAsia="宋体" w:cs="Times New Roman"/>
                <w:color w:val="auto"/>
                <w:kern w:val="0"/>
                <w:sz w:val="24"/>
                <w:lang w:val="en-US" w:eastAsia="zh-CN"/>
              </w:rPr>
              <w:t>及数量</w:t>
            </w:r>
            <w:r>
              <w:rPr>
                <w:rFonts w:hint="default" w:ascii="Times New Roman" w:hAnsi="Times New Roman" w:eastAsia="宋体" w:cs="Times New Roman"/>
                <w:color w:val="auto"/>
                <w:kern w:val="0"/>
                <w:sz w:val="24"/>
              </w:rPr>
              <w:t>见下表</w:t>
            </w:r>
            <w:r>
              <w:rPr>
                <w:rFonts w:hint="eastAsia" w:ascii="Times New Roman" w:hAnsi="Times New Roman" w:eastAsia="宋体" w:cs="Times New Roman"/>
                <w:color w:val="auto"/>
                <w:kern w:val="0"/>
                <w:sz w:val="24"/>
                <w:lang w:val="en-US" w:eastAsia="zh-CN"/>
              </w:rPr>
              <w:t>2-2</w:t>
            </w:r>
            <w:r>
              <w:rPr>
                <w:rFonts w:hint="default" w:ascii="Times New Roman" w:hAnsi="Times New Roman" w:eastAsia="宋体" w:cs="Times New Roman"/>
                <w:color w:val="auto"/>
                <w:kern w:val="0"/>
                <w:sz w:val="24"/>
              </w:rPr>
              <w:t>。</w:t>
            </w:r>
          </w:p>
          <w:p w14:paraId="643BC7FC">
            <w:pPr>
              <w:snapToGrid w:val="0"/>
              <w:ind w:firstLine="630" w:firstLineChars="3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Cs/>
                <w:color w:val="auto"/>
                <w:highlight w:val="none"/>
              </w:rPr>
              <w:t>表</w:t>
            </w:r>
            <w:r>
              <w:rPr>
                <w:rFonts w:hint="eastAsia" w:ascii="Times New Roman" w:hAnsi="Times New Roman" w:eastAsia="宋体" w:cs="Times New Roman"/>
                <w:bCs/>
                <w:color w:val="auto"/>
                <w:highlight w:val="none"/>
                <w:lang w:val="en-US" w:eastAsia="zh-CN"/>
              </w:rPr>
              <w:t>2-2</w:t>
            </w:r>
            <w:r>
              <w:rPr>
                <w:rFonts w:hint="default" w:ascii="Times New Roman" w:hAnsi="Times New Roman" w:eastAsia="宋体" w:cs="Times New Roman"/>
                <w:bCs/>
                <w:color w:val="auto"/>
                <w:highlight w:val="none"/>
              </w:rPr>
              <w:t xml:space="preserve"> </w:t>
            </w:r>
            <w:r>
              <w:rPr>
                <w:rFonts w:hint="default" w:ascii="Times New Roman" w:hAnsi="Times New Roman" w:eastAsia="宋体" w:cs="Times New Roman"/>
                <w:b/>
                <w:bCs/>
                <w:color w:val="auto"/>
                <w:highlight w:val="none"/>
              </w:rPr>
              <w:t xml:space="preserve">        </w:t>
            </w:r>
            <w:r>
              <w:rPr>
                <w:rFonts w:hint="default" w:ascii="Times New Roman" w:hAnsi="Times New Roman" w:eastAsia="宋体" w:cs="Times New Roman"/>
                <w:b/>
                <w:bCs/>
                <w:color w:val="auto"/>
                <w:sz w:val="24"/>
                <w:highlight w:val="none"/>
              </w:rPr>
              <w:t xml:space="preserve">   </w:t>
            </w:r>
            <w:r>
              <w:rPr>
                <w:rFonts w:hint="eastAsia"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 xml:space="preserve">   本项目主要设备一览表</w:t>
            </w:r>
          </w:p>
          <w:tbl>
            <w:tblPr>
              <w:tblStyle w:val="3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548"/>
              <w:gridCol w:w="1267"/>
              <w:gridCol w:w="894"/>
              <w:gridCol w:w="905"/>
              <w:gridCol w:w="895"/>
              <w:gridCol w:w="1468"/>
              <w:gridCol w:w="934"/>
            </w:tblGrid>
            <w:tr w14:paraId="71C82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noWrap w:val="0"/>
                  <w:vAlign w:val="center"/>
                </w:tcPr>
                <w:p w14:paraId="6FD8B959">
                  <w:pPr>
                    <w:adjustRightInd w:val="0"/>
                    <w:snapToGrid w:val="0"/>
                    <w:jc w:val="center"/>
                    <w:rPr>
                      <w:rFonts w:hint="default" w:ascii="Times New Roman" w:hAnsi="Times New Roman" w:eastAsia="宋体" w:cs="Times New Roman"/>
                      <w:b/>
                      <w:bCs/>
                      <w:snapToGrid w:val="0"/>
                      <w:color w:val="auto"/>
                      <w:kern w:val="0"/>
                      <w:szCs w:val="28"/>
                    </w:rPr>
                  </w:pPr>
                  <w:r>
                    <w:rPr>
                      <w:rFonts w:hint="default" w:ascii="Times New Roman" w:hAnsi="Times New Roman" w:eastAsia="宋体" w:cs="Times New Roman"/>
                      <w:b/>
                      <w:bCs/>
                      <w:snapToGrid w:val="0"/>
                      <w:color w:val="auto"/>
                      <w:kern w:val="0"/>
                      <w:szCs w:val="28"/>
                    </w:rPr>
                    <w:t>序号</w:t>
                  </w:r>
                </w:p>
              </w:tc>
              <w:tc>
                <w:tcPr>
                  <w:tcW w:w="927" w:type="pct"/>
                  <w:noWrap w:val="0"/>
                  <w:vAlign w:val="center"/>
                </w:tcPr>
                <w:p w14:paraId="0343C5E6">
                  <w:pPr>
                    <w:adjustRightInd w:val="0"/>
                    <w:snapToGrid w:val="0"/>
                    <w:jc w:val="center"/>
                    <w:rPr>
                      <w:rFonts w:hint="default" w:ascii="Times New Roman" w:hAnsi="Times New Roman" w:eastAsia="宋体" w:cs="Times New Roman"/>
                      <w:b/>
                      <w:bCs/>
                      <w:snapToGrid w:val="0"/>
                      <w:color w:val="auto"/>
                      <w:kern w:val="0"/>
                      <w:szCs w:val="28"/>
                    </w:rPr>
                  </w:pPr>
                  <w:r>
                    <w:rPr>
                      <w:rFonts w:hint="default" w:ascii="Times New Roman" w:hAnsi="Times New Roman" w:eastAsia="宋体" w:cs="Times New Roman"/>
                      <w:b/>
                      <w:bCs/>
                      <w:snapToGrid w:val="0"/>
                      <w:color w:val="auto"/>
                      <w:kern w:val="0"/>
                      <w:szCs w:val="28"/>
                    </w:rPr>
                    <w:t>设备工艺名称</w:t>
                  </w:r>
                </w:p>
              </w:tc>
              <w:tc>
                <w:tcPr>
                  <w:tcW w:w="758" w:type="pct"/>
                  <w:noWrap w:val="0"/>
                  <w:vAlign w:val="center"/>
                </w:tcPr>
                <w:p w14:paraId="66EA11FF">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b/>
                      <w:bCs/>
                      <w:snapToGrid w:val="0"/>
                      <w:color w:val="auto"/>
                      <w:kern w:val="0"/>
                      <w:szCs w:val="28"/>
                    </w:rPr>
                    <w:t>型号</w:t>
                  </w:r>
                </w:p>
              </w:tc>
              <w:tc>
                <w:tcPr>
                  <w:tcW w:w="535" w:type="pct"/>
                  <w:noWrap w:val="0"/>
                  <w:vAlign w:val="center"/>
                </w:tcPr>
                <w:p w14:paraId="204446A3">
                  <w:pPr>
                    <w:adjustRightInd w:val="0"/>
                    <w:snapToGrid w:val="0"/>
                    <w:jc w:val="center"/>
                    <w:rPr>
                      <w:rFonts w:hint="default" w:ascii="Times New Roman" w:hAnsi="Times New Roman" w:eastAsia="宋体" w:cs="Times New Roman"/>
                      <w:b/>
                      <w:bCs/>
                      <w:snapToGrid w:val="0"/>
                      <w:color w:val="auto"/>
                      <w:kern w:val="0"/>
                      <w:szCs w:val="28"/>
                    </w:rPr>
                  </w:pPr>
                  <w:r>
                    <w:rPr>
                      <w:rFonts w:hint="default" w:ascii="Times New Roman" w:hAnsi="Times New Roman" w:eastAsia="宋体" w:cs="Times New Roman"/>
                      <w:b/>
                      <w:bCs/>
                      <w:snapToGrid w:val="0"/>
                      <w:color w:val="auto"/>
                      <w:kern w:val="0"/>
                      <w:szCs w:val="28"/>
                    </w:rPr>
                    <w:t>单位</w:t>
                  </w:r>
                </w:p>
              </w:tc>
              <w:tc>
                <w:tcPr>
                  <w:tcW w:w="542" w:type="pct"/>
                  <w:noWrap w:val="0"/>
                  <w:vAlign w:val="center"/>
                </w:tcPr>
                <w:p w14:paraId="47EA6F16">
                  <w:pPr>
                    <w:adjustRightInd w:val="0"/>
                    <w:snapToGrid w:val="0"/>
                    <w:jc w:val="center"/>
                    <w:rPr>
                      <w:rFonts w:hint="default" w:ascii="Times New Roman" w:hAnsi="Times New Roman" w:eastAsia="宋体" w:cs="Times New Roman"/>
                      <w:b/>
                      <w:bCs/>
                      <w:snapToGrid w:val="0"/>
                      <w:color w:val="auto"/>
                      <w:kern w:val="0"/>
                      <w:szCs w:val="28"/>
                      <w:lang w:val="en-US" w:eastAsia="zh-CN"/>
                    </w:rPr>
                  </w:pPr>
                  <w:r>
                    <w:rPr>
                      <w:rFonts w:hint="eastAsia" w:ascii="Times New Roman" w:hAnsi="Times New Roman" w:eastAsia="宋体" w:cs="Times New Roman"/>
                      <w:b/>
                      <w:bCs/>
                      <w:snapToGrid w:val="0"/>
                      <w:color w:val="auto"/>
                      <w:kern w:val="0"/>
                      <w:szCs w:val="28"/>
                      <w:lang w:val="en-US" w:eastAsia="zh-CN"/>
                    </w:rPr>
                    <w:t>一期数量</w:t>
                  </w:r>
                </w:p>
              </w:tc>
              <w:tc>
                <w:tcPr>
                  <w:tcW w:w="536" w:type="pct"/>
                  <w:noWrap w:val="0"/>
                  <w:vAlign w:val="center"/>
                </w:tcPr>
                <w:p w14:paraId="47769AF3">
                  <w:pPr>
                    <w:adjustRightInd w:val="0"/>
                    <w:snapToGrid w:val="0"/>
                    <w:jc w:val="center"/>
                    <w:rPr>
                      <w:rFonts w:hint="eastAsia" w:ascii="Times New Roman" w:hAnsi="Times New Roman" w:eastAsia="宋体" w:cs="Times New Roman"/>
                      <w:b/>
                      <w:bCs/>
                      <w:snapToGrid w:val="0"/>
                      <w:color w:val="auto"/>
                      <w:kern w:val="0"/>
                      <w:szCs w:val="28"/>
                      <w:lang w:val="en-US" w:eastAsia="zh-CN"/>
                    </w:rPr>
                  </w:pPr>
                  <w:r>
                    <w:rPr>
                      <w:rFonts w:hint="eastAsia" w:ascii="Times New Roman" w:hAnsi="Times New Roman" w:eastAsia="宋体" w:cs="Times New Roman"/>
                      <w:b/>
                      <w:bCs/>
                      <w:snapToGrid w:val="0"/>
                      <w:color w:val="auto"/>
                      <w:kern w:val="0"/>
                      <w:szCs w:val="28"/>
                      <w:lang w:val="en-US" w:eastAsia="zh-CN"/>
                    </w:rPr>
                    <w:t>二期数量</w:t>
                  </w:r>
                </w:p>
              </w:tc>
              <w:tc>
                <w:tcPr>
                  <w:tcW w:w="879" w:type="pct"/>
                  <w:noWrap w:val="0"/>
                  <w:vAlign w:val="center"/>
                </w:tcPr>
                <w:p w14:paraId="78A3E1E4">
                  <w:pPr>
                    <w:adjustRightInd w:val="0"/>
                    <w:snapToGrid w:val="0"/>
                    <w:jc w:val="center"/>
                    <w:rPr>
                      <w:rFonts w:hint="default" w:ascii="Times New Roman" w:hAnsi="Times New Roman" w:eastAsia="宋体" w:cs="Times New Roman"/>
                      <w:b/>
                      <w:bCs/>
                      <w:snapToGrid w:val="0"/>
                      <w:color w:val="auto"/>
                      <w:kern w:val="0"/>
                      <w:szCs w:val="28"/>
                    </w:rPr>
                  </w:pPr>
                  <w:r>
                    <w:rPr>
                      <w:rFonts w:hint="eastAsia" w:cs="Times New Roman"/>
                      <w:b/>
                      <w:color w:val="auto"/>
                      <w:sz w:val="21"/>
                      <w:szCs w:val="21"/>
                      <w:lang w:val="en-US" w:eastAsia="zh-CN"/>
                    </w:rPr>
                    <w:t>二期建成后</w:t>
                  </w:r>
                  <w:r>
                    <w:rPr>
                      <w:rFonts w:hint="eastAsia" w:eastAsia="宋体" w:cs="Times New Roman"/>
                      <w:b/>
                      <w:bCs/>
                      <w:color w:val="auto"/>
                      <w:sz w:val="21"/>
                      <w:szCs w:val="21"/>
                      <w:lang w:val="en-US" w:eastAsia="zh-CN"/>
                    </w:rPr>
                    <w:t>全厂</w:t>
                  </w:r>
                  <w:r>
                    <w:rPr>
                      <w:rFonts w:hint="default" w:ascii="Times New Roman" w:hAnsi="Times New Roman" w:eastAsia="宋体" w:cs="Times New Roman"/>
                      <w:b/>
                      <w:bCs/>
                      <w:snapToGrid w:val="0"/>
                      <w:color w:val="auto"/>
                      <w:kern w:val="0"/>
                      <w:szCs w:val="28"/>
                    </w:rPr>
                    <w:t>数量</w:t>
                  </w:r>
                </w:p>
              </w:tc>
              <w:tc>
                <w:tcPr>
                  <w:tcW w:w="556" w:type="pct"/>
                  <w:noWrap w:val="0"/>
                  <w:vAlign w:val="center"/>
                </w:tcPr>
                <w:p w14:paraId="728EDB49">
                  <w:pPr>
                    <w:adjustRightInd w:val="0"/>
                    <w:snapToGrid w:val="0"/>
                    <w:jc w:val="center"/>
                    <w:rPr>
                      <w:rFonts w:hint="eastAsia" w:ascii="Times New Roman" w:hAnsi="Times New Roman" w:eastAsia="宋体" w:cs="Times New Roman"/>
                      <w:b/>
                      <w:bCs/>
                      <w:snapToGrid w:val="0"/>
                      <w:color w:val="auto"/>
                      <w:kern w:val="0"/>
                      <w:szCs w:val="28"/>
                      <w:lang w:val="en-US" w:eastAsia="zh-CN"/>
                    </w:rPr>
                  </w:pPr>
                  <w:r>
                    <w:rPr>
                      <w:rFonts w:hint="eastAsia" w:ascii="Times New Roman" w:hAnsi="Times New Roman" w:eastAsia="宋体" w:cs="Times New Roman"/>
                      <w:b/>
                      <w:bCs/>
                      <w:snapToGrid w:val="0"/>
                      <w:color w:val="auto"/>
                      <w:kern w:val="0"/>
                      <w:szCs w:val="28"/>
                      <w:lang w:val="en-US" w:eastAsia="zh-CN"/>
                    </w:rPr>
                    <w:t>用途</w:t>
                  </w:r>
                </w:p>
              </w:tc>
            </w:tr>
            <w:tr w14:paraId="5A2B8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center"/>
                </w:tcPr>
                <w:p w14:paraId="5D9165EC">
                  <w:pPr>
                    <w:adjustRightInd w:val="0"/>
                    <w:snapToGrid w:val="0"/>
                    <w:jc w:val="center"/>
                    <w:rPr>
                      <w:rFonts w:hint="default" w:ascii="Times New Roman" w:hAnsi="Times New Roman" w:eastAsia="宋体" w:cs="Times New Roman"/>
                      <w:b/>
                      <w:bCs/>
                      <w:snapToGrid w:val="0"/>
                      <w:color w:val="auto"/>
                      <w:kern w:val="0"/>
                      <w:szCs w:val="28"/>
                      <w:lang w:val="en-US" w:eastAsia="zh-CN"/>
                    </w:rPr>
                  </w:pPr>
                  <w:r>
                    <w:rPr>
                      <w:rFonts w:hint="eastAsia" w:ascii="Times New Roman" w:hAnsi="Times New Roman" w:eastAsia="宋体" w:cs="Times New Roman"/>
                      <w:b/>
                      <w:bCs/>
                      <w:snapToGrid w:val="0"/>
                      <w:color w:val="auto"/>
                      <w:kern w:val="0"/>
                      <w:szCs w:val="28"/>
                      <w:lang w:val="en-US" w:eastAsia="zh-CN"/>
                    </w:rPr>
                    <w:t>生产设备</w:t>
                  </w:r>
                </w:p>
              </w:tc>
            </w:tr>
            <w:tr w14:paraId="62D69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 w:type="pct"/>
                  <w:noWrap w:val="0"/>
                  <w:vAlign w:val="center"/>
                </w:tcPr>
                <w:p w14:paraId="178AEE6B">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927" w:type="pct"/>
                  <w:noWrap/>
                  <w:vAlign w:val="center"/>
                </w:tcPr>
                <w:p w14:paraId="21E182EB">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发泡机</w:t>
                  </w:r>
                </w:p>
              </w:tc>
              <w:tc>
                <w:tcPr>
                  <w:tcW w:w="758" w:type="pct"/>
                  <w:noWrap/>
                  <w:vAlign w:val="center"/>
                </w:tcPr>
                <w:p w14:paraId="032257E3">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GJ-RT-2200</w:t>
                  </w:r>
                </w:p>
              </w:tc>
              <w:tc>
                <w:tcPr>
                  <w:tcW w:w="535" w:type="pct"/>
                  <w:noWrap w:val="0"/>
                  <w:vAlign w:val="center"/>
                </w:tcPr>
                <w:p w14:paraId="25A77D5C">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台</w:t>
                  </w:r>
                </w:p>
              </w:tc>
              <w:tc>
                <w:tcPr>
                  <w:tcW w:w="542" w:type="pct"/>
                  <w:noWrap w:val="0"/>
                  <w:vAlign w:val="center"/>
                </w:tcPr>
                <w:p w14:paraId="571102CD">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536" w:type="pct"/>
                  <w:noWrap w:val="0"/>
                  <w:vAlign w:val="center"/>
                </w:tcPr>
                <w:p w14:paraId="56725D46">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p>
              </w:tc>
              <w:tc>
                <w:tcPr>
                  <w:tcW w:w="879" w:type="pct"/>
                  <w:noWrap w:val="0"/>
                  <w:vAlign w:val="center"/>
                </w:tcPr>
                <w:p w14:paraId="08C46DEF">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w:t>
                  </w:r>
                </w:p>
              </w:tc>
              <w:tc>
                <w:tcPr>
                  <w:tcW w:w="556" w:type="pct"/>
                  <w:noWrap w:val="0"/>
                  <w:vAlign w:val="center"/>
                </w:tcPr>
                <w:p w14:paraId="2263754C">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发泡</w:t>
                  </w:r>
                  <w:r>
                    <w:rPr>
                      <w:rFonts w:hint="eastAsia" w:ascii="Times New Roman" w:hAnsi="Times New Roman" w:eastAsia="宋体" w:cs="Times New Roman"/>
                      <w:color w:val="auto"/>
                      <w:lang w:val="en-US" w:eastAsia="zh-CN"/>
                    </w:rPr>
                    <w:t>工序</w:t>
                  </w:r>
                </w:p>
              </w:tc>
            </w:tr>
            <w:tr w14:paraId="54B60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noWrap w:val="0"/>
                  <w:vAlign w:val="center"/>
                </w:tcPr>
                <w:p w14:paraId="3F3E23C8">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927" w:type="pct"/>
                  <w:noWrap/>
                  <w:vAlign w:val="center"/>
                </w:tcPr>
                <w:p w14:paraId="36EFC6F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highlight w:val="none"/>
                    </w:rPr>
                    <w:t>熟化仓</w:t>
                  </w:r>
                </w:p>
              </w:tc>
              <w:tc>
                <w:tcPr>
                  <w:tcW w:w="758" w:type="pct"/>
                  <w:noWrap/>
                  <w:vAlign w:val="center"/>
                </w:tcPr>
                <w:p w14:paraId="7782C95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535" w:type="pct"/>
                  <w:noWrap w:val="0"/>
                  <w:vAlign w:val="center"/>
                </w:tcPr>
                <w:p w14:paraId="15E9C92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台</w:t>
                  </w:r>
                </w:p>
              </w:tc>
              <w:tc>
                <w:tcPr>
                  <w:tcW w:w="542" w:type="pct"/>
                  <w:noWrap w:val="0"/>
                  <w:vAlign w:val="center"/>
                </w:tcPr>
                <w:p w14:paraId="4F4B3C7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536" w:type="pct"/>
                  <w:noWrap w:val="0"/>
                  <w:vAlign w:val="center"/>
                </w:tcPr>
                <w:p w14:paraId="03103FC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c>
                <w:tcPr>
                  <w:tcW w:w="879" w:type="pct"/>
                  <w:noWrap w:val="0"/>
                  <w:vAlign w:val="center"/>
                </w:tcPr>
                <w:p w14:paraId="4A98087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p>
              </w:tc>
              <w:tc>
                <w:tcPr>
                  <w:tcW w:w="556" w:type="pct"/>
                  <w:noWrap w:val="0"/>
                  <w:vAlign w:val="center"/>
                </w:tcPr>
                <w:p w14:paraId="66CDD6B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熟化</w:t>
                  </w:r>
                </w:p>
              </w:tc>
            </w:tr>
            <w:tr w14:paraId="28279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noWrap w:val="0"/>
                  <w:vAlign w:val="center"/>
                </w:tcPr>
                <w:p w14:paraId="42DB19D4">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927" w:type="pct"/>
                  <w:noWrap w:val="0"/>
                  <w:vAlign w:val="center"/>
                </w:tcPr>
                <w:p w14:paraId="5643B4D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highlight w:val="none"/>
                    </w:rPr>
                    <w:t>EPS节能型自动成型机</w:t>
                  </w:r>
                </w:p>
              </w:tc>
              <w:tc>
                <w:tcPr>
                  <w:tcW w:w="758" w:type="pct"/>
                  <w:noWrap w:val="0"/>
                  <w:vAlign w:val="center"/>
                </w:tcPr>
                <w:p w14:paraId="2197B03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535" w:type="pct"/>
                  <w:noWrap w:val="0"/>
                  <w:vAlign w:val="center"/>
                </w:tcPr>
                <w:p w14:paraId="2B2D1C5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台</w:t>
                  </w:r>
                </w:p>
              </w:tc>
              <w:tc>
                <w:tcPr>
                  <w:tcW w:w="542" w:type="pct"/>
                  <w:noWrap w:val="0"/>
                  <w:vAlign w:val="center"/>
                </w:tcPr>
                <w:p w14:paraId="2669A2A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p>
              </w:tc>
              <w:tc>
                <w:tcPr>
                  <w:tcW w:w="536" w:type="pct"/>
                  <w:noWrap w:val="0"/>
                  <w:vAlign w:val="center"/>
                </w:tcPr>
                <w:p w14:paraId="032B0A4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879" w:type="pct"/>
                  <w:noWrap w:val="0"/>
                  <w:vAlign w:val="center"/>
                </w:tcPr>
                <w:p w14:paraId="335D450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w:t>
                  </w:r>
                </w:p>
              </w:tc>
              <w:tc>
                <w:tcPr>
                  <w:tcW w:w="556" w:type="pct"/>
                  <w:noWrap w:val="0"/>
                  <w:vAlign w:val="center"/>
                </w:tcPr>
                <w:p w14:paraId="4C5AFA9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用于</w:t>
                  </w:r>
                  <w:r>
                    <w:rPr>
                      <w:rFonts w:hint="default" w:ascii="Times New Roman" w:hAnsi="Times New Roman" w:eastAsia="宋体" w:cs="Times New Roman"/>
                      <w:color w:val="auto"/>
                      <w:lang w:val="en-US" w:eastAsia="zh-CN"/>
                    </w:rPr>
                    <w:t>成型</w:t>
                  </w:r>
                </w:p>
              </w:tc>
            </w:tr>
            <w:tr w14:paraId="2C370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4" w:type="pct"/>
                  <w:noWrap w:val="0"/>
                  <w:vAlign w:val="center"/>
                </w:tcPr>
                <w:p w14:paraId="2895CA2C">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w:t>
                  </w:r>
                </w:p>
              </w:tc>
              <w:tc>
                <w:tcPr>
                  <w:tcW w:w="927" w:type="pct"/>
                  <w:noWrap w:val="0"/>
                  <w:vAlign w:val="center"/>
                </w:tcPr>
                <w:p w14:paraId="37CB4AD4">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循环冷却系统</w:t>
                  </w:r>
                </w:p>
              </w:tc>
              <w:tc>
                <w:tcPr>
                  <w:tcW w:w="758" w:type="pct"/>
                  <w:noWrap w:val="0"/>
                  <w:vAlign w:val="center"/>
                </w:tcPr>
                <w:p w14:paraId="6B9CA27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535" w:type="pct"/>
                  <w:noWrap w:val="0"/>
                  <w:vAlign w:val="center"/>
                </w:tcPr>
                <w:p w14:paraId="18671EC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台</w:t>
                  </w:r>
                </w:p>
              </w:tc>
              <w:tc>
                <w:tcPr>
                  <w:tcW w:w="542" w:type="pct"/>
                  <w:noWrap w:val="0"/>
                  <w:vAlign w:val="center"/>
                </w:tcPr>
                <w:p w14:paraId="438605A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536" w:type="pct"/>
                  <w:noWrap w:val="0"/>
                  <w:vAlign w:val="center"/>
                </w:tcPr>
                <w:p w14:paraId="418B053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79" w:type="pct"/>
                  <w:noWrap w:val="0"/>
                  <w:vAlign w:val="center"/>
                </w:tcPr>
                <w:p w14:paraId="3DF6158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556" w:type="pct"/>
                  <w:noWrap w:val="0"/>
                  <w:vAlign w:val="center"/>
                </w:tcPr>
                <w:p w14:paraId="243F7BAB">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r w14:paraId="40779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center"/>
                </w:tcPr>
                <w:p w14:paraId="6C56D99B">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环保设备</w:t>
                  </w:r>
                </w:p>
              </w:tc>
            </w:tr>
            <w:tr w14:paraId="05E5D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noWrap w:val="0"/>
                  <w:vAlign w:val="center"/>
                </w:tcPr>
                <w:p w14:paraId="00C1562B">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c>
                <w:tcPr>
                  <w:tcW w:w="927" w:type="pct"/>
                  <w:noWrap w:val="0"/>
                  <w:vAlign w:val="center"/>
                </w:tcPr>
                <w:p w14:paraId="4A76DF6A">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二级活性炭吸附装置</w:t>
                  </w:r>
                </w:p>
              </w:tc>
              <w:tc>
                <w:tcPr>
                  <w:tcW w:w="758" w:type="pct"/>
                  <w:noWrap w:val="0"/>
                  <w:vAlign w:val="center"/>
                </w:tcPr>
                <w:p w14:paraId="79343AC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535" w:type="pct"/>
                  <w:noWrap w:val="0"/>
                  <w:vAlign w:val="center"/>
                </w:tcPr>
                <w:p w14:paraId="7F1DCC5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套</w:t>
                  </w:r>
                </w:p>
              </w:tc>
              <w:tc>
                <w:tcPr>
                  <w:tcW w:w="542" w:type="pct"/>
                  <w:noWrap w:val="0"/>
                  <w:vAlign w:val="center"/>
                </w:tcPr>
                <w:p w14:paraId="4AF799D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536" w:type="pct"/>
                  <w:noWrap w:val="0"/>
                  <w:vAlign w:val="center"/>
                </w:tcPr>
                <w:p w14:paraId="04AB8C1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879" w:type="pct"/>
                  <w:noWrap w:val="0"/>
                  <w:vAlign w:val="center"/>
                </w:tcPr>
                <w:p w14:paraId="386147D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556" w:type="pct"/>
                  <w:vMerge w:val="restart"/>
                  <w:noWrap w:val="0"/>
                  <w:vAlign w:val="center"/>
                </w:tcPr>
                <w:p w14:paraId="2BC8C1E5">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废气治理</w:t>
                  </w:r>
                </w:p>
              </w:tc>
            </w:tr>
            <w:tr w14:paraId="26F6C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noWrap w:val="0"/>
                  <w:vAlign w:val="center"/>
                </w:tcPr>
                <w:p w14:paraId="2A206E04">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927" w:type="pct"/>
                  <w:noWrap w:val="0"/>
                  <w:vAlign w:val="center"/>
                </w:tcPr>
                <w:p w14:paraId="2079C0BA">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集气罩</w:t>
                  </w:r>
                </w:p>
              </w:tc>
              <w:tc>
                <w:tcPr>
                  <w:tcW w:w="758" w:type="pct"/>
                  <w:noWrap w:val="0"/>
                  <w:vAlign w:val="center"/>
                </w:tcPr>
                <w:p w14:paraId="3F09522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535" w:type="pct"/>
                  <w:noWrap w:val="0"/>
                  <w:vAlign w:val="center"/>
                </w:tcPr>
                <w:p w14:paraId="4DE5BA9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台</w:t>
                  </w:r>
                </w:p>
              </w:tc>
              <w:tc>
                <w:tcPr>
                  <w:tcW w:w="542" w:type="pct"/>
                  <w:noWrap w:val="0"/>
                  <w:vAlign w:val="center"/>
                </w:tcPr>
                <w:p w14:paraId="4A2BBF6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w:t>
                  </w:r>
                </w:p>
              </w:tc>
              <w:tc>
                <w:tcPr>
                  <w:tcW w:w="536" w:type="pct"/>
                  <w:noWrap w:val="0"/>
                  <w:vAlign w:val="center"/>
                </w:tcPr>
                <w:p w14:paraId="3A5B17E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w:t>
                  </w:r>
                </w:p>
              </w:tc>
              <w:tc>
                <w:tcPr>
                  <w:tcW w:w="879" w:type="pct"/>
                  <w:noWrap w:val="0"/>
                  <w:vAlign w:val="center"/>
                </w:tcPr>
                <w:p w14:paraId="344E92E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22</w:t>
                  </w:r>
                </w:p>
              </w:tc>
              <w:tc>
                <w:tcPr>
                  <w:tcW w:w="556" w:type="pct"/>
                  <w:vMerge w:val="continue"/>
                  <w:noWrap w:val="0"/>
                  <w:vAlign w:val="center"/>
                </w:tcPr>
                <w:p w14:paraId="22AF7F09">
                  <w:pPr>
                    <w:adjustRightInd w:val="0"/>
                    <w:snapToGrid w:val="0"/>
                    <w:jc w:val="center"/>
                    <w:rPr>
                      <w:rFonts w:hint="eastAsia" w:ascii="Times New Roman" w:hAnsi="Times New Roman" w:eastAsia="宋体" w:cs="Times New Roman"/>
                      <w:color w:val="auto"/>
                      <w:lang w:val="en-US" w:eastAsia="zh-CN"/>
                    </w:rPr>
                  </w:pPr>
                </w:p>
              </w:tc>
            </w:tr>
            <w:tr w14:paraId="25DE9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4" w:type="pct"/>
                  <w:noWrap w:val="0"/>
                  <w:vAlign w:val="center"/>
                </w:tcPr>
                <w:p w14:paraId="21806906">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927" w:type="pct"/>
                  <w:noWrap w:val="0"/>
                  <w:vAlign w:val="center"/>
                </w:tcPr>
                <w:p w14:paraId="678D00E5">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风机</w:t>
                  </w:r>
                </w:p>
              </w:tc>
              <w:tc>
                <w:tcPr>
                  <w:tcW w:w="758" w:type="pct"/>
                  <w:noWrap w:val="0"/>
                  <w:vAlign w:val="center"/>
                </w:tcPr>
                <w:p w14:paraId="01F20E9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sz w:val="21"/>
                      <w:szCs w:val="21"/>
                      <w:lang w:val="en-US" w:eastAsia="zh-CN"/>
                    </w:rPr>
                    <w:t>8000m</w:t>
                  </w:r>
                  <w:r>
                    <w:rPr>
                      <w:rFonts w:hint="eastAsia" w:ascii="Times New Roman" w:hAnsi="Times New Roman" w:eastAsia="宋体" w:cs="Times New Roman"/>
                      <w:color w:val="auto"/>
                      <w:kern w:val="0"/>
                      <w:sz w:val="21"/>
                      <w:szCs w:val="21"/>
                      <w:vertAlign w:val="superscript"/>
                      <w:lang w:val="en-US" w:eastAsia="zh-CN"/>
                    </w:rPr>
                    <w:t>3</w:t>
                  </w:r>
                  <w:r>
                    <w:rPr>
                      <w:rFonts w:hint="eastAsia" w:ascii="Times New Roman" w:hAnsi="Times New Roman" w:eastAsia="宋体" w:cs="Times New Roman"/>
                      <w:color w:val="auto"/>
                      <w:kern w:val="0"/>
                      <w:sz w:val="21"/>
                      <w:szCs w:val="21"/>
                      <w:vertAlign w:val="baseline"/>
                      <w:lang w:val="en-US" w:eastAsia="zh-CN"/>
                    </w:rPr>
                    <w:t>/h</w:t>
                  </w:r>
                </w:p>
              </w:tc>
              <w:tc>
                <w:tcPr>
                  <w:tcW w:w="535" w:type="pct"/>
                  <w:noWrap w:val="0"/>
                  <w:vAlign w:val="center"/>
                </w:tcPr>
                <w:p w14:paraId="4FC3A82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台</w:t>
                  </w:r>
                </w:p>
              </w:tc>
              <w:tc>
                <w:tcPr>
                  <w:tcW w:w="542" w:type="pct"/>
                  <w:noWrap w:val="0"/>
                  <w:vAlign w:val="center"/>
                </w:tcPr>
                <w:p w14:paraId="3CDE906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536" w:type="pct"/>
                  <w:noWrap w:val="0"/>
                  <w:vAlign w:val="center"/>
                </w:tcPr>
                <w:p w14:paraId="5C8F540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879" w:type="pct"/>
                  <w:noWrap w:val="0"/>
                  <w:vAlign w:val="center"/>
                </w:tcPr>
                <w:p w14:paraId="7AE00B8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556" w:type="pct"/>
                  <w:vMerge w:val="continue"/>
                  <w:noWrap w:val="0"/>
                  <w:vAlign w:val="center"/>
                </w:tcPr>
                <w:p w14:paraId="27FB2E64">
                  <w:pPr>
                    <w:adjustRightInd w:val="0"/>
                    <w:snapToGrid w:val="0"/>
                    <w:jc w:val="center"/>
                    <w:rPr>
                      <w:rFonts w:hint="default" w:ascii="Times New Roman" w:hAnsi="Times New Roman" w:eastAsia="宋体" w:cs="Times New Roman"/>
                      <w:color w:val="auto"/>
                      <w:lang w:val="en-US" w:eastAsia="zh-CN"/>
                    </w:rPr>
                  </w:pPr>
                </w:p>
              </w:tc>
            </w:tr>
          </w:tbl>
          <w:p w14:paraId="3DA85AA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Cs/>
                <w:color w:val="auto"/>
                <w:sz w:val="24"/>
                <w:highlight w:val="none"/>
              </w:rPr>
            </w:pPr>
            <w:r>
              <w:rPr>
                <w:b/>
                <w:color w:val="auto"/>
                <w:sz w:val="24"/>
                <w:highlight w:val="none"/>
              </w:rPr>
              <w:t>3、主要产品及产能</w:t>
            </w:r>
          </w:p>
          <w:p w14:paraId="2099C021">
            <w:pPr>
              <w:adjustRightInd w:val="0"/>
              <w:snapToGrid w:val="0"/>
              <w:spacing w:line="360" w:lineRule="auto"/>
              <w:ind w:firstLine="480" w:firstLineChars="200"/>
              <w:rPr>
                <w:rFonts w:hint="default"/>
                <w:bCs/>
                <w:color w:val="auto"/>
                <w:sz w:val="24"/>
                <w:highlight w:val="none"/>
                <w:lang w:val="en-US" w:eastAsia="zh-CN"/>
              </w:rPr>
            </w:pPr>
            <w:r>
              <w:rPr>
                <w:bCs/>
                <w:color w:val="auto"/>
                <w:sz w:val="24"/>
                <w:highlight w:val="none"/>
              </w:rPr>
              <w:t>本</w:t>
            </w:r>
            <w:r>
              <w:rPr>
                <w:rFonts w:hint="eastAsia"/>
                <w:bCs/>
                <w:color w:val="auto"/>
                <w:sz w:val="24"/>
                <w:highlight w:val="none"/>
              </w:rPr>
              <w:t>项目</w:t>
            </w:r>
            <w:r>
              <w:rPr>
                <w:rFonts w:hint="eastAsia"/>
                <w:bCs/>
                <w:color w:val="auto"/>
                <w:sz w:val="24"/>
                <w:highlight w:val="none"/>
                <w:lang w:val="en-US" w:eastAsia="zh-CN"/>
              </w:rPr>
              <w:t>年产泡沫箱1800万个，其中，一期工程生产规模为年产600万个泡沫箱，二期工程生产规模为年产1200万个泡沫箱。具体详见下表。</w:t>
            </w:r>
          </w:p>
          <w:p w14:paraId="579D6938">
            <w:pPr>
              <w:adjustRightInd w:val="0"/>
              <w:snapToGrid w:val="0"/>
              <w:ind w:firstLine="420" w:firstLineChars="200"/>
              <w:rPr>
                <w:b/>
                <w:bCs/>
                <w:color w:val="auto"/>
                <w:szCs w:val="21"/>
                <w:highlight w:val="none"/>
              </w:rPr>
            </w:pPr>
            <w:r>
              <w:rPr>
                <w:color w:val="auto"/>
                <w:szCs w:val="21"/>
                <w:highlight w:val="none"/>
              </w:rPr>
              <w:t>表2-</w:t>
            </w:r>
            <w:r>
              <w:rPr>
                <w:rFonts w:hint="eastAsia"/>
                <w:color w:val="auto"/>
                <w:szCs w:val="21"/>
                <w:highlight w:val="none"/>
                <w:lang w:val="en-US" w:eastAsia="zh-CN"/>
              </w:rPr>
              <w:t>3</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b/>
                <w:bCs/>
                <w:color w:val="auto"/>
                <w:szCs w:val="21"/>
                <w:highlight w:val="none"/>
              </w:rPr>
              <w:t xml:space="preserve">    </w:t>
            </w:r>
            <w:r>
              <w:rPr>
                <w:b/>
                <w:bCs/>
                <w:color w:val="auto"/>
                <w:sz w:val="24"/>
                <w:highlight w:val="none"/>
              </w:rPr>
              <w:t>主要产品一览表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37"/>
              <w:gridCol w:w="1123"/>
              <w:gridCol w:w="983"/>
              <w:gridCol w:w="1031"/>
              <w:gridCol w:w="1167"/>
              <w:gridCol w:w="2128"/>
              <w:gridCol w:w="760"/>
            </w:tblGrid>
            <w:tr w14:paraId="37AFE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noWrap w:val="0"/>
                  <w:vAlign w:val="center"/>
                </w:tcPr>
                <w:p w14:paraId="7B45692F">
                  <w:pPr>
                    <w:adjustRightInd w:val="0"/>
                    <w:snapToGrid w:val="0"/>
                    <w:jc w:val="center"/>
                    <w:rPr>
                      <w:b/>
                      <w:bCs/>
                      <w:snapToGrid w:val="0"/>
                      <w:color w:val="auto"/>
                      <w:kern w:val="0"/>
                      <w:szCs w:val="21"/>
                      <w:highlight w:val="none"/>
                    </w:rPr>
                  </w:pPr>
                  <w:r>
                    <w:rPr>
                      <w:b/>
                      <w:color w:val="auto"/>
                      <w:szCs w:val="21"/>
                      <w:highlight w:val="none"/>
                    </w:rPr>
                    <w:t>序号</w:t>
                  </w:r>
                </w:p>
              </w:tc>
              <w:tc>
                <w:tcPr>
                  <w:tcW w:w="441" w:type="pct"/>
                  <w:noWrap w:val="0"/>
                  <w:vAlign w:val="center"/>
                </w:tcPr>
                <w:p w14:paraId="5C88F843">
                  <w:pPr>
                    <w:adjustRightInd w:val="0"/>
                    <w:snapToGrid w:val="0"/>
                    <w:jc w:val="center"/>
                    <w:rPr>
                      <w:rFonts w:hint="eastAsia" w:eastAsia="宋体"/>
                      <w:b/>
                      <w:color w:val="auto"/>
                      <w:szCs w:val="21"/>
                      <w:highlight w:val="none"/>
                      <w:lang w:val="en-US" w:eastAsia="zh-CN"/>
                    </w:rPr>
                  </w:pPr>
                  <w:r>
                    <w:rPr>
                      <w:rFonts w:hint="eastAsia"/>
                      <w:b/>
                      <w:color w:val="auto"/>
                      <w:szCs w:val="21"/>
                      <w:highlight w:val="none"/>
                      <w:lang w:val="en-US" w:eastAsia="zh-CN"/>
                    </w:rPr>
                    <w:t>产品名称</w:t>
                  </w:r>
                </w:p>
              </w:tc>
              <w:tc>
                <w:tcPr>
                  <w:tcW w:w="672" w:type="pct"/>
                  <w:noWrap w:val="0"/>
                  <w:vAlign w:val="center"/>
                </w:tcPr>
                <w:p w14:paraId="2B3D4E32">
                  <w:pPr>
                    <w:adjustRightInd w:val="0"/>
                    <w:snapToGrid w:val="0"/>
                    <w:jc w:val="center"/>
                    <w:rPr>
                      <w:rFonts w:hint="eastAsia" w:eastAsia="宋体"/>
                      <w:b/>
                      <w:color w:val="auto"/>
                      <w:szCs w:val="21"/>
                      <w:highlight w:val="none"/>
                      <w:lang w:val="en-US" w:eastAsia="zh-CN"/>
                    </w:rPr>
                  </w:pPr>
                  <w:r>
                    <w:rPr>
                      <w:rFonts w:hint="eastAsia"/>
                      <w:b/>
                      <w:color w:val="auto"/>
                      <w:szCs w:val="21"/>
                      <w:highlight w:val="none"/>
                      <w:lang w:val="en-US" w:eastAsia="zh-CN"/>
                    </w:rPr>
                    <w:t>规格（cm）</w:t>
                  </w:r>
                </w:p>
              </w:tc>
              <w:tc>
                <w:tcPr>
                  <w:tcW w:w="588" w:type="pct"/>
                  <w:noWrap w:val="0"/>
                  <w:vAlign w:val="center"/>
                </w:tcPr>
                <w:p w14:paraId="337A84E9">
                  <w:pPr>
                    <w:adjustRightInd w:val="0"/>
                    <w:snapToGrid w:val="0"/>
                    <w:jc w:val="center"/>
                    <w:rPr>
                      <w:rFonts w:hint="default"/>
                      <w:b/>
                      <w:color w:val="auto"/>
                      <w:szCs w:val="21"/>
                      <w:highlight w:val="none"/>
                      <w:lang w:val="en-US" w:eastAsia="zh-CN"/>
                    </w:rPr>
                  </w:pPr>
                  <w:r>
                    <w:rPr>
                      <w:rFonts w:hint="eastAsia"/>
                      <w:b/>
                      <w:color w:val="auto"/>
                      <w:szCs w:val="21"/>
                      <w:highlight w:val="none"/>
                      <w:lang w:val="en-US" w:eastAsia="zh-CN"/>
                    </w:rPr>
                    <w:t>堆放位置</w:t>
                  </w:r>
                </w:p>
              </w:tc>
              <w:tc>
                <w:tcPr>
                  <w:tcW w:w="617" w:type="pct"/>
                  <w:noWrap w:val="0"/>
                  <w:vAlign w:val="center"/>
                </w:tcPr>
                <w:p w14:paraId="2656A969">
                  <w:pPr>
                    <w:adjustRightInd w:val="0"/>
                    <w:snapToGrid w:val="0"/>
                    <w:jc w:val="center"/>
                    <w:rPr>
                      <w:rFonts w:hint="default"/>
                      <w:b/>
                      <w:color w:val="auto"/>
                      <w:szCs w:val="21"/>
                      <w:highlight w:val="none"/>
                      <w:lang w:val="en-US" w:eastAsia="zh-CN"/>
                    </w:rPr>
                  </w:pPr>
                  <w:r>
                    <w:rPr>
                      <w:rFonts w:hint="eastAsia"/>
                      <w:b/>
                      <w:color w:val="auto"/>
                      <w:szCs w:val="21"/>
                      <w:highlight w:val="none"/>
                      <w:lang w:val="en-US" w:eastAsia="zh-CN"/>
                    </w:rPr>
                    <w:t>年产量</w:t>
                  </w:r>
                </w:p>
              </w:tc>
              <w:tc>
                <w:tcPr>
                  <w:tcW w:w="698" w:type="pct"/>
                  <w:noWrap w:val="0"/>
                  <w:vAlign w:val="center"/>
                </w:tcPr>
                <w:p w14:paraId="3539CE39">
                  <w:pPr>
                    <w:adjustRightInd w:val="0"/>
                    <w:snapToGrid w:val="0"/>
                    <w:jc w:val="center"/>
                    <w:rPr>
                      <w:color w:val="auto"/>
                      <w:szCs w:val="21"/>
                      <w:highlight w:val="none"/>
                    </w:rPr>
                  </w:pPr>
                  <w:r>
                    <w:rPr>
                      <w:b/>
                      <w:color w:val="auto"/>
                      <w:szCs w:val="21"/>
                      <w:highlight w:val="none"/>
                    </w:rPr>
                    <w:t>产品名称</w:t>
                  </w:r>
                </w:p>
              </w:tc>
              <w:tc>
                <w:tcPr>
                  <w:tcW w:w="1273" w:type="pct"/>
                  <w:noWrap w:val="0"/>
                  <w:vAlign w:val="center"/>
                </w:tcPr>
                <w:p w14:paraId="200EA6D6">
                  <w:pPr>
                    <w:adjustRightInd w:val="0"/>
                    <w:snapToGrid w:val="0"/>
                    <w:jc w:val="center"/>
                    <w:rPr>
                      <w:rFonts w:hint="default" w:eastAsia="宋体"/>
                      <w:b/>
                      <w:color w:val="auto"/>
                      <w:szCs w:val="21"/>
                      <w:highlight w:val="none"/>
                      <w:lang w:val="en-US" w:eastAsia="zh-CN"/>
                    </w:rPr>
                  </w:pPr>
                  <w:r>
                    <w:rPr>
                      <w:rFonts w:hint="eastAsia"/>
                      <w:b/>
                      <w:color w:val="auto"/>
                      <w:szCs w:val="21"/>
                      <w:highlight w:val="none"/>
                      <w:lang w:val="en-US" w:eastAsia="zh-CN"/>
                    </w:rPr>
                    <w:t>产品用途</w:t>
                  </w:r>
                </w:p>
              </w:tc>
              <w:tc>
                <w:tcPr>
                  <w:tcW w:w="451" w:type="pct"/>
                  <w:noWrap w:val="0"/>
                  <w:vAlign w:val="center"/>
                </w:tcPr>
                <w:p w14:paraId="4936DD09">
                  <w:pPr>
                    <w:adjustRightInd w:val="0"/>
                    <w:snapToGrid w:val="0"/>
                    <w:jc w:val="center"/>
                    <w:rPr>
                      <w:rFonts w:hint="eastAsia" w:eastAsia="宋体"/>
                      <w:b/>
                      <w:bCs/>
                      <w:snapToGrid w:val="0"/>
                      <w:color w:val="auto"/>
                      <w:kern w:val="0"/>
                      <w:szCs w:val="21"/>
                      <w:highlight w:val="none"/>
                      <w:lang w:eastAsia="zh-CN"/>
                    </w:rPr>
                  </w:pPr>
                  <w:r>
                    <w:rPr>
                      <w:rFonts w:hint="eastAsia"/>
                      <w:b/>
                      <w:color w:val="auto"/>
                      <w:szCs w:val="21"/>
                      <w:highlight w:val="none"/>
                      <w:lang w:val="en-US" w:eastAsia="zh-CN"/>
                    </w:rPr>
                    <w:t>备注</w:t>
                  </w:r>
                </w:p>
              </w:tc>
            </w:tr>
            <w:tr w14:paraId="05E93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noWrap w:val="0"/>
                  <w:vAlign w:val="center"/>
                </w:tcPr>
                <w:p w14:paraId="658A0DDA">
                  <w:pPr>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1</w:t>
                  </w:r>
                </w:p>
              </w:tc>
              <w:tc>
                <w:tcPr>
                  <w:tcW w:w="441" w:type="pct"/>
                  <w:noWrap w:val="0"/>
                  <w:vAlign w:val="center"/>
                </w:tcPr>
                <w:p w14:paraId="009F0ACB">
                  <w:pPr>
                    <w:adjustRightInd w:val="0"/>
                    <w:snapToGrid w:val="0"/>
                    <w:jc w:val="center"/>
                    <w:rPr>
                      <w:rFonts w:hint="eastAsia"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泡沫箱</w:t>
                  </w:r>
                </w:p>
              </w:tc>
              <w:tc>
                <w:tcPr>
                  <w:tcW w:w="672" w:type="pct"/>
                  <w:noWrap w:val="0"/>
                  <w:vAlign w:val="center"/>
                </w:tcPr>
                <w:p w14:paraId="60004DE3">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val="en-US" w:eastAsia="zh-CN"/>
                    </w:rPr>
                    <w:t>43×32×14</w:t>
                  </w:r>
                </w:p>
                <w:p w14:paraId="7808772D">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lang w:val="en-US" w:eastAsia="zh-CN"/>
                    </w:rPr>
                    <w:t>43×32×16</w:t>
                  </w:r>
                </w:p>
                <w:p w14:paraId="0C6A233B">
                  <w:pPr>
                    <w:adjustRightInd w:val="0"/>
                    <w:snapToGrid w:val="0"/>
                    <w:jc w:val="center"/>
                    <w:rPr>
                      <w:rFonts w:hint="eastAsia"/>
                      <w:snapToGrid w:val="0"/>
                      <w:color w:val="auto"/>
                      <w:kern w:val="0"/>
                      <w:szCs w:val="21"/>
                      <w:highlight w:val="none"/>
                    </w:rPr>
                  </w:pPr>
                  <w:r>
                    <w:rPr>
                      <w:rFonts w:hint="default" w:ascii="Times New Roman" w:hAnsi="Times New Roman" w:cs="Times New Roman"/>
                      <w:snapToGrid w:val="0"/>
                      <w:color w:val="auto"/>
                      <w:kern w:val="0"/>
                      <w:szCs w:val="21"/>
                      <w:highlight w:val="none"/>
                      <w:lang w:val="en-US" w:eastAsia="zh-CN"/>
                    </w:rPr>
                    <w:t>43×32×18</w:t>
                  </w:r>
                </w:p>
              </w:tc>
              <w:tc>
                <w:tcPr>
                  <w:tcW w:w="588" w:type="pct"/>
                  <w:noWrap w:val="0"/>
                  <w:vAlign w:val="center"/>
                </w:tcPr>
                <w:p w14:paraId="7461E466">
                  <w:pPr>
                    <w:adjustRightInd w:val="0"/>
                    <w:snapToGrid w:val="0"/>
                    <w:jc w:val="center"/>
                    <w:rPr>
                      <w:rFonts w:hint="default" w:ascii="Times New Roman" w:hAnsi="Times New Roman" w:cs="Times New Roman"/>
                      <w:snapToGrid w:val="0"/>
                      <w:color w:val="auto"/>
                      <w:kern w:val="0"/>
                      <w:szCs w:val="21"/>
                      <w:highlight w:val="none"/>
                      <w:lang w:val="en-US" w:eastAsia="zh-CN"/>
                    </w:rPr>
                  </w:pPr>
                  <w:r>
                    <w:rPr>
                      <w:rFonts w:hint="eastAsia" w:ascii="Times New Roman" w:hAnsi="Times New Roman" w:cs="Times New Roman"/>
                      <w:snapToGrid w:val="0"/>
                      <w:color w:val="auto"/>
                      <w:kern w:val="0"/>
                      <w:szCs w:val="21"/>
                      <w:highlight w:val="none"/>
                      <w:lang w:val="en-US" w:eastAsia="zh-CN"/>
                    </w:rPr>
                    <w:t>厂区东南侧原料及成品仓库</w:t>
                  </w:r>
                </w:p>
              </w:tc>
              <w:tc>
                <w:tcPr>
                  <w:tcW w:w="617" w:type="pct"/>
                  <w:noWrap w:val="0"/>
                  <w:vAlign w:val="center"/>
                </w:tcPr>
                <w:p w14:paraId="52CCABD5">
                  <w:pPr>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lang w:val="en-US" w:eastAsia="zh-CN"/>
                    </w:rPr>
                    <w:t>一期年产600万个，二期1200万个</w:t>
                  </w:r>
                </w:p>
              </w:tc>
              <w:tc>
                <w:tcPr>
                  <w:tcW w:w="698" w:type="pct"/>
                  <w:noWrap w:val="0"/>
                  <w:vAlign w:val="center"/>
                </w:tcPr>
                <w:p w14:paraId="4F4EDDCD">
                  <w:pPr>
                    <w:adjustRightInd w:val="0"/>
                    <w:snapToGrid w:val="0"/>
                    <w:jc w:val="center"/>
                    <w:rPr>
                      <w:color w:val="auto"/>
                      <w:szCs w:val="21"/>
                      <w:highlight w:val="none"/>
                    </w:rPr>
                  </w:pPr>
                  <w:r>
                    <w:rPr>
                      <w:rFonts w:hint="eastAsia"/>
                      <w:bCs/>
                      <w:color w:val="auto"/>
                      <w:szCs w:val="21"/>
                      <w:highlight w:val="none"/>
                    </w:rPr>
                    <w:t>EPS保温箱</w:t>
                  </w:r>
                </w:p>
              </w:tc>
              <w:tc>
                <w:tcPr>
                  <w:tcW w:w="1273" w:type="pct"/>
                  <w:noWrap w:val="0"/>
                  <w:vAlign w:val="center"/>
                </w:tcPr>
                <w:p w14:paraId="78066DD8">
                  <w:pPr>
                    <w:adjustRightInd w:val="0"/>
                    <w:snapToGrid w:val="0"/>
                    <w:jc w:val="center"/>
                    <w:rPr>
                      <w:rFonts w:hint="eastAsia"/>
                      <w:bCs/>
                      <w:color w:val="auto"/>
                      <w:szCs w:val="21"/>
                      <w:highlight w:val="none"/>
                    </w:rPr>
                  </w:pPr>
                  <w:r>
                    <w:rPr>
                      <w:rFonts w:hint="eastAsia"/>
                      <w:bCs/>
                      <w:color w:val="auto"/>
                      <w:szCs w:val="21"/>
                      <w:highlight w:val="none"/>
                      <w:lang w:val="en-US" w:eastAsia="zh-CN"/>
                    </w:rPr>
                    <w:t>可发性聚苯乙烯（EPS）泡沫塑料制成的外包装容器，主要用于防震包装、冷藏运输等领域</w:t>
                  </w:r>
                </w:p>
              </w:tc>
              <w:tc>
                <w:tcPr>
                  <w:tcW w:w="451" w:type="pct"/>
                  <w:noWrap w:val="0"/>
                  <w:vAlign w:val="center"/>
                </w:tcPr>
                <w:p w14:paraId="0954107B">
                  <w:pPr>
                    <w:adjustRightInd w:val="0"/>
                    <w:snapToGrid w:val="0"/>
                    <w:jc w:val="center"/>
                    <w:rPr>
                      <w:rFonts w:hint="default"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约71g/个</w:t>
                  </w:r>
                </w:p>
              </w:tc>
            </w:tr>
            <w:tr w14:paraId="43CAC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8"/>
                  <w:noWrap w:val="0"/>
                  <w:vAlign w:val="center"/>
                </w:tcPr>
                <w:p w14:paraId="410190FA">
                  <w:pPr>
                    <w:adjustRightInd w:val="0"/>
                    <w:snapToGrid w:val="0"/>
                    <w:jc w:val="left"/>
                    <w:rPr>
                      <w:rFonts w:hint="default"/>
                      <w:bCs/>
                      <w:color w:val="auto"/>
                      <w:szCs w:val="21"/>
                      <w:highlight w:val="none"/>
                      <w:lang w:val="en-US" w:eastAsia="zh-CN"/>
                    </w:rPr>
                  </w:pPr>
                  <w:r>
                    <w:rPr>
                      <w:rFonts w:hint="eastAsia"/>
                      <w:bCs/>
                      <w:color w:val="auto"/>
                      <w:szCs w:val="21"/>
                      <w:highlight w:val="none"/>
                      <w:lang w:val="en-US" w:eastAsia="zh-CN"/>
                    </w:rPr>
                    <w:t>注：产品规格根据客户需求调整</w:t>
                  </w:r>
                  <w:r>
                    <w:rPr>
                      <w:rFonts w:hint="eastAsia"/>
                      <w:color w:val="auto"/>
                      <w:lang w:eastAsia="zh-CN"/>
                    </w:rPr>
                    <w:t>，</w:t>
                  </w:r>
                  <w:r>
                    <w:rPr>
                      <w:rFonts w:hint="eastAsia"/>
                      <w:color w:val="auto"/>
                      <w:lang w:val="en-US" w:eastAsia="zh-CN"/>
                    </w:rPr>
                    <w:t>允许偏差应符合</w:t>
                  </w:r>
                  <w:r>
                    <w:rPr>
                      <w:rFonts w:hint="eastAsia"/>
                      <w:bCs/>
                      <w:color w:val="auto"/>
                      <w:szCs w:val="21"/>
                      <w:highlight w:val="none"/>
                      <w:lang w:val="en-US" w:eastAsia="zh-CN"/>
                    </w:rPr>
                    <w:t>《绝热用模塑聚苯乙烯泡沫塑料（EPS）》（GB/T10801.1-2021）中表2的规定。</w:t>
                  </w:r>
                </w:p>
              </w:tc>
            </w:tr>
          </w:tbl>
          <w:p w14:paraId="5F03C819">
            <w:pPr>
              <w:autoSpaceDE w:val="0"/>
              <w:autoSpaceDN w:val="0"/>
              <w:adjustRightInd w:val="0"/>
              <w:snapToGrid w:val="0"/>
              <w:spacing w:line="360" w:lineRule="auto"/>
              <w:ind w:firstLine="482" w:firstLineChars="200"/>
              <w:rPr>
                <w:rFonts w:hint="default" w:ascii="Times New Roman" w:hAnsi="Times New Roman" w:eastAsia="宋体" w:cs="Times New Roman"/>
                <w:b/>
                <w:color w:val="auto"/>
                <w:kern w:val="0"/>
                <w:sz w:val="24"/>
                <w:lang w:val="en-US" w:eastAsia="zh-CN"/>
              </w:rPr>
            </w:pPr>
            <w:r>
              <w:rPr>
                <w:rFonts w:hint="eastAsia" w:ascii="Times New Roman" w:hAnsi="Times New Roman" w:eastAsia="宋体" w:cs="Times New Roman"/>
                <w:b/>
                <w:color w:val="auto"/>
                <w:kern w:val="0"/>
                <w:sz w:val="24"/>
                <w:lang w:val="en-US" w:eastAsia="zh-CN"/>
              </w:rPr>
              <w:t>4</w:t>
            </w:r>
            <w:r>
              <w:rPr>
                <w:rFonts w:hint="default" w:ascii="Times New Roman" w:hAnsi="Times New Roman" w:eastAsia="宋体" w:cs="Times New Roman"/>
                <w:b/>
                <w:color w:val="auto"/>
                <w:kern w:val="0"/>
                <w:sz w:val="24"/>
              </w:rPr>
              <w:t>、</w:t>
            </w:r>
            <w:r>
              <w:rPr>
                <w:rFonts w:hint="eastAsia" w:ascii="Times New Roman" w:hAnsi="Times New Roman" w:eastAsia="宋体" w:cs="Times New Roman"/>
                <w:b/>
                <w:color w:val="auto"/>
                <w:kern w:val="0"/>
                <w:sz w:val="24"/>
                <w:lang w:val="en-US" w:eastAsia="zh-CN"/>
              </w:rPr>
              <w:t>主要原辅材料及用量</w:t>
            </w:r>
          </w:p>
          <w:p w14:paraId="0A73E17A">
            <w:pPr>
              <w:adjustRightInd w:val="0"/>
              <w:snapToGrid w:val="0"/>
              <w:ind w:firstLine="420" w:firstLineChars="200"/>
              <w:rPr>
                <w:b/>
                <w:color w:val="auto"/>
                <w:szCs w:val="21"/>
                <w:highlight w:val="none"/>
              </w:rPr>
            </w:pPr>
            <w:r>
              <w:rPr>
                <w:color w:val="auto"/>
                <w:szCs w:val="21"/>
                <w:highlight w:val="none"/>
              </w:rPr>
              <w:t>表2-</w:t>
            </w:r>
            <w:r>
              <w:rPr>
                <w:rFonts w:hint="eastAsia"/>
                <w:color w:val="auto"/>
                <w:szCs w:val="21"/>
                <w:highlight w:val="none"/>
                <w:lang w:val="en-US" w:eastAsia="zh-CN"/>
              </w:rPr>
              <w:t>4</w:t>
            </w:r>
            <w:r>
              <w:rPr>
                <w:b/>
                <w:color w:val="auto"/>
                <w:szCs w:val="21"/>
                <w:highlight w:val="none"/>
              </w:rPr>
              <w:t xml:space="preserve">            </w:t>
            </w:r>
            <w:r>
              <w:rPr>
                <w:rFonts w:hint="eastAsia"/>
                <w:b/>
                <w:color w:val="auto"/>
                <w:szCs w:val="21"/>
                <w:highlight w:val="none"/>
              </w:rPr>
              <w:t xml:space="preserve">    </w:t>
            </w:r>
            <w:r>
              <w:rPr>
                <w:b/>
                <w:color w:val="auto"/>
                <w:szCs w:val="21"/>
                <w:highlight w:val="none"/>
              </w:rPr>
              <w:t xml:space="preserve"> </w:t>
            </w:r>
            <w:r>
              <w:rPr>
                <w:b/>
                <w:color w:val="auto"/>
                <w:sz w:val="24"/>
                <w:highlight w:val="none"/>
              </w:rPr>
              <w:t>项目主要原辅材料一览表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98"/>
              <w:gridCol w:w="1505"/>
              <w:gridCol w:w="1505"/>
              <w:gridCol w:w="1505"/>
              <w:gridCol w:w="1013"/>
              <w:gridCol w:w="988"/>
            </w:tblGrid>
            <w:tr w14:paraId="3AB33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noWrap w:val="0"/>
                  <w:vAlign w:val="center"/>
                </w:tcPr>
                <w:p w14:paraId="2743597A">
                  <w:pPr>
                    <w:adjustRightInd w:val="0"/>
                    <w:snapToGrid w:val="0"/>
                    <w:jc w:val="center"/>
                    <w:rPr>
                      <w:b/>
                      <w:bCs/>
                      <w:color w:val="auto"/>
                      <w:sz w:val="21"/>
                      <w:szCs w:val="21"/>
                      <w:highlight w:val="none"/>
                    </w:rPr>
                  </w:pPr>
                  <w:r>
                    <w:rPr>
                      <w:b/>
                      <w:bCs/>
                      <w:color w:val="auto"/>
                      <w:sz w:val="21"/>
                      <w:szCs w:val="21"/>
                      <w:highlight w:val="none"/>
                    </w:rPr>
                    <w:t>项目</w:t>
                  </w:r>
                </w:p>
              </w:tc>
              <w:tc>
                <w:tcPr>
                  <w:tcW w:w="661" w:type="pct"/>
                  <w:noWrap w:val="0"/>
                  <w:vAlign w:val="center"/>
                </w:tcPr>
                <w:p w14:paraId="6CF2D90E">
                  <w:pPr>
                    <w:adjustRightInd w:val="0"/>
                    <w:snapToGrid w:val="0"/>
                    <w:jc w:val="center"/>
                    <w:rPr>
                      <w:b/>
                      <w:bCs/>
                      <w:color w:val="auto"/>
                      <w:sz w:val="21"/>
                      <w:szCs w:val="21"/>
                      <w:highlight w:val="none"/>
                    </w:rPr>
                  </w:pPr>
                  <w:r>
                    <w:rPr>
                      <w:b/>
                      <w:bCs/>
                      <w:color w:val="auto"/>
                      <w:sz w:val="21"/>
                      <w:szCs w:val="21"/>
                      <w:highlight w:val="none"/>
                    </w:rPr>
                    <w:t>名称</w:t>
                  </w:r>
                </w:p>
              </w:tc>
              <w:tc>
                <w:tcPr>
                  <w:tcW w:w="710" w:type="pct"/>
                  <w:noWrap w:val="0"/>
                  <w:vAlign w:val="center"/>
                </w:tcPr>
                <w:p w14:paraId="48253539">
                  <w:pPr>
                    <w:adjustRightInd w:val="0"/>
                    <w:snapToGrid w:val="0"/>
                    <w:jc w:val="center"/>
                    <w:rPr>
                      <w:b/>
                      <w:bCs/>
                      <w:color w:val="auto"/>
                      <w:sz w:val="21"/>
                      <w:szCs w:val="21"/>
                      <w:highlight w:val="none"/>
                    </w:rPr>
                  </w:pPr>
                  <w:r>
                    <w:rPr>
                      <w:rFonts w:hint="eastAsia"/>
                      <w:b/>
                      <w:bCs/>
                      <w:color w:val="auto"/>
                      <w:sz w:val="21"/>
                      <w:szCs w:val="21"/>
                      <w:highlight w:val="none"/>
                      <w:lang w:val="en-US" w:eastAsia="zh-CN"/>
                    </w:rPr>
                    <w:t>一期</w:t>
                  </w:r>
                  <w:r>
                    <w:rPr>
                      <w:b/>
                      <w:bCs/>
                      <w:color w:val="auto"/>
                      <w:sz w:val="21"/>
                      <w:szCs w:val="21"/>
                      <w:highlight w:val="none"/>
                    </w:rPr>
                    <w:t>消耗量（t/a）</w:t>
                  </w:r>
                </w:p>
              </w:tc>
              <w:tc>
                <w:tcPr>
                  <w:tcW w:w="738" w:type="pct"/>
                  <w:noWrap w:val="0"/>
                  <w:vAlign w:val="center"/>
                </w:tcPr>
                <w:p w14:paraId="49756077">
                  <w:pPr>
                    <w:adjustRightInd w:val="0"/>
                    <w:snapToGrid w:val="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二期</w:t>
                  </w:r>
                  <w:r>
                    <w:rPr>
                      <w:b/>
                      <w:bCs/>
                      <w:color w:val="auto"/>
                      <w:sz w:val="21"/>
                      <w:szCs w:val="21"/>
                      <w:highlight w:val="none"/>
                    </w:rPr>
                    <w:t>消耗量（t/a）</w:t>
                  </w:r>
                </w:p>
              </w:tc>
              <w:tc>
                <w:tcPr>
                  <w:tcW w:w="955" w:type="pct"/>
                  <w:noWrap w:val="0"/>
                  <w:vAlign w:val="center"/>
                </w:tcPr>
                <w:p w14:paraId="5034D721">
                  <w:pPr>
                    <w:adjustRightInd w:val="0"/>
                    <w:snapToGrid w:val="0"/>
                    <w:jc w:val="center"/>
                    <w:rPr>
                      <w:rFonts w:hint="eastAsia"/>
                      <w:b/>
                      <w:bCs/>
                      <w:color w:val="auto"/>
                      <w:sz w:val="21"/>
                      <w:szCs w:val="21"/>
                      <w:highlight w:val="none"/>
                      <w:lang w:val="en-US" w:eastAsia="zh-CN"/>
                    </w:rPr>
                  </w:pPr>
                  <w:r>
                    <w:rPr>
                      <w:rFonts w:hint="eastAsia" w:cs="Times New Roman"/>
                      <w:b/>
                      <w:color w:val="auto"/>
                      <w:sz w:val="21"/>
                      <w:szCs w:val="21"/>
                      <w:lang w:val="en-US" w:eastAsia="zh-CN"/>
                    </w:rPr>
                    <w:t>二期建成后</w:t>
                  </w:r>
                  <w:r>
                    <w:rPr>
                      <w:rFonts w:hint="eastAsia" w:eastAsia="宋体" w:cs="Times New Roman"/>
                      <w:b/>
                      <w:color w:val="auto"/>
                      <w:sz w:val="21"/>
                      <w:szCs w:val="21"/>
                      <w:lang w:val="en-US" w:eastAsia="zh-CN"/>
                    </w:rPr>
                    <w:t>全厂</w:t>
                  </w:r>
                  <w:r>
                    <w:rPr>
                      <w:rFonts w:hint="default" w:ascii="Times New Roman" w:hAnsi="Times New Roman" w:eastAsia="宋体" w:cs="Times New Roman"/>
                      <w:b/>
                      <w:color w:val="auto"/>
                      <w:sz w:val="21"/>
                      <w:szCs w:val="21"/>
                    </w:rPr>
                    <w:t>消耗量</w:t>
                  </w:r>
                  <w:r>
                    <w:rPr>
                      <w:b/>
                      <w:bCs/>
                      <w:color w:val="auto"/>
                      <w:sz w:val="21"/>
                      <w:szCs w:val="21"/>
                      <w:highlight w:val="none"/>
                    </w:rPr>
                    <w:t>（t/a）</w:t>
                  </w:r>
                </w:p>
              </w:tc>
              <w:tc>
                <w:tcPr>
                  <w:tcW w:w="720" w:type="pct"/>
                  <w:noWrap w:val="0"/>
                  <w:vAlign w:val="center"/>
                </w:tcPr>
                <w:p w14:paraId="3F81CBFC">
                  <w:pPr>
                    <w:adjustRightInd w:val="0"/>
                    <w:snapToGrid w:val="0"/>
                    <w:jc w:val="center"/>
                    <w:rPr>
                      <w:b/>
                      <w:bCs/>
                      <w:color w:val="auto"/>
                      <w:sz w:val="21"/>
                      <w:szCs w:val="21"/>
                      <w:highlight w:val="none"/>
                    </w:rPr>
                  </w:pPr>
                  <w:r>
                    <w:rPr>
                      <w:b/>
                      <w:bCs/>
                      <w:color w:val="auto"/>
                      <w:sz w:val="21"/>
                      <w:szCs w:val="21"/>
                      <w:highlight w:val="none"/>
                    </w:rPr>
                    <w:t>贮存方式</w:t>
                  </w:r>
                </w:p>
              </w:tc>
              <w:tc>
                <w:tcPr>
                  <w:tcW w:w="661" w:type="pct"/>
                  <w:noWrap w:val="0"/>
                  <w:vAlign w:val="center"/>
                </w:tcPr>
                <w:p w14:paraId="77409BF4">
                  <w:pPr>
                    <w:adjustRightInd w:val="0"/>
                    <w:snapToGrid w:val="0"/>
                    <w:jc w:val="center"/>
                    <w:rPr>
                      <w:b/>
                      <w:bCs/>
                      <w:color w:val="auto"/>
                      <w:sz w:val="21"/>
                      <w:szCs w:val="21"/>
                      <w:highlight w:val="none"/>
                    </w:rPr>
                  </w:pPr>
                  <w:r>
                    <w:rPr>
                      <w:b/>
                      <w:bCs/>
                      <w:color w:val="auto"/>
                      <w:sz w:val="21"/>
                      <w:szCs w:val="21"/>
                      <w:highlight w:val="none"/>
                    </w:rPr>
                    <w:t>备注</w:t>
                  </w:r>
                </w:p>
              </w:tc>
            </w:tr>
            <w:tr w14:paraId="190E8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noWrap w:val="0"/>
                  <w:vAlign w:val="center"/>
                </w:tcPr>
                <w:p w14:paraId="388947A0">
                  <w:pPr>
                    <w:adjustRightInd w:val="0"/>
                    <w:snapToGrid w:val="0"/>
                    <w:jc w:val="center"/>
                    <w:rPr>
                      <w:bCs/>
                      <w:color w:val="auto"/>
                      <w:sz w:val="21"/>
                      <w:szCs w:val="21"/>
                      <w:highlight w:val="none"/>
                    </w:rPr>
                  </w:pPr>
                  <w:r>
                    <w:rPr>
                      <w:bCs/>
                      <w:color w:val="auto"/>
                      <w:sz w:val="21"/>
                      <w:szCs w:val="21"/>
                      <w:highlight w:val="none"/>
                    </w:rPr>
                    <w:t>原辅材料</w:t>
                  </w:r>
                </w:p>
              </w:tc>
              <w:tc>
                <w:tcPr>
                  <w:tcW w:w="661" w:type="pct"/>
                  <w:noWrap w:val="0"/>
                  <w:vAlign w:val="center"/>
                </w:tcPr>
                <w:p w14:paraId="53FD7F90">
                  <w:pPr>
                    <w:pStyle w:val="101"/>
                    <w:jc w:val="center"/>
                    <w:rPr>
                      <w:rFonts w:cs="Times New Roman"/>
                      <w:bCs/>
                      <w:color w:val="auto"/>
                      <w:sz w:val="21"/>
                      <w:szCs w:val="21"/>
                      <w:highlight w:val="none"/>
                    </w:rPr>
                  </w:pPr>
                  <w:r>
                    <w:rPr>
                      <w:rFonts w:hint="eastAsia"/>
                      <w:color w:val="auto"/>
                      <w:sz w:val="21"/>
                      <w:szCs w:val="21"/>
                      <w:highlight w:val="none"/>
                    </w:rPr>
                    <w:t>可发性聚苯乙烯颗粒（EPS）</w:t>
                  </w:r>
                </w:p>
              </w:tc>
              <w:tc>
                <w:tcPr>
                  <w:tcW w:w="710" w:type="pct"/>
                  <w:noWrap w:val="0"/>
                  <w:vAlign w:val="center"/>
                </w:tcPr>
                <w:p w14:paraId="1506D3C5">
                  <w:pPr>
                    <w:widowControl/>
                    <w:jc w:val="center"/>
                    <w:textAlignment w:val="center"/>
                    <w:rPr>
                      <w:rFonts w:hint="default" w:eastAsia="宋体"/>
                      <w:bCs/>
                      <w:color w:val="auto"/>
                      <w:sz w:val="21"/>
                      <w:szCs w:val="21"/>
                      <w:highlight w:val="none"/>
                      <w:lang w:val="en-US" w:eastAsia="zh-CN"/>
                    </w:rPr>
                  </w:pPr>
                  <w:r>
                    <w:rPr>
                      <w:rFonts w:hint="eastAsia"/>
                      <w:color w:val="auto"/>
                      <w:kern w:val="0"/>
                      <w:sz w:val="21"/>
                      <w:szCs w:val="21"/>
                      <w:highlight w:val="none"/>
                      <w:lang w:val="en-US" w:eastAsia="zh-CN" w:bidi="ar"/>
                    </w:rPr>
                    <w:t>428.41</w:t>
                  </w:r>
                </w:p>
              </w:tc>
              <w:tc>
                <w:tcPr>
                  <w:tcW w:w="738" w:type="pct"/>
                  <w:noWrap w:val="0"/>
                  <w:vAlign w:val="center"/>
                </w:tcPr>
                <w:p w14:paraId="3D368A27">
                  <w:pPr>
                    <w:widowControl/>
                    <w:jc w:val="center"/>
                    <w:textAlignment w:val="center"/>
                    <w:rPr>
                      <w:rFonts w:hint="default" w:eastAsia="宋体"/>
                      <w:bCs/>
                      <w:color w:val="auto"/>
                      <w:sz w:val="21"/>
                      <w:szCs w:val="21"/>
                      <w:highlight w:val="none"/>
                      <w:lang w:val="en-US" w:eastAsia="zh-CN"/>
                    </w:rPr>
                  </w:pPr>
                  <w:r>
                    <w:rPr>
                      <w:rFonts w:hint="eastAsia"/>
                      <w:color w:val="auto"/>
                      <w:kern w:val="0"/>
                      <w:sz w:val="21"/>
                      <w:szCs w:val="21"/>
                      <w:highlight w:val="none"/>
                      <w:lang w:val="en-US" w:eastAsia="zh-CN" w:bidi="ar"/>
                    </w:rPr>
                    <w:t>856.82</w:t>
                  </w:r>
                </w:p>
              </w:tc>
              <w:tc>
                <w:tcPr>
                  <w:tcW w:w="955" w:type="pct"/>
                  <w:noWrap w:val="0"/>
                  <w:vAlign w:val="center"/>
                </w:tcPr>
                <w:p w14:paraId="0109D4DA">
                  <w:pPr>
                    <w:widowControl/>
                    <w:jc w:val="center"/>
                    <w:textAlignment w:val="center"/>
                    <w:rPr>
                      <w:rFonts w:hint="default" w:eastAsia="宋体"/>
                      <w:bCs/>
                      <w:color w:val="auto"/>
                      <w:sz w:val="21"/>
                      <w:szCs w:val="21"/>
                      <w:highlight w:val="none"/>
                      <w:lang w:val="en-US" w:eastAsia="zh-CN"/>
                    </w:rPr>
                  </w:pPr>
                  <w:r>
                    <w:rPr>
                      <w:rFonts w:hint="eastAsia"/>
                      <w:color w:val="auto"/>
                      <w:kern w:val="0"/>
                      <w:sz w:val="21"/>
                      <w:szCs w:val="21"/>
                      <w:highlight w:val="none"/>
                      <w:lang w:val="en-US" w:eastAsia="zh-CN" w:bidi="ar"/>
                    </w:rPr>
                    <w:t>1285.23</w:t>
                  </w:r>
                </w:p>
              </w:tc>
              <w:tc>
                <w:tcPr>
                  <w:tcW w:w="720" w:type="pct"/>
                  <w:noWrap w:val="0"/>
                  <w:vAlign w:val="center"/>
                </w:tcPr>
                <w:p w14:paraId="0678E0BC">
                  <w:pPr>
                    <w:pStyle w:val="101"/>
                    <w:jc w:val="center"/>
                    <w:rPr>
                      <w:rFonts w:hint="default" w:eastAsia="宋体" w:cs="Times New Roman"/>
                      <w:color w:val="auto"/>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原料及成品仓库</w:t>
                  </w:r>
                  <w:r>
                    <w:rPr>
                      <w:rFonts w:hint="eastAsia" w:cs="Times New Roman"/>
                      <w:color w:val="auto"/>
                      <w:sz w:val="21"/>
                      <w:szCs w:val="21"/>
                      <w:highlight w:val="none"/>
                      <w:lang w:val="en-US" w:eastAsia="zh-CN"/>
                    </w:rPr>
                    <w:t>（原料区）</w:t>
                  </w:r>
                </w:p>
              </w:tc>
              <w:tc>
                <w:tcPr>
                  <w:tcW w:w="661" w:type="pct"/>
                  <w:noWrap w:val="0"/>
                  <w:vAlign w:val="center"/>
                </w:tcPr>
                <w:p w14:paraId="5E45D4E3">
                  <w:pPr>
                    <w:adjustRightInd w:val="0"/>
                    <w:snapToGrid w:val="0"/>
                    <w:jc w:val="center"/>
                    <w:rPr>
                      <w:bCs/>
                      <w:color w:val="auto"/>
                      <w:sz w:val="21"/>
                      <w:szCs w:val="21"/>
                      <w:highlight w:val="none"/>
                    </w:rPr>
                  </w:pPr>
                  <w:r>
                    <w:rPr>
                      <w:color w:val="auto"/>
                      <w:sz w:val="21"/>
                      <w:szCs w:val="21"/>
                      <w:highlight w:val="none"/>
                    </w:rPr>
                    <w:t>外购</w:t>
                  </w:r>
                </w:p>
              </w:tc>
            </w:tr>
            <w:tr w14:paraId="393C8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Merge w:val="restart"/>
                  <w:noWrap w:val="0"/>
                  <w:vAlign w:val="center"/>
                </w:tcPr>
                <w:p w14:paraId="788A57A2">
                  <w:pPr>
                    <w:adjustRightInd w:val="0"/>
                    <w:snapToGrid w:val="0"/>
                    <w:jc w:val="center"/>
                    <w:rPr>
                      <w:bCs/>
                      <w:color w:val="auto"/>
                      <w:sz w:val="21"/>
                      <w:szCs w:val="21"/>
                      <w:highlight w:val="none"/>
                    </w:rPr>
                  </w:pPr>
                  <w:r>
                    <w:rPr>
                      <w:bCs/>
                      <w:color w:val="auto"/>
                      <w:sz w:val="21"/>
                      <w:szCs w:val="21"/>
                      <w:highlight w:val="none"/>
                    </w:rPr>
                    <w:t>能（资）源</w:t>
                  </w:r>
                </w:p>
              </w:tc>
              <w:tc>
                <w:tcPr>
                  <w:tcW w:w="661" w:type="pct"/>
                  <w:noWrap w:val="0"/>
                  <w:vAlign w:val="center"/>
                </w:tcPr>
                <w:p w14:paraId="6DBC385D">
                  <w:pPr>
                    <w:pStyle w:val="101"/>
                    <w:jc w:val="center"/>
                    <w:rPr>
                      <w:rFonts w:cs="Times New Roman"/>
                      <w:bCs/>
                      <w:color w:val="auto"/>
                      <w:sz w:val="21"/>
                      <w:szCs w:val="21"/>
                      <w:highlight w:val="none"/>
                    </w:rPr>
                  </w:pPr>
                  <w:r>
                    <w:rPr>
                      <w:rFonts w:hint="eastAsia" w:cs="Times New Roman"/>
                      <w:bCs/>
                      <w:color w:val="auto"/>
                      <w:sz w:val="21"/>
                      <w:szCs w:val="21"/>
                      <w:highlight w:val="none"/>
                    </w:rPr>
                    <w:t>新鲜水</w:t>
                  </w:r>
                </w:p>
              </w:tc>
              <w:tc>
                <w:tcPr>
                  <w:tcW w:w="710" w:type="pct"/>
                  <w:noWrap w:val="0"/>
                  <w:vAlign w:val="center"/>
                </w:tcPr>
                <w:p w14:paraId="55D5A043">
                  <w:pPr>
                    <w:pStyle w:val="101"/>
                    <w:jc w:val="center"/>
                    <w:rPr>
                      <w:rFonts w:hint="default"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158.88</w:t>
                  </w:r>
                  <w:r>
                    <w:rPr>
                      <w:rFonts w:cs="Times New Roman"/>
                      <w:b w:val="0"/>
                      <w:bCs/>
                      <w:color w:val="auto"/>
                      <w:sz w:val="21"/>
                      <w:szCs w:val="21"/>
                      <w:highlight w:val="none"/>
                      <w:shd w:val="clear" w:color="auto" w:fill="FFFFFF"/>
                      <w:lang w:val="en-US"/>
                    </w:rPr>
                    <w:t>m</w:t>
                  </w:r>
                  <w:r>
                    <w:rPr>
                      <w:rFonts w:cs="Times New Roman"/>
                      <w:b w:val="0"/>
                      <w:bCs/>
                      <w:color w:val="auto"/>
                      <w:sz w:val="21"/>
                      <w:szCs w:val="21"/>
                      <w:highlight w:val="none"/>
                      <w:shd w:val="clear" w:color="auto" w:fill="FFFFFF"/>
                      <w:vertAlign w:val="superscript"/>
                      <w:lang w:val="en-US"/>
                    </w:rPr>
                    <w:t>3</w:t>
                  </w:r>
                  <w:r>
                    <w:rPr>
                      <w:rFonts w:cs="Times New Roman"/>
                      <w:b w:val="0"/>
                      <w:bCs/>
                      <w:color w:val="auto"/>
                      <w:sz w:val="21"/>
                      <w:szCs w:val="21"/>
                      <w:highlight w:val="none"/>
                      <w:shd w:val="clear" w:color="auto" w:fill="FFFFFF"/>
                      <w:lang w:val="en-US"/>
                    </w:rPr>
                    <w:t>/a</w:t>
                  </w:r>
                </w:p>
              </w:tc>
              <w:tc>
                <w:tcPr>
                  <w:tcW w:w="738" w:type="pct"/>
                  <w:noWrap w:val="0"/>
                  <w:vAlign w:val="center"/>
                </w:tcPr>
                <w:p w14:paraId="34C03749">
                  <w:pPr>
                    <w:pStyle w:val="101"/>
                    <w:jc w:val="center"/>
                    <w:rPr>
                      <w:rFonts w:hint="default" w:eastAsia="宋体" w:cs="Times New Roman"/>
                      <w:b/>
                      <w:bCs/>
                      <w:color w:val="auto"/>
                      <w:sz w:val="21"/>
                      <w:szCs w:val="21"/>
                      <w:highlight w:val="none"/>
                      <w:lang w:val="en-US" w:eastAsia="zh-CN"/>
                    </w:rPr>
                  </w:pPr>
                  <w:r>
                    <w:rPr>
                      <w:rFonts w:hint="eastAsia" w:cs="Times New Roman"/>
                      <w:color w:val="auto"/>
                      <w:sz w:val="21"/>
                      <w:szCs w:val="21"/>
                      <w:highlight w:val="none"/>
                      <w:lang w:val="en-US" w:eastAsia="zh-CN"/>
                    </w:rPr>
                    <w:t>371.52</w:t>
                  </w:r>
                  <w:r>
                    <w:rPr>
                      <w:rFonts w:cs="Times New Roman"/>
                      <w:b w:val="0"/>
                      <w:bCs/>
                      <w:color w:val="auto"/>
                      <w:sz w:val="21"/>
                      <w:szCs w:val="21"/>
                      <w:highlight w:val="none"/>
                      <w:shd w:val="clear" w:color="auto" w:fill="FFFFFF"/>
                      <w:lang w:val="en-US"/>
                    </w:rPr>
                    <w:t>m</w:t>
                  </w:r>
                  <w:r>
                    <w:rPr>
                      <w:rFonts w:cs="Times New Roman"/>
                      <w:b w:val="0"/>
                      <w:bCs/>
                      <w:color w:val="auto"/>
                      <w:sz w:val="21"/>
                      <w:szCs w:val="21"/>
                      <w:highlight w:val="none"/>
                      <w:shd w:val="clear" w:color="auto" w:fill="FFFFFF"/>
                      <w:vertAlign w:val="superscript"/>
                      <w:lang w:val="en-US"/>
                    </w:rPr>
                    <w:t>3</w:t>
                  </w:r>
                  <w:r>
                    <w:rPr>
                      <w:rFonts w:cs="Times New Roman"/>
                      <w:b w:val="0"/>
                      <w:bCs/>
                      <w:color w:val="auto"/>
                      <w:sz w:val="21"/>
                      <w:szCs w:val="21"/>
                      <w:highlight w:val="none"/>
                      <w:shd w:val="clear" w:color="auto" w:fill="FFFFFF"/>
                      <w:lang w:val="en-US"/>
                    </w:rPr>
                    <w:t>/a</w:t>
                  </w:r>
                </w:p>
              </w:tc>
              <w:tc>
                <w:tcPr>
                  <w:tcW w:w="955" w:type="pct"/>
                  <w:noWrap w:val="0"/>
                  <w:vAlign w:val="center"/>
                </w:tcPr>
                <w:p w14:paraId="5736348F">
                  <w:pPr>
                    <w:pStyle w:val="101"/>
                    <w:jc w:val="center"/>
                    <w:rPr>
                      <w:rFonts w:hint="default" w:cs="Times New Roman"/>
                      <w:color w:val="auto"/>
                      <w:sz w:val="21"/>
                      <w:szCs w:val="21"/>
                      <w:highlight w:val="yellow"/>
                      <w:lang w:val="en-US"/>
                    </w:rPr>
                  </w:pPr>
                  <w:r>
                    <w:rPr>
                      <w:rFonts w:hint="eastAsia" w:cs="Times New Roman"/>
                      <w:color w:val="auto"/>
                      <w:sz w:val="21"/>
                      <w:szCs w:val="21"/>
                      <w:highlight w:val="none"/>
                      <w:lang w:val="en-US" w:eastAsia="zh-CN"/>
                    </w:rPr>
                    <w:t>530.4</w:t>
                  </w:r>
                  <w:r>
                    <w:rPr>
                      <w:rFonts w:cs="Times New Roman"/>
                      <w:b w:val="0"/>
                      <w:bCs/>
                      <w:color w:val="auto"/>
                      <w:sz w:val="21"/>
                      <w:szCs w:val="21"/>
                      <w:highlight w:val="none"/>
                      <w:shd w:val="clear" w:color="auto" w:fill="FFFFFF"/>
                      <w:lang w:val="en-US"/>
                    </w:rPr>
                    <w:t>m</w:t>
                  </w:r>
                  <w:r>
                    <w:rPr>
                      <w:rFonts w:cs="Times New Roman"/>
                      <w:b w:val="0"/>
                      <w:bCs/>
                      <w:color w:val="auto"/>
                      <w:sz w:val="21"/>
                      <w:szCs w:val="21"/>
                      <w:highlight w:val="none"/>
                      <w:shd w:val="clear" w:color="auto" w:fill="FFFFFF"/>
                      <w:vertAlign w:val="superscript"/>
                      <w:lang w:val="en-US"/>
                    </w:rPr>
                    <w:t>3</w:t>
                  </w:r>
                  <w:r>
                    <w:rPr>
                      <w:rFonts w:cs="Times New Roman"/>
                      <w:b w:val="0"/>
                      <w:bCs/>
                      <w:color w:val="auto"/>
                      <w:sz w:val="21"/>
                      <w:szCs w:val="21"/>
                      <w:highlight w:val="none"/>
                      <w:shd w:val="clear" w:color="auto" w:fill="FFFFFF"/>
                      <w:lang w:val="en-US"/>
                    </w:rPr>
                    <w:t>/a</w:t>
                  </w:r>
                </w:p>
              </w:tc>
              <w:tc>
                <w:tcPr>
                  <w:tcW w:w="720" w:type="pct"/>
                  <w:noWrap w:val="0"/>
                  <w:vAlign w:val="center"/>
                </w:tcPr>
                <w:p w14:paraId="49BB34B5">
                  <w:pPr>
                    <w:pStyle w:val="101"/>
                    <w:jc w:val="center"/>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61" w:type="pct"/>
                  <w:noWrap w:val="0"/>
                  <w:vAlign w:val="center"/>
                </w:tcPr>
                <w:p w14:paraId="2E735A10">
                  <w:pPr>
                    <w:pStyle w:val="101"/>
                    <w:jc w:val="center"/>
                    <w:rPr>
                      <w:rFonts w:cs="Times New Roman"/>
                      <w:bCs/>
                      <w:color w:val="auto"/>
                      <w:sz w:val="21"/>
                      <w:szCs w:val="21"/>
                      <w:highlight w:val="none"/>
                    </w:rPr>
                  </w:pPr>
                  <w:r>
                    <w:rPr>
                      <w:rFonts w:hint="eastAsia"/>
                      <w:color w:val="auto"/>
                      <w:sz w:val="21"/>
                      <w:szCs w:val="21"/>
                      <w:highlight w:val="none"/>
                    </w:rPr>
                    <w:t>由园区供水管网提供</w:t>
                  </w:r>
                </w:p>
              </w:tc>
            </w:tr>
            <w:tr w14:paraId="632F4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Merge w:val="continue"/>
                  <w:noWrap w:val="0"/>
                  <w:vAlign w:val="center"/>
                </w:tcPr>
                <w:p w14:paraId="4CD3C268">
                  <w:pPr>
                    <w:adjustRightInd w:val="0"/>
                    <w:snapToGrid w:val="0"/>
                    <w:jc w:val="center"/>
                    <w:rPr>
                      <w:bCs/>
                      <w:color w:val="auto"/>
                      <w:sz w:val="21"/>
                      <w:szCs w:val="21"/>
                      <w:highlight w:val="none"/>
                    </w:rPr>
                  </w:pPr>
                </w:p>
              </w:tc>
              <w:tc>
                <w:tcPr>
                  <w:tcW w:w="661" w:type="pct"/>
                  <w:noWrap w:val="0"/>
                  <w:vAlign w:val="center"/>
                </w:tcPr>
                <w:p w14:paraId="0E593DFE">
                  <w:pPr>
                    <w:adjustRightInd w:val="0"/>
                    <w:snapToGrid w:val="0"/>
                    <w:jc w:val="center"/>
                    <w:rPr>
                      <w:bCs/>
                      <w:color w:val="auto"/>
                      <w:sz w:val="21"/>
                      <w:szCs w:val="21"/>
                      <w:highlight w:val="none"/>
                    </w:rPr>
                  </w:pPr>
                  <w:r>
                    <w:rPr>
                      <w:bCs/>
                      <w:color w:val="auto"/>
                      <w:sz w:val="21"/>
                      <w:szCs w:val="21"/>
                      <w:highlight w:val="none"/>
                    </w:rPr>
                    <w:t>电</w:t>
                  </w:r>
                </w:p>
              </w:tc>
              <w:tc>
                <w:tcPr>
                  <w:tcW w:w="710" w:type="pct"/>
                  <w:noWrap w:val="0"/>
                  <w:vAlign w:val="center"/>
                </w:tcPr>
                <w:p w14:paraId="421ABE80">
                  <w:pPr>
                    <w:tabs>
                      <w:tab w:val="left" w:pos="6090"/>
                    </w:tabs>
                    <w:adjustRightInd w:val="0"/>
                    <w:snapToGrid w:val="0"/>
                    <w:jc w:val="center"/>
                    <w:rPr>
                      <w:color w:val="auto"/>
                      <w:sz w:val="21"/>
                      <w:szCs w:val="21"/>
                      <w:highlight w:val="none"/>
                    </w:rPr>
                  </w:pPr>
                  <w:r>
                    <w:rPr>
                      <w:rFonts w:hint="eastAsia"/>
                      <w:color w:val="auto"/>
                      <w:sz w:val="21"/>
                      <w:szCs w:val="21"/>
                      <w:highlight w:val="none"/>
                    </w:rPr>
                    <w:t>2.7</w:t>
                  </w:r>
                  <w:r>
                    <w:rPr>
                      <w:color w:val="auto"/>
                      <w:sz w:val="21"/>
                      <w:szCs w:val="21"/>
                      <w:highlight w:val="none"/>
                    </w:rPr>
                    <w:t>×10</w:t>
                  </w:r>
                  <w:r>
                    <w:rPr>
                      <w:color w:val="auto"/>
                      <w:sz w:val="21"/>
                      <w:szCs w:val="21"/>
                      <w:highlight w:val="none"/>
                      <w:vertAlign w:val="superscript"/>
                    </w:rPr>
                    <w:t>5</w:t>
                  </w:r>
                  <w:r>
                    <w:rPr>
                      <w:color w:val="auto"/>
                      <w:sz w:val="21"/>
                      <w:szCs w:val="21"/>
                      <w:highlight w:val="none"/>
                    </w:rPr>
                    <w:t>kW·h/a</w:t>
                  </w:r>
                </w:p>
              </w:tc>
              <w:tc>
                <w:tcPr>
                  <w:tcW w:w="738" w:type="pct"/>
                  <w:noWrap w:val="0"/>
                  <w:vAlign w:val="center"/>
                </w:tcPr>
                <w:p w14:paraId="7EB39F64">
                  <w:pPr>
                    <w:tabs>
                      <w:tab w:val="left" w:pos="6090"/>
                    </w:tabs>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5.4</w:t>
                  </w:r>
                  <w:r>
                    <w:rPr>
                      <w:color w:val="auto"/>
                      <w:sz w:val="21"/>
                      <w:szCs w:val="21"/>
                      <w:highlight w:val="none"/>
                    </w:rPr>
                    <w:t>×10</w:t>
                  </w:r>
                  <w:r>
                    <w:rPr>
                      <w:color w:val="auto"/>
                      <w:sz w:val="21"/>
                      <w:szCs w:val="21"/>
                      <w:highlight w:val="none"/>
                      <w:vertAlign w:val="superscript"/>
                    </w:rPr>
                    <w:t>5</w:t>
                  </w:r>
                  <w:r>
                    <w:rPr>
                      <w:color w:val="auto"/>
                      <w:sz w:val="21"/>
                      <w:szCs w:val="21"/>
                      <w:highlight w:val="none"/>
                    </w:rPr>
                    <w:t>kW·h/a</w:t>
                  </w:r>
                </w:p>
              </w:tc>
              <w:tc>
                <w:tcPr>
                  <w:tcW w:w="955" w:type="pct"/>
                  <w:noWrap w:val="0"/>
                  <w:vAlign w:val="center"/>
                </w:tcPr>
                <w:p w14:paraId="7B1BC4AA">
                  <w:pPr>
                    <w:tabs>
                      <w:tab w:val="left" w:pos="6090"/>
                    </w:tabs>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8.1</w:t>
                  </w:r>
                  <w:r>
                    <w:rPr>
                      <w:color w:val="auto"/>
                      <w:sz w:val="21"/>
                      <w:szCs w:val="21"/>
                      <w:highlight w:val="none"/>
                    </w:rPr>
                    <w:t>×10</w:t>
                  </w:r>
                  <w:r>
                    <w:rPr>
                      <w:color w:val="auto"/>
                      <w:sz w:val="21"/>
                      <w:szCs w:val="21"/>
                      <w:highlight w:val="none"/>
                      <w:vertAlign w:val="superscript"/>
                    </w:rPr>
                    <w:t>5</w:t>
                  </w:r>
                  <w:r>
                    <w:rPr>
                      <w:color w:val="auto"/>
                      <w:sz w:val="21"/>
                      <w:szCs w:val="21"/>
                      <w:highlight w:val="none"/>
                    </w:rPr>
                    <w:t>kW·h/a</w:t>
                  </w:r>
                </w:p>
              </w:tc>
              <w:tc>
                <w:tcPr>
                  <w:tcW w:w="720" w:type="pct"/>
                  <w:noWrap w:val="0"/>
                  <w:vAlign w:val="center"/>
                </w:tcPr>
                <w:p w14:paraId="1CCCA17B">
                  <w:pPr>
                    <w:tabs>
                      <w:tab w:val="left" w:pos="6090"/>
                    </w:tabs>
                    <w:adjustRightInd w:val="0"/>
                    <w:snapToGrid w:val="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661" w:type="pct"/>
                  <w:noWrap w:val="0"/>
                  <w:vAlign w:val="center"/>
                </w:tcPr>
                <w:p w14:paraId="70C8D232">
                  <w:pPr>
                    <w:tabs>
                      <w:tab w:val="left" w:pos="6090"/>
                    </w:tabs>
                    <w:adjustRightInd w:val="0"/>
                    <w:snapToGrid w:val="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园区供电电网</w:t>
                  </w:r>
                </w:p>
              </w:tc>
            </w:tr>
            <w:tr w14:paraId="3BFE6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vMerge w:val="continue"/>
                  <w:noWrap w:val="0"/>
                  <w:vAlign w:val="center"/>
                </w:tcPr>
                <w:p w14:paraId="0C5EE457">
                  <w:pPr>
                    <w:adjustRightInd w:val="0"/>
                    <w:snapToGrid w:val="0"/>
                    <w:jc w:val="center"/>
                    <w:rPr>
                      <w:bCs/>
                      <w:color w:val="auto"/>
                      <w:sz w:val="21"/>
                      <w:szCs w:val="21"/>
                      <w:highlight w:val="none"/>
                    </w:rPr>
                  </w:pPr>
                </w:p>
              </w:tc>
              <w:tc>
                <w:tcPr>
                  <w:tcW w:w="661" w:type="pct"/>
                  <w:noWrap w:val="0"/>
                  <w:vAlign w:val="center"/>
                </w:tcPr>
                <w:p w14:paraId="39988902">
                  <w:pPr>
                    <w:adjustRightInd w:val="0"/>
                    <w:snapToGrid w:val="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蒸汽</w:t>
                  </w:r>
                </w:p>
              </w:tc>
              <w:tc>
                <w:tcPr>
                  <w:tcW w:w="710" w:type="pct"/>
                  <w:noWrap w:val="0"/>
                  <w:vAlign w:val="center"/>
                </w:tcPr>
                <w:p w14:paraId="1A6EECCD">
                  <w:pPr>
                    <w:tabs>
                      <w:tab w:val="left" w:pos="6090"/>
                    </w:tabs>
                    <w:adjustRightInd w:val="0"/>
                    <w:snapToGrid w:val="0"/>
                    <w:jc w:val="center"/>
                    <w:rPr>
                      <w:rFonts w:hint="eastAsia"/>
                      <w:color w:val="auto"/>
                      <w:sz w:val="21"/>
                      <w:szCs w:val="21"/>
                      <w:highlight w:val="none"/>
                    </w:rPr>
                  </w:pPr>
                  <w:r>
                    <w:rPr>
                      <w:rFonts w:hint="eastAsia" w:cs="Times New Roman"/>
                      <w:color w:val="auto"/>
                      <w:sz w:val="21"/>
                      <w:szCs w:val="21"/>
                      <w:highlight w:val="none"/>
                      <w:lang w:val="en-US" w:eastAsia="zh-CN" w:bidi="ar"/>
                    </w:rPr>
                    <w:t>300</w:t>
                  </w:r>
                </w:p>
              </w:tc>
              <w:tc>
                <w:tcPr>
                  <w:tcW w:w="738" w:type="pct"/>
                  <w:noWrap w:val="0"/>
                  <w:vAlign w:val="center"/>
                </w:tcPr>
                <w:p w14:paraId="3012CE41">
                  <w:pPr>
                    <w:tabs>
                      <w:tab w:val="left" w:pos="6090"/>
                    </w:tabs>
                    <w:adjustRightInd w:val="0"/>
                    <w:snapToGrid w:val="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600</w:t>
                  </w:r>
                </w:p>
              </w:tc>
              <w:tc>
                <w:tcPr>
                  <w:tcW w:w="955" w:type="pct"/>
                  <w:noWrap w:val="0"/>
                  <w:vAlign w:val="center"/>
                </w:tcPr>
                <w:p w14:paraId="4839DAD7">
                  <w:pPr>
                    <w:tabs>
                      <w:tab w:val="left" w:pos="6090"/>
                    </w:tabs>
                    <w:adjustRightInd w:val="0"/>
                    <w:snapToGrid w:val="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900</w:t>
                  </w:r>
                </w:p>
              </w:tc>
              <w:tc>
                <w:tcPr>
                  <w:tcW w:w="720" w:type="pct"/>
                  <w:noWrap w:val="0"/>
                  <w:vAlign w:val="center"/>
                </w:tcPr>
                <w:p w14:paraId="786CC2C7">
                  <w:pPr>
                    <w:tabs>
                      <w:tab w:val="left" w:pos="6090"/>
                    </w:tabs>
                    <w:adjustRightInd w:val="0"/>
                    <w:snapToGrid w:val="0"/>
                    <w:jc w:val="center"/>
                    <w:rPr>
                      <w:rFonts w:hint="eastAsia"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61" w:type="pct"/>
                  <w:noWrap w:val="0"/>
                  <w:vAlign w:val="center"/>
                </w:tcPr>
                <w:p w14:paraId="39BF8EC3">
                  <w:pPr>
                    <w:tabs>
                      <w:tab w:val="left" w:pos="6090"/>
                    </w:tabs>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外购</w:t>
                  </w:r>
                </w:p>
              </w:tc>
            </w:tr>
          </w:tbl>
          <w:p w14:paraId="09F49A21">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kern w:val="0"/>
                <w:sz w:val="24"/>
                <w:lang w:val="en-US" w:eastAsia="zh-CN"/>
              </w:rPr>
            </w:pPr>
            <w:r>
              <w:rPr>
                <w:rFonts w:hint="default" w:ascii="Times New Roman" w:hAnsi="Times New Roman" w:eastAsia="宋体" w:cs="Times New Roman"/>
                <w:b/>
                <w:bCs/>
                <w:color w:val="auto"/>
                <w:kern w:val="0"/>
                <w:sz w:val="24"/>
                <w:lang w:val="en-US" w:eastAsia="zh-CN"/>
              </w:rPr>
              <w:t>原辅材料理化性质及毒性说明：</w:t>
            </w:r>
          </w:p>
          <w:p w14:paraId="40340FDF">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可发性EPS颗粒：主要成分聚苯乙烯93~95%、戊烷（发泡剂）5~7%；相对密度（水=1）：1.03；不溶于水，难溶于乙醇，可溶于苯、甲苯、二甲苯、苯乙烯、三氯甲烷等有机溶剂。聚苯乙烯是指由苯乙烯单体经自由基加聚反应合成的聚合物。通常的聚苯乙烯为非晶态无规聚合物，具有优良的绝热、绝缘和透明性，正常加工使用温度（80~260℃）。参考文献《气相色谱-质谱法分析聚苯乙烯加热分解产物》杨家宽，李焰，唐东羚等，裂解气相色谱法分析铸造用聚苯乙烯泡沫塑料热解产物[J]色谱，1998，16（3）：241-243，聚苯乙烯在80℃的加热条件下即可发生分解，生成甲苯等气体，140℃时即产生熔融现象，160℃以上分解速度加快颜色发生变化由无色透明一浅黄色一橙色一褐色一黑色，140℃时即可热解产生苯乙烯，此后一直到260℃苯乙烯的产量越来越大但总的热解产物的种类不再发生变化。</w:t>
            </w:r>
          </w:p>
          <w:p w14:paraId="558FE2E9">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注：本项目使用的可发性EPS颗粒内已包含发泡剂（戊烷），由厂家直接供给，在发泡过程中不添加任何其他发泡剂等物质。</w:t>
            </w:r>
          </w:p>
          <w:p w14:paraId="5CBD6DA8">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5</w:t>
            </w:r>
            <w:r>
              <w:rPr>
                <w:rFonts w:cs="Times New Roman"/>
                <w:b/>
                <w:bCs/>
                <w:color w:val="auto"/>
                <w:sz w:val="24"/>
                <w:szCs w:val="24"/>
                <w:highlight w:val="none"/>
                <w:lang w:val="en-US"/>
              </w:rPr>
              <w:t>、</w:t>
            </w:r>
            <w:r>
              <w:rPr>
                <w:rFonts w:hint="eastAsia" w:cs="Times New Roman"/>
                <w:b/>
                <w:bCs/>
                <w:color w:val="auto"/>
                <w:sz w:val="24"/>
                <w:szCs w:val="24"/>
                <w:highlight w:val="none"/>
                <w:lang w:val="en-US" w:eastAsia="zh-CN"/>
              </w:rPr>
              <w:t>物料平衡分析</w:t>
            </w:r>
          </w:p>
          <w:p w14:paraId="04B9E90A">
            <w:pPr>
              <w:pStyle w:val="2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本项目共建设2条泡沫箱生产线，具体一期物料平衡见表2-5二期物料平衡见表2-6、二期建成后全厂物料平衡见表2-7。</w:t>
            </w:r>
          </w:p>
          <w:p w14:paraId="4766F2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eastAsia="宋体"/>
                <w:b/>
                <w:bCs/>
                <w:color w:val="auto"/>
                <w:sz w:val="24"/>
                <w:highlight w:val="none"/>
                <w:lang w:eastAsia="zh-CN"/>
              </w:rPr>
            </w:pPr>
            <w:r>
              <w:rPr>
                <w:rFonts w:hint="default" w:ascii="Times New Roman" w:hAnsi="Times New Roman" w:cs="Times New Roman"/>
                <w:color w:val="auto"/>
                <w:sz w:val="21"/>
                <w:szCs w:val="21"/>
                <w:highlight w:val="none"/>
              </w:rPr>
              <w:t>表</w:t>
            </w:r>
            <w:r>
              <w:rPr>
                <w:rFonts w:hint="eastAsia" w:ascii="Times New Roman" w:hAnsi="Times New Roman" w:cs="Times New Roman"/>
                <w:color w:val="auto"/>
                <w:sz w:val="21"/>
                <w:szCs w:val="21"/>
                <w:highlight w:val="none"/>
                <w:lang w:val="en-US" w:eastAsia="zh-CN"/>
              </w:rPr>
              <w:t>2-5</w:t>
            </w:r>
            <w:r>
              <w:rPr>
                <w:rFonts w:hint="eastAsia" w:ascii="Times New Roman" w:hAnsi="Times New Roman" w:cs="Times New Roman"/>
                <w:color w:val="auto"/>
                <w:highlight w:val="none"/>
                <w:lang w:val="en-US" w:eastAsia="zh-CN"/>
              </w:rPr>
              <w:t xml:space="preserve"> </w:t>
            </w:r>
            <w:r>
              <w:rPr>
                <w:rFonts w:hint="default"/>
                <w:b/>
                <w:bCs/>
                <w:color w:val="auto"/>
                <w:highlight w:val="none"/>
              </w:rPr>
              <w:t xml:space="preserve">  </w:t>
            </w:r>
            <w:r>
              <w:rPr>
                <w:rFonts w:hint="default"/>
                <w:b/>
                <w:bCs/>
                <w:color w:val="auto"/>
                <w:sz w:val="24"/>
                <w:highlight w:val="none"/>
              </w:rPr>
              <w:t xml:space="preserve"> </w:t>
            </w:r>
            <w:r>
              <w:rPr>
                <w:rFonts w:hint="eastAsia"/>
                <w:b/>
                <w:bCs/>
                <w:color w:val="auto"/>
                <w:sz w:val="24"/>
                <w:highlight w:val="none"/>
                <w:lang w:val="en-US" w:eastAsia="zh-CN"/>
              </w:rPr>
              <w:t xml:space="preserve">     </w:t>
            </w:r>
            <w:r>
              <w:rPr>
                <w:rFonts w:hint="default"/>
                <w:b/>
                <w:bCs/>
                <w:color w:val="auto"/>
                <w:sz w:val="24"/>
                <w:highlight w:val="none"/>
              </w:rPr>
              <w:t xml:space="preserve"> </w:t>
            </w:r>
            <w:r>
              <w:rPr>
                <w:rFonts w:hint="eastAsia"/>
                <w:b/>
                <w:bCs/>
                <w:color w:val="auto"/>
                <w:sz w:val="24"/>
                <w:highlight w:val="none"/>
                <w:lang w:val="en-US" w:eastAsia="zh-CN"/>
              </w:rPr>
              <w:t xml:space="preserve">     本</w:t>
            </w:r>
            <w:r>
              <w:rPr>
                <w:rFonts w:hint="default"/>
                <w:b/>
                <w:bCs/>
                <w:color w:val="auto"/>
                <w:sz w:val="24"/>
                <w:highlight w:val="none"/>
              </w:rPr>
              <w:t>项目</w:t>
            </w:r>
            <w:r>
              <w:rPr>
                <w:rFonts w:hint="eastAsia"/>
                <w:b/>
                <w:bCs/>
                <w:color w:val="auto"/>
                <w:sz w:val="24"/>
                <w:highlight w:val="none"/>
                <w:lang w:val="en-US" w:eastAsia="zh-CN"/>
              </w:rPr>
              <w:t>一期</w:t>
            </w:r>
            <w:r>
              <w:rPr>
                <w:rFonts w:hint="default"/>
                <w:b/>
                <w:bCs/>
                <w:color w:val="auto"/>
                <w:sz w:val="24"/>
                <w:highlight w:val="none"/>
              </w:rPr>
              <w:t>物料平衡</w:t>
            </w:r>
            <w:r>
              <w:rPr>
                <w:rFonts w:hint="eastAsia"/>
                <w:b/>
                <w:bCs/>
                <w:color w:val="auto"/>
                <w:sz w:val="24"/>
                <w:highlight w:val="none"/>
                <w:lang w:val="en-US" w:eastAsia="zh-CN"/>
              </w:rPr>
              <w:t>一览</w:t>
            </w:r>
            <w:r>
              <w:rPr>
                <w:rFonts w:hint="default"/>
                <w:b/>
                <w:bCs/>
                <w:color w:val="auto"/>
                <w:sz w:val="24"/>
                <w:highlight w:val="none"/>
              </w:rPr>
              <w:t>表</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364"/>
              <w:gridCol w:w="4374"/>
              <w:gridCol w:w="1528"/>
            </w:tblGrid>
            <w:tr w14:paraId="1E63F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pct"/>
                  <w:gridSpan w:val="2"/>
                  <w:noWrap w:val="0"/>
                  <w:vAlign w:val="center"/>
                </w:tcPr>
                <w:p w14:paraId="4F56C67E">
                  <w:pPr>
                    <w:pStyle w:val="101"/>
                    <w:jc w:val="center"/>
                    <w:rPr>
                      <w:rFonts w:cs="Times New Roman"/>
                      <w:b/>
                      <w:bCs/>
                      <w:color w:val="auto"/>
                      <w:sz w:val="21"/>
                      <w:szCs w:val="21"/>
                      <w:highlight w:val="none"/>
                    </w:rPr>
                  </w:pPr>
                  <w:r>
                    <w:rPr>
                      <w:rFonts w:cs="Times New Roman"/>
                      <w:b/>
                      <w:bCs/>
                      <w:color w:val="auto"/>
                      <w:sz w:val="21"/>
                      <w:szCs w:val="21"/>
                      <w:highlight w:val="none"/>
                    </w:rPr>
                    <w:t>投入</w:t>
                  </w:r>
                </w:p>
              </w:tc>
              <w:tc>
                <w:tcPr>
                  <w:tcW w:w="3530" w:type="pct"/>
                  <w:gridSpan w:val="2"/>
                  <w:noWrap w:val="0"/>
                  <w:vAlign w:val="center"/>
                </w:tcPr>
                <w:p w14:paraId="3080E04A">
                  <w:pPr>
                    <w:pStyle w:val="101"/>
                    <w:jc w:val="center"/>
                    <w:rPr>
                      <w:rFonts w:cs="Times New Roman"/>
                      <w:b/>
                      <w:bCs/>
                      <w:color w:val="auto"/>
                      <w:sz w:val="21"/>
                      <w:szCs w:val="21"/>
                      <w:highlight w:val="none"/>
                    </w:rPr>
                  </w:pPr>
                  <w:r>
                    <w:rPr>
                      <w:rFonts w:cs="Times New Roman"/>
                      <w:b/>
                      <w:bCs/>
                      <w:color w:val="auto"/>
                      <w:sz w:val="21"/>
                      <w:szCs w:val="21"/>
                      <w:highlight w:val="none"/>
                    </w:rPr>
                    <w:t>产出</w:t>
                  </w:r>
                </w:p>
              </w:tc>
            </w:tr>
            <w:tr w14:paraId="07AB7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14:paraId="6BC577F0">
                  <w:pPr>
                    <w:pStyle w:val="101"/>
                    <w:jc w:val="center"/>
                    <w:rPr>
                      <w:rFonts w:cs="Times New Roman"/>
                      <w:b/>
                      <w:bCs/>
                      <w:color w:val="auto"/>
                      <w:sz w:val="21"/>
                      <w:szCs w:val="21"/>
                      <w:highlight w:val="none"/>
                    </w:rPr>
                  </w:pPr>
                  <w:r>
                    <w:rPr>
                      <w:rFonts w:cs="Times New Roman"/>
                      <w:b/>
                      <w:bCs/>
                      <w:color w:val="auto"/>
                      <w:sz w:val="21"/>
                      <w:szCs w:val="21"/>
                      <w:highlight w:val="none"/>
                    </w:rPr>
                    <w:t>名称</w:t>
                  </w:r>
                </w:p>
              </w:tc>
              <w:tc>
                <w:tcPr>
                  <w:tcW w:w="815" w:type="pct"/>
                  <w:noWrap w:val="0"/>
                  <w:vAlign w:val="center"/>
                </w:tcPr>
                <w:p w14:paraId="587594FC">
                  <w:pPr>
                    <w:pStyle w:val="101"/>
                    <w:jc w:val="center"/>
                    <w:rPr>
                      <w:rFonts w:hint="eastAsia" w:cs="Times New Roman"/>
                      <w:b/>
                      <w:bCs/>
                      <w:color w:val="auto"/>
                      <w:sz w:val="21"/>
                      <w:szCs w:val="21"/>
                      <w:highlight w:val="none"/>
                    </w:rPr>
                  </w:pPr>
                  <w:r>
                    <w:rPr>
                      <w:rFonts w:cs="Times New Roman"/>
                      <w:b/>
                      <w:bCs/>
                      <w:color w:val="auto"/>
                      <w:sz w:val="21"/>
                      <w:szCs w:val="21"/>
                      <w:highlight w:val="none"/>
                    </w:rPr>
                    <w:t>输入量</w:t>
                  </w:r>
                  <w:r>
                    <w:rPr>
                      <w:b/>
                      <w:color w:val="auto"/>
                      <w:sz w:val="21"/>
                      <w:szCs w:val="21"/>
                      <w:highlight w:val="none"/>
                    </w:rPr>
                    <w:t>（t/a）</w:t>
                  </w:r>
                </w:p>
              </w:tc>
              <w:tc>
                <w:tcPr>
                  <w:tcW w:w="2616" w:type="pct"/>
                  <w:noWrap w:val="0"/>
                  <w:vAlign w:val="center"/>
                </w:tcPr>
                <w:p w14:paraId="4E619643">
                  <w:pPr>
                    <w:pStyle w:val="101"/>
                    <w:jc w:val="center"/>
                    <w:rPr>
                      <w:rFonts w:cs="Times New Roman"/>
                      <w:b/>
                      <w:bCs/>
                      <w:color w:val="auto"/>
                      <w:sz w:val="21"/>
                      <w:szCs w:val="21"/>
                      <w:highlight w:val="none"/>
                    </w:rPr>
                  </w:pPr>
                  <w:r>
                    <w:rPr>
                      <w:rFonts w:cs="Times New Roman"/>
                      <w:b/>
                      <w:bCs/>
                      <w:color w:val="auto"/>
                      <w:sz w:val="21"/>
                      <w:szCs w:val="21"/>
                      <w:highlight w:val="none"/>
                    </w:rPr>
                    <w:t>名称</w:t>
                  </w:r>
                </w:p>
              </w:tc>
              <w:tc>
                <w:tcPr>
                  <w:tcW w:w="913" w:type="pct"/>
                  <w:noWrap w:val="0"/>
                  <w:vAlign w:val="center"/>
                </w:tcPr>
                <w:p w14:paraId="671152E7">
                  <w:pPr>
                    <w:pStyle w:val="101"/>
                    <w:jc w:val="center"/>
                    <w:rPr>
                      <w:rFonts w:cs="Times New Roman"/>
                      <w:b/>
                      <w:bCs/>
                      <w:color w:val="auto"/>
                      <w:sz w:val="21"/>
                      <w:szCs w:val="21"/>
                      <w:highlight w:val="none"/>
                    </w:rPr>
                  </w:pPr>
                  <w:r>
                    <w:rPr>
                      <w:rFonts w:cs="Times New Roman"/>
                      <w:b/>
                      <w:bCs/>
                      <w:color w:val="auto"/>
                      <w:sz w:val="21"/>
                      <w:szCs w:val="21"/>
                      <w:highlight w:val="none"/>
                    </w:rPr>
                    <w:t>产出量</w:t>
                  </w:r>
                  <w:r>
                    <w:rPr>
                      <w:b/>
                      <w:color w:val="auto"/>
                      <w:sz w:val="21"/>
                      <w:szCs w:val="21"/>
                      <w:highlight w:val="none"/>
                    </w:rPr>
                    <w:t>（t/a）</w:t>
                  </w:r>
                </w:p>
              </w:tc>
            </w:tr>
            <w:tr w14:paraId="728B4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restart"/>
                  <w:noWrap w:val="0"/>
                  <w:vAlign w:val="center"/>
                </w:tcPr>
                <w:p w14:paraId="6BDA3BB7">
                  <w:pPr>
                    <w:widowControl/>
                    <w:jc w:val="center"/>
                    <w:textAlignment w:val="center"/>
                    <w:rPr>
                      <w:color w:val="auto"/>
                      <w:sz w:val="21"/>
                      <w:szCs w:val="21"/>
                      <w:highlight w:val="none"/>
                    </w:rPr>
                  </w:pPr>
                  <w:r>
                    <w:rPr>
                      <w:rFonts w:hint="eastAsia"/>
                      <w:bCs/>
                      <w:color w:val="auto"/>
                      <w:sz w:val="21"/>
                      <w:szCs w:val="21"/>
                      <w:highlight w:val="none"/>
                    </w:rPr>
                    <w:t>可发性聚苯乙烯颗粒（E</w:t>
                  </w:r>
                  <w:r>
                    <w:rPr>
                      <w:bCs/>
                      <w:color w:val="auto"/>
                      <w:sz w:val="21"/>
                      <w:szCs w:val="21"/>
                      <w:highlight w:val="none"/>
                    </w:rPr>
                    <w:t>PS</w:t>
                  </w:r>
                  <w:r>
                    <w:rPr>
                      <w:rFonts w:hint="eastAsia"/>
                      <w:bCs/>
                      <w:color w:val="auto"/>
                      <w:sz w:val="21"/>
                      <w:szCs w:val="21"/>
                      <w:highlight w:val="none"/>
                    </w:rPr>
                    <w:t>）</w:t>
                  </w:r>
                </w:p>
              </w:tc>
              <w:tc>
                <w:tcPr>
                  <w:tcW w:w="815" w:type="pct"/>
                  <w:vMerge w:val="restart"/>
                  <w:noWrap w:val="0"/>
                  <w:vAlign w:val="center"/>
                </w:tcPr>
                <w:p w14:paraId="0B7DA7C3">
                  <w:pPr>
                    <w:widowControl/>
                    <w:jc w:val="center"/>
                    <w:textAlignment w:val="center"/>
                    <w:rPr>
                      <w:rFonts w:hint="default" w:eastAsia="宋体"/>
                      <w:color w:val="auto"/>
                      <w:sz w:val="21"/>
                      <w:szCs w:val="21"/>
                      <w:highlight w:val="none"/>
                      <w:lang w:val="en-US" w:eastAsia="zh-CN"/>
                    </w:rPr>
                  </w:pPr>
                  <w:r>
                    <w:rPr>
                      <w:rFonts w:hint="eastAsia"/>
                      <w:color w:val="auto"/>
                      <w:kern w:val="0"/>
                      <w:sz w:val="21"/>
                      <w:szCs w:val="21"/>
                      <w:highlight w:val="none"/>
                      <w:lang w:val="en-US" w:eastAsia="zh-CN" w:bidi="ar"/>
                    </w:rPr>
                    <w:t>428.41</w:t>
                  </w:r>
                </w:p>
              </w:tc>
              <w:tc>
                <w:tcPr>
                  <w:tcW w:w="2616" w:type="pct"/>
                  <w:noWrap w:val="0"/>
                  <w:vAlign w:val="center"/>
                </w:tcPr>
                <w:p w14:paraId="4E192005">
                  <w:pPr>
                    <w:adjustRightInd w:val="0"/>
                    <w:snapToGrid w:val="0"/>
                    <w:jc w:val="center"/>
                    <w:rPr>
                      <w:color w:val="auto"/>
                      <w:sz w:val="21"/>
                      <w:szCs w:val="21"/>
                      <w:highlight w:val="none"/>
                    </w:rPr>
                  </w:pPr>
                  <w:r>
                    <w:rPr>
                      <w:rFonts w:hint="eastAsia"/>
                      <w:color w:val="auto"/>
                      <w:kern w:val="0"/>
                      <w:sz w:val="21"/>
                      <w:szCs w:val="21"/>
                      <w:highlight w:val="none"/>
                    </w:rPr>
                    <w:t>泡沫箱</w:t>
                  </w:r>
                </w:p>
              </w:tc>
              <w:tc>
                <w:tcPr>
                  <w:tcW w:w="913" w:type="pct"/>
                  <w:noWrap w:val="0"/>
                  <w:vAlign w:val="center"/>
                </w:tcPr>
                <w:p w14:paraId="15A84FF6">
                  <w:pPr>
                    <w:widowControl/>
                    <w:jc w:val="center"/>
                    <w:textAlignment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426</w:t>
                  </w:r>
                </w:p>
              </w:tc>
            </w:tr>
            <w:tr w14:paraId="34245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pct"/>
                  <w:vMerge w:val="continue"/>
                  <w:noWrap w:val="0"/>
                  <w:vAlign w:val="center"/>
                </w:tcPr>
                <w:p w14:paraId="2DAF1B53">
                  <w:pPr>
                    <w:widowControl/>
                    <w:jc w:val="center"/>
                    <w:textAlignment w:val="center"/>
                    <w:rPr>
                      <w:snapToGrid w:val="0"/>
                      <w:color w:val="auto"/>
                      <w:kern w:val="0"/>
                      <w:sz w:val="21"/>
                      <w:szCs w:val="21"/>
                      <w:highlight w:val="none"/>
                    </w:rPr>
                  </w:pPr>
                </w:p>
              </w:tc>
              <w:tc>
                <w:tcPr>
                  <w:tcW w:w="815" w:type="pct"/>
                  <w:vMerge w:val="continue"/>
                  <w:noWrap w:val="0"/>
                  <w:vAlign w:val="center"/>
                </w:tcPr>
                <w:p w14:paraId="3F4117B9">
                  <w:pPr>
                    <w:widowControl/>
                    <w:jc w:val="center"/>
                    <w:textAlignment w:val="center"/>
                    <w:rPr>
                      <w:color w:val="auto"/>
                      <w:sz w:val="21"/>
                      <w:szCs w:val="21"/>
                      <w:highlight w:val="none"/>
                    </w:rPr>
                  </w:pPr>
                </w:p>
              </w:tc>
              <w:tc>
                <w:tcPr>
                  <w:tcW w:w="2616" w:type="pct"/>
                  <w:noWrap w:val="0"/>
                  <w:vAlign w:val="center"/>
                </w:tcPr>
                <w:p w14:paraId="1434ABEA">
                  <w:pPr>
                    <w:adjustRightInd w:val="0"/>
                    <w:snapToGrid w:val="0"/>
                    <w:jc w:val="center"/>
                    <w:rPr>
                      <w:snapToGrid w:val="0"/>
                      <w:color w:val="auto"/>
                      <w:kern w:val="0"/>
                      <w:sz w:val="21"/>
                      <w:szCs w:val="21"/>
                      <w:highlight w:val="none"/>
                    </w:rPr>
                  </w:pPr>
                  <w:r>
                    <w:rPr>
                      <w:rFonts w:hint="eastAsia"/>
                      <w:color w:val="auto"/>
                      <w:sz w:val="21"/>
                      <w:szCs w:val="21"/>
                      <w:highlight w:val="none"/>
                    </w:rPr>
                    <w:t>发泡、成型工序废气非甲烷总烃</w:t>
                  </w:r>
                  <w:r>
                    <w:rPr>
                      <w:rFonts w:hint="eastAsia"/>
                      <w:color w:val="auto"/>
                      <w:kern w:val="0"/>
                      <w:sz w:val="21"/>
                      <w:szCs w:val="21"/>
                      <w:highlight w:val="none"/>
                      <w:lang w:bidi="ar"/>
                    </w:rPr>
                    <w:t>有组织产生量</w:t>
                  </w:r>
                </w:p>
              </w:tc>
              <w:tc>
                <w:tcPr>
                  <w:tcW w:w="913" w:type="pct"/>
                  <w:noWrap w:val="0"/>
                  <w:vAlign w:val="center"/>
                </w:tcPr>
                <w:p w14:paraId="5BA1FEB6">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0.58</w:t>
                  </w:r>
                </w:p>
              </w:tc>
            </w:tr>
            <w:tr w14:paraId="722BE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2C73A3C1">
                  <w:pPr>
                    <w:widowControl/>
                    <w:jc w:val="center"/>
                    <w:textAlignment w:val="center"/>
                    <w:rPr>
                      <w:snapToGrid w:val="0"/>
                      <w:color w:val="auto"/>
                      <w:kern w:val="0"/>
                      <w:sz w:val="21"/>
                      <w:szCs w:val="21"/>
                      <w:highlight w:val="none"/>
                    </w:rPr>
                  </w:pPr>
                </w:p>
              </w:tc>
              <w:tc>
                <w:tcPr>
                  <w:tcW w:w="815" w:type="pct"/>
                  <w:vMerge w:val="continue"/>
                  <w:noWrap w:val="0"/>
                  <w:vAlign w:val="center"/>
                </w:tcPr>
                <w:p w14:paraId="019075B6">
                  <w:pPr>
                    <w:widowControl/>
                    <w:jc w:val="center"/>
                    <w:textAlignment w:val="center"/>
                    <w:rPr>
                      <w:color w:val="auto"/>
                      <w:sz w:val="21"/>
                      <w:szCs w:val="21"/>
                      <w:highlight w:val="none"/>
                    </w:rPr>
                  </w:pPr>
                </w:p>
              </w:tc>
              <w:tc>
                <w:tcPr>
                  <w:tcW w:w="2616" w:type="pct"/>
                  <w:noWrap w:val="0"/>
                  <w:vAlign w:val="center"/>
                </w:tcPr>
                <w:p w14:paraId="437225CE">
                  <w:pPr>
                    <w:adjustRightInd w:val="0"/>
                    <w:snapToGrid w:val="0"/>
                    <w:jc w:val="center"/>
                    <w:rPr>
                      <w:snapToGrid w:val="0"/>
                      <w:color w:val="auto"/>
                      <w:kern w:val="0"/>
                      <w:sz w:val="21"/>
                      <w:szCs w:val="21"/>
                      <w:highlight w:val="none"/>
                    </w:rPr>
                  </w:pPr>
                  <w:r>
                    <w:rPr>
                      <w:rFonts w:hint="eastAsia"/>
                      <w:color w:val="auto"/>
                      <w:sz w:val="21"/>
                      <w:szCs w:val="21"/>
                      <w:highlight w:val="none"/>
                    </w:rPr>
                    <w:t>发泡、成型工序废气甲苯</w:t>
                  </w:r>
                  <w:r>
                    <w:rPr>
                      <w:rFonts w:hint="eastAsia"/>
                      <w:color w:val="auto"/>
                      <w:kern w:val="0"/>
                      <w:sz w:val="21"/>
                      <w:szCs w:val="21"/>
                      <w:highlight w:val="none"/>
                      <w:lang w:bidi="ar"/>
                    </w:rPr>
                    <w:t>有组织产生量</w:t>
                  </w:r>
                </w:p>
              </w:tc>
              <w:tc>
                <w:tcPr>
                  <w:tcW w:w="913" w:type="pct"/>
                  <w:noWrap w:val="0"/>
                  <w:vAlign w:val="center"/>
                </w:tcPr>
                <w:p w14:paraId="2008AF56">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0.002</w:t>
                  </w:r>
                </w:p>
              </w:tc>
            </w:tr>
            <w:tr w14:paraId="6F3F5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2DE0FAB8">
                  <w:pPr>
                    <w:widowControl/>
                    <w:jc w:val="center"/>
                    <w:textAlignment w:val="center"/>
                    <w:rPr>
                      <w:snapToGrid w:val="0"/>
                      <w:color w:val="auto"/>
                      <w:kern w:val="0"/>
                      <w:sz w:val="21"/>
                      <w:szCs w:val="21"/>
                      <w:highlight w:val="none"/>
                    </w:rPr>
                  </w:pPr>
                </w:p>
              </w:tc>
              <w:tc>
                <w:tcPr>
                  <w:tcW w:w="815" w:type="pct"/>
                  <w:vMerge w:val="continue"/>
                  <w:noWrap w:val="0"/>
                  <w:vAlign w:val="center"/>
                </w:tcPr>
                <w:p w14:paraId="6E737950">
                  <w:pPr>
                    <w:widowControl/>
                    <w:jc w:val="center"/>
                    <w:textAlignment w:val="center"/>
                    <w:rPr>
                      <w:color w:val="auto"/>
                      <w:sz w:val="21"/>
                      <w:szCs w:val="21"/>
                      <w:highlight w:val="none"/>
                    </w:rPr>
                  </w:pPr>
                </w:p>
              </w:tc>
              <w:tc>
                <w:tcPr>
                  <w:tcW w:w="2616" w:type="pct"/>
                  <w:noWrap w:val="0"/>
                  <w:vAlign w:val="center"/>
                </w:tcPr>
                <w:p w14:paraId="62627764">
                  <w:pPr>
                    <w:adjustRightInd w:val="0"/>
                    <w:snapToGrid w:val="0"/>
                    <w:jc w:val="center"/>
                    <w:rPr>
                      <w:color w:val="auto"/>
                      <w:kern w:val="0"/>
                      <w:sz w:val="21"/>
                      <w:szCs w:val="21"/>
                      <w:highlight w:val="none"/>
                      <w:lang w:bidi="ar"/>
                    </w:rPr>
                  </w:pPr>
                  <w:r>
                    <w:rPr>
                      <w:rFonts w:hint="eastAsia"/>
                      <w:color w:val="auto"/>
                      <w:sz w:val="21"/>
                      <w:szCs w:val="21"/>
                      <w:highlight w:val="none"/>
                    </w:rPr>
                    <w:t>发泡、成型工序废气非甲烷总烃无</w:t>
                  </w:r>
                  <w:r>
                    <w:rPr>
                      <w:rFonts w:hint="eastAsia"/>
                      <w:color w:val="auto"/>
                      <w:kern w:val="0"/>
                      <w:sz w:val="21"/>
                      <w:szCs w:val="21"/>
                      <w:highlight w:val="none"/>
                      <w:lang w:bidi="ar"/>
                    </w:rPr>
                    <w:t>组织产生量</w:t>
                  </w:r>
                </w:p>
              </w:tc>
              <w:tc>
                <w:tcPr>
                  <w:tcW w:w="913" w:type="pct"/>
                  <w:noWrap w:val="0"/>
                  <w:vAlign w:val="center"/>
                </w:tcPr>
                <w:p w14:paraId="073B1628">
                  <w:pPr>
                    <w:widowControl/>
                    <w:jc w:val="center"/>
                    <w:textAlignment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0.06</w:t>
                  </w:r>
                </w:p>
              </w:tc>
            </w:tr>
            <w:tr w14:paraId="4598C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2394DC27">
                  <w:pPr>
                    <w:widowControl/>
                    <w:jc w:val="center"/>
                    <w:textAlignment w:val="center"/>
                    <w:rPr>
                      <w:snapToGrid w:val="0"/>
                      <w:color w:val="auto"/>
                      <w:kern w:val="0"/>
                      <w:sz w:val="21"/>
                      <w:szCs w:val="21"/>
                      <w:highlight w:val="none"/>
                    </w:rPr>
                  </w:pPr>
                </w:p>
              </w:tc>
              <w:tc>
                <w:tcPr>
                  <w:tcW w:w="815" w:type="pct"/>
                  <w:vMerge w:val="continue"/>
                  <w:noWrap w:val="0"/>
                  <w:vAlign w:val="center"/>
                </w:tcPr>
                <w:p w14:paraId="7BF165FB">
                  <w:pPr>
                    <w:widowControl/>
                    <w:jc w:val="center"/>
                    <w:textAlignment w:val="center"/>
                    <w:rPr>
                      <w:color w:val="auto"/>
                      <w:sz w:val="21"/>
                      <w:szCs w:val="21"/>
                      <w:highlight w:val="none"/>
                    </w:rPr>
                  </w:pPr>
                </w:p>
              </w:tc>
              <w:tc>
                <w:tcPr>
                  <w:tcW w:w="2616" w:type="pct"/>
                  <w:noWrap w:val="0"/>
                  <w:vAlign w:val="center"/>
                </w:tcPr>
                <w:p w14:paraId="5A0580A4">
                  <w:pPr>
                    <w:adjustRightInd w:val="0"/>
                    <w:snapToGrid w:val="0"/>
                    <w:jc w:val="center"/>
                    <w:rPr>
                      <w:color w:val="auto"/>
                      <w:kern w:val="0"/>
                      <w:sz w:val="21"/>
                      <w:szCs w:val="21"/>
                      <w:highlight w:val="none"/>
                      <w:lang w:bidi="ar"/>
                    </w:rPr>
                  </w:pPr>
                  <w:r>
                    <w:rPr>
                      <w:rFonts w:hint="eastAsia"/>
                      <w:color w:val="auto"/>
                      <w:sz w:val="21"/>
                      <w:szCs w:val="21"/>
                      <w:highlight w:val="none"/>
                    </w:rPr>
                    <w:t>发泡、成型工序废气甲苯无</w:t>
                  </w:r>
                  <w:r>
                    <w:rPr>
                      <w:rFonts w:hint="eastAsia"/>
                      <w:color w:val="auto"/>
                      <w:kern w:val="0"/>
                      <w:sz w:val="21"/>
                      <w:szCs w:val="21"/>
                      <w:highlight w:val="none"/>
                      <w:lang w:bidi="ar"/>
                    </w:rPr>
                    <w:t>组织产生量</w:t>
                  </w:r>
                </w:p>
              </w:tc>
              <w:tc>
                <w:tcPr>
                  <w:tcW w:w="913" w:type="pct"/>
                  <w:noWrap w:val="0"/>
                  <w:vAlign w:val="center"/>
                </w:tcPr>
                <w:p w14:paraId="13FFDE30">
                  <w:pPr>
                    <w:widowControl/>
                    <w:jc w:val="center"/>
                    <w:textAlignment w:val="center"/>
                    <w:rPr>
                      <w:rFonts w:hint="default"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0.0002</w:t>
                  </w:r>
                </w:p>
              </w:tc>
            </w:tr>
            <w:tr w14:paraId="0C559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59198626">
                  <w:pPr>
                    <w:widowControl/>
                    <w:jc w:val="center"/>
                    <w:textAlignment w:val="center"/>
                    <w:rPr>
                      <w:snapToGrid w:val="0"/>
                      <w:color w:val="auto"/>
                      <w:kern w:val="0"/>
                      <w:sz w:val="21"/>
                      <w:szCs w:val="21"/>
                      <w:highlight w:val="none"/>
                    </w:rPr>
                  </w:pPr>
                </w:p>
              </w:tc>
              <w:tc>
                <w:tcPr>
                  <w:tcW w:w="815" w:type="pct"/>
                  <w:vMerge w:val="continue"/>
                  <w:noWrap w:val="0"/>
                  <w:vAlign w:val="center"/>
                </w:tcPr>
                <w:p w14:paraId="4210B8F2">
                  <w:pPr>
                    <w:widowControl/>
                    <w:jc w:val="center"/>
                    <w:textAlignment w:val="center"/>
                    <w:rPr>
                      <w:color w:val="auto"/>
                      <w:sz w:val="21"/>
                      <w:szCs w:val="21"/>
                      <w:highlight w:val="none"/>
                    </w:rPr>
                  </w:pPr>
                </w:p>
              </w:tc>
              <w:tc>
                <w:tcPr>
                  <w:tcW w:w="2616" w:type="pct"/>
                  <w:noWrap w:val="0"/>
                  <w:vAlign w:val="center"/>
                </w:tcPr>
                <w:p w14:paraId="1F5093EA">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rPr>
                    <w:t>发泡、成型工序废气</w:t>
                  </w:r>
                  <w:r>
                    <w:rPr>
                      <w:rFonts w:hint="eastAsia"/>
                      <w:color w:val="auto"/>
                      <w:sz w:val="21"/>
                      <w:szCs w:val="21"/>
                      <w:highlight w:val="none"/>
                      <w:lang w:val="en-US" w:eastAsia="zh-CN"/>
                    </w:rPr>
                    <w:t>苯乙烯</w:t>
                  </w:r>
                  <w:r>
                    <w:rPr>
                      <w:rFonts w:hint="eastAsia"/>
                      <w:color w:val="auto"/>
                      <w:kern w:val="0"/>
                      <w:sz w:val="21"/>
                      <w:szCs w:val="21"/>
                      <w:highlight w:val="none"/>
                      <w:lang w:bidi="ar"/>
                    </w:rPr>
                    <w:t>有组织产生量</w:t>
                  </w:r>
                </w:p>
              </w:tc>
              <w:tc>
                <w:tcPr>
                  <w:tcW w:w="913" w:type="pct"/>
                  <w:noWrap w:val="0"/>
                  <w:vAlign w:val="center"/>
                </w:tcPr>
                <w:p w14:paraId="1650EF13">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0.0005</w:t>
                  </w:r>
                </w:p>
              </w:tc>
            </w:tr>
            <w:tr w14:paraId="007C6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5234F12F">
                  <w:pPr>
                    <w:widowControl/>
                    <w:jc w:val="center"/>
                    <w:textAlignment w:val="center"/>
                    <w:rPr>
                      <w:snapToGrid w:val="0"/>
                      <w:color w:val="auto"/>
                      <w:kern w:val="0"/>
                      <w:sz w:val="21"/>
                      <w:szCs w:val="21"/>
                      <w:highlight w:val="none"/>
                    </w:rPr>
                  </w:pPr>
                </w:p>
              </w:tc>
              <w:tc>
                <w:tcPr>
                  <w:tcW w:w="815" w:type="pct"/>
                  <w:vMerge w:val="continue"/>
                  <w:noWrap w:val="0"/>
                  <w:vAlign w:val="center"/>
                </w:tcPr>
                <w:p w14:paraId="127AF998">
                  <w:pPr>
                    <w:widowControl/>
                    <w:jc w:val="center"/>
                    <w:textAlignment w:val="center"/>
                    <w:rPr>
                      <w:color w:val="auto"/>
                      <w:sz w:val="21"/>
                      <w:szCs w:val="21"/>
                      <w:highlight w:val="none"/>
                    </w:rPr>
                  </w:pPr>
                </w:p>
              </w:tc>
              <w:tc>
                <w:tcPr>
                  <w:tcW w:w="2616" w:type="pct"/>
                  <w:noWrap w:val="0"/>
                  <w:vAlign w:val="center"/>
                </w:tcPr>
                <w:p w14:paraId="41A271BB">
                  <w:pPr>
                    <w:adjustRightInd w:val="0"/>
                    <w:snapToGrid w:val="0"/>
                    <w:jc w:val="center"/>
                    <w:rPr>
                      <w:rFonts w:hint="eastAsia"/>
                      <w:color w:val="auto"/>
                      <w:sz w:val="21"/>
                      <w:szCs w:val="21"/>
                      <w:highlight w:val="none"/>
                    </w:rPr>
                  </w:pPr>
                  <w:r>
                    <w:rPr>
                      <w:rFonts w:hint="eastAsia"/>
                      <w:color w:val="auto"/>
                      <w:sz w:val="21"/>
                      <w:szCs w:val="21"/>
                      <w:highlight w:val="none"/>
                    </w:rPr>
                    <w:t>发泡、成型工序废气</w:t>
                  </w:r>
                  <w:r>
                    <w:rPr>
                      <w:rFonts w:hint="eastAsia"/>
                      <w:color w:val="auto"/>
                      <w:sz w:val="21"/>
                      <w:szCs w:val="21"/>
                      <w:highlight w:val="none"/>
                      <w:lang w:val="en-US" w:eastAsia="zh-CN"/>
                    </w:rPr>
                    <w:t>苯乙烯</w:t>
                  </w:r>
                  <w:r>
                    <w:rPr>
                      <w:rFonts w:hint="eastAsia"/>
                      <w:color w:val="auto"/>
                      <w:sz w:val="21"/>
                      <w:szCs w:val="21"/>
                      <w:highlight w:val="none"/>
                    </w:rPr>
                    <w:t>无</w:t>
                  </w:r>
                  <w:r>
                    <w:rPr>
                      <w:rFonts w:hint="eastAsia"/>
                      <w:color w:val="auto"/>
                      <w:kern w:val="0"/>
                      <w:sz w:val="21"/>
                      <w:szCs w:val="21"/>
                      <w:highlight w:val="none"/>
                      <w:lang w:bidi="ar"/>
                    </w:rPr>
                    <w:t>组织产生量</w:t>
                  </w:r>
                </w:p>
              </w:tc>
              <w:tc>
                <w:tcPr>
                  <w:tcW w:w="913" w:type="pct"/>
                  <w:noWrap w:val="0"/>
                  <w:vAlign w:val="center"/>
                </w:tcPr>
                <w:p w14:paraId="3FE35EBB">
                  <w:pPr>
                    <w:widowControl/>
                    <w:jc w:val="center"/>
                    <w:textAlignment w:val="center"/>
                    <w:rPr>
                      <w:rFonts w:hint="default"/>
                      <w:color w:val="auto"/>
                      <w:kern w:val="0"/>
                      <w:sz w:val="21"/>
                      <w:szCs w:val="21"/>
                      <w:highlight w:val="none"/>
                      <w:lang w:val="en-US" w:eastAsia="zh-CN" w:bidi="ar"/>
                    </w:rPr>
                  </w:pPr>
                  <w:r>
                    <w:rPr>
                      <w:rFonts w:hint="eastAsia"/>
                      <w:color w:val="auto"/>
                      <w:kern w:val="0"/>
                      <w:sz w:val="21"/>
                      <w:szCs w:val="21"/>
                      <w:highlight w:val="none"/>
                      <w:lang w:val="en-US" w:eastAsia="zh-CN" w:bidi="ar"/>
                    </w:rPr>
                    <w:t>0.000053</w:t>
                  </w:r>
                </w:p>
              </w:tc>
            </w:tr>
            <w:tr w14:paraId="32F99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54839C5D">
                  <w:pPr>
                    <w:widowControl/>
                    <w:jc w:val="center"/>
                    <w:textAlignment w:val="center"/>
                    <w:rPr>
                      <w:snapToGrid w:val="0"/>
                      <w:color w:val="auto"/>
                      <w:kern w:val="0"/>
                      <w:sz w:val="21"/>
                      <w:szCs w:val="21"/>
                      <w:highlight w:val="none"/>
                    </w:rPr>
                  </w:pPr>
                </w:p>
              </w:tc>
              <w:tc>
                <w:tcPr>
                  <w:tcW w:w="815" w:type="pct"/>
                  <w:vMerge w:val="continue"/>
                  <w:noWrap w:val="0"/>
                  <w:vAlign w:val="center"/>
                </w:tcPr>
                <w:p w14:paraId="717E6CB7">
                  <w:pPr>
                    <w:widowControl/>
                    <w:jc w:val="center"/>
                    <w:textAlignment w:val="center"/>
                    <w:rPr>
                      <w:color w:val="auto"/>
                      <w:sz w:val="21"/>
                      <w:szCs w:val="21"/>
                      <w:highlight w:val="none"/>
                    </w:rPr>
                  </w:pPr>
                </w:p>
              </w:tc>
              <w:tc>
                <w:tcPr>
                  <w:tcW w:w="2616" w:type="pct"/>
                  <w:noWrap w:val="0"/>
                  <w:vAlign w:val="center"/>
                </w:tcPr>
                <w:p w14:paraId="65323D0A">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rPr>
                    <w:t>发泡、成型工序废气</w:t>
                  </w:r>
                  <w:r>
                    <w:rPr>
                      <w:rFonts w:hint="eastAsia"/>
                      <w:color w:val="auto"/>
                      <w:sz w:val="21"/>
                      <w:szCs w:val="21"/>
                      <w:highlight w:val="none"/>
                      <w:lang w:val="en-US" w:eastAsia="zh-CN"/>
                    </w:rPr>
                    <w:t>乙苯</w:t>
                  </w:r>
                  <w:r>
                    <w:rPr>
                      <w:rFonts w:hint="eastAsia"/>
                      <w:color w:val="auto"/>
                      <w:kern w:val="0"/>
                      <w:sz w:val="21"/>
                      <w:szCs w:val="21"/>
                      <w:highlight w:val="none"/>
                      <w:lang w:bidi="ar"/>
                    </w:rPr>
                    <w:t>有组织产生量</w:t>
                  </w:r>
                </w:p>
              </w:tc>
              <w:tc>
                <w:tcPr>
                  <w:tcW w:w="913" w:type="pct"/>
                  <w:noWrap w:val="0"/>
                  <w:vAlign w:val="center"/>
                </w:tcPr>
                <w:p w14:paraId="5A617EED">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0.0008</w:t>
                  </w:r>
                </w:p>
              </w:tc>
            </w:tr>
            <w:tr w14:paraId="263FB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131C1805">
                  <w:pPr>
                    <w:widowControl/>
                    <w:jc w:val="center"/>
                    <w:textAlignment w:val="center"/>
                    <w:rPr>
                      <w:snapToGrid w:val="0"/>
                      <w:color w:val="auto"/>
                      <w:kern w:val="0"/>
                      <w:sz w:val="21"/>
                      <w:szCs w:val="21"/>
                      <w:highlight w:val="none"/>
                    </w:rPr>
                  </w:pPr>
                </w:p>
              </w:tc>
              <w:tc>
                <w:tcPr>
                  <w:tcW w:w="815" w:type="pct"/>
                  <w:vMerge w:val="continue"/>
                  <w:noWrap w:val="0"/>
                  <w:vAlign w:val="center"/>
                </w:tcPr>
                <w:p w14:paraId="6FF6089A">
                  <w:pPr>
                    <w:widowControl/>
                    <w:jc w:val="center"/>
                    <w:textAlignment w:val="center"/>
                    <w:rPr>
                      <w:color w:val="auto"/>
                      <w:sz w:val="21"/>
                      <w:szCs w:val="21"/>
                      <w:highlight w:val="none"/>
                    </w:rPr>
                  </w:pPr>
                </w:p>
              </w:tc>
              <w:tc>
                <w:tcPr>
                  <w:tcW w:w="2616" w:type="pct"/>
                  <w:noWrap w:val="0"/>
                  <w:vAlign w:val="center"/>
                </w:tcPr>
                <w:p w14:paraId="12D9C3EF">
                  <w:pPr>
                    <w:adjustRightInd w:val="0"/>
                    <w:snapToGrid w:val="0"/>
                    <w:jc w:val="center"/>
                    <w:rPr>
                      <w:rFonts w:hint="eastAsia"/>
                      <w:color w:val="auto"/>
                      <w:sz w:val="21"/>
                      <w:szCs w:val="21"/>
                      <w:highlight w:val="none"/>
                    </w:rPr>
                  </w:pPr>
                  <w:r>
                    <w:rPr>
                      <w:rFonts w:hint="eastAsia"/>
                      <w:color w:val="auto"/>
                      <w:sz w:val="21"/>
                      <w:szCs w:val="21"/>
                      <w:highlight w:val="none"/>
                    </w:rPr>
                    <w:t>发泡、成型工序废气</w:t>
                  </w:r>
                  <w:r>
                    <w:rPr>
                      <w:rFonts w:hint="eastAsia"/>
                      <w:color w:val="auto"/>
                      <w:sz w:val="21"/>
                      <w:szCs w:val="21"/>
                      <w:highlight w:val="none"/>
                      <w:lang w:val="en-US" w:eastAsia="zh-CN"/>
                    </w:rPr>
                    <w:t>乙苯</w:t>
                  </w:r>
                  <w:r>
                    <w:rPr>
                      <w:rFonts w:hint="eastAsia"/>
                      <w:color w:val="auto"/>
                      <w:sz w:val="21"/>
                      <w:szCs w:val="21"/>
                      <w:highlight w:val="none"/>
                    </w:rPr>
                    <w:t>无</w:t>
                  </w:r>
                  <w:r>
                    <w:rPr>
                      <w:rFonts w:hint="eastAsia"/>
                      <w:color w:val="auto"/>
                      <w:kern w:val="0"/>
                      <w:sz w:val="21"/>
                      <w:szCs w:val="21"/>
                      <w:highlight w:val="none"/>
                      <w:lang w:bidi="ar"/>
                    </w:rPr>
                    <w:t>组织产生量</w:t>
                  </w:r>
                </w:p>
              </w:tc>
              <w:tc>
                <w:tcPr>
                  <w:tcW w:w="913" w:type="pct"/>
                  <w:noWrap w:val="0"/>
                  <w:vAlign w:val="center"/>
                </w:tcPr>
                <w:p w14:paraId="5EE4E008">
                  <w:pPr>
                    <w:widowControl/>
                    <w:jc w:val="center"/>
                    <w:textAlignment w:val="center"/>
                    <w:rPr>
                      <w:rFonts w:hint="default"/>
                      <w:color w:val="auto"/>
                      <w:kern w:val="0"/>
                      <w:sz w:val="21"/>
                      <w:szCs w:val="21"/>
                      <w:highlight w:val="none"/>
                      <w:lang w:val="en-US" w:eastAsia="zh-CN" w:bidi="ar"/>
                    </w:rPr>
                  </w:pPr>
                  <w:r>
                    <w:rPr>
                      <w:rFonts w:hint="eastAsia"/>
                      <w:color w:val="auto"/>
                      <w:kern w:val="0"/>
                      <w:sz w:val="21"/>
                      <w:szCs w:val="21"/>
                      <w:highlight w:val="none"/>
                      <w:lang w:val="en-US" w:eastAsia="zh-CN" w:bidi="ar"/>
                    </w:rPr>
                    <w:t>0.00009</w:t>
                  </w:r>
                </w:p>
              </w:tc>
            </w:tr>
            <w:tr w14:paraId="77BA9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38348215">
                  <w:pPr>
                    <w:widowControl/>
                    <w:jc w:val="center"/>
                    <w:textAlignment w:val="center"/>
                    <w:rPr>
                      <w:snapToGrid w:val="0"/>
                      <w:color w:val="auto"/>
                      <w:kern w:val="0"/>
                      <w:sz w:val="21"/>
                      <w:szCs w:val="21"/>
                      <w:highlight w:val="none"/>
                    </w:rPr>
                  </w:pPr>
                </w:p>
              </w:tc>
              <w:tc>
                <w:tcPr>
                  <w:tcW w:w="815" w:type="pct"/>
                  <w:vMerge w:val="continue"/>
                  <w:noWrap w:val="0"/>
                  <w:vAlign w:val="center"/>
                </w:tcPr>
                <w:p w14:paraId="6E3A435D">
                  <w:pPr>
                    <w:widowControl/>
                    <w:jc w:val="center"/>
                    <w:textAlignment w:val="center"/>
                    <w:rPr>
                      <w:color w:val="auto"/>
                      <w:sz w:val="21"/>
                      <w:szCs w:val="21"/>
                      <w:highlight w:val="none"/>
                    </w:rPr>
                  </w:pPr>
                </w:p>
              </w:tc>
              <w:tc>
                <w:tcPr>
                  <w:tcW w:w="2616" w:type="pct"/>
                  <w:noWrap w:val="0"/>
                  <w:vAlign w:val="center"/>
                </w:tcPr>
                <w:p w14:paraId="7A7409FB">
                  <w:pPr>
                    <w:adjustRightInd w:val="0"/>
                    <w:snapToGrid w:val="0"/>
                    <w:jc w:val="center"/>
                    <w:rPr>
                      <w:color w:val="auto"/>
                      <w:sz w:val="21"/>
                      <w:szCs w:val="21"/>
                      <w:highlight w:val="none"/>
                    </w:rPr>
                  </w:pPr>
                  <w:r>
                    <w:rPr>
                      <w:rFonts w:hint="eastAsia"/>
                      <w:color w:val="auto"/>
                      <w:sz w:val="21"/>
                      <w:szCs w:val="21"/>
                      <w:highlight w:val="none"/>
                    </w:rPr>
                    <w:t>不合格品</w:t>
                  </w:r>
                </w:p>
              </w:tc>
              <w:tc>
                <w:tcPr>
                  <w:tcW w:w="913" w:type="pct"/>
                  <w:noWrap w:val="0"/>
                  <w:vAlign w:val="center"/>
                </w:tcPr>
                <w:p w14:paraId="745F8E6A">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1.704</w:t>
                  </w:r>
                </w:p>
              </w:tc>
            </w:tr>
            <w:tr w14:paraId="17146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7833353A">
                  <w:pPr>
                    <w:widowControl/>
                    <w:jc w:val="center"/>
                    <w:textAlignment w:val="center"/>
                    <w:rPr>
                      <w:snapToGrid w:val="0"/>
                      <w:color w:val="auto"/>
                      <w:kern w:val="0"/>
                      <w:sz w:val="21"/>
                      <w:szCs w:val="21"/>
                      <w:highlight w:val="none"/>
                    </w:rPr>
                  </w:pPr>
                </w:p>
              </w:tc>
              <w:tc>
                <w:tcPr>
                  <w:tcW w:w="815" w:type="pct"/>
                  <w:vMerge w:val="continue"/>
                  <w:noWrap w:val="0"/>
                  <w:vAlign w:val="center"/>
                </w:tcPr>
                <w:p w14:paraId="5403FCAE">
                  <w:pPr>
                    <w:widowControl/>
                    <w:jc w:val="center"/>
                    <w:textAlignment w:val="center"/>
                    <w:rPr>
                      <w:color w:val="auto"/>
                      <w:sz w:val="21"/>
                      <w:szCs w:val="21"/>
                      <w:highlight w:val="none"/>
                    </w:rPr>
                  </w:pPr>
                </w:p>
              </w:tc>
              <w:tc>
                <w:tcPr>
                  <w:tcW w:w="2616" w:type="pct"/>
                  <w:noWrap w:val="0"/>
                  <w:vAlign w:val="center"/>
                </w:tcPr>
                <w:p w14:paraId="5E64456D">
                  <w:pPr>
                    <w:adjustRightInd w:val="0"/>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废边角料</w:t>
                  </w:r>
                </w:p>
              </w:tc>
              <w:tc>
                <w:tcPr>
                  <w:tcW w:w="913" w:type="pct"/>
                  <w:noWrap w:val="0"/>
                  <w:vAlign w:val="center"/>
                </w:tcPr>
                <w:p w14:paraId="1D20E80C">
                  <w:pPr>
                    <w:widowControl/>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0.063</w:t>
                  </w:r>
                </w:p>
              </w:tc>
            </w:tr>
            <w:tr w14:paraId="3C7DB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14:paraId="1725BDC8">
                  <w:pPr>
                    <w:widowControl/>
                    <w:jc w:val="center"/>
                    <w:textAlignment w:val="center"/>
                    <w:rPr>
                      <w:color w:val="auto"/>
                      <w:sz w:val="21"/>
                      <w:szCs w:val="21"/>
                      <w:highlight w:val="none"/>
                    </w:rPr>
                  </w:pPr>
                  <w:r>
                    <w:rPr>
                      <w:color w:val="auto"/>
                      <w:kern w:val="0"/>
                      <w:sz w:val="21"/>
                      <w:szCs w:val="21"/>
                      <w:highlight w:val="none"/>
                      <w:lang w:bidi="ar"/>
                    </w:rPr>
                    <w:t>合计</w:t>
                  </w:r>
                </w:p>
              </w:tc>
              <w:tc>
                <w:tcPr>
                  <w:tcW w:w="815" w:type="pct"/>
                  <w:noWrap w:val="0"/>
                  <w:vAlign w:val="center"/>
                </w:tcPr>
                <w:p w14:paraId="3088F930">
                  <w:pPr>
                    <w:widowControl/>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428.41</w:t>
                  </w:r>
                </w:p>
              </w:tc>
              <w:tc>
                <w:tcPr>
                  <w:tcW w:w="2616" w:type="pct"/>
                  <w:noWrap w:val="0"/>
                  <w:vAlign w:val="center"/>
                </w:tcPr>
                <w:p w14:paraId="3B001B83">
                  <w:pPr>
                    <w:widowControl/>
                    <w:jc w:val="center"/>
                    <w:textAlignment w:val="center"/>
                    <w:rPr>
                      <w:color w:val="auto"/>
                      <w:sz w:val="21"/>
                      <w:szCs w:val="21"/>
                      <w:highlight w:val="none"/>
                    </w:rPr>
                  </w:pPr>
                  <w:r>
                    <w:rPr>
                      <w:color w:val="auto"/>
                      <w:kern w:val="0"/>
                      <w:sz w:val="21"/>
                      <w:szCs w:val="21"/>
                      <w:highlight w:val="none"/>
                      <w:lang w:bidi="ar"/>
                    </w:rPr>
                    <w:t>合计</w:t>
                  </w:r>
                </w:p>
              </w:tc>
              <w:tc>
                <w:tcPr>
                  <w:tcW w:w="913" w:type="pct"/>
                  <w:noWrap w:val="0"/>
                  <w:vAlign w:val="center"/>
                </w:tcPr>
                <w:p w14:paraId="4E1AACA6">
                  <w:pPr>
                    <w:widowControl/>
                    <w:jc w:val="center"/>
                    <w:textAlignment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428.41</w:t>
                  </w:r>
                  <w:r>
                    <w:rPr>
                      <w:rFonts w:hint="eastAsia"/>
                      <w:color w:val="auto"/>
                      <w:sz w:val="21"/>
                      <w:szCs w:val="21"/>
                      <w:highlight w:val="none"/>
                      <w:lang w:val="en-US" w:eastAsia="zh-CN"/>
                    </w:rPr>
                    <w:t>0</w:t>
                  </w:r>
                </w:p>
              </w:tc>
            </w:tr>
          </w:tbl>
          <w:p w14:paraId="3418D97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textAlignment w:val="auto"/>
              <w:rPr>
                <w:rFonts w:hint="eastAsia" w:eastAsia="宋体"/>
                <w:b/>
                <w:bCs/>
                <w:color w:val="auto"/>
                <w:sz w:val="24"/>
                <w:highlight w:val="none"/>
                <w:lang w:eastAsia="zh-CN"/>
              </w:rPr>
            </w:pPr>
            <w:r>
              <w:rPr>
                <w:rFonts w:hint="default" w:ascii="Times New Roman" w:hAnsi="Times New Roman" w:cs="Times New Roman"/>
                <w:color w:val="auto"/>
                <w:sz w:val="21"/>
                <w:szCs w:val="21"/>
                <w:highlight w:val="none"/>
              </w:rPr>
              <w:t>表</w:t>
            </w:r>
            <w:r>
              <w:rPr>
                <w:rFonts w:hint="eastAsia" w:ascii="Times New Roman" w:hAnsi="Times New Roman" w:cs="Times New Roman"/>
                <w:color w:val="auto"/>
                <w:sz w:val="21"/>
                <w:szCs w:val="21"/>
                <w:highlight w:val="none"/>
                <w:lang w:val="en-US" w:eastAsia="zh-CN"/>
              </w:rPr>
              <w:t>2-</w:t>
            </w:r>
            <w:r>
              <w:rPr>
                <w:rFonts w:hint="eastAsia" w:cs="Times New Roman"/>
                <w:color w:val="auto"/>
                <w:sz w:val="21"/>
                <w:szCs w:val="21"/>
                <w:highlight w:val="none"/>
                <w:lang w:val="en-US" w:eastAsia="zh-CN"/>
              </w:rPr>
              <w:t>6</w:t>
            </w:r>
            <w:r>
              <w:rPr>
                <w:rFonts w:hint="eastAsia" w:ascii="Times New Roman" w:hAnsi="Times New Roman" w:cs="Times New Roman"/>
                <w:color w:val="auto"/>
                <w:highlight w:val="none"/>
                <w:lang w:val="en-US" w:eastAsia="zh-CN"/>
              </w:rPr>
              <w:t xml:space="preserve"> </w:t>
            </w:r>
            <w:r>
              <w:rPr>
                <w:rFonts w:hint="default"/>
                <w:b/>
                <w:bCs/>
                <w:color w:val="auto"/>
                <w:highlight w:val="none"/>
              </w:rPr>
              <w:t xml:space="preserve">  </w:t>
            </w:r>
            <w:r>
              <w:rPr>
                <w:rFonts w:hint="default"/>
                <w:b/>
                <w:bCs/>
                <w:color w:val="auto"/>
                <w:sz w:val="24"/>
                <w:highlight w:val="none"/>
              </w:rPr>
              <w:t xml:space="preserve"> </w:t>
            </w:r>
            <w:r>
              <w:rPr>
                <w:rFonts w:hint="eastAsia"/>
                <w:b/>
                <w:bCs/>
                <w:color w:val="auto"/>
                <w:sz w:val="24"/>
                <w:highlight w:val="none"/>
                <w:lang w:val="en-US" w:eastAsia="zh-CN"/>
              </w:rPr>
              <w:t xml:space="preserve">     </w:t>
            </w:r>
            <w:r>
              <w:rPr>
                <w:rFonts w:hint="default"/>
                <w:b/>
                <w:bCs/>
                <w:color w:val="auto"/>
                <w:sz w:val="24"/>
                <w:highlight w:val="none"/>
              </w:rPr>
              <w:t xml:space="preserve"> </w:t>
            </w:r>
            <w:r>
              <w:rPr>
                <w:rFonts w:hint="eastAsia"/>
                <w:b/>
                <w:bCs/>
                <w:color w:val="auto"/>
                <w:sz w:val="24"/>
                <w:highlight w:val="none"/>
                <w:lang w:val="en-US" w:eastAsia="zh-CN"/>
              </w:rPr>
              <w:t xml:space="preserve">        本</w:t>
            </w:r>
            <w:r>
              <w:rPr>
                <w:rFonts w:hint="default"/>
                <w:b/>
                <w:bCs/>
                <w:color w:val="auto"/>
                <w:sz w:val="24"/>
                <w:highlight w:val="none"/>
              </w:rPr>
              <w:t>项目</w:t>
            </w:r>
            <w:r>
              <w:rPr>
                <w:rFonts w:hint="eastAsia"/>
                <w:b/>
                <w:bCs/>
                <w:color w:val="auto"/>
                <w:sz w:val="24"/>
                <w:highlight w:val="none"/>
                <w:lang w:val="en-US" w:eastAsia="zh-CN"/>
              </w:rPr>
              <w:t>二期</w:t>
            </w:r>
            <w:r>
              <w:rPr>
                <w:rFonts w:hint="default"/>
                <w:b/>
                <w:bCs/>
                <w:color w:val="auto"/>
                <w:sz w:val="24"/>
                <w:highlight w:val="none"/>
              </w:rPr>
              <w:t>物料平衡</w:t>
            </w:r>
            <w:r>
              <w:rPr>
                <w:rFonts w:hint="eastAsia"/>
                <w:b/>
                <w:bCs/>
                <w:color w:val="auto"/>
                <w:sz w:val="24"/>
                <w:highlight w:val="none"/>
                <w:lang w:val="en-US" w:eastAsia="zh-CN"/>
              </w:rPr>
              <w:t>一览</w:t>
            </w:r>
            <w:r>
              <w:rPr>
                <w:rFonts w:hint="default"/>
                <w:b/>
                <w:bCs/>
                <w:color w:val="auto"/>
                <w:sz w:val="24"/>
                <w:highlight w:val="none"/>
              </w:rPr>
              <w:t>表</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364"/>
              <w:gridCol w:w="4374"/>
              <w:gridCol w:w="1528"/>
            </w:tblGrid>
            <w:tr w14:paraId="458C2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pct"/>
                  <w:gridSpan w:val="2"/>
                  <w:noWrap w:val="0"/>
                  <w:vAlign w:val="center"/>
                </w:tcPr>
                <w:p w14:paraId="75831092">
                  <w:pPr>
                    <w:pStyle w:val="101"/>
                    <w:jc w:val="center"/>
                    <w:rPr>
                      <w:rFonts w:cs="Times New Roman"/>
                      <w:b/>
                      <w:bCs/>
                      <w:color w:val="auto"/>
                      <w:highlight w:val="none"/>
                    </w:rPr>
                  </w:pPr>
                  <w:r>
                    <w:rPr>
                      <w:rFonts w:cs="Times New Roman"/>
                      <w:b/>
                      <w:bCs/>
                      <w:color w:val="auto"/>
                      <w:highlight w:val="none"/>
                    </w:rPr>
                    <w:t>投入</w:t>
                  </w:r>
                </w:p>
              </w:tc>
              <w:tc>
                <w:tcPr>
                  <w:tcW w:w="3530" w:type="pct"/>
                  <w:gridSpan w:val="2"/>
                  <w:noWrap w:val="0"/>
                  <w:vAlign w:val="center"/>
                </w:tcPr>
                <w:p w14:paraId="3F31C914">
                  <w:pPr>
                    <w:pStyle w:val="101"/>
                    <w:jc w:val="center"/>
                    <w:rPr>
                      <w:rFonts w:cs="Times New Roman"/>
                      <w:b/>
                      <w:bCs/>
                      <w:color w:val="auto"/>
                      <w:highlight w:val="none"/>
                    </w:rPr>
                  </w:pPr>
                  <w:r>
                    <w:rPr>
                      <w:rFonts w:cs="Times New Roman"/>
                      <w:b/>
                      <w:bCs/>
                      <w:color w:val="auto"/>
                      <w:highlight w:val="none"/>
                    </w:rPr>
                    <w:t>产出</w:t>
                  </w:r>
                </w:p>
              </w:tc>
            </w:tr>
            <w:tr w14:paraId="72CFC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14:paraId="2D43C482">
                  <w:pPr>
                    <w:pStyle w:val="101"/>
                    <w:jc w:val="center"/>
                    <w:rPr>
                      <w:rFonts w:cs="Times New Roman"/>
                      <w:b/>
                      <w:bCs/>
                      <w:color w:val="auto"/>
                      <w:highlight w:val="none"/>
                    </w:rPr>
                  </w:pPr>
                  <w:r>
                    <w:rPr>
                      <w:rFonts w:cs="Times New Roman"/>
                      <w:b/>
                      <w:bCs/>
                      <w:color w:val="auto"/>
                      <w:highlight w:val="none"/>
                    </w:rPr>
                    <w:t>名称</w:t>
                  </w:r>
                </w:p>
              </w:tc>
              <w:tc>
                <w:tcPr>
                  <w:tcW w:w="815" w:type="pct"/>
                  <w:noWrap w:val="0"/>
                  <w:vAlign w:val="center"/>
                </w:tcPr>
                <w:p w14:paraId="000DF482">
                  <w:pPr>
                    <w:pStyle w:val="101"/>
                    <w:jc w:val="center"/>
                    <w:rPr>
                      <w:rFonts w:hint="eastAsia" w:cs="Times New Roman"/>
                      <w:b/>
                      <w:bCs/>
                      <w:color w:val="auto"/>
                      <w:highlight w:val="none"/>
                    </w:rPr>
                  </w:pPr>
                  <w:r>
                    <w:rPr>
                      <w:rFonts w:cs="Times New Roman"/>
                      <w:b/>
                      <w:bCs/>
                      <w:color w:val="auto"/>
                      <w:highlight w:val="none"/>
                    </w:rPr>
                    <w:t>输入量</w:t>
                  </w:r>
                  <w:r>
                    <w:rPr>
                      <w:b/>
                      <w:color w:val="auto"/>
                      <w:szCs w:val="21"/>
                      <w:highlight w:val="none"/>
                    </w:rPr>
                    <w:t>（t/a）</w:t>
                  </w:r>
                </w:p>
              </w:tc>
              <w:tc>
                <w:tcPr>
                  <w:tcW w:w="2616" w:type="pct"/>
                  <w:noWrap w:val="0"/>
                  <w:vAlign w:val="center"/>
                </w:tcPr>
                <w:p w14:paraId="2C7B6F15">
                  <w:pPr>
                    <w:pStyle w:val="101"/>
                    <w:jc w:val="center"/>
                    <w:rPr>
                      <w:rFonts w:cs="Times New Roman"/>
                      <w:b/>
                      <w:bCs/>
                      <w:color w:val="auto"/>
                      <w:highlight w:val="none"/>
                    </w:rPr>
                  </w:pPr>
                  <w:r>
                    <w:rPr>
                      <w:rFonts w:cs="Times New Roman"/>
                      <w:b/>
                      <w:bCs/>
                      <w:color w:val="auto"/>
                      <w:highlight w:val="none"/>
                    </w:rPr>
                    <w:t>名称</w:t>
                  </w:r>
                </w:p>
              </w:tc>
              <w:tc>
                <w:tcPr>
                  <w:tcW w:w="913" w:type="pct"/>
                  <w:noWrap w:val="0"/>
                  <w:vAlign w:val="center"/>
                </w:tcPr>
                <w:p w14:paraId="6D86999E">
                  <w:pPr>
                    <w:pStyle w:val="101"/>
                    <w:jc w:val="center"/>
                    <w:rPr>
                      <w:rFonts w:cs="Times New Roman"/>
                      <w:b/>
                      <w:bCs/>
                      <w:color w:val="auto"/>
                      <w:highlight w:val="none"/>
                    </w:rPr>
                  </w:pPr>
                  <w:r>
                    <w:rPr>
                      <w:rFonts w:cs="Times New Roman"/>
                      <w:b/>
                      <w:bCs/>
                      <w:color w:val="auto"/>
                      <w:highlight w:val="none"/>
                    </w:rPr>
                    <w:t>产出量</w:t>
                  </w:r>
                  <w:r>
                    <w:rPr>
                      <w:b/>
                      <w:color w:val="auto"/>
                      <w:szCs w:val="21"/>
                      <w:highlight w:val="none"/>
                    </w:rPr>
                    <w:t>（t/a）</w:t>
                  </w:r>
                </w:p>
              </w:tc>
            </w:tr>
            <w:tr w14:paraId="5709B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restart"/>
                  <w:noWrap w:val="0"/>
                  <w:vAlign w:val="center"/>
                </w:tcPr>
                <w:p w14:paraId="4EF35212">
                  <w:pPr>
                    <w:widowControl/>
                    <w:jc w:val="center"/>
                    <w:textAlignment w:val="center"/>
                    <w:rPr>
                      <w:color w:val="auto"/>
                      <w:szCs w:val="21"/>
                      <w:highlight w:val="none"/>
                    </w:rPr>
                  </w:pPr>
                  <w:r>
                    <w:rPr>
                      <w:rFonts w:hint="eastAsia"/>
                      <w:bCs/>
                      <w:color w:val="auto"/>
                      <w:szCs w:val="21"/>
                      <w:highlight w:val="none"/>
                    </w:rPr>
                    <w:t>可发性聚苯乙烯颗粒（E</w:t>
                  </w:r>
                  <w:r>
                    <w:rPr>
                      <w:bCs/>
                      <w:color w:val="auto"/>
                      <w:szCs w:val="21"/>
                      <w:highlight w:val="none"/>
                    </w:rPr>
                    <w:t>PS</w:t>
                  </w:r>
                  <w:r>
                    <w:rPr>
                      <w:rFonts w:hint="eastAsia"/>
                      <w:bCs/>
                      <w:color w:val="auto"/>
                      <w:szCs w:val="21"/>
                      <w:highlight w:val="none"/>
                    </w:rPr>
                    <w:t>）</w:t>
                  </w:r>
                </w:p>
              </w:tc>
              <w:tc>
                <w:tcPr>
                  <w:tcW w:w="815" w:type="pct"/>
                  <w:vMerge w:val="restart"/>
                  <w:noWrap w:val="0"/>
                  <w:vAlign w:val="center"/>
                </w:tcPr>
                <w:p w14:paraId="2E083440">
                  <w:pPr>
                    <w:widowControl/>
                    <w:jc w:val="center"/>
                    <w:textAlignment w:val="center"/>
                    <w:rPr>
                      <w:rFonts w:hint="default" w:eastAsia="宋体"/>
                      <w:color w:val="auto"/>
                      <w:szCs w:val="21"/>
                      <w:highlight w:val="none"/>
                      <w:lang w:val="en-US" w:eastAsia="zh-CN"/>
                    </w:rPr>
                  </w:pPr>
                  <w:r>
                    <w:rPr>
                      <w:rFonts w:hint="eastAsia"/>
                      <w:color w:val="auto"/>
                      <w:kern w:val="0"/>
                      <w:szCs w:val="21"/>
                      <w:highlight w:val="none"/>
                      <w:lang w:val="en-US" w:eastAsia="zh-CN" w:bidi="ar"/>
                    </w:rPr>
                    <w:t>856.82</w:t>
                  </w:r>
                </w:p>
              </w:tc>
              <w:tc>
                <w:tcPr>
                  <w:tcW w:w="2616" w:type="pct"/>
                  <w:noWrap w:val="0"/>
                  <w:vAlign w:val="center"/>
                </w:tcPr>
                <w:p w14:paraId="4394B124">
                  <w:pPr>
                    <w:adjustRightInd w:val="0"/>
                    <w:snapToGrid w:val="0"/>
                    <w:jc w:val="center"/>
                    <w:rPr>
                      <w:color w:val="auto"/>
                      <w:szCs w:val="21"/>
                      <w:highlight w:val="none"/>
                    </w:rPr>
                  </w:pPr>
                  <w:r>
                    <w:rPr>
                      <w:rFonts w:hint="eastAsia"/>
                      <w:color w:val="auto"/>
                      <w:kern w:val="0"/>
                      <w:szCs w:val="21"/>
                      <w:highlight w:val="none"/>
                    </w:rPr>
                    <w:t>泡沫箱</w:t>
                  </w:r>
                </w:p>
              </w:tc>
              <w:tc>
                <w:tcPr>
                  <w:tcW w:w="913" w:type="pct"/>
                  <w:noWrap w:val="0"/>
                  <w:vAlign w:val="center"/>
                </w:tcPr>
                <w:p w14:paraId="64AE1F95">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852</w:t>
                  </w:r>
                </w:p>
              </w:tc>
            </w:tr>
            <w:tr w14:paraId="69F5E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342E53BD">
                  <w:pPr>
                    <w:widowControl/>
                    <w:jc w:val="center"/>
                    <w:textAlignment w:val="center"/>
                    <w:rPr>
                      <w:snapToGrid w:val="0"/>
                      <w:color w:val="auto"/>
                      <w:kern w:val="0"/>
                      <w:szCs w:val="21"/>
                      <w:highlight w:val="none"/>
                    </w:rPr>
                  </w:pPr>
                </w:p>
              </w:tc>
              <w:tc>
                <w:tcPr>
                  <w:tcW w:w="815" w:type="pct"/>
                  <w:vMerge w:val="continue"/>
                  <w:noWrap w:val="0"/>
                  <w:vAlign w:val="center"/>
                </w:tcPr>
                <w:p w14:paraId="73441FAA">
                  <w:pPr>
                    <w:widowControl/>
                    <w:jc w:val="center"/>
                    <w:textAlignment w:val="center"/>
                    <w:rPr>
                      <w:color w:val="auto"/>
                      <w:szCs w:val="21"/>
                      <w:highlight w:val="none"/>
                    </w:rPr>
                  </w:pPr>
                </w:p>
              </w:tc>
              <w:tc>
                <w:tcPr>
                  <w:tcW w:w="2616" w:type="pct"/>
                  <w:noWrap w:val="0"/>
                  <w:vAlign w:val="center"/>
                </w:tcPr>
                <w:p w14:paraId="29BC36DF">
                  <w:pPr>
                    <w:adjustRightInd w:val="0"/>
                    <w:snapToGrid w:val="0"/>
                    <w:jc w:val="center"/>
                    <w:rPr>
                      <w:snapToGrid w:val="0"/>
                      <w:color w:val="auto"/>
                      <w:kern w:val="0"/>
                      <w:szCs w:val="21"/>
                      <w:highlight w:val="none"/>
                    </w:rPr>
                  </w:pPr>
                  <w:r>
                    <w:rPr>
                      <w:rFonts w:hint="eastAsia"/>
                      <w:color w:val="auto"/>
                      <w:szCs w:val="21"/>
                      <w:highlight w:val="none"/>
                    </w:rPr>
                    <w:t>发泡、成型工序废气非甲烷总烃</w:t>
                  </w:r>
                  <w:r>
                    <w:rPr>
                      <w:rFonts w:hint="eastAsia"/>
                      <w:color w:val="auto"/>
                      <w:kern w:val="0"/>
                      <w:szCs w:val="21"/>
                      <w:highlight w:val="none"/>
                      <w:lang w:bidi="ar"/>
                    </w:rPr>
                    <w:t>有组织产生量</w:t>
                  </w:r>
                </w:p>
              </w:tc>
              <w:tc>
                <w:tcPr>
                  <w:tcW w:w="913" w:type="pct"/>
                  <w:noWrap w:val="0"/>
                  <w:vAlign w:val="center"/>
                </w:tcPr>
                <w:p w14:paraId="41DD4F26">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1.15</w:t>
                  </w:r>
                </w:p>
              </w:tc>
            </w:tr>
            <w:tr w14:paraId="60B3B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122FBBE2">
                  <w:pPr>
                    <w:widowControl/>
                    <w:jc w:val="center"/>
                    <w:textAlignment w:val="center"/>
                    <w:rPr>
                      <w:snapToGrid w:val="0"/>
                      <w:color w:val="auto"/>
                      <w:kern w:val="0"/>
                      <w:szCs w:val="21"/>
                      <w:highlight w:val="none"/>
                    </w:rPr>
                  </w:pPr>
                </w:p>
              </w:tc>
              <w:tc>
                <w:tcPr>
                  <w:tcW w:w="815" w:type="pct"/>
                  <w:vMerge w:val="continue"/>
                  <w:noWrap w:val="0"/>
                  <w:vAlign w:val="center"/>
                </w:tcPr>
                <w:p w14:paraId="2C385A32">
                  <w:pPr>
                    <w:widowControl/>
                    <w:jc w:val="center"/>
                    <w:textAlignment w:val="center"/>
                    <w:rPr>
                      <w:color w:val="auto"/>
                      <w:szCs w:val="21"/>
                      <w:highlight w:val="none"/>
                    </w:rPr>
                  </w:pPr>
                </w:p>
              </w:tc>
              <w:tc>
                <w:tcPr>
                  <w:tcW w:w="2616" w:type="pct"/>
                  <w:noWrap w:val="0"/>
                  <w:vAlign w:val="center"/>
                </w:tcPr>
                <w:p w14:paraId="1DBB36FC">
                  <w:pPr>
                    <w:adjustRightInd w:val="0"/>
                    <w:snapToGrid w:val="0"/>
                    <w:jc w:val="center"/>
                    <w:rPr>
                      <w:snapToGrid w:val="0"/>
                      <w:color w:val="auto"/>
                      <w:kern w:val="0"/>
                      <w:szCs w:val="21"/>
                      <w:highlight w:val="none"/>
                    </w:rPr>
                  </w:pPr>
                  <w:r>
                    <w:rPr>
                      <w:rFonts w:hint="eastAsia"/>
                      <w:color w:val="auto"/>
                      <w:szCs w:val="21"/>
                      <w:highlight w:val="none"/>
                    </w:rPr>
                    <w:t>发泡、成型工序废气甲苯</w:t>
                  </w:r>
                  <w:r>
                    <w:rPr>
                      <w:rFonts w:hint="eastAsia"/>
                      <w:color w:val="auto"/>
                      <w:kern w:val="0"/>
                      <w:szCs w:val="21"/>
                      <w:highlight w:val="none"/>
                      <w:lang w:bidi="ar"/>
                    </w:rPr>
                    <w:t>有组织产生量</w:t>
                  </w:r>
                </w:p>
              </w:tc>
              <w:tc>
                <w:tcPr>
                  <w:tcW w:w="913" w:type="pct"/>
                  <w:noWrap w:val="0"/>
                  <w:vAlign w:val="center"/>
                </w:tcPr>
                <w:p w14:paraId="72D1D3BF">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0.00352</w:t>
                  </w:r>
                </w:p>
              </w:tc>
            </w:tr>
            <w:tr w14:paraId="02F6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1F38CEEE">
                  <w:pPr>
                    <w:widowControl/>
                    <w:jc w:val="center"/>
                    <w:textAlignment w:val="center"/>
                    <w:rPr>
                      <w:snapToGrid w:val="0"/>
                      <w:color w:val="auto"/>
                      <w:kern w:val="0"/>
                      <w:szCs w:val="21"/>
                      <w:highlight w:val="none"/>
                    </w:rPr>
                  </w:pPr>
                </w:p>
              </w:tc>
              <w:tc>
                <w:tcPr>
                  <w:tcW w:w="815" w:type="pct"/>
                  <w:vMerge w:val="continue"/>
                  <w:noWrap w:val="0"/>
                  <w:vAlign w:val="center"/>
                </w:tcPr>
                <w:p w14:paraId="52B3DFF5">
                  <w:pPr>
                    <w:widowControl/>
                    <w:jc w:val="center"/>
                    <w:textAlignment w:val="center"/>
                    <w:rPr>
                      <w:color w:val="auto"/>
                      <w:szCs w:val="21"/>
                      <w:highlight w:val="none"/>
                    </w:rPr>
                  </w:pPr>
                </w:p>
              </w:tc>
              <w:tc>
                <w:tcPr>
                  <w:tcW w:w="2616" w:type="pct"/>
                  <w:noWrap w:val="0"/>
                  <w:vAlign w:val="center"/>
                </w:tcPr>
                <w:p w14:paraId="15EF339E">
                  <w:pPr>
                    <w:adjustRightInd w:val="0"/>
                    <w:snapToGrid w:val="0"/>
                    <w:jc w:val="center"/>
                    <w:rPr>
                      <w:color w:val="auto"/>
                      <w:kern w:val="0"/>
                      <w:szCs w:val="21"/>
                      <w:highlight w:val="none"/>
                      <w:lang w:bidi="ar"/>
                    </w:rPr>
                  </w:pPr>
                  <w:r>
                    <w:rPr>
                      <w:rFonts w:hint="eastAsia"/>
                      <w:color w:val="auto"/>
                      <w:szCs w:val="21"/>
                      <w:highlight w:val="none"/>
                    </w:rPr>
                    <w:t>发泡、成型工序废气非甲烷总烃无</w:t>
                  </w:r>
                  <w:r>
                    <w:rPr>
                      <w:rFonts w:hint="eastAsia"/>
                      <w:color w:val="auto"/>
                      <w:kern w:val="0"/>
                      <w:szCs w:val="21"/>
                      <w:highlight w:val="none"/>
                      <w:lang w:bidi="ar"/>
                    </w:rPr>
                    <w:t>组织产生量</w:t>
                  </w:r>
                </w:p>
              </w:tc>
              <w:tc>
                <w:tcPr>
                  <w:tcW w:w="913" w:type="pct"/>
                  <w:noWrap w:val="0"/>
                  <w:vAlign w:val="center"/>
                </w:tcPr>
                <w:p w14:paraId="7A99520E">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0.13</w:t>
                  </w:r>
                </w:p>
              </w:tc>
            </w:tr>
            <w:tr w14:paraId="57758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0F8A2AF3">
                  <w:pPr>
                    <w:widowControl/>
                    <w:jc w:val="center"/>
                    <w:textAlignment w:val="center"/>
                    <w:rPr>
                      <w:snapToGrid w:val="0"/>
                      <w:color w:val="auto"/>
                      <w:kern w:val="0"/>
                      <w:szCs w:val="21"/>
                      <w:highlight w:val="none"/>
                    </w:rPr>
                  </w:pPr>
                </w:p>
              </w:tc>
              <w:tc>
                <w:tcPr>
                  <w:tcW w:w="815" w:type="pct"/>
                  <w:vMerge w:val="continue"/>
                  <w:noWrap w:val="0"/>
                  <w:vAlign w:val="center"/>
                </w:tcPr>
                <w:p w14:paraId="7E9CB05C">
                  <w:pPr>
                    <w:widowControl/>
                    <w:jc w:val="center"/>
                    <w:textAlignment w:val="center"/>
                    <w:rPr>
                      <w:color w:val="auto"/>
                      <w:szCs w:val="21"/>
                      <w:highlight w:val="none"/>
                    </w:rPr>
                  </w:pPr>
                </w:p>
              </w:tc>
              <w:tc>
                <w:tcPr>
                  <w:tcW w:w="2616" w:type="pct"/>
                  <w:noWrap w:val="0"/>
                  <w:vAlign w:val="center"/>
                </w:tcPr>
                <w:p w14:paraId="1AD015A2">
                  <w:pPr>
                    <w:adjustRightInd w:val="0"/>
                    <w:snapToGrid w:val="0"/>
                    <w:jc w:val="center"/>
                    <w:rPr>
                      <w:color w:val="auto"/>
                      <w:kern w:val="0"/>
                      <w:szCs w:val="21"/>
                      <w:highlight w:val="none"/>
                      <w:lang w:bidi="ar"/>
                    </w:rPr>
                  </w:pPr>
                  <w:r>
                    <w:rPr>
                      <w:rFonts w:hint="eastAsia"/>
                      <w:color w:val="auto"/>
                      <w:szCs w:val="21"/>
                      <w:highlight w:val="none"/>
                    </w:rPr>
                    <w:t>发泡、成型工序废气甲苯无</w:t>
                  </w:r>
                  <w:r>
                    <w:rPr>
                      <w:rFonts w:hint="eastAsia"/>
                      <w:color w:val="auto"/>
                      <w:kern w:val="0"/>
                      <w:szCs w:val="21"/>
                      <w:highlight w:val="none"/>
                      <w:lang w:bidi="ar"/>
                    </w:rPr>
                    <w:t>组织产生量</w:t>
                  </w:r>
                </w:p>
              </w:tc>
              <w:tc>
                <w:tcPr>
                  <w:tcW w:w="913" w:type="pct"/>
                  <w:noWrap w:val="0"/>
                  <w:vAlign w:val="center"/>
                </w:tcPr>
                <w:p w14:paraId="3FC62315">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0.000391</w:t>
                  </w:r>
                </w:p>
              </w:tc>
            </w:tr>
            <w:tr w14:paraId="03AFA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0CC3C914">
                  <w:pPr>
                    <w:widowControl/>
                    <w:jc w:val="center"/>
                    <w:textAlignment w:val="center"/>
                    <w:rPr>
                      <w:snapToGrid w:val="0"/>
                      <w:color w:val="auto"/>
                      <w:kern w:val="0"/>
                      <w:szCs w:val="21"/>
                      <w:highlight w:val="none"/>
                    </w:rPr>
                  </w:pPr>
                </w:p>
              </w:tc>
              <w:tc>
                <w:tcPr>
                  <w:tcW w:w="815" w:type="pct"/>
                  <w:vMerge w:val="continue"/>
                  <w:noWrap w:val="0"/>
                  <w:vAlign w:val="center"/>
                </w:tcPr>
                <w:p w14:paraId="00546F4C">
                  <w:pPr>
                    <w:widowControl/>
                    <w:jc w:val="center"/>
                    <w:textAlignment w:val="center"/>
                    <w:rPr>
                      <w:color w:val="auto"/>
                      <w:szCs w:val="21"/>
                      <w:highlight w:val="none"/>
                    </w:rPr>
                  </w:pPr>
                </w:p>
              </w:tc>
              <w:tc>
                <w:tcPr>
                  <w:tcW w:w="2616" w:type="pct"/>
                  <w:noWrap w:val="0"/>
                  <w:vAlign w:val="center"/>
                </w:tcPr>
                <w:p w14:paraId="223CAC8D">
                  <w:pPr>
                    <w:adjustRightInd w:val="0"/>
                    <w:snapToGrid w:val="0"/>
                    <w:jc w:val="center"/>
                    <w:rPr>
                      <w:rFonts w:hint="eastAsia" w:eastAsia="宋体"/>
                      <w:color w:val="auto"/>
                      <w:szCs w:val="21"/>
                      <w:highlight w:val="none"/>
                      <w:lang w:eastAsia="zh-CN"/>
                    </w:rPr>
                  </w:pPr>
                  <w:r>
                    <w:rPr>
                      <w:rFonts w:hint="eastAsia"/>
                      <w:color w:val="auto"/>
                      <w:szCs w:val="21"/>
                      <w:highlight w:val="none"/>
                    </w:rPr>
                    <w:t>发泡、成型工序废气</w:t>
                  </w:r>
                  <w:r>
                    <w:rPr>
                      <w:rFonts w:hint="eastAsia"/>
                      <w:color w:val="auto"/>
                      <w:szCs w:val="21"/>
                      <w:highlight w:val="none"/>
                      <w:lang w:val="en-US" w:eastAsia="zh-CN"/>
                    </w:rPr>
                    <w:t>苯乙烯</w:t>
                  </w:r>
                  <w:r>
                    <w:rPr>
                      <w:rFonts w:hint="eastAsia"/>
                      <w:color w:val="auto"/>
                      <w:kern w:val="0"/>
                      <w:szCs w:val="21"/>
                      <w:highlight w:val="none"/>
                      <w:lang w:bidi="ar"/>
                    </w:rPr>
                    <w:t>有组织产生量</w:t>
                  </w:r>
                </w:p>
              </w:tc>
              <w:tc>
                <w:tcPr>
                  <w:tcW w:w="913" w:type="pct"/>
                  <w:noWrap w:val="0"/>
                  <w:vAlign w:val="center"/>
                </w:tcPr>
                <w:p w14:paraId="05FB75F2">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0.000954</w:t>
                  </w:r>
                </w:p>
              </w:tc>
            </w:tr>
            <w:tr w14:paraId="33F68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38AE600B">
                  <w:pPr>
                    <w:widowControl/>
                    <w:jc w:val="center"/>
                    <w:textAlignment w:val="center"/>
                    <w:rPr>
                      <w:snapToGrid w:val="0"/>
                      <w:color w:val="auto"/>
                      <w:kern w:val="0"/>
                      <w:szCs w:val="21"/>
                      <w:highlight w:val="none"/>
                    </w:rPr>
                  </w:pPr>
                </w:p>
              </w:tc>
              <w:tc>
                <w:tcPr>
                  <w:tcW w:w="815" w:type="pct"/>
                  <w:vMerge w:val="continue"/>
                  <w:noWrap w:val="0"/>
                  <w:vAlign w:val="center"/>
                </w:tcPr>
                <w:p w14:paraId="6C0CE4C2">
                  <w:pPr>
                    <w:widowControl/>
                    <w:jc w:val="center"/>
                    <w:textAlignment w:val="center"/>
                    <w:rPr>
                      <w:color w:val="auto"/>
                      <w:szCs w:val="21"/>
                      <w:highlight w:val="none"/>
                    </w:rPr>
                  </w:pPr>
                </w:p>
              </w:tc>
              <w:tc>
                <w:tcPr>
                  <w:tcW w:w="2616" w:type="pct"/>
                  <w:noWrap w:val="0"/>
                  <w:vAlign w:val="center"/>
                </w:tcPr>
                <w:p w14:paraId="4EE6A6A2">
                  <w:pPr>
                    <w:adjustRightInd w:val="0"/>
                    <w:snapToGrid w:val="0"/>
                    <w:jc w:val="center"/>
                    <w:rPr>
                      <w:rFonts w:hint="eastAsia"/>
                      <w:color w:val="auto"/>
                      <w:szCs w:val="21"/>
                      <w:highlight w:val="none"/>
                    </w:rPr>
                  </w:pPr>
                  <w:r>
                    <w:rPr>
                      <w:rFonts w:hint="eastAsia"/>
                      <w:color w:val="auto"/>
                      <w:szCs w:val="21"/>
                      <w:highlight w:val="none"/>
                    </w:rPr>
                    <w:t>发泡、成型工序废气</w:t>
                  </w:r>
                  <w:r>
                    <w:rPr>
                      <w:rFonts w:hint="eastAsia"/>
                      <w:color w:val="auto"/>
                      <w:szCs w:val="21"/>
                      <w:highlight w:val="none"/>
                      <w:lang w:val="en-US" w:eastAsia="zh-CN"/>
                    </w:rPr>
                    <w:t>苯乙烯</w:t>
                  </w:r>
                  <w:r>
                    <w:rPr>
                      <w:rFonts w:hint="eastAsia"/>
                      <w:color w:val="auto"/>
                      <w:szCs w:val="21"/>
                      <w:highlight w:val="none"/>
                    </w:rPr>
                    <w:t>无</w:t>
                  </w:r>
                  <w:r>
                    <w:rPr>
                      <w:rFonts w:hint="eastAsia"/>
                      <w:color w:val="auto"/>
                      <w:kern w:val="0"/>
                      <w:szCs w:val="21"/>
                      <w:highlight w:val="none"/>
                      <w:lang w:bidi="ar"/>
                    </w:rPr>
                    <w:t>组织产生量</w:t>
                  </w:r>
                </w:p>
              </w:tc>
              <w:tc>
                <w:tcPr>
                  <w:tcW w:w="913" w:type="pct"/>
                  <w:noWrap w:val="0"/>
                  <w:vAlign w:val="center"/>
                </w:tcPr>
                <w:p w14:paraId="7B4BB12B">
                  <w:pPr>
                    <w:widowControl/>
                    <w:jc w:val="center"/>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0.000106</w:t>
                  </w:r>
                </w:p>
              </w:tc>
            </w:tr>
            <w:tr w14:paraId="7761C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21B79447">
                  <w:pPr>
                    <w:widowControl/>
                    <w:jc w:val="center"/>
                    <w:textAlignment w:val="center"/>
                    <w:rPr>
                      <w:snapToGrid w:val="0"/>
                      <w:color w:val="auto"/>
                      <w:kern w:val="0"/>
                      <w:szCs w:val="21"/>
                      <w:highlight w:val="none"/>
                    </w:rPr>
                  </w:pPr>
                </w:p>
              </w:tc>
              <w:tc>
                <w:tcPr>
                  <w:tcW w:w="815" w:type="pct"/>
                  <w:vMerge w:val="continue"/>
                  <w:noWrap w:val="0"/>
                  <w:vAlign w:val="center"/>
                </w:tcPr>
                <w:p w14:paraId="56178D8F">
                  <w:pPr>
                    <w:widowControl/>
                    <w:jc w:val="center"/>
                    <w:textAlignment w:val="center"/>
                    <w:rPr>
                      <w:color w:val="auto"/>
                      <w:szCs w:val="21"/>
                      <w:highlight w:val="none"/>
                    </w:rPr>
                  </w:pPr>
                </w:p>
              </w:tc>
              <w:tc>
                <w:tcPr>
                  <w:tcW w:w="2616" w:type="pct"/>
                  <w:noWrap w:val="0"/>
                  <w:vAlign w:val="center"/>
                </w:tcPr>
                <w:p w14:paraId="41EED70F">
                  <w:pPr>
                    <w:adjustRightInd w:val="0"/>
                    <w:snapToGrid w:val="0"/>
                    <w:jc w:val="center"/>
                    <w:rPr>
                      <w:rFonts w:hint="eastAsia" w:eastAsia="宋体"/>
                      <w:color w:val="auto"/>
                      <w:szCs w:val="21"/>
                      <w:highlight w:val="none"/>
                      <w:lang w:eastAsia="zh-CN"/>
                    </w:rPr>
                  </w:pPr>
                  <w:r>
                    <w:rPr>
                      <w:rFonts w:hint="eastAsia"/>
                      <w:color w:val="auto"/>
                      <w:szCs w:val="21"/>
                      <w:highlight w:val="none"/>
                    </w:rPr>
                    <w:t>发泡、成型工序废气</w:t>
                  </w:r>
                  <w:r>
                    <w:rPr>
                      <w:rFonts w:hint="eastAsia"/>
                      <w:color w:val="auto"/>
                      <w:szCs w:val="21"/>
                      <w:highlight w:val="none"/>
                      <w:lang w:val="en-US" w:eastAsia="zh-CN"/>
                    </w:rPr>
                    <w:t>乙苯</w:t>
                  </w:r>
                  <w:r>
                    <w:rPr>
                      <w:rFonts w:hint="eastAsia"/>
                      <w:color w:val="auto"/>
                      <w:kern w:val="0"/>
                      <w:szCs w:val="21"/>
                      <w:highlight w:val="none"/>
                      <w:lang w:bidi="ar"/>
                    </w:rPr>
                    <w:t>有组织产生量</w:t>
                  </w:r>
                </w:p>
              </w:tc>
              <w:tc>
                <w:tcPr>
                  <w:tcW w:w="913" w:type="pct"/>
                  <w:noWrap w:val="0"/>
                  <w:vAlign w:val="center"/>
                </w:tcPr>
                <w:p w14:paraId="0E541E8C">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0.00154</w:t>
                  </w:r>
                </w:p>
              </w:tc>
            </w:tr>
            <w:tr w14:paraId="6DDF7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16B3D267">
                  <w:pPr>
                    <w:widowControl/>
                    <w:jc w:val="center"/>
                    <w:textAlignment w:val="center"/>
                    <w:rPr>
                      <w:snapToGrid w:val="0"/>
                      <w:color w:val="auto"/>
                      <w:kern w:val="0"/>
                      <w:szCs w:val="21"/>
                      <w:highlight w:val="none"/>
                    </w:rPr>
                  </w:pPr>
                </w:p>
              </w:tc>
              <w:tc>
                <w:tcPr>
                  <w:tcW w:w="815" w:type="pct"/>
                  <w:vMerge w:val="continue"/>
                  <w:noWrap w:val="0"/>
                  <w:vAlign w:val="center"/>
                </w:tcPr>
                <w:p w14:paraId="29853A97">
                  <w:pPr>
                    <w:widowControl/>
                    <w:jc w:val="center"/>
                    <w:textAlignment w:val="center"/>
                    <w:rPr>
                      <w:color w:val="auto"/>
                      <w:szCs w:val="21"/>
                      <w:highlight w:val="none"/>
                    </w:rPr>
                  </w:pPr>
                </w:p>
              </w:tc>
              <w:tc>
                <w:tcPr>
                  <w:tcW w:w="2616" w:type="pct"/>
                  <w:noWrap w:val="0"/>
                  <w:vAlign w:val="center"/>
                </w:tcPr>
                <w:p w14:paraId="24681FE3">
                  <w:pPr>
                    <w:adjustRightInd w:val="0"/>
                    <w:snapToGrid w:val="0"/>
                    <w:jc w:val="center"/>
                    <w:rPr>
                      <w:rFonts w:hint="eastAsia"/>
                      <w:color w:val="auto"/>
                      <w:szCs w:val="21"/>
                      <w:highlight w:val="none"/>
                    </w:rPr>
                  </w:pPr>
                  <w:r>
                    <w:rPr>
                      <w:rFonts w:hint="eastAsia"/>
                      <w:color w:val="auto"/>
                      <w:szCs w:val="21"/>
                      <w:highlight w:val="none"/>
                    </w:rPr>
                    <w:t>发泡、成型工序废气</w:t>
                  </w:r>
                  <w:r>
                    <w:rPr>
                      <w:rFonts w:hint="eastAsia"/>
                      <w:color w:val="auto"/>
                      <w:szCs w:val="21"/>
                      <w:highlight w:val="none"/>
                      <w:lang w:val="en-US" w:eastAsia="zh-CN"/>
                    </w:rPr>
                    <w:t>乙苯</w:t>
                  </w:r>
                  <w:r>
                    <w:rPr>
                      <w:rFonts w:hint="eastAsia"/>
                      <w:color w:val="auto"/>
                      <w:szCs w:val="21"/>
                      <w:highlight w:val="none"/>
                    </w:rPr>
                    <w:t>无</w:t>
                  </w:r>
                  <w:r>
                    <w:rPr>
                      <w:rFonts w:hint="eastAsia"/>
                      <w:color w:val="auto"/>
                      <w:kern w:val="0"/>
                      <w:szCs w:val="21"/>
                      <w:highlight w:val="none"/>
                      <w:lang w:bidi="ar"/>
                    </w:rPr>
                    <w:t>组织产生量</w:t>
                  </w:r>
                </w:p>
              </w:tc>
              <w:tc>
                <w:tcPr>
                  <w:tcW w:w="913" w:type="pct"/>
                  <w:noWrap w:val="0"/>
                  <w:vAlign w:val="center"/>
                </w:tcPr>
                <w:p w14:paraId="2F4862C8">
                  <w:pPr>
                    <w:widowControl/>
                    <w:jc w:val="center"/>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0.000171</w:t>
                  </w:r>
                </w:p>
              </w:tc>
            </w:tr>
            <w:tr w14:paraId="2BD9B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5671B45E">
                  <w:pPr>
                    <w:widowControl/>
                    <w:jc w:val="center"/>
                    <w:textAlignment w:val="center"/>
                    <w:rPr>
                      <w:snapToGrid w:val="0"/>
                      <w:color w:val="auto"/>
                      <w:kern w:val="0"/>
                      <w:szCs w:val="21"/>
                      <w:highlight w:val="none"/>
                    </w:rPr>
                  </w:pPr>
                </w:p>
              </w:tc>
              <w:tc>
                <w:tcPr>
                  <w:tcW w:w="815" w:type="pct"/>
                  <w:vMerge w:val="continue"/>
                  <w:noWrap w:val="0"/>
                  <w:vAlign w:val="center"/>
                </w:tcPr>
                <w:p w14:paraId="0F56E23A">
                  <w:pPr>
                    <w:widowControl/>
                    <w:jc w:val="center"/>
                    <w:textAlignment w:val="center"/>
                    <w:rPr>
                      <w:color w:val="auto"/>
                      <w:szCs w:val="21"/>
                      <w:highlight w:val="none"/>
                    </w:rPr>
                  </w:pPr>
                </w:p>
              </w:tc>
              <w:tc>
                <w:tcPr>
                  <w:tcW w:w="2616" w:type="pct"/>
                  <w:noWrap w:val="0"/>
                  <w:vAlign w:val="center"/>
                </w:tcPr>
                <w:p w14:paraId="1BFFF4EC">
                  <w:pPr>
                    <w:adjustRightInd w:val="0"/>
                    <w:snapToGrid w:val="0"/>
                    <w:jc w:val="center"/>
                    <w:rPr>
                      <w:color w:val="auto"/>
                      <w:szCs w:val="21"/>
                      <w:highlight w:val="none"/>
                    </w:rPr>
                  </w:pPr>
                  <w:r>
                    <w:rPr>
                      <w:rFonts w:hint="eastAsia"/>
                      <w:color w:val="auto"/>
                      <w:szCs w:val="21"/>
                      <w:highlight w:val="none"/>
                    </w:rPr>
                    <w:t>不合格品</w:t>
                  </w:r>
                </w:p>
              </w:tc>
              <w:tc>
                <w:tcPr>
                  <w:tcW w:w="913" w:type="pct"/>
                  <w:noWrap w:val="0"/>
                  <w:vAlign w:val="center"/>
                </w:tcPr>
                <w:p w14:paraId="76F04B2E">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3.408</w:t>
                  </w:r>
                </w:p>
              </w:tc>
            </w:tr>
            <w:tr w14:paraId="7430C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4693DDB9">
                  <w:pPr>
                    <w:widowControl/>
                    <w:jc w:val="center"/>
                    <w:textAlignment w:val="center"/>
                    <w:rPr>
                      <w:snapToGrid w:val="0"/>
                      <w:color w:val="auto"/>
                      <w:kern w:val="0"/>
                      <w:szCs w:val="21"/>
                      <w:highlight w:val="none"/>
                    </w:rPr>
                  </w:pPr>
                </w:p>
              </w:tc>
              <w:tc>
                <w:tcPr>
                  <w:tcW w:w="815" w:type="pct"/>
                  <w:vMerge w:val="continue"/>
                  <w:noWrap w:val="0"/>
                  <w:vAlign w:val="center"/>
                </w:tcPr>
                <w:p w14:paraId="04121361">
                  <w:pPr>
                    <w:widowControl/>
                    <w:jc w:val="center"/>
                    <w:textAlignment w:val="center"/>
                    <w:rPr>
                      <w:color w:val="auto"/>
                      <w:szCs w:val="21"/>
                      <w:highlight w:val="none"/>
                    </w:rPr>
                  </w:pPr>
                </w:p>
              </w:tc>
              <w:tc>
                <w:tcPr>
                  <w:tcW w:w="2616" w:type="pct"/>
                  <w:noWrap w:val="0"/>
                  <w:vAlign w:val="center"/>
                </w:tcPr>
                <w:p w14:paraId="444F92F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废边角料</w:t>
                  </w:r>
                </w:p>
              </w:tc>
              <w:tc>
                <w:tcPr>
                  <w:tcW w:w="913" w:type="pct"/>
                  <w:noWrap w:val="0"/>
                  <w:vAlign w:val="center"/>
                </w:tcPr>
                <w:p w14:paraId="026FFEAE">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0.067</w:t>
                  </w:r>
                </w:p>
              </w:tc>
            </w:tr>
            <w:tr w14:paraId="43987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14:paraId="1679056B">
                  <w:pPr>
                    <w:widowControl/>
                    <w:jc w:val="center"/>
                    <w:textAlignment w:val="center"/>
                    <w:rPr>
                      <w:color w:val="auto"/>
                      <w:szCs w:val="21"/>
                      <w:highlight w:val="none"/>
                    </w:rPr>
                  </w:pPr>
                  <w:r>
                    <w:rPr>
                      <w:color w:val="auto"/>
                      <w:kern w:val="0"/>
                      <w:szCs w:val="21"/>
                      <w:highlight w:val="none"/>
                      <w:lang w:bidi="ar"/>
                    </w:rPr>
                    <w:t>合计</w:t>
                  </w:r>
                </w:p>
              </w:tc>
              <w:tc>
                <w:tcPr>
                  <w:tcW w:w="815" w:type="pct"/>
                  <w:noWrap w:val="0"/>
                  <w:vAlign w:val="center"/>
                </w:tcPr>
                <w:p w14:paraId="4DD3F25F">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856.82</w:t>
                  </w:r>
                </w:p>
              </w:tc>
              <w:tc>
                <w:tcPr>
                  <w:tcW w:w="2616" w:type="pct"/>
                  <w:noWrap w:val="0"/>
                  <w:vAlign w:val="center"/>
                </w:tcPr>
                <w:p w14:paraId="6F71D1C8">
                  <w:pPr>
                    <w:widowControl/>
                    <w:jc w:val="center"/>
                    <w:textAlignment w:val="center"/>
                    <w:rPr>
                      <w:color w:val="auto"/>
                      <w:szCs w:val="21"/>
                      <w:highlight w:val="none"/>
                    </w:rPr>
                  </w:pPr>
                  <w:r>
                    <w:rPr>
                      <w:color w:val="auto"/>
                      <w:kern w:val="0"/>
                      <w:szCs w:val="21"/>
                      <w:highlight w:val="none"/>
                      <w:lang w:bidi="ar"/>
                    </w:rPr>
                    <w:t>合计</w:t>
                  </w:r>
                </w:p>
              </w:tc>
              <w:tc>
                <w:tcPr>
                  <w:tcW w:w="913" w:type="pct"/>
                  <w:noWrap w:val="0"/>
                  <w:vAlign w:val="center"/>
                </w:tcPr>
                <w:p w14:paraId="2C0DAB83">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856.82</w:t>
                  </w:r>
                </w:p>
              </w:tc>
            </w:tr>
          </w:tbl>
          <w:p w14:paraId="108E6A8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textAlignment w:val="auto"/>
              <w:rPr>
                <w:rFonts w:hint="eastAsia" w:eastAsia="宋体"/>
                <w:b/>
                <w:bCs/>
                <w:color w:val="auto"/>
                <w:sz w:val="24"/>
                <w:highlight w:val="none"/>
                <w:lang w:eastAsia="zh-CN"/>
              </w:rPr>
            </w:pPr>
            <w:r>
              <w:rPr>
                <w:rFonts w:hint="default" w:ascii="Times New Roman" w:hAnsi="Times New Roman" w:cs="Times New Roman"/>
                <w:color w:val="auto"/>
                <w:sz w:val="21"/>
                <w:szCs w:val="21"/>
                <w:highlight w:val="none"/>
              </w:rPr>
              <w:t>表</w:t>
            </w:r>
            <w:r>
              <w:rPr>
                <w:rFonts w:hint="eastAsia" w:ascii="Times New Roman" w:hAnsi="Times New Roman" w:cs="Times New Roman"/>
                <w:color w:val="auto"/>
                <w:sz w:val="21"/>
                <w:szCs w:val="21"/>
                <w:highlight w:val="none"/>
                <w:lang w:val="en-US" w:eastAsia="zh-CN"/>
              </w:rPr>
              <w:t>2-</w:t>
            </w:r>
            <w:r>
              <w:rPr>
                <w:rFonts w:hint="eastAsia" w:cs="Times New Roman"/>
                <w:color w:val="auto"/>
                <w:sz w:val="21"/>
                <w:szCs w:val="21"/>
                <w:highlight w:val="none"/>
                <w:lang w:val="en-US" w:eastAsia="zh-CN"/>
              </w:rPr>
              <w:t>7</w:t>
            </w:r>
            <w:r>
              <w:rPr>
                <w:rFonts w:hint="eastAsia" w:ascii="Times New Roman" w:hAnsi="Times New Roman" w:cs="Times New Roman"/>
                <w:color w:val="auto"/>
                <w:highlight w:val="none"/>
                <w:lang w:val="en-US" w:eastAsia="zh-CN"/>
              </w:rPr>
              <w:t xml:space="preserve"> </w:t>
            </w:r>
            <w:r>
              <w:rPr>
                <w:rFonts w:hint="default"/>
                <w:b/>
                <w:bCs/>
                <w:color w:val="auto"/>
                <w:highlight w:val="none"/>
              </w:rPr>
              <w:t xml:space="preserve">  </w:t>
            </w:r>
            <w:r>
              <w:rPr>
                <w:rFonts w:hint="default"/>
                <w:b/>
                <w:bCs/>
                <w:color w:val="auto"/>
                <w:sz w:val="24"/>
                <w:highlight w:val="none"/>
              </w:rPr>
              <w:t xml:space="preserve">  </w:t>
            </w:r>
            <w:r>
              <w:rPr>
                <w:rFonts w:hint="eastAsia"/>
                <w:b/>
                <w:bCs/>
                <w:color w:val="auto"/>
                <w:sz w:val="24"/>
                <w:highlight w:val="none"/>
                <w:lang w:val="en-US" w:eastAsia="zh-CN"/>
              </w:rPr>
              <w:t xml:space="preserve">     本</w:t>
            </w:r>
            <w:r>
              <w:rPr>
                <w:rFonts w:hint="default"/>
                <w:b/>
                <w:bCs/>
                <w:color w:val="auto"/>
                <w:sz w:val="24"/>
                <w:highlight w:val="none"/>
              </w:rPr>
              <w:t>项目</w:t>
            </w:r>
            <w:r>
              <w:rPr>
                <w:rFonts w:hint="eastAsia"/>
                <w:b/>
                <w:bCs/>
                <w:color w:val="auto"/>
                <w:sz w:val="24"/>
                <w:highlight w:val="none"/>
                <w:lang w:val="en-US" w:eastAsia="zh-CN"/>
              </w:rPr>
              <w:t>二期建成后全厂</w:t>
            </w:r>
            <w:r>
              <w:rPr>
                <w:rFonts w:hint="default"/>
                <w:b/>
                <w:bCs/>
                <w:color w:val="auto"/>
                <w:sz w:val="24"/>
                <w:highlight w:val="none"/>
              </w:rPr>
              <w:t>物料平衡</w:t>
            </w:r>
            <w:r>
              <w:rPr>
                <w:rFonts w:hint="eastAsia"/>
                <w:b/>
                <w:bCs/>
                <w:color w:val="auto"/>
                <w:sz w:val="24"/>
                <w:highlight w:val="none"/>
                <w:lang w:val="en-US" w:eastAsia="zh-CN"/>
              </w:rPr>
              <w:t>一览</w:t>
            </w:r>
            <w:r>
              <w:rPr>
                <w:rFonts w:hint="default"/>
                <w:b/>
                <w:bCs/>
                <w:color w:val="auto"/>
                <w:sz w:val="24"/>
                <w:highlight w:val="none"/>
              </w:rPr>
              <w:t>表</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364"/>
              <w:gridCol w:w="4374"/>
              <w:gridCol w:w="1528"/>
            </w:tblGrid>
            <w:tr w14:paraId="0781F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9" w:type="pct"/>
                  <w:gridSpan w:val="2"/>
                  <w:noWrap w:val="0"/>
                  <w:vAlign w:val="center"/>
                </w:tcPr>
                <w:p w14:paraId="38BF0FA7">
                  <w:pPr>
                    <w:pStyle w:val="101"/>
                    <w:jc w:val="center"/>
                    <w:rPr>
                      <w:rFonts w:cs="Times New Roman"/>
                      <w:b/>
                      <w:bCs/>
                      <w:color w:val="auto"/>
                      <w:highlight w:val="none"/>
                    </w:rPr>
                  </w:pPr>
                  <w:r>
                    <w:rPr>
                      <w:rFonts w:cs="Times New Roman"/>
                      <w:b/>
                      <w:bCs/>
                      <w:color w:val="auto"/>
                      <w:highlight w:val="none"/>
                    </w:rPr>
                    <w:t>投入</w:t>
                  </w:r>
                </w:p>
              </w:tc>
              <w:tc>
                <w:tcPr>
                  <w:tcW w:w="3530" w:type="pct"/>
                  <w:gridSpan w:val="2"/>
                  <w:noWrap w:val="0"/>
                  <w:vAlign w:val="center"/>
                </w:tcPr>
                <w:p w14:paraId="2EB6F960">
                  <w:pPr>
                    <w:pStyle w:val="101"/>
                    <w:jc w:val="center"/>
                    <w:rPr>
                      <w:rFonts w:cs="Times New Roman"/>
                      <w:b/>
                      <w:bCs/>
                      <w:color w:val="auto"/>
                      <w:highlight w:val="none"/>
                    </w:rPr>
                  </w:pPr>
                  <w:r>
                    <w:rPr>
                      <w:rFonts w:cs="Times New Roman"/>
                      <w:b/>
                      <w:bCs/>
                      <w:color w:val="auto"/>
                      <w:highlight w:val="none"/>
                    </w:rPr>
                    <w:t>产出</w:t>
                  </w:r>
                </w:p>
              </w:tc>
            </w:tr>
            <w:tr w14:paraId="028DF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pct"/>
                  <w:noWrap w:val="0"/>
                  <w:vAlign w:val="center"/>
                </w:tcPr>
                <w:p w14:paraId="15E31C0B">
                  <w:pPr>
                    <w:pStyle w:val="101"/>
                    <w:jc w:val="center"/>
                    <w:rPr>
                      <w:rFonts w:cs="Times New Roman"/>
                      <w:b/>
                      <w:bCs/>
                      <w:color w:val="auto"/>
                      <w:highlight w:val="none"/>
                    </w:rPr>
                  </w:pPr>
                  <w:r>
                    <w:rPr>
                      <w:rFonts w:cs="Times New Roman"/>
                      <w:b/>
                      <w:bCs/>
                      <w:color w:val="auto"/>
                      <w:highlight w:val="none"/>
                    </w:rPr>
                    <w:t>名称</w:t>
                  </w:r>
                </w:p>
              </w:tc>
              <w:tc>
                <w:tcPr>
                  <w:tcW w:w="815" w:type="pct"/>
                  <w:noWrap w:val="0"/>
                  <w:vAlign w:val="center"/>
                </w:tcPr>
                <w:p w14:paraId="06A7F80F">
                  <w:pPr>
                    <w:pStyle w:val="101"/>
                    <w:jc w:val="center"/>
                    <w:rPr>
                      <w:rFonts w:hint="eastAsia" w:cs="Times New Roman"/>
                      <w:b/>
                      <w:bCs/>
                      <w:color w:val="auto"/>
                      <w:highlight w:val="none"/>
                    </w:rPr>
                  </w:pPr>
                  <w:r>
                    <w:rPr>
                      <w:rFonts w:cs="Times New Roman"/>
                      <w:b/>
                      <w:bCs/>
                      <w:color w:val="auto"/>
                      <w:highlight w:val="none"/>
                    </w:rPr>
                    <w:t>输入量</w:t>
                  </w:r>
                  <w:r>
                    <w:rPr>
                      <w:b/>
                      <w:color w:val="auto"/>
                      <w:szCs w:val="21"/>
                      <w:highlight w:val="none"/>
                    </w:rPr>
                    <w:t>（t/a）</w:t>
                  </w:r>
                </w:p>
              </w:tc>
              <w:tc>
                <w:tcPr>
                  <w:tcW w:w="2616" w:type="pct"/>
                  <w:noWrap w:val="0"/>
                  <w:vAlign w:val="center"/>
                </w:tcPr>
                <w:p w14:paraId="406672C6">
                  <w:pPr>
                    <w:pStyle w:val="101"/>
                    <w:jc w:val="center"/>
                    <w:rPr>
                      <w:rFonts w:cs="Times New Roman"/>
                      <w:b/>
                      <w:bCs/>
                      <w:color w:val="auto"/>
                      <w:highlight w:val="none"/>
                    </w:rPr>
                  </w:pPr>
                  <w:r>
                    <w:rPr>
                      <w:rFonts w:cs="Times New Roman"/>
                      <w:b/>
                      <w:bCs/>
                      <w:color w:val="auto"/>
                      <w:highlight w:val="none"/>
                    </w:rPr>
                    <w:t>名称</w:t>
                  </w:r>
                </w:p>
              </w:tc>
              <w:tc>
                <w:tcPr>
                  <w:tcW w:w="913" w:type="pct"/>
                  <w:noWrap w:val="0"/>
                  <w:vAlign w:val="center"/>
                </w:tcPr>
                <w:p w14:paraId="1A823183">
                  <w:pPr>
                    <w:pStyle w:val="101"/>
                    <w:jc w:val="center"/>
                    <w:rPr>
                      <w:rFonts w:cs="Times New Roman"/>
                      <w:b/>
                      <w:bCs/>
                      <w:color w:val="auto"/>
                      <w:highlight w:val="none"/>
                    </w:rPr>
                  </w:pPr>
                  <w:r>
                    <w:rPr>
                      <w:rFonts w:cs="Times New Roman"/>
                      <w:b/>
                      <w:bCs/>
                      <w:color w:val="auto"/>
                      <w:highlight w:val="none"/>
                    </w:rPr>
                    <w:t>产出量</w:t>
                  </w:r>
                  <w:r>
                    <w:rPr>
                      <w:b/>
                      <w:color w:val="auto"/>
                      <w:szCs w:val="21"/>
                      <w:highlight w:val="none"/>
                    </w:rPr>
                    <w:t>（t/a）</w:t>
                  </w:r>
                </w:p>
              </w:tc>
            </w:tr>
            <w:tr w14:paraId="3CF4A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restart"/>
                  <w:noWrap w:val="0"/>
                  <w:vAlign w:val="center"/>
                </w:tcPr>
                <w:p w14:paraId="3BD772E5">
                  <w:pPr>
                    <w:widowControl/>
                    <w:jc w:val="center"/>
                    <w:textAlignment w:val="center"/>
                    <w:rPr>
                      <w:color w:val="auto"/>
                      <w:szCs w:val="21"/>
                      <w:highlight w:val="none"/>
                    </w:rPr>
                  </w:pPr>
                  <w:r>
                    <w:rPr>
                      <w:rFonts w:hint="eastAsia"/>
                      <w:bCs/>
                      <w:color w:val="auto"/>
                      <w:szCs w:val="21"/>
                      <w:highlight w:val="none"/>
                    </w:rPr>
                    <w:t>可发性聚苯乙烯颗粒（E</w:t>
                  </w:r>
                  <w:r>
                    <w:rPr>
                      <w:bCs/>
                      <w:color w:val="auto"/>
                      <w:szCs w:val="21"/>
                      <w:highlight w:val="none"/>
                    </w:rPr>
                    <w:t>PS</w:t>
                  </w:r>
                  <w:r>
                    <w:rPr>
                      <w:rFonts w:hint="eastAsia"/>
                      <w:bCs/>
                      <w:color w:val="auto"/>
                      <w:szCs w:val="21"/>
                      <w:highlight w:val="none"/>
                    </w:rPr>
                    <w:t>）</w:t>
                  </w:r>
                </w:p>
              </w:tc>
              <w:tc>
                <w:tcPr>
                  <w:tcW w:w="815" w:type="pct"/>
                  <w:vMerge w:val="restart"/>
                  <w:noWrap w:val="0"/>
                  <w:vAlign w:val="center"/>
                </w:tcPr>
                <w:p w14:paraId="7CF04BA6">
                  <w:pPr>
                    <w:widowControl/>
                    <w:jc w:val="center"/>
                    <w:textAlignment w:val="center"/>
                    <w:rPr>
                      <w:rFonts w:hint="default" w:eastAsia="宋体"/>
                      <w:color w:val="auto"/>
                      <w:szCs w:val="21"/>
                      <w:highlight w:val="none"/>
                      <w:lang w:val="en-US" w:eastAsia="zh-CN"/>
                    </w:rPr>
                  </w:pPr>
                  <w:r>
                    <w:rPr>
                      <w:rFonts w:hint="eastAsia"/>
                      <w:color w:val="auto"/>
                      <w:kern w:val="0"/>
                      <w:szCs w:val="21"/>
                      <w:highlight w:val="none"/>
                      <w:lang w:val="en-US" w:eastAsia="zh-CN" w:bidi="ar"/>
                    </w:rPr>
                    <w:t>1285.23</w:t>
                  </w:r>
                </w:p>
              </w:tc>
              <w:tc>
                <w:tcPr>
                  <w:tcW w:w="2616" w:type="pct"/>
                  <w:noWrap w:val="0"/>
                  <w:vAlign w:val="center"/>
                </w:tcPr>
                <w:p w14:paraId="264EFC2C">
                  <w:pPr>
                    <w:adjustRightInd w:val="0"/>
                    <w:snapToGrid w:val="0"/>
                    <w:jc w:val="center"/>
                    <w:rPr>
                      <w:color w:val="auto"/>
                      <w:szCs w:val="21"/>
                      <w:highlight w:val="none"/>
                    </w:rPr>
                  </w:pPr>
                  <w:r>
                    <w:rPr>
                      <w:rFonts w:hint="eastAsia"/>
                      <w:color w:val="auto"/>
                      <w:kern w:val="0"/>
                      <w:szCs w:val="21"/>
                      <w:highlight w:val="none"/>
                    </w:rPr>
                    <w:t>泡沫箱</w:t>
                  </w:r>
                </w:p>
              </w:tc>
              <w:tc>
                <w:tcPr>
                  <w:tcW w:w="913" w:type="pct"/>
                  <w:noWrap w:val="0"/>
                  <w:vAlign w:val="center"/>
                </w:tcPr>
                <w:p w14:paraId="3D4E5FFF">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1278</w:t>
                  </w:r>
                </w:p>
              </w:tc>
            </w:tr>
            <w:tr w14:paraId="12595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54310CB1">
                  <w:pPr>
                    <w:widowControl/>
                    <w:jc w:val="center"/>
                    <w:textAlignment w:val="center"/>
                    <w:rPr>
                      <w:snapToGrid w:val="0"/>
                      <w:color w:val="auto"/>
                      <w:kern w:val="0"/>
                      <w:szCs w:val="21"/>
                      <w:highlight w:val="none"/>
                    </w:rPr>
                  </w:pPr>
                </w:p>
              </w:tc>
              <w:tc>
                <w:tcPr>
                  <w:tcW w:w="815" w:type="pct"/>
                  <w:vMerge w:val="continue"/>
                  <w:noWrap w:val="0"/>
                  <w:vAlign w:val="center"/>
                </w:tcPr>
                <w:p w14:paraId="54282497">
                  <w:pPr>
                    <w:widowControl/>
                    <w:jc w:val="center"/>
                    <w:textAlignment w:val="center"/>
                    <w:rPr>
                      <w:color w:val="auto"/>
                      <w:szCs w:val="21"/>
                      <w:highlight w:val="none"/>
                    </w:rPr>
                  </w:pPr>
                </w:p>
              </w:tc>
              <w:tc>
                <w:tcPr>
                  <w:tcW w:w="2616" w:type="pct"/>
                  <w:noWrap w:val="0"/>
                  <w:vAlign w:val="center"/>
                </w:tcPr>
                <w:p w14:paraId="75E80864">
                  <w:pPr>
                    <w:adjustRightInd w:val="0"/>
                    <w:snapToGrid w:val="0"/>
                    <w:jc w:val="center"/>
                    <w:rPr>
                      <w:snapToGrid w:val="0"/>
                      <w:color w:val="auto"/>
                      <w:kern w:val="0"/>
                      <w:szCs w:val="21"/>
                      <w:highlight w:val="none"/>
                    </w:rPr>
                  </w:pPr>
                  <w:r>
                    <w:rPr>
                      <w:rFonts w:hint="eastAsia"/>
                      <w:color w:val="auto"/>
                      <w:szCs w:val="21"/>
                      <w:highlight w:val="none"/>
                    </w:rPr>
                    <w:t>发泡、成型工序废气非甲烷总烃</w:t>
                  </w:r>
                  <w:r>
                    <w:rPr>
                      <w:rFonts w:hint="eastAsia"/>
                      <w:color w:val="auto"/>
                      <w:kern w:val="0"/>
                      <w:szCs w:val="21"/>
                      <w:highlight w:val="none"/>
                      <w:lang w:bidi="ar"/>
                    </w:rPr>
                    <w:t>有组织产生量</w:t>
                  </w:r>
                </w:p>
              </w:tc>
              <w:tc>
                <w:tcPr>
                  <w:tcW w:w="913" w:type="pct"/>
                  <w:noWrap w:val="0"/>
                  <w:vAlign w:val="center"/>
                </w:tcPr>
                <w:p w14:paraId="6E0BC5E2">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1.73</w:t>
                  </w:r>
                </w:p>
              </w:tc>
            </w:tr>
            <w:tr w14:paraId="7C8B4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7B425084">
                  <w:pPr>
                    <w:widowControl/>
                    <w:jc w:val="center"/>
                    <w:textAlignment w:val="center"/>
                    <w:rPr>
                      <w:snapToGrid w:val="0"/>
                      <w:color w:val="auto"/>
                      <w:kern w:val="0"/>
                      <w:szCs w:val="21"/>
                      <w:highlight w:val="none"/>
                    </w:rPr>
                  </w:pPr>
                </w:p>
              </w:tc>
              <w:tc>
                <w:tcPr>
                  <w:tcW w:w="815" w:type="pct"/>
                  <w:vMerge w:val="continue"/>
                  <w:noWrap w:val="0"/>
                  <w:vAlign w:val="center"/>
                </w:tcPr>
                <w:p w14:paraId="71414336">
                  <w:pPr>
                    <w:widowControl/>
                    <w:jc w:val="center"/>
                    <w:textAlignment w:val="center"/>
                    <w:rPr>
                      <w:color w:val="auto"/>
                      <w:szCs w:val="21"/>
                      <w:highlight w:val="none"/>
                    </w:rPr>
                  </w:pPr>
                </w:p>
              </w:tc>
              <w:tc>
                <w:tcPr>
                  <w:tcW w:w="2616" w:type="pct"/>
                  <w:noWrap w:val="0"/>
                  <w:vAlign w:val="center"/>
                </w:tcPr>
                <w:p w14:paraId="4ADC9FA5">
                  <w:pPr>
                    <w:adjustRightInd w:val="0"/>
                    <w:snapToGrid w:val="0"/>
                    <w:jc w:val="center"/>
                    <w:rPr>
                      <w:snapToGrid w:val="0"/>
                      <w:color w:val="auto"/>
                      <w:kern w:val="0"/>
                      <w:szCs w:val="21"/>
                      <w:highlight w:val="none"/>
                    </w:rPr>
                  </w:pPr>
                  <w:r>
                    <w:rPr>
                      <w:rFonts w:hint="eastAsia"/>
                      <w:color w:val="auto"/>
                      <w:szCs w:val="21"/>
                      <w:highlight w:val="none"/>
                    </w:rPr>
                    <w:t>发泡、成型工序废气甲苯</w:t>
                  </w:r>
                  <w:r>
                    <w:rPr>
                      <w:rFonts w:hint="eastAsia"/>
                      <w:color w:val="auto"/>
                      <w:kern w:val="0"/>
                      <w:szCs w:val="21"/>
                      <w:highlight w:val="none"/>
                      <w:lang w:bidi="ar"/>
                    </w:rPr>
                    <w:t>有组织产生量</w:t>
                  </w:r>
                </w:p>
              </w:tc>
              <w:tc>
                <w:tcPr>
                  <w:tcW w:w="913" w:type="pct"/>
                  <w:noWrap w:val="0"/>
                  <w:vAlign w:val="center"/>
                </w:tcPr>
                <w:p w14:paraId="5D7B8DD3">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0.00528</w:t>
                  </w:r>
                </w:p>
              </w:tc>
            </w:tr>
            <w:tr w14:paraId="0AE3D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3AEFE1B1">
                  <w:pPr>
                    <w:widowControl/>
                    <w:jc w:val="center"/>
                    <w:textAlignment w:val="center"/>
                    <w:rPr>
                      <w:snapToGrid w:val="0"/>
                      <w:color w:val="auto"/>
                      <w:kern w:val="0"/>
                      <w:szCs w:val="21"/>
                      <w:highlight w:val="none"/>
                    </w:rPr>
                  </w:pPr>
                </w:p>
              </w:tc>
              <w:tc>
                <w:tcPr>
                  <w:tcW w:w="815" w:type="pct"/>
                  <w:vMerge w:val="continue"/>
                  <w:noWrap w:val="0"/>
                  <w:vAlign w:val="center"/>
                </w:tcPr>
                <w:p w14:paraId="23375081">
                  <w:pPr>
                    <w:widowControl/>
                    <w:jc w:val="center"/>
                    <w:textAlignment w:val="center"/>
                    <w:rPr>
                      <w:color w:val="auto"/>
                      <w:szCs w:val="21"/>
                      <w:highlight w:val="none"/>
                    </w:rPr>
                  </w:pPr>
                </w:p>
              </w:tc>
              <w:tc>
                <w:tcPr>
                  <w:tcW w:w="2616" w:type="pct"/>
                  <w:noWrap w:val="0"/>
                  <w:vAlign w:val="center"/>
                </w:tcPr>
                <w:p w14:paraId="23291891">
                  <w:pPr>
                    <w:adjustRightInd w:val="0"/>
                    <w:snapToGrid w:val="0"/>
                    <w:jc w:val="center"/>
                    <w:rPr>
                      <w:color w:val="auto"/>
                      <w:kern w:val="0"/>
                      <w:szCs w:val="21"/>
                      <w:highlight w:val="none"/>
                      <w:lang w:bidi="ar"/>
                    </w:rPr>
                  </w:pPr>
                  <w:r>
                    <w:rPr>
                      <w:rFonts w:hint="eastAsia"/>
                      <w:color w:val="auto"/>
                      <w:szCs w:val="21"/>
                      <w:highlight w:val="none"/>
                    </w:rPr>
                    <w:t>发泡、成型工序废气非甲烷总烃无</w:t>
                  </w:r>
                  <w:r>
                    <w:rPr>
                      <w:rFonts w:hint="eastAsia"/>
                      <w:color w:val="auto"/>
                      <w:kern w:val="0"/>
                      <w:szCs w:val="21"/>
                      <w:highlight w:val="none"/>
                      <w:lang w:bidi="ar"/>
                    </w:rPr>
                    <w:t>组织产生量</w:t>
                  </w:r>
                </w:p>
              </w:tc>
              <w:tc>
                <w:tcPr>
                  <w:tcW w:w="913" w:type="pct"/>
                  <w:noWrap w:val="0"/>
                  <w:vAlign w:val="center"/>
                </w:tcPr>
                <w:p w14:paraId="39061747">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0.19</w:t>
                  </w:r>
                </w:p>
              </w:tc>
            </w:tr>
            <w:tr w14:paraId="6F63C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665C2C08">
                  <w:pPr>
                    <w:widowControl/>
                    <w:jc w:val="center"/>
                    <w:textAlignment w:val="center"/>
                    <w:rPr>
                      <w:snapToGrid w:val="0"/>
                      <w:color w:val="auto"/>
                      <w:kern w:val="0"/>
                      <w:szCs w:val="21"/>
                      <w:highlight w:val="none"/>
                    </w:rPr>
                  </w:pPr>
                </w:p>
              </w:tc>
              <w:tc>
                <w:tcPr>
                  <w:tcW w:w="815" w:type="pct"/>
                  <w:vMerge w:val="continue"/>
                  <w:noWrap w:val="0"/>
                  <w:vAlign w:val="center"/>
                </w:tcPr>
                <w:p w14:paraId="1B6848C7">
                  <w:pPr>
                    <w:widowControl/>
                    <w:jc w:val="center"/>
                    <w:textAlignment w:val="center"/>
                    <w:rPr>
                      <w:color w:val="auto"/>
                      <w:szCs w:val="21"/>
                      <w:highlight w:val="none"/>
                    </w:rPr>
                  </w:pPr>
                </w:p>
              </w:tc>
              <w:tc>
                <w:tcPr>
                  <w:tcW w:w="2616" w:type="pct"/>
                  <w:noWrap w:val="0"/>
                  <w:vAlign w:val="center"/>
                </w:tcPr>
                <w:p w14:paraId="3A83E50D">
                  <w:pPr>
                    <w:adjustRightInd w:val="0"/>
                    <w:snapToGrid w:val="0"/>
                    <w:jc w:val="center"/>
                    <w:rPr>
                      <w:color w:val="auto"/>
                      <w:kern w:val="0"/>
                      <w:szCs w:val="21"/>
                      <w:highlight w:val="none"/>
                      <w:lang w:bidi="ar"/>
                    </w:rPr>
                  </w:pPr>
                  <w:r>
                    <w:rPr>
                      <w:rFonts w:hint="eastAsia"/>
                      <w:color w:val="auto"/>
                      <w:szCs w:val="21"/>
                      <w:highlight w:val="none"/>
                    </w:rPr>
                    <w:t>发泡、成型工序废气甲苯无</w:t>
                  </w:r>
                  <w:r>
                    <w:rPr>
                      <w:rFonts w:hint="eastAsia"/>
                      <w:color w:val="auto"/>
                      <w:kern w:val="0"/>
                      <w:szCs w:val="21"/>
                      <w:highlight w:val="none"/>
                      <w:lang w:bidi="ar"/>
                    </w:rPr>
                    <w:t>组织产生量</w:t>
                  </w:r>
                </w:p>
              </w:tc>
              <w:tc>
                <w:tcPr>
                  <w:tcW w:w="913" w:type="pct"/>
                  <w:noWrap w:val="0"/>
                  <w:vAlign w:val="center"/>
                </w:tcPr>
                <w:p w14:paraId="396BA62D">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0.000586</w:t>
                  </w:r>
                </w:p>
              </w:tc>
            </w:tr>
            <w:tr w14:paraId="294F6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2C9C8671">
                  <w:pPr>
                    <w:widowControl/>
                    <w:jc w:val="center"/>
                    <w:textAlignment w:val="center"/>
                    <w:rPr>
                      <w:snapToGrid w:val="0"/>
                      <w:color w:val="auto"/>
                      <w:kern w:val="0"/>
                      <w:szCs w:val="21"/>
                      <w:highlight w:val="none"/>
                    </w:rPr>
                  </w:pPr>
                </w:p>
              </w:tc>
              <w:tc>
                <w:tcPr>
                  <w:tcW w:w="815" w:type="pct"/>
                  <w:vMerge w:val="continue"/>
                  <w:noWrap w:val="0"/>
                  <w:vAlign w:val="center"/>
                </w:tcPr>
                <w:p w14:paraId="74972446">
                  <w:pPr>
                    <w:widowControl/>
                    <w:jc w:val="center"/>
                    <w:textAlignment w:val="center"/>
                    <w:rPr>
                      <w:color w:val="auto"/>
                      <w:szCs w:val="21"/>
                      <w:highlight w:val="none"/>
                    </w:rPr>
                  </w:pPr>
                </w:p>
              </w:tc>
              <w:tc>
                <w:tcPr>
                  <w:tcW w:w="2616" w:type="pct"/>
                  <w:noWrap w:val="0"/>
                  <w:vAlign w:val="center"/>
                </w:tcPr>
                <w:p w14:paraId="5CFAE87F">
                  <w:pPr>
                    <w:adjustRightInd w:val="0"/>
                    <w:snapToGrid w:val="0"/>
                    <w:jc w:val="center"/>
                    <w:rPr>
                      <w:rFonts w:hint="eastAsia" w:eastAsia="宋体"/>
                      <w:color w:val="auto"/>
                      <w:szCs w:val="21"/>
                      <w:highlight w:val="none"/>
                      <w:lang w:eastAsia="zh-CN"/>
                    </w:rPr>
                  </w:pPr>
                  <w:r>
                    <w:rPr>
                      <w:rFonts w:hint="eastAsia"/>
                      <w:color w:val="auto"/>
                      <w:szCs w:val="21"/>
                      <w:highlight w:val="none"/>
                    </w:rPr>
                    <w:t>发泡、成型工序废气</w:t>
                  </w:r>
                  <w:r>
                    <w:rPr>
                      <w:rFonts w:hint="eastAsia"/>
                      <w:color w:val="auto"/>
                      <w:szCs w:val="21"/>
                      <w:highlight w:val="none"/>
                      <w:lang w:val="en-US" w:eastAsia="zh-CN"/>
                    </w:rPr>
                    <w:t>苯乙烯</w:t>
                  </w:r>
                  <w:r>
                    <w:rPr>
                      <w:rFonts w:hint="eastAsia"/>
                      <w:color w:val="auto"/>
                      <w:kern w:val="0"/>
                      <w:szCs w:val="21"/>
                      <w:highlight w:val="none"/>
                      <w:lang w:bidi="ar"/>
                    </w:rPr>
                    <w:t>有组织产生量</w:t>
                  </w:r>
                </w:p>
              </w:tc>
              <w:tc>
                <w:tcPr>
                  <w:tcW w:w="913" w:type="pct"/>
                  <w:noWrap w:val="0"/>
                  <w:vAlign w:val="center"/>
                </w:tcPr>
                <w:p w14:paraId="5FC2A5F9">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0.001431</w:t>
                  </w:r>
                </w:p>
              </w:tc>
            </w:tr>
            <w:tr w14:paraId="58222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17ED8CD1">
                  <w:pPr>
                    <w:widowControl/>
                    <w:jc w:val="center"/>
                    <w:textAlignment w:val="center"/>
                    <w:rPr>
                      <w:snapToGrid w:val="0"/>
                      <w:color w:val="auto"/>
                      <w:kern w:val="0"/>
                      <w:szCs w:val="21"/>
                      <w:highlight w:val="none"/>
                    </w:rPr>
                  </w:pPr>
                </w:p>
              </w:tc>
              <w:tc>
                <w:tcPr>
                  <w:tcW w:w="815" w:type="pct"/>
                  <w:vMerge w:val="continue"/>
                  <w:noWrap w:val="0"/>
                  <w:vAlign w:val="center"/>
                </w:tcPr>
                <w:p w14:paraId="6BB98BF0">
                  <w:pPr>
                    <w:widowControl/>
                    <w:jc w:val="center"/>
                    <w:textAlignment w:val="center"/>
                    <w:rPr>
                      <w:color w:val="auto"/>
                      <w:szCs w:val="21"/>
                      <w:highlight w:val="none"/>
                    </w:rPr>
                  </w:pPr>
                </w:p>
              </w:tc>
              <w:tc>
                <w:tcPr>
                  <w:tcW w:w="2616" w:type="pct"/>
                  <w:noWrap w:val="0"/>
                  <w:vAlign w:val="center"/>
                </w:tcPr>
                <w:p w14:paraId="00DD3F84">
                  <w:pPr>
                    <w:adjustRightInd w:val="0"/>
                    <w:snapToGrid w:val="0"/>
                    <w:jc w:val="center"/>
                    <w:rPr>
                      <w:rFonts w:hint="eastAsia"/>
                      <w:color w:val="auto"/>
                      <w:szCs w:val="21"/>
                      <w:highlight w:val="none"/>
                    </w:rPr>
                  </w:pPr>
                  <w:r>
                    <w:rPr>
                      <w:rFonts w:hint="eastAsia"/>
                      <w:color w:val="auto"/>
                      <w:szCs w:val="21"/>
                      <w:highlight w:val="none"/>
                    </w:rPr>
                    <w:t>发泡、成型工序废气</w:t>
                  </w:r>
                  <w:r>
                    <w:rPr>
                      <w:rFonts w:hint="eastAsia"/>
                      <w:color w:val="auto"/>
                      <w:szCs w:val="21"/>
                      <w:highlight w:val="none"/>
                      <w:lang w:val="en-US" w:eastAsia="zh-CN"/>
                    </w:rPr>
                    <w:t>苯乙烯</w:t>
                  </w:r>
                  <w:r>
                    <w:rPr>
                      <w:rFonts w:hint="eastAsia"/>
                      <w:color w:val="auto"/>
                      <w:szCs w:val="21"/>
                      <w:highlight w:val="none"/>
                    </w:rPr>
                    <w:t>无</w:t>
                  </w:r>
                  <w:r>
                    <w:rPr>
                      <w:rFonts w:hint="eastAsia"/>
                      <w:color w:val="auto"/>
                      <w:kern w:val="0"/>
                      <w:szCs w:val="21"/>
                      <w:highlight w:val="none"/>
                      <w:lang w:bidi="ar"/>
                    </w:rPr>
                    <w:t>组织产生量</w:t>
                  </w:r>
                </w:p>
              </w:tc>
              <w:tc>
                <w:tcPr>
                  <w:tcW w:w="913" w:type="pct"/>
                  <w:noWrap w:val="0"/>
                  <w:vAlign w:val="center"/>
                </w:tcPr>
                <w:p w14:paraId="67A87272">
                  <w:pPr>
                    <w:widowControl/>
                    <w:jc w:val="center"/>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0.000159</w:t>
                  </w:r>
                </w:p>
              </w:tc>
            </w:tr>
            <w:tr w14:paraId="633BD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0ADBE764">
                  <w:pPr>
                    <w:widowControl/>
                    <w:jc w:val="center"/>
                    <w:textAlignment w:val="center"/>
                    <w:rPr>
                      <w:snapToGrid w:val="0"/>
                      <w:color w:val="auto"/>
                      <w:kern w:val="0"/>
                      <w:szCs w:val="21"/>
                      <w:highlight w:val="none"/>
                    </w:rPr>
                  </w:pPr>
                </w:p>
              </w:tc>
              <w:tc>
                <w:tcPr>
                  <w:tcW w:w="815" w:type="pct"/>
                  <w:vMerge w:val="continue"/>
                  <w:noWrap w:val="0"/>
                  <w:vAlign w:val="center"/>
                </w:tcPr>
                <w:p w14:paraId="50D79E94">
                  <w:pPr>
                    <w:widowControl/>
                    <w:jc w:val="center"/>
                    <w:textAlignment w:val="center"/>
                    <w:rPr>
                      <w:color w:val="auto"/>
                      <w:szCs w:val="21"/>
                      <w:highlight w:val="none"/>
                    </w:rPr>
                  </w:pPr>
                </w:p>
              </w:tc>
              <w:tc>
                <w:tcPr>
                  <w:tcW w:w="2616" w:type="pct"/>
                  <w:noWrap w:val="0"/>
                  <w:vAlign w:val="center"/>
                </w:tcPr>
                <w:p w14:paraId="3509B4DF">
                  <w:pPr>
                    <w:adjustRightInd w:val="0"/>
                    <w:snapToGrid w:val="0"/>
                    <w:jc w:val="center"/>
                    <w:rPr>
                      <w:rFonts w:hint="eastAsia" w:eastAsia="宋体"/>
                      <w:color w:val="auto"/>
                      <w:szCs w:val="21"/>
                      <w:highlight w:val="none"/>
                      <w:lang w:eastAsia="zh-CN"/>
                    </w:rPr>
                  </w:pPr>
                  <w:r>
                    <w:rPr>
                      <w:rFonts w:hint="eastAsia"/>
                      <w:color w:val="auto"/>
                      <w:szCs w:val="21"/>
                      <w:highlight w:val="none"/>
                    </w:rPr>
                    <w:t>发泡、成型工序废气</w:t>
                  </w:r>
                  <w:r>
                    <w:rPr>
                      <w:rFonts w:hint="eastAsia"/>
                      <w:color w:val="auto"/>
                      <w:szCs w:val="21"/>
                      <w:highlight w:val="none"/>
                      <w:lang w:val="en-US" w:eastAsia="zh-CN"/>
                    </w:rPr>
                    <w:t>乙苯</w:t>
                  </w:r>
                  <w:r>
                    <w:rPr>
                      <w:rFonts w:hint="eastAsia"/>
                      <w:color w:val="auto"/>
                      <w:kern w:val="0"/>
                      <w:szCs w:val="21"/>
                      <w:highlight w:val="none"/>
                      <w:lang w:bidi="ar"/>
                    </w:rPr>
                    <w:t>有组织产生量</w:t>
                  </w:r>
                </w:p>
              </w:tc>
              <w:tc>
                <w:tcPr>
                  <w:tcW w:w="913" w:type="pct"/>
                  <w:noWrap w:val="0"/>
                  <w:vAlign w:val="center"/>
                </w:tcPr>
                <w:p w14:paraId="36547508">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0.002314</w:t>
                  </w:r>
                </w:p>
              </w:tc>
            </w:tr>
            <w:tr w14:paraId="3F60C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26370E1F">
                  <w:pPr>
                    <w:widowControl/>
                    <w:jc w:val="center"/>
                    <w:textAlignment w:val="center"/>
                    <w:rPr>
                      <w:snapToGrid w:val="0"/>
                      <w:color w:val="auto"/>
                      <w:kern w:val="0"/>
                      <w:szCs w:val="21"/>
                      <w:highlight w:val="none"/>
                    </w:rPr>
                  </w:pPr>
                </w:p>
              </w:tc>
              <w:tc>
                <w:tcPr>
                  <w:tcW w:w="815" w:type="pct"/>
                  <w:vMerge w:val="continue"/>
                  <w:noWrap w:val="0"/>
                  <w:vAlign w:val="center"/>
                </w:tcPr>
                <w:p w14:paraId="3DC7AA26">
                  <w:pPr>
                    <w:widowControl/>
                    <w:jc w:val="center"/>
                    <w:textAlignment w:val="center"/>
                    <w:rPr>
                      <w:color w:val="auto"/>
                      <w:szCs w:val="21"/>
                      <w:highlight w:val="none"/>
                    </w:rPr>
                  </w:pPr>
                </w:p>
              </w:tc>
              <w:tc>
                <w:tcPr>
                  <w:tcW w:w="2616" w:type="pct"/>
                  <w:noWrap w:val="0"/>
                  <w:vAlign w:val="center"/>
                </w:tcPr>
                <w:p w14:paraId="645C38E7">
                  <w:pPr>
                    <w:adjustRightInd w:val="0"/>
                    <w:snapToGrid w:val="0"/>
                    <w:jc w:val="center"/>
                    <w:rPr>
                      <w:rFonts w:hint="eastAsia"/>
                      <w:color w:val="auto"/>
                      <w:szCs w:val="21"/>
                      <w:highlight w:val="none"/>
                    </w:rPr>
                  </w:pPr>
                  <w:r>
                    <w:rPr>
                      <w:rFonts w:hint="eastAsia"/>
                      <w:color w:val="auto"/>
                      <w:szCs w:val="21"/>
                      <w:highlight w:val="none"/>
                    </w:rPr>
                    <w:t>发泡、成型工序废气</w:t>
                  </w:r>
                  <w:r>
                    <w:rPr>
                      <w:rFonts w:hint="eastAsia"/>
                      <w:color w:val="auto"/>
                      <w:szCs w:val="21"/>
                      <w:highlight w:val="none"/>
                      <w:lang w:val="en-US" w:eastAsia="zh-CN"/>
                    </w:rPr>
                    <w:t>乙苯</w:t>
                  </w:r>
                  <w:r>
                    <w:rPr>
                      <w:rFonts w:hint="eastAsia"/>
                      <w:color w:val="auto"/>
                      <w:szCs w:val="21"/>
                      <w:highlight w:val="none"/>
                    </w:rPr>
                    <w:t>无</w:t>
                  </w:r>
                  <w:r>
                    <w:rPr>
                      <w:rFonts w:hint="eastAsia"/>
                      <w:color w:val="auto"/>
                      <w:kern w:val="0"/>
                      <w:szCs w:val="21"/>
                      <w:highlight w:val="none"/>
                      <w:lang w:bidi="ar"/>
                    </w:rPr>
                    <w:t>组织产生量</w:t>
                  </w:r>
                </w:p>
              </w:tc>
              <w:tc>
                <w:tcPr>
                  <w:tcW w:w="913" w:type="pct"/>
                  <w:noWrap w:val="0"/>
                  <w:vAlign w:val="center"/>
                </w:tcPr>
                <w:p w14:paraId="30D1109F">
                  <w:pPr>
                    <w:widowControl/>
                    <w:jc w:val="center"/>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0.000257</w:t>
                  </w:r>
                </w:p>
              </w:tc>
            </w:tr>
            <w:tr w14:paraId="42A84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628DCD8A">
                  <w:pPr>
                    <w:widowControl/>
                    <w:jc w:val="center"/>
                    <w:textAlignment w:val="center"/>
                    <w:rPr>
                      <w:snapToGrid w:val="0"/>
                      <w:color w:val="auto"/>
                      <w:kern w:val="0"/>
                      <w:szCs w:val="21"/>
                      <w:highlight w:val="none"/>
                    </w:rPr>
                  </w:pPr>
                </w:p>
              </w:tc>
              <w:tc>
                <w:tcPr>
                  <w:tcW w:w="815" w:type="pct"/>
                  <w:vMerge w:val="continue"/>
                  <w:noWrap w:val="0"/>
                  <w:vAlign w:val="center"/>
                </w:tcPr>
                <w:p w14:paraId="7A6533A2">
                  <w:pPr>
                    <w:widowControl/>
                    <w:jc w:val="center"/>
                    <w:textAlignment w:val="center"/>
                    <w:rPr>
                      <w:color w:val="auto"/>
                      <w:szCs w:val="21"/>
                      <w:highlight w:val="none"/>
                    </w:rPr>
                  </w:pPr>
                </w:p>
              </w:tc>
              <w:tc>
                <w:tcPr>
                  <w:tcW w:w="2616" w:type="pct"/>
                  <w:noWrap w:val="0"/>
                  <w:vAlign w:val="center"/>
                </w:tcPr>
                <w:p w14:paraId="20E8C7A5">
                  <w:pPr>
                    <w:adjustRightInd w:val="0"/>
                    <w:snapToGrid w:val="0"/>
                    <w:jc w:val="center"/>
                    <w:rPr>
                      <w:color w:val="auto"/>
                      <w:szCs w:val="21"/>
                      <w:highlight w:val="none"/>
                    </w:rPr>
                  </w:pPr>
                  <w:r>
                    <w:rPr>
                      <w:rFonts w:hint="eastAsia"/>
                      <w:color w:val="auto"/>
                      <w:szCs w:val="21"/>
                      <w:highlight w:val="none"/>
                    </w:rPr>
                    <w:t>不合格品</w:t>
                  </w:r>
                </w:p>
              </w:tc>
              <w:tc>
                <w:tcPr>
                  <w:tcW w:w="913" w:type="pct"/>
                  <w:noWrap w:val="0"/>
                  <w:vAlign w:val="center"/>
                </w:tcPr>
                <w:p w14:paraId="7A9B7D5C">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5.112</w:t>
                  </w:r>
                </w:p>
              </w:tc>
            </w:tr>
            <w:tr w14:paraId="32D9F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vMerge w:val="continue"/>
                  <w:noWrap w:val="0"/>
                  <w:vAlign w:val="center"/>
                </w:tcPr>
                <w:p w14:paraId="26B338B3">
                  <w:pPr>
                    <w:widowControl/>
                    <w:jc w:val="center"/>
                    <w:textAlignment w:val="center"/>
                    <w:rPr>
                      <w:snapToGrid w:val="0"/>
                      <w:color w:val="auto"/>
                      <w:kern w:val="0"/>
                      <w:szCs w:val="21"/>
                      <w:highlight w:val="none"/>
                    </w:rPr>
                  </w:pPr>
                </w:p>
              </w:tc>
              <w:tc>
                <w:tcPr>
                  <w:tcW w:w="815" w:type="pct"/>
                  <w:vMerge w:val="continue"/>
                  <w:noWrap w:val="0"/>
                  <w:vAlign w:val="center"/>
                </w:tcPr>
                <w:p w14:paraId="0954B658">
                  <w:pPr>
                    <w:widowControl/>
                    <w:jc w:val="center"/>
                    <w:textAlignment w:val="center"/>
                    <w:rPr>
                      <w:color w:val="auto"/>
                      <w:szCs w:val="21"/>
                      <w:highlight w:val="none"/>
                    </w:rPr>
                  </w:pPr>
                </w:p>
              </w:tc>
              <w:tc>
                <w:tcPr>
                  <w:tcW w:w="2616" w:type="pct"/>
                  <w:noWrap w:val="0"/>
                  <w:vAlign w:val="center"/>
                </w:tcPr>
                <w:p w14:paraId="6CE2F464">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废边角料</w:t>
                  </w:r>
                </w:p>
              </w:tc>
              <w:tc>
                <w:tcPr>
                  <w:tcW w:w="913" w:type="pct"/>
                  <w:noWrap w:val="0"/>
                  <w:vAlign w:val="center"/>
                </w:tcPr>
                <w:p w14:paraId="67265B61">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0.13</w:t>
                  </w:r>
                </w:p>
              </w:tc>
            </w:tr>
            <w:tr w14:paraId="04813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pct"/>
                  <w:noWrap w:val="0"/>
                  <w:vAlign w:val="center"/>
                </w:tcPr>
                <w:p w14:paraId="25B39DB6">
                  <w:pPr>
                    <w:widowControl/>
                    <w:jc w:val="center"/>
                    <w:textAlignment w:val="center"/>
                    <w:rPr>
                      <w:color w:val="auto"/>
                      <w:szCs w:val="21"/>
                      <w:highlight w:val="none"/>
                    </w:rPr>
                  </w:pPr>
                  <w:r>
                    <w:rPr>
                      <w:color w:val="auto"/>
                      <w:kern w:val="0"/>
                      <w:szCs w:val="21"/>
                      <w:highlight w:val="none"/>
                      <w:lang w:bidi="ar"/>
                    </w:rPr>
                    <w:t>合计</w:t>
                  </w:r>
                </w:p>
              </w:tc>
              <w:tc>
                <w:tcPr>
                  <w:tcW w:w="815" w:type="pct"/>
                  <w:noWrap w:val="0"/>
                  <w:vAlign w:val="center"/>
                </w:tcPr>
                <w:p w14:paraId="661595F8">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1285.23</w:t>
                  </w:r>
                </w:p>
              </w:tc>
              <w:tc>
                <w:tcPr>
                  <w:tcW w:w="2616" w:type="pct"/>
                  <w:noWrap w:val="0"/>
                  <w:vAlign w:val="center"/>
                </w:tcPr>
                <w:p w14:paraId="01330621">
                  <w:pPr>
                    <w:widowControl/>
                    <w:jc w:val="center"/>
                    <w:textAlignment w:val="center"/>
                    <w:rPr>
                      <w:color w:val="auto"/>
                      <w:szCs w:val="21"/>
                      <w:highlight w:val="none"/>
                    </w:rPr>
                  </w:pPr>
                  <w:r>
                    <w:rPr>
                      <w:color w:val="auto"/>
                      <w:kern w:val="0"/>
                      <w:szCs w:val="21"/>
                      <w:highlight w:val="none"/>
                      <w:lang w:bidi="ar"/>
                    </w:rPr>
                    <w:t>合计</w:t>
                  </w:r>
                </w:p>
              </w:tc>
              <w:tc>
                <w:tcPr>
                  <w:tcW w:w="913" w:type="pct"/>
                  <w:noWrap w:val="0"/>
                  <w:vAlign w:val="center"/>
                </w:tcPr>
                <w:p w14:paraId="4B336759">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1285.23</w:t>
                  </w:r>
                </w:p>
              </w:tc>
            </w:tr>
          </w:tbl>
          <w:p w14:paraId="3970E41C">
            <w:pPr>
              <w:pStyle w:val="2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b/>
                <w:bCs/>
                <w:color w:val="auto"/>
                <w:sz w:val="24"/>
                <w:szCs w:val="24"/>
                <w:lang w:val="en-US" w:eastAsia="zh-CN"/>
              </w:rPr>
            </w:pPr>
            <w:r>
              <w:rPr>
                <w:rFonts w:hint="eastAsia" w:cs="Times New Roman"/>
                <w:b/>
                <w:bCs/>
                <w:color w:val="auto"/>
                <w:sz w:val="24"/>
                <w:szCs w:val="24"/>
                <w:highlight w:val="none"/>
                <w:lang w:val="en-US" w:eastAsia="zh-CN"/>
              </w:rPr>
              <w:t>6</w:t>
            </w:r>
            <w:r>
              <w:rPr>
                <w:rFonts w:hint="eastAsia" w:ascii="Times New Roman" w:hAnsi="Times New Roman" w:eastAsia="Sim Sun" w:cs="Sim Sun"/>
                <w:b/>
                <w:bCs/>
                <w:color w:val="auto"/>
                <w:kern w:val="2"/>
                <w:sz w:val="24"/>
                <w:szCs w:val="24"/>
                <w:highlight w:val="none"/>
                <w:lang w:val="en-US" w:eastAsia="zh-CN" w:bidi="ar-SA"/>
              </w:rPr>
              <w:t>、公用工程</w:t>
            </w:r>
          </w:p>
          <w:p w14:paraId="6511A9E3">
            <w:pPr>
              <w:pStyle w:val="88"/>
              <w:adjustRightInd/>
              <w:spacing w:line="360" w:lineRule="auto"/>
              <w:ind w:firstLine="482" w:firstLineChars="200"/>
              <w:jc w:val="both"/>
              <w:rPr>
                <w:rFonts w:hint="default" w:ascii="Times New Roman" w:hAnsi="Times New Roman" w:eastAsia="Sim Sun"/>
                <w:b/>
                <w:bCs/>
                <w:color w:val="auto"/>
                <w:lang w:val="en-US" w:eastAsia="zh-CN"/>
              </w:rPr>
            </w:pPr>
            <w:r>
              <w:rPr>
                <w:rFonts w:hint="eastAsia" w:ascii="Times New Roman" w:hAnsi="Times New Roman"/>
                <w:b/>
                <w:bCs/>
                <w:color w:val="auto"/>
              </w:rPr>
              <w:t>⑴</w:t>
            </w:r>
            <w:r>
              <w:rPr>
                <w:rFonts w:hint="eastAsia" w:ascii="Times New Roman" w:hAnsi="Times New Roman"/>
                <w:b/>
                <w:bCs/>
                <w:color w:val="auto"/>
                <w:lang w:val="en-US" w:eastAsia="zh-CN"/>
              </w:rPr>
              <w:t>一期工程</w:t>
            </w:r>
          </w:p>
          <w:p w14:paraId="1B9F5530">
            <w:pPr>
              <w:pStyle w:val="88"/>
              <w:adjustRightInd/>
              <w:spacing w:line="360" w:lineRule="auto"/>
              <w:ind w:firstLine="482" w:firstLineChars="200"/>
              <w:jc w:val="both"/>
              <w:rPr>
                <w:rFonts w:hint="default" w:ascii="Times New Roman" w:hAnsi="Times New Roman"/>
                <w:b/>
                <w:bCs/>
                <w:color w:val="auto"/>
                <w:lang w:val="en-US"/>
              </w:rPr>
            </w:pPr>
            <w:r>
              <w:rPr>
                <w:rFonts w:hint="eastAsia" w:ascii="Times New Roman" w:hAnsi="Times New Roman"/>
                <w:b/>
                <w:bCs/>
                <w:color w:val="auto"/>
                <w:lang w:val="en-US" w:eastAsia="zh-CN"/>
              </w:rPr>
              <w:t>①给水</w:t>
            </w:r>
          </w:p>
          <w:p w14:paraId="0B8F3198">
            <w:pPr>
              <w:pStyle w:val="88"/>
              <w:adjustRightInd/>
              <w:spacing w:line="360" w:lineRule="auto"/>
              <w:ind w:firstLine="480" w:firstLineChars="200"/>
              <w:jc w:val="both"/>
              <w:rPr>
                <w:rFonts w:hint="eastAsia" w:ascii="Times New Roman" w:hAnsi="Times New Roman"/>
                <w:color w:val="auto"/>
                <w:lang w:val="en-US"/>
              </w:rPr>
            </w:pPr>
            <w:r>
              <w:rPr>
                <w:rFonts w:ascii="Times New Roman" w:hAnsi="Times New Roman"/>
                <w:color w:val="auto"/>
                <w:lang w:val="en-US"/>
              </w:rPr>
              <w:t>本项目</w:t>
            </w:r>
            <w:r>
              <w:rPr>
                <w:rFonts w:hint="eastAsia" w:ascii="Times New Roman" w:hAnsi="Times New Roman"/>
                <w:color w:val="auto"/>
                <w:lang w:val="en-US" w:eastAsia="zh-CN"/>
              </w:rPr>
              <w:t>一期</w:t>
            </w:r>
            <w:r>
              <w:rPr>
                <w:rFonts w:ascii="Times New Roman" w:hAnsi="Times New Roman"/>
                <w:color w:val="auto"/>
                <w:lang w:val="en-US"/>
              </w:rPr>
              <w:t>用水主要</w:t>
            </w:r>
            <w:r>
              <w:rPr>
                <w:rFonts w:hint="eastAsia" w:ascii="Times New Roman" w:hAnsi="Times New Roman"/>
                <w:color w:val="auto"/>
                <w:lang w:val="en-US" w:eastAsia="zh-CN"/>
              </w:rPr>
              <w:t>包括循环冷却水系统补水和</w:t>
            </w:r>
            <w:r>
              <w:rPr>
                <w:rFonts w:ascii="Times New Roman" w:hAnsi="Times New Roman"/>
                <w:color w:val="auto"/>
                <w:lang w:val="en-US"/>
              </w:rPr>
              <w:t>员工生活用水</w:t>
            </w:r>
            <w:r>
              <w:rPr>
                <w:rFonts w:hint="eastAsia" w:ascii="Times New Roman" w:hAnsi="Times New Roman"/>
                <w:color w:val="auto"/>
                <w:lang w:val="en-US" w:eastAsia="zh-CN"/>
              </w:rPr>
              <w:t>，</w:t>
            </w:r>
            <w:r>
              <w:rPr>
                <w:rFonts w:hint="eastAsia" w:ascii="Times New Roman" w:hAnsi="Times New Roman" w:cs="Times New Roman"/>
                <w:color w:val="auto"/>
                <w:sz w:val="24"/>
                <w:lang w:val="en-US" w:eastAsia="zh-CN"/>
              </w:rPr>
              <w:t>新鲜水用量</w:t>
            </w:r>
            <w:r>
              <w:rPr>
                <w:rFonts w:hint="default" w:ascii="Times New Roman" w:hAnsi="Times New Roman" w:cs="Times New Roman"/>
                <w:color w:val="auto"/>
                <w:sz w:val="24"/>
                <w:highlight w:val="none"/>
                <w:lang w:val="en-US" w:eastAsia="zh-CN"/>
              </w:rPr>
              <w:t>为</w:t>
            </w:r>
            <w:r>
              <w:rPr>
                <w:rFonts w:hint="eastAsia" w:ascii="Times New Roman" w:hAnsi="Times New Roman" w:cs="Times New Roman"/>
                <w:bCs/>
                <w:color w:val="auto"/>
                <w:sz w:val="24"/>
                <w:highlight w:val="none"/>
                <w:lang w:val="en-US" w:eastAsia="zh-CN"/>
              </w:rPr>
              <w:t>1.06</w:t>
            </w:r>
            <w:r>
              <w:rPr>
                <w:rFonts w:hint="default" w:ascii="Times New Roman" w:hAnsi="Times New Roman" w:cs="Times New Roman"/>
                <w:color w:val="auto"/>
                <w:kern w:val="0"/>
                <w:sz w:val="24"/>
                <w:highlight w:val="none"/>
              </w:rPr>
              <w:t>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bCs/>
                <w:color w:val="auto"/>
                <w:sz w:val="24"/>
                <w:highlight w:val="none"/>
              </w:rPr>
              <w:t>/d（</w:t>
            </w:r>
            <w:r>
              <w:rPr>
                <w:rFonts w:hint="eastAsia" w:ascii="Times New Roman" w:hAnsi="Times New Roman" w:cs="Times New Roman"/>
                <w:bCs/>
                <w:color w:val="auto"/>
                <w:sz w:val="24"/>
                <w:highlight w:val="none"/>
                <w:lang w:val="en-US" w:eastAsia="zh-CN"/>
              </w:rPr>
              <w:t>158.88</w:t>
            </w:r>
            <w:r>
              <w:rPr>
                <w:rFonts w:hint="default" w:ascii="Times New Roman" w:hAnsi="Times New Roman" w:cs="Times New Roman"/>
                <w:color w:val="auto"/>
                <w:kern w:val="0"/>
                <w:sz w:val="24"/>
                <w:highlight w:val="none"/>
              </w:rPr>
              <w:t>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bCs/>
                <w:color w:val="auto"/>
                <w:sz w:val="24"/>
                <w:highlight w:val="none"/>
              </w:rPr>
              <w:t>/a）</w:t>
            </w:r>
            <w:r>
              <w:rPr>
                <w:rFonts w:hint="default" w:ascii="Times New Roman" w:hAnsi="Times New Roman" w:cs="Times New Roman"/>
                <w:color w:val="auto"/>
                <w:sz w:val="24"/>
                <w:highlight w:val="none"/>
                <w:lang w:val="en-US" w:eastAsia="zh-CN"/>
              </w:rPr>
              <w:t>，</w:t>
            </w:r>
            <w:r>
              <w:rPr>
                <w:rFonts w:hint="eastAsia" w:ascii="Times New Roman" w:hAnsi="Times New Roman"/>
                <w:color w:val="auto"/>
                <w:lang w:val="en-US" w:eastAsia="zh-CN"/>
              </w:rPr>
              <w:t>新鲜用水</w:t>
            </w:r>
            <w:r>
              <w:rPr>
                <w:rFonts w:ascii="Times New Roman" w:hAnsi="Times New Roman"/>
                <w:color w:val="auto"/>
                <w:lang w:val="en-US"/>
              </w:rPr>
              <w:t>由</w:t>
            </w:r>
            <w:r>
              <w:rPr>
                <w:rFonts w:hint="eastAsia" w:ascii="Times New Roman" w:hAnsi="Times New Roman"/>
                <w:color w:val="auto"/>
                <w:lang w:val="en-US" w:eastAsia="zh-CN"/>
              </w:rPr>
              <w:t>园区</w:t>
            </w:r>
            <w:r>
              <w:rPr>
                <w:rFonts w:hint="eastAsia" w:ascii="Times New Roman" w:hAnsi="Times New Roman"/>
                <w:color w:val="auto"/>
                <w:lang w:val="en-US"/>
              </w:rPr>
              <w:t>供水</w:t>
            </w:r>
            <w:r>
              <w:rPr>
                <w:rFonts w:ascii="Times New Roman" w:hAnsi="Times New Roman"/>
                <w:color w:val="auto"/>
                <w:lang w:val="en-US"/>
              </w:rPr>
              <w:t>管网提供</w:t>
            </w:r>
            <w:r>
              <w:rPr>
                <w:rFonts w:hint="eastAsia" w:ascii="Times New Roman" w:hAnsi="Times New Roman"/>
                <w:color w:val="auto"/>
                <w:lang w:val="en-US"/>
              </w:rPr>
              <w:t>。</w:t>
            </w:r>
          </w:p>
          <w:p w14:paraId="0C50B3F3">
            <w:pPr>
              <w:pStyle w:val="88"/>
              <w:adjustRightInd/>
              <w:spacing w:line="360" w:lineRule="auto"/>
              <w:ind w:firstLine="480" w:firstLineChars="200"/>
              <w:jc w:val="both"/>
              <w:rPr>
                <w:rFonts w:hint="eastAsia" w:ascii="Times New Roman" w:hAnsi="Times New Roman" w:eastAsia="宋体" w:cs="Times New Roman"/>
                <w:color w:val="auto"/>
                <w:kern w:val="0"/>
                <w:sz w:val="24"/>
                <w:szCs w:val="21"/>
                <w:lang w:val="en-US" w:eastAsia="zh-CN" w:bidi="ar-SA"/>
              </w:rPr>
            </w:pPr>
            <w:r>
              <w:rPr>
                <w:rFonts w:hint="eastAsia" w:ascii="Times New Roman" w:hAnsi="Times New Roman"/>
                <w:color w:val="auto"/>
                <w:lang w:val="en-US" w:eastAsia="zh-CN"/>
              </w:rPr>
              <w:t>循环冷却系统补水</w:t>
            </w:r>
            <w:r>
              <w:rPr>
                <w:rFonts w:hint="eastAsia"/>
                <w:color w:val="auto"/>
                <w:lang w:eastAsia="zh-CN"/>
              </w:rPr>
              <w:t>：</w:t>
            </w:r>
            <w:r>
              <w:rPr>
                <w:rFonts w:hint="default" w:ascii="Times New Roman" w:hAnsi="Times New Roman" w:eastAsia="Sim Sun"/>
                <w:color w:val="auto"/>
                <w:lang w:val="en-US" w:eastAsia="zh-CN"/>
              </w:rPr>
              <w:t>项目在</w:t>
            </w:r>
            <w:r>
              <w:rPr>
                <w:rFonts w:hint="eastAsia" w:ascii="Times New Roman" w:hAnsi="Times New Roman"/>
                <w:color w:val="auto"/>
                <w:lang w:val="en-US" w:eastAsia="zh-CN"/>
              </w:rPr>
              <w:t>冷却脱模</w:t>
            </w:r>
            <w:r>
              <w:rPr>
                <w:rFonts w:hint="default" w:ascii="Times New Roman" w:hAnsi="Times New Roman" w:eastAsia="Sim Sun"/>
                <w:color w:val="auto"/>
                <w:lang w:val="en-US" w:eastAsia="zh-CN"/>
              </w:rPr>
              <w:t>工序需要用水对物料进行冷却</w:t>
            </w:r>
            <w:r>
              <w:rPr>
                <w:rFonts w:hint="eastAsia" w:ascii="Times New Roman" w:hAnsi="Times New Roman"/>
                <w:color w:val="auto"/>
                <w:lang w:val="en-US" w:eastAsia="zh-CN"/>
              </w:rPr>
              <w:t>，</w:t>
            </w:r>
            <w:r>
              <w:rPr>
                <w:rFonts w:hint="eastAsia" w:ascii="Times New Roman" w:hAnsi="Times New Roman" w:cs="Times New Roman"/>
                <w:color w:val="auto"/>
                <w:sz w:val="24"/>
                <w:lang w:val="en-US" w:eastAsia="zh-CN"/>
              </w:rPr>
              <w:t>新建1套循环冷却系统，循环水量为</w:t>
            </w:r>
            <w:r>
              <w:rPr>
                <w:rFonts w:hint="eastAsia" w:ascii="Times New Roman" w:hAnsi="Times New Roman" w:eastAsia="宋体" w:cs="Times New Roman"/>
                <w:color w:val="auto"/>
                <w:kern w:val="0"/>
                <w:sz w:val="24"/>
                <w:szCs w:val="21"/>
                <w:lang w:val="en-US" w:eastAsia="zh-CN" w:bidi="ar-SA"/>
              </w:rPr>
              <w:t>2</w:t>
            </w:r>
            <w:r>
              <w:rPr>
                <w:rFonts w:hint="default" w:ascii="Times New Roman" w:hAnsi="Times New Roman" w:eastAsia="宋体" w:cs="Times New Roman"/>
                <w:color w:val="auto"/>
                <w:kern w:val="0"/>
                <w:sz w:val="24"/>
                <w:szCs w:val="21"/>
                <w:lang w:val="en-US" w:eastAsia="zh-CN" w:bidi="ar-SA"/>
              </w:rPr>
              <w:t>m</w:t>
            </w:r>
            <w:r>
              <w:rPr>
                <w:rFonts w:hint="default" w:ascii="Times New Roman" w:hAnsi="Times New Roman" w:eastAsia="宋体" w:cs="Times New Roman"/>
                <w:color w:val="auto"/>
                <w:kern w:val="0"/>
                <w:sz w:val="24"/>
                <w:szCs w:val="21"/>
                <w:vertAlign w:val="superscript"/>
                <w:lang w:val="en-US" w:eastAsia="zh-CN" w:bidi="ar-SA"/>
              </w:rPr>
              <w:t>3</w:t>
            </w:r>
            <w:r>
              <w:rPr>
                <w:rFonts w:hint="default" w:ascii="Times New Roman" w:hAnsi="Times New Roman" w:eastAsia="宋体" w:cs="Times New Roman"/>
                <w:color w:val="auto"/>
                <w:kern w:val="0"/>
                <w:sz w:val="24"/>
                <w:szCs w:val="21"/>
                <w:lang w:val="en-US" w:eastAsia="zh-CN" w:bidi="ar-SA"/>
              </w:rPr>
              <w:t>/h，进水温度为</w:t>
            </w:r>
            <w:r>
              <w:rPr>
                <w:rFonts w:hint="eastAsia" w:ascii="Times New Roman" w:hAnsi="Times New Roman" w:eastAsia="宋体" w:cs="Times New Roman"/>
                <w:color w:val="auto"/>
                <w:kern w:val="0"/>
                <w:sz w:val="24"/>
                <w:szCs w:val="21"/>
                <w:lang w:val="en-US" w:eastAsia="zh-CN" w:bidi="ar-SA"/>
              </w:rPr>
              <w:t>25</w:t>
            </w:r>
            <w:r>
              <w:rPr>
                <w:rFonts w:hint="default" w:ascii="Times New Roman" w:hAnsi="Times New Roman" w:eastAsia="宋体" w:cs="Times New Roman"/>
                <w:color w:val="auto"/>
                <w:kern w:val="0"/>
                <w:sz w:val="24"/>
                <w:szCs w:val="21"/>
                <w:lang w:val="en-US" w:eastAsia="zh-CN" w:bidi="ar-SA"/>
              </w:rPr>
              <w:t>℃，出水温度为</w:t>
            </w:r>
            <w:r>
              <w:rPr>
                <w:rFonts w:hint="eastAsia" w:ascii="Times New Roman" w:hAnsi="Times New Roman" w:eastAsia="宋体" w:cs="Times New Roman"/>
                <w:color w:val="auto"/>
                <w:kern w:val="0"/>
                <w:sz w:val="24"/>
                <w:szCs w:val="21"/>
                <w:lang w:val="en-US" w:eastAsia="zh-CN" w:bidi="ar-SA"/>
              </w:rPr>
              <w:t>45</w:t>
            </w:r>
            <w:r>
              <w:rPr>
                <w:rFonts w:hint="default" w:ascii="Times New Roman" w:hAnsi="Times New Roman" w:eastAsia="宋体" w:cs="Times New Roman"/>
                <w:color w:val="auto"/>
                <w:kern w:val="0"/>
                <w:sz w:val="24"/>
                <w:szCs w:val="21"/>
                <w:lang w:val="en-US" w:eastAsia="zh-CN" w:bidi="ar-SA"/>
              </w:rPr>
              <w:t>℃，供回水温差为</w:t>
            </w:r>
            <w:r>
              <w:rPr>
                <w:rFonts w:hint="eastAsia" w:ascii="Times New Roman" w:hAnsi="Times New Roman" w:eastAsia="宋体" w:cs="Times New Roman"/>
                <w:color w:val="auto"/>
                <w:kern w:val="0"/>
                <w:sz w:val="24"/>
                <w:szCs w:val="21"/>
                <w:lang w:val="en-US" w:eastAsia="zh-CN" w:bidi="ar-SA"/>
              </w:rPr>
              <w:t>20</w:t>
            </w:r>
            <w:r>
              <w:rPr>
                <w:rFonts w:hint="default" w:ascii="Times New Roman" w:hAnsi="Times New Roman" w:eastAsia="宋体" w:cs="Times New Roman"/>
                <w:color w:val="auto"/>
                <w:kern w:val="0"/>
                <w:sz w:val="24"/>
                <w:szCs w:val="21"/>
                <w:lang w:val="en-US" w:eastAsia="zh-CN" w:bidi="ar-SA"/>
              </w:rPr>
              <w:t>℃，</w:t>
            </w:r>
            <w:r>
              <w:rPr>
                <w:rFonts w:hint="eastAsia" w:ascii="Times New Roman" w:hAnsi="Times New Roman" w:eastAsia="宋体" w:cs="Times New Roman"/>
                <w:color w:val="auto"/>
                <w:kern w:val="0"/>
                <w:sz w:val="24"/>
                <w:szCs w:val="21"/>
                <w:lang w:val="en-US" w:eastAsia="zh-CN" w:bidi="ar-SA"/>
              </w:rPr>
              <w:t>根据《工业循环冷却水处理设计规范》（GB/T50050-2017），循环水系统排水量计算公式如下：</w:t>
            </w:r>
          </w:p>
          <w:p w14:paraId="396DD64F">
            <w:pPr>
              <w:widowControl/>
              <w:tabs>
                <w:tab w:val="left" w:pos="4584"/>
              </w:tabs>
              <w:adjustRightInd w:val="0"/>
              <w:snapToGrid w:val="0"/>
              <w:spacing w:line="360" w:lineRule="auto"/>
              <w:ind w:firstLine="1200" w:firstLineChars="500"/>
              <w:jc w:val="center"/>
              <w:rPr>
                <w:rFonts w:hint="default" w:ascii="Times New Roman" w:hAnsi="Times New Roman" w:eastAsia="宋体" w:cs="Times New Roman"/>
                <w:snapToGrid w:val="0"/>
                <w:color w:val="auto"/>
                <w:kern w:val="0"/>
                <w:sz w:val="24"/>
                <w:szCs w:val="20"/>
                <w:lang w:val="en-US" w:eastAsia="zh-CN" w:bidi="en-US"/>
              </w:rPr>
            </w:pPr>
            <w:r>
              <w:rPr>
                <w:rFonts w:hint="default" w:ascii="Times New Roman" w:hAnsi="Times New Roman" w:eastAsia="宋体" w:cs="Times New Roman"/>
                <w:snapToGrid w:val="0"/>
                <w:color w:val="auto"/>
                <w:kern w:val="0"/>
                <w:position w:val="-24"/>
                <w:sz w:val="24"/>
                <w:szCs w:val="20"/>
                <w:lang w:val="en-US" w:eastAsia="zh-CN" w:bidi="en-US"/>
              </w:rPr>
              <w:object>
                <v:shape id="_x0000_i1025" o:spt="75" type="#_x0000_t75" style="height:35.4pt;width:88.95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p>
          <w:p w14:paraId="7684F676">
            <w:pPr>
              <w:ind w:firstLine="1050" w:firstLineChars="500"/>
              <w:jc w:val="center"/>
              <w:rPr>
                <w:rFonts w:hint="default" w:ascii="Calibri" w:hAnsi="Calibri" w:eastAsia="微软雅黑" w:cs="Times New Roman"/>
                <w:color w:val="auto"/>
                <w:lang w:eastAsia="zh-CN"/>
              </w:rPr>
            </w:pPr>
            <w:r>
              <w:rPr>
                <w:rFonts w:hint="default" w:ascii="Calibri" w:hAnsi="Calibri" w:eastAsia="微软雅黑" w:cs="Times New Roman"/>
                <w:color w:val="auto"/>
                <w:position w:val="-10"/>
                <w:lang w:eastAsia="zh-CN"/>
              </w:rPr>
              <w:object>
                <v:shape id="_x0000_i1026" o:spt="75" type="#_x0000_t75" style="height:21.85pt;width:98.95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p>
          <w:p w14:paraId="1B8A4430">
            <w:pPr>
              <w:widowControl/>
              <w:tabs>
                <w:tab w:val="left" w:pos="4584"/>
              </w:tabs>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20"/>
                <w:lang w:val="en-US" w:eastAsia="zh-CN" w:bidi="en-US"/>
              </w:rPr>
            </w:pPr>
            <w:r>
              <w:rPr>
                <w:rFonts w:hint="eastAsia" w:ascii="Times New Roman" w:hAnsi="Times New Roman" w:eastAsia="宋体" w:cs="Times New Roman"/>
                <w:snapToGrid w:val="0"/>
                <w:color w:val="auto"/>
                <w:kern w:val="0"/>
                <w:sz w:val="24"/>
                <w:szCs w:val="20"/>
                <w:lang w:val="en-US" w:eastAsia="zh-CN" w:bidi="en-US"/>
              </w:rPr>
              <w:t>式中：Q</w:t>
            </w:r>
            <w:r>
              <w:rPr>
                <w:rFonts w:hint="eastAsia" w:ascii="Times New Roman" w:hAnsi="Times New Roman" w:eastAsia="宋体" w:cs="Times New Roman"/>
                <w:snapToGrid w:val="0"/>
                <w:color w:val="auto"/>
                <w:kern w:val="0"/>
                <w:sz w:val="24"/>
                <w:szCs w:val="20"/>
                <w:vertAlign w:val="subscript"/>
                <w:lang w:val="en-US" w:eastAsia="zh-CN" w:bidi="en-US"/>
              </w:rPr>
              <w:t>b</w:t>
            </w:r>
            <w:r>
              <w:rPr>
                <w:rFonts w:hint="eastAsia" w:ascii="Times New Roman" w:hAnsi="Times New Roman" w:eastAsia="宋体" w:cs="Times New Roman"/>
                <w:snapToGrid w:val="0"/>
                <w:color w:val="auto"/>
                <w:kern w:val="0"/>
                <w:sz w:val="24"/>
                <w:szCs w:val="20"/>
                <w:lang w:val="en-US" w:eastAsia="zh-CN" w:bidi="en-US"/>
              </w:rPr>
              <w:t>-强制排污水量，m</w:t>
            </w:r>
            <w:r>
              <w:rPr>
                <w:rFonts w:hint="eastAsia" w:ascii="Times New Roman" w:hAnsi="Times New Roman" w:eastAsia="宋体" w:cs="Times New Roman"/>
                <w:snapToGrid w:val="0"/>
                <w:color w:val="auto"/>
                <w:kern w:val="0"/>
                <w:sz w:val="24"/>
                <w:szCs w:val="20"/>
                <w:vertAlign w:val="superscript"/>
                <w:lang w:val="en-US" w:eastAsia="zh-CN" w:bidi="en-US"/>
              </w:rPr>
              <w:t>3</w:t>
            </w:r>
            <w:r>
              <w:rPr>
                <w:rFonts w:hint="eastAsia" w:ascii="Times New Roman" w:hAnsi="Times New Roman" w:eastAsia="宋体" w:cs="Times New Roman"/>
                <w:snapToGrid w:val="0"/>
                <w:color w:val="auto"/>
                <w:kern w:val="0"/>
                <w:sz w:val="24"/>
                <w:szCs w:val="20"/>
                <w:lang w:val="en-US" w:eastAsia="zh-CN" w:bidi="en-US"/>
              </w:rPr>
              <w:t>/h；</w:t>
            </w:r>
          </w:p>
          <w:p w14:paraId="4F24C55D">
            <w:pPr>
              <w:widowControl/>
              <w:tabs>
                <w:tab w:val="left" w:pos="4584"/>
              </w:tabs>
              <w:adjustRightInd w:val="0"/>
              <w:snapToGrid w:val="0"/>
              <w:spacing w:line="360" w:lineRule="auto"/>
              <w:ind w:firstLine="1200" w:firstLineChars="500"/>
              <w:jc w:val="both"/>
              <w:rPr>
                <w:rFonts w:hint="default" w:ascii="Times New Roman" w:hAnsi="Times New Roman" w:eastAsia="宋体" w:cs="Times New Roman"/>
                <w:snapToGrid w:val="0"/>
                <w:color w:val="auto"/>
                <w:kern w:val="0"/>
                <w:sz w:val="24"/>
                <w:szCs w:val="20"/>
                <w:lang w:val="en-US" w:eastAsia="zh-CN" w:bidi="en-US"/>
              </w:rPr>
            </w:pPr>
            <w:r>
              <w:rPr>
                <w:rFonts w:hint="eastAsia" w:ascii="Times New Roman" w:hAnsi="Times New Roman" w:eastAsia="宋体" w:cs="Times New Roman"/>
                <w:snapToGrid w:val="0"/>
                <w:color w:val="auto"/>
                <w:kern w:val="0"/>
                <w:sz w:val="24"/>
                <w:szCs w:val="20"/>
                <w:lang w:val="en-US" w:eastAsia="zh-CN" w:bidi="en-US"/>
              </w:rPr>
              <w:t>Qe-循环水蒸发量，m</w:t>
            </w:r>
            <w:r>
              <w:rPr>
                <w:rFonts w:hint="eastAsia" w:ascii="Times New Roman" w:hAnsi="Times New Roman" w:eastAsia="宋体" w:cs="Times New Roman"/>
                <w:snapToGrid w:val="0"/>
                <w:color w:val="auto"/>
                <w:kern w:val="0"/>
                <w:sz w:val="24"/>
                <w:szCs w:val="20"/>
                <w:vertAlign w:val="superscript"/>
                <w:lang w:val="en-US" w:eastAsia="zh-CN" w:bidi="en-US"/>
              </w:rPr>
              <w:t>3</w:t>
            </w:r>
            <w:r>
              <w:rPr>
                <w:rFonts w:hint="eastAsia" w:ascii="Times New Roman" w:hAnsi="Times New Roman" w:eastAsia="宋体" w:cs="Times New Roman"/>
                <w:snapToGrid w:val="0"/>
                <w:color w:val="auto"/>
                <w:kern w:val="0"/>
                <w:sz w:val="24"/>
                <w:szCs w:val="20"/>
                <w:lang w:val="en-US" w:eastAsia="zh-CN" w:bidi="en-US"/>
              </w:rPr>
              <w:t>/h；</w:t>
            </w:r>
          </w:p>
          <w:p w14:paraId="0EA05B89">
            <w:pPr>
              <w:widowControl/>
              <w:numPr>
                <w:ilvl w:val="0"/>
                <w:numId w:val="0"/>
              </w:numPr>
              <w:tabs>
                <w:tab w:val="left" w:pos="4584"/>
              </w:tabs>
              <w:adjustRightInd w:val="0"/>
              <w:snapToGrid w:val="0"/>
              <w:spacing w:line="360" w:lineRule="auto"/>
              <w:ind w:left="1200" w:leftChars="0" w:firstLine="0" w:firstLineChars="0"/>
              <w:jc w:val="both"/>
              <w:rPr>
                <w:rFonts w:hint="eastAsia" w:ascii="Times New Roman" w:hAnsi="Times New Roman" w:eastAsia="宋体" w:cs="Times New Roman"/>
                <w:snapToGrid w:val="0"/>
                <w:color w:val="auto"/>
                <w:kern w:val="0"/>
                <w:sz w:val="24"/>
                <w:szCs w:val="20"/>
                <w:lang w:val="en-US" w:eastAsia="zh-CN" w:bidi="en-US"/>
              </w:rPr>
            </w:pPr>
            <w:r>
              <w:rPr>
                <w:rFonts w:hint="eastAsia" w:ascii="Times New Roman" w:hAnsi="Times New Roman" w:eastAsia="宋体" w:cs="Times New Roman"/>
                <w:snapToGrid w:val="0"/>
                <w:color w:val="auto"/>
                <w:kern w:val="0"/>
                <w:sz w:val="24"/>
                <w:szCs w:val="20"/>
                <w:lang w:val="en-US" w:eastAsia="zh-CN" w:bidi="en-US"/>
              </w:rPr>
              <w:t>N-浓缩倍数，按4倍考虑；</w:t>
            </w:r>
          </w:p>
          <w:p w14:paraId="5F5B8BC5">
            <w:pPr>
              <w:widowControl/>
              <w:tabs>
                <w:tab w:val="left" w:pos="4584"/>
              </w:tabs>
              <w:adjustRightInd w:val="0"/>
              <w:snapToGrid w:val="0"/>
              <w:spacing w:line="360" w:lineRule="auto"/>
              <w:ind w:firstLine="1200" w:firstLineChars="500"/>
              <w:jc w:val="both"/>
              <w:rPr>
                <w:rFonts w:hint="eastAsia" w:ascii="Times New Roman" w:hAnsi="Times New Roman" w:eastAsia="宋体" w:cs="Times New Roman"/>
                <w:snapToGrid w:val="0"/>
                <w:color w:val="auto"/>
                <w:kern w:val="0"/>
                <w:sz w:val="24"/>
                <w:szCs w:val="20"/>
                <w:lang w:val="en-US" w:eastAsia="zh-CN" w:bidi="en-US"/>
              </w:rPr>
            </w:pPr>
            <w:r>
              <w:rPr>
                <w:rFonts w:hint="eastAsia" w:ascii="Times New Roman" w:hAnsi="Times New Roman" w:eastAsia="宋体" w:cs="Times New Roman"/>
                <w:snapToGrid w:val="0"/>
                <w:color w:val="auto"/>
                <w:kern w:val="0"/>
                <w:sz w:val="24"/>
                <w:szCs w:val="20"/>
                <w:lang w:val="en-US" w:eastAsia="zh-CN" w:bidi="en-US"/>
              </w:rPr>
              <w:t>Qw-风吹损失水量，m</w:t>
            </w:r>
            <w:r>
              <w:rPr>
                <w:rFonts w:hint="eastAsia" w:ascii="Times New Roman" w:hAnsi="Times New Roman" w:eastAsia="宋体" w:cs="Times New Roman"/>
                <w:snapToGrid w:val="0"/>
                <w:color w:val="auto"/>
                <w:kern w:val="0"/>
                <w:sz w:val="24"/>
                <w:szCs w:val="20"/>
                <w:vertAlign w:val="superscript"/>
                <w:lang w:val="en-US" w:eastAsia="zh-CN" w:bidi="en-US"/>
              </w:rPr>
              <w:t>3</w:t>
            </w:r>
            <w:r>
              <w:rPr>
                <w:rFonts w:hint="eastAsia" w:ascii="Times New Roman" w:hAnsi="Times New Roman" w:eastAsia="宋体" w:cs="Times New Roman"/>
                <w:snapToGrid w:val="0"/>
                <w:color w:val="auto"/>
                <w:kern w:val="0"/>
                <w:sz w:val="24"/>
                <w:szCs w:val="20"/>
                <w:lang w:val="en-US" w:eastAsia="zh-CN" w:bidi="en-US"/>
              </w:rPr>
              <w:t>/h，按循环水量0.05%计；</w:t>
            </w:r>
          </w:p>
          <w:p w14:paraId="1247328F">
            <w:pPr>
              <w:widowControl/>
              <w:tabs>
                <w:tab w:val="left" w:pos="4584"/>
              </w:tabs>
              <w:adjustRightInd w:val="0"/>
              <w:snapToGrid w:val="0"/>
              <w:spacing w:line="360" w:lineRule="auto"/>
              <w:ind w:firstLine="1200" w:firstLineChars="500"/>
              <w:jc w:val="both"/>
              <w:rPr>
                <w:rFonts w:hint="eastAsia" w:ascii="Times New Roman" w:hAnsi="Times New Roman" w:eastAsia="宋体" w:cs="Times New Roman"/>
                <w:snapToGrid w:val="0"/>
                <w:color w:val="auto"/>
                <w:kern w:val="0"/>
                <w:sz w:val="24"/>
                <w:szCs w:val="20"/>
                <w:lang w:val="en-US" w:eastAsia="zh-CN" w:bidi="en-US"/>
              </w:rPr>
            </w:pPr>
            <w:r>
              <w:rPr>
                <w:rFonts w:hint="eastAsia" w:ascii="Times New Roman" w:hAnsi="Times New Roman" w:eastAsia="宋体" w:cs="Times New Roman"/>
                <w:snapToGrid w:val="0"/>
                <w:color w:val="auto"/>
                <w:kern w:val="0"/>
                <w:sz w:val="24"/>
                <w:szCs w:val="20"/>
                <w:lang w:val="en-US" w:eastAsia="zh-CN" w:bidi="en-US"/>
              </w:rPr>
              <w:t>k-蒸发损失系数，1/</w:t>
            </w:r>
            <w:r>
              <w:rPr>
                <w:rFonts w:hint="default" w:ascii="Times New Roman" w:hAnsi="Times New Roman" w:eastAsia="宋体" w:cs="Times New Roman"/>
                <w:snapToGrid w:val="0"/>
                <w:color w:val="auto"/>
                <w:kern w:val="0"/>
                <w:sz w:val="24"/>
                <w:szCs w:val="20"/>
                <w:lang w:val="en-US" w:eastAsia="zh-CN" w:bidi="en-US"/>
              </w:rPr>
              <w:t>℃</w:t>
            </w:r>
            <w:r>
              <w:rPr>
                <w:rFonts w:hint="eastAsia" w:ascii="Times New Roman" w:hAnsi="Times New Roman" w:eastAsia="宋体" w:cs="Times New Roman"/>
                <w:snapToGrid w:val="0"/>
                <w:color w:val="auto"/>
                <w:kern w:val="0"/>
                <w:sz w:val="24"/>
                <w:szCs w:val="20"/>
                <w:lang w:val="en-US" w:eastAsia="zh-CN" w:bidi="en-US"/>
              </w:rPr>
              <w:t>，取0.0012；</w:t>
            </w:r>
          </w:p>
          <w:p w14:paraId="280BFFD6">
            <w:pPr>
              <w:widowControl/>
              <w:tabs>
                <w:tab w:val="left" w:pos="4584"/>
              </w:tabs>
              <w:adjustRightInd w:val="0"/>
              <w:snapToGrid w:val="0"/>
              <w:spacing w:line="360" w:lineRule="auto"/>
              <w:ind w:firstLine="1200" w:firstLineChars="500"/>
              <w:jc w:val="both"/>
              <w:rPr>
                <w:rFonts w:hint="default" w:ascii="Times New Roman" w:hAnsi="Times New Roman" w:eastAsia="宋体" w:cs="Times New Roman"/>
                <w:snapToGrid w:val="0"/>
                <w:color w:val="auto"/>
                <w:kern w:val="0"/>
                <w:sz w:val="24"/>
                <w:szCs w:val="20"/>
                <w:lang w:val="en-US" w:eastAsia="zh-CN" w:bidi="en-US"/>
              </w:rPr>
            </w:pPr>
            <w:r>
              <w:rPr>
                <w:rFonts w:hint="default" w:ascii="Times New Roman" w:hAnsi="Times New Roman" w:eastAsia="宋体" w:cs="Times New Roman"/>
                <w:snapToGrid w:val="0"/>
                <w:color w:val="auto"/>
                <w:kern w:val="0"/>
                <w:sz w:val="24"/>
                <w:szCs w:val="20"/>
                <w:lang w:val="en-US" w:eastAsia="zh-CN" w:bidi="en-US"/>
              </w:rPr>
              <w:t>△</w:t>
            </w:r>
            <w:r>
              <w:rPr>
                <w:rFonts w:hint="eastAsia" w:ascii="Times New Roman" w:hAnsi="Times New Roman" w:eastAsia="宋体" w:cs="Times New Roman"/>
                <w:snapToGrid w:val="0"/>
                <w:color w:val="auto"/>
                <w:kern w:val="0"/>
                <w:sz w:val="24"/>
                <w:szCs w:val="20"/>
                <w:lang w:val="en-US" w:eastAsia="zh-CN" w:bidi="en-US"/>
              </w:rPr>
              <w:t>t-循环冷却水进、出水温差，</w:t>
            </w:r>
            <w:r>
              <w:rPr>
                <w:rFonts w:hint="default" w:ascii="Times New Roman" w:hAnsi="Times New Roman" w:eastAsia="宋体" w:cs="Times New Roman"/>
                <w:snapToGrid w:val="0"/>
                <w:color w:val="auto"/>
                <w:kern w:val="0"/>
                <w:sz w:val="24"/>
                <w:szCs w:val="20"/>
                <w:lang w:val="en-US" w:eastAsia="zh-CN" w:bidi="en-US"/>
              </w:rPr>
              <w:t>℃</w:t>
            </w:r>
          </w:p>
          <w:p w14:paraId="1177034F">
            <w:pPr>
              <w:widowControl/>
              <w:tabs>
                <w:tab w:val="left" w:pos="4584"/>
              </w:tabs>
              <w:adjustRightInd w:val="0"/>
              <w:snapToGrid w:val="0"/>
              <w:spacing w:line="360" w:lineRule="auto"/>
              <w:ind w:firstLine="1200" w:firstLineChars="500"/>
              <w:jc w:val="both"/>
              <w:rPr>
                <w:rFonts w:hint="default" w:ascii="Times New Roman" w:hAnsi="Times New Roman" w:eastAsia="宋体" w:cs="Times New Roman"/>
                <w:snapToGrid w:val="0"/>
                <w:color w:val="auto"/>
                <w:kern w:val="0"/>
                <w:sz w:val="24"/>
                <w:szCs w:val="20"/>
                <w:lang w:val="en-US" w:eastAsia="zh-CN" w:bidi="en-US"/>
              </w:rPr>
            </w:pPr>
            <w:r>
              <w:rPr>
                <w:rFonts w:hint="eastAsia" w:ascii="Times New Roman" w:hAnsi="Times New Roman" w:eastAsia="宋体" w:cs="Times New Roman"/>
                <w:snapToGrid w:val="0"/>
                <w:color w:val="auto"/>
                <w:kern w:val="0"/>
                <w:sz w:val="24"/>
                <w:szCs w:val="20"/>
                <w:lang w:val="en-US" w:eastAsia="zh-CN" w:bidi="en-US"/>
              </w:rPr>
              <w:t>Qr-循环水循环量，m</w:t>
            </w:r>
            <w:r>
              <w:rPr>
                <w:rFonts w:hint="eastAsia" w:ascii="Times New Roman" w:hAnsi="Times New Roman" w:eastAsia="宋体" w:cs="Times New Roman"/>
                <w:snapToGrid w:val="0"/>
                <w:color w:val="auto"/>
                <w:kern w:val="0"/>
                <w:sz w:val="24"/>
                <w:szCs w:val="20"/>
                <w:vertAlign w:val="superscript"/>
                <w:lang w:val="en-US" w:eastAsia="zh-CN" w:bidi="en-US"/>
              </w:rPr>
              <w:t>3</w:t>
            </w:r>
            <w:r>
              <w:rPr>
                <w:rFonts w:hint="eastAsia" w:ascii="Times New Roman" w:hAnsi="Times New Roman" w:eastAsia="宋体" w:cs="Times New Roman"/>
                <w:snapToGrid w:val="0"/>
                <w:color w:val="auto"/>
                <w:kern w:val="0"/>
                <w:sz w:val="24"/>
                <w:szCs w:val="20"/>
                <w:lang w:val="en-US" w:eastAsia="zh-CN" w:bidi="en-US"/>
              </w:rPr>
              <w:t>/h。</w:t>
            </w:r>
          </w:p>
          <w:p w14:paraId="72FD1DC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baseline"/>
              <w:rPr>
                <w:rFonts w:hint="default" w:ascii="Times New Roman" w:hAnsi="Times New Roman" w:cs="Times New Roman"/>
                <w:color w:val="auto"/>
                <w:sz w:val="24"/>
                <w:lang w:val="en-US" w:eastAsia="zh-CN"/>
              </w:rPr>
            </w:pPr>
            <w:r>
              <w:rPr>
                <w:rFonts w:hint="eastAsia" w:ascii="Times New Roman" w:hAnsi="Times New Roman" w:eastAsia="宋体" w:cs="Times New Roman"/>
                <w:color w:val="auto"/>
                <w:sz w:val="24"/>
                <w:szCs w:val="24"/>
                <w:lang w:eastAsia="zh-CN"/>
              </w:rPr>
              <w:t>经计算，本项目强制排污水量为</w:t>
            </w:r>
            <w:r>
              <w:rPr>
                <w:rFonts w:hint="eastAsia" w:ascii="Times New Roman" w:hAnsi="Times New Roman" w:eastAsia="宋体" w:cs="Times New Roman"/>
                <w:color w:val="auto"/>
                <w:sz w:val="24"/>
                <w:szCs w:val="24"/>
                <w:lang w:val="en-US" w:eastAsia="zh-CN"/>
              </w:rPr>
              <w:t>0.0</w:t>
            </w:r>
            <w:r>
              <w:rPr>
                <w:rFonts w:hint="eastAsia" w:cs="Times New Roman"/>
                <w:color w:val="auto"/>
                <w:sz w:val="24"/>
                <w:szCs w:val="24"/>
                <w:lang w:val="en-US" w:eastAsia="zh-CN"/>
              </w:rPr>
              <w:t>02</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/h，风吹损失水量为</w:t>
            </w:r>
            <w:r>
              <w:rPr>
                <w:rFonts w:hint="eastAsia" w:ascii="Times New Roman" w:hAnsi="Times New Roman" w:eastAsia="宋体" w:cs="Times New Roman"/>
                <w:color w:val="auto"/>
                <w:sz w:val="24"/>
                <w:szCs w:val="24"/>
                <w:lang w:val="en-US" w:eastAsia="zh-CN"/>
              </w:rPr>
              <w:t>0.00</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/h，循环水蒸发量为</w:t>
            </w:r>
            <w:r>
              <w:rPr>
                <w:rFonts w:hint="eastAsia" w:ascii="Times New Roman" w:hAnsi="Times New Roman" w:eastAsia="宋体" w:cs="Times New Roman"/>
                <w:color w:val="auto"/>
                <w:sz w:val="24"/>
                <w:szCs w:val="24"/>
                <w:lang w:val="en-US" w:eastAsia="zh-CN"/>
              </w:rPr>
              <w:t>0.</w:t>
            </w:r>
            <w:r>
              <w:rPr>
                <w:rFonts w:hint="eastAsia" w:cs="Times New Roman"/>
                <w:color w:val="auto"/>
                <w:sz w:val="24"/>
                <w:szCs w:val="24"/>
                <w:lang w:val="en-US" w:eastAsia="zh-CN"/>
              </w:rPr>
              <w:t>005</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/h。本项目循环水系统补充水量应包含其排水量、风吹损失水量和循环蒸发水量，则本项目循环冷却补充水量为</w:t>
            </w:r>
            <w:r>
              <w:rPr>
                <w:rFonts w:hint="eastAsia" w:cs="Times New Roman"/>
                <w:color w:val="auto"/>
                <w:sz w:val="24"/>
                <w:szCs w:val="24"/>
                <w:lang w:val="en-US" w:eastAsia="zh-CN"/>
              </w:rPr>
              <w:t>0.007</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w:t>
            </w:r>
            <w:r>
              <w:rPr>
                <w:rFonts w:hint="eastAsia" w:cs="Times New Roman"/>
                <w:color w:val="auto"/>
                <w:sz w:val="24"/>
                <w:szCs w:val="24"/>
                <w:lang w:val="en-US" w:eastAsia="zh-CN"/>
              </w:rPr>
              <w:t>0.06</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/d，</w:t>
            </w:r>
            <w:r>
              <w:rPr>
                <w:rFonts w:hint="eastAsia" w:cs="Times New Roman"/>
                <w:color w:val="auto"/>
                <w:sz w:val="24"/>
                <w:szCs w:val="24"/>
                <w:lang w:val="en-US" w:eastAsia="zh-CN"/>
              </w:rPr>
              <w:t>8.88</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/a），全部</w:t>
            </w:r>
            <w:r>
              <w:rPr>
                <w:rFonts w:hint="eastAsia" w:ascii="Times New Roman" w:hAnsi="Times New Roman" w:eastAsia="宋体" w:cs="Times New Roman"/>
                <w:color w:val="auto"/>
                <w:sz w:val="24"/>
                <w:szCs w:val="24"/>
                <w:lang w:val="en-US" w:eastAsia="zh-CN"/>
              </w:rPr>
              <w:t>使用</w:t>
            </w:r>
            <w:r>
              <w:rPr>
                <w:rFonts w:hint="eastAsia" w:ascii="Times New Roman" w:hAnsi="Times New Roman" w:eastAsia="宋体" w:cs="Times New Roman"/>
                <w:color w:val="auto"/>
                <w:sz w:val="24"/>
                <w:szCs w:val="24"/>
                <w:lang w:eastAsia="zh-CN"/>
              </w:rPr>
              <w:t>新鲜水。</w:t>
            </w:r>
          </w:p>
          <w:p w14:paraId="5DAA9B28">
            <w:pPr>
              <w:pStyle w:val="88"/>
              <w:adjustRightInd/>
              <w:spacing w:line="360" w:lineRule="auto"/>
              <w:ind w:firstLine="480" w:firstLineChars="200"/>
              <w:jc w:val="both"/>
              <w:rPr>
                <w:rFonts w:ascii="Times New Roman" w:hAnsi="Times New Roman"/>
                <w:color w:val="auto"/>
                <w:lang w:val="en-US"/>
              </w:rPr>
            </w:pPr>
            <w:r>
              <w:rPr>
                <w:rFonts w:hint="eastAsia" w:ascii="Times New Roman" w:hAnsi="Times New Roman"/>
                <w:color w:val="auto"/>
                <w:lang w:val="en-US" w:eastAsia="zh-CN"/>
              </w:rPr>
              <w:t>生活用水：一期</w:t>
            </w:r>
            <w:r>
              <w:rPr>
                <w:rFonts w:ascii="Times New Roman" w:hAnsi="Times New Roman"/>
                <w:color w:val="auto"/>
                <w:lang w:val="en-US"/>
              </w:rPr>
              <w:t>劳动定员</w:t>
            </w:r>
            <w:r>
              <w:rPr>
                <w:rFonts w:hint="eastAsia" w:ascii="Times New Roman" w:hAnsi="Times New Roman"/>
                <w:color w:val="auto"/>
                <w:lang w:val="en-US"/>
              </w:rPr>
              <w:t>为</w:t>
            </w:r>
            <w:r>
              <w:rPr>
                <w:rFonts w:hint="eastAsia" w:ascii="Times New Roman" w:hAnsi="Times New Roman"/>
                <w:color w:val="auto"/>
                <w:lang w:val="en-US" w:eastAsia="zh-CN"/>
              </w:rPr>
              <w:t>10人</w:t>
            </w:r>
            <w:r>
              <w:rPr>
                <w:rFonts w:ascii="Times New Roman" w:hAnsi="Times New Roman"/>
                <w:color w:val="auto"/>
                <w:lang w:val="en-US"/>
              </w:rPr>
              <w:t>，年工作</w:t>
            </w:r>
            <w:r>
              <w:rPr>
                <w:rFonts w:hint="eastAsia" w:ascii="Times New Roman" w:hAnsi="Times New Roman"/>
                <w:color w:val="auto"/>
                <w:lang w:val="en-US" w:eastAsia="zh-CN"/>
              </w:rPr>
              <w:t>150</w:t>
            </w:r>
            <w:r>
              <w:rPr>
                <w:rFonts w:ascii="Times New Roman" w:hAnsi="Times New Roman"/>
                <w:color w:val="auto"/>
                <w:lang w:val="en-US"/>
              </w:rPr>
              <w:t>d，</w:t>
            </w:r>
            <w:r>
              <w:rPr>
                <w:rFonts w:hint="eastAsia" w:ascii="Times New Roman" w:hAnsi="Times New Roman"/>
                <w:color w:val="auto"/>
                <w:lang w:val="en-US" w:eastAsia="zh-CN"/>
              </w:rPr>
              <w:t>每天工作8小时，</w:t>
            </w:r>
            <w:r>
              <w:rPr>
                <w:rFonts w:hint="eastAsia" w:ascii="Times New Roman" w:hAnsi="Times New Roman"/>
                <w:color w:val="auto"/>
                <w:lang w:val="en-US"/>
              </w:rPr>
              <w:t>参照《宁夏回族自治区水利厅</w:t>
            </w:r>
            <w:r>
              <w:rPr>
                <w:rFonts w:hint="eastAsia" w:ascii="Times New Roman" w:hAnsi="Times New Roman"/>
                <w:color w:val="auto"/>
                <w:lang w:val="en-US" w:eastAsia="zh-CN"/>
              </w:rPr>
              <w:t xml:space="preserve"> 宁夏回族自治区市场监督管理厅关于印发宁夏回族自治区有关行业用水定额（修订）的通知</w:t>
            </w:r>
            <w:r>
              <w:rPr>
                <w:rFonts w:hint="eastAsia" w:ascii="Times New Roman" w:hAnsi="Times New Roman"/>
                <w:color w:val="auto"/>
                <w:lang w:val="en-US"/>
              </w:rPr>
              <w:t>（宁</w:t>
            </w:r>
            <w:r>
              <w:rPr>
                <w:rFonts w:hint="eastAsia" w:ascii="Times New Roman" w:hAnsi="Times New Roman"/>
                <w:color w:val="auto"/>
                <w:lang w:val="en-US" w:eastAsia="zh-CN"/>
              </w:rPr>
              <w:t>水节供发</w:t>
            </w:r>
            <w:r>
              <w:rPr>
                <w:rFonts w:hint="eastAsia" w:ascii="Times New Roman" w:hAnsi="Times New Roman"/>
                <w:color w:val="auto"/>
                <w:lang w:val="en-US"/>
              </w:rPr>
              <w:t>〔202</w:t>
            </w:r>
            <w:r>
              <w:rPr>
                <w:rFonts w:hint="eastAsia" w:ascii="Times New Roman" w:hAnsi="Times New Roman"/>
                <w:color w:val="auto"/>
                <w:lang w:val="en-US" w:eastAsia="zh-CN"/>
              </w:rPr>
              <w:t>5</w:t>
            </w:r>
            <w:r>
              <w:rPr>
                <w:rFonts w:hint="eastAsia" w:ascii="Times New Roman" w:hAnsi="Times New Roman"/>
                <w:color w:val="auto"/>
                <w:lang w:val="en-US"/>
              </w:rPr>
              <w:t>〕</w:t>
            </w:r>
            <w:r>
              <w:rPr>
                <w:rFonts w:hint="eastAsia" w:ascii="Times New Roman" w:hAnsi="Times New Roman"/>
                <w:color w:val="auto"/>
                <w:lang w:val="en-US" w:eastAsia="zh-CN"/>
              </w:rPr>
              <w:t>11</w:t>
            </w:r>
            <w:r>
              <w:rPr>
                <w:rFonts w:hint="eastAsia" w:ascii="Times New Roman" w:hAnsi="Times New Roman"/>
                <w:color w:val="auto"/>
                <w:lang w:val="en-US"/>
              </w:rPr>
              <w:t>号）中</w:t>
            </w:r>
            <w:r>
              <w:rPr>
                <w:rFonts w:hint="eastAsia" w:ascii="Times New Roman" w:hAnsi="Times New Roman"/>
                <w:color w:val="auto"/>
                <w:lang w:val="en-US" w:eastAsia="zh-CN"/>
              </w:rPr>
              <w:t>“二</w:t>
            </w:r>
            <w:r>
              <w:rPr>
                <w:rFonts w:hint="eastAsia" w:ascii="Times New Roman" w:hAnsi="Times New Roman"/>
                <w:color w:val="auto"/>
                <w:lang w:val="en-US"/>
              </w:rPr>
              <w:t>类地区城镇居民家庭生活用水</w:t>
            </w:r>
            <w:r>
              <w:rPr>
                <w:rFonts w:hint="eastAsia" w:ascii="Times New Roman" w:hAnsi="Times New Roman"/>
                <w:color w:val="auto"/>
                <w:lang w:val="en-US" w:eastAsia="zh-CN"/>
              </w:rPr>
              <w:t>-平房及简易楼房”</w:t>
            </w:r>
            <w:r>
              <w:rPr>
                <w:rFonts w:hint="eastAsia" w:ascii="Times New Roman" w:hAnsi="Times New Roman"/>
                <w:color w:val="auto"/>
                <w:lang w:val="en-US"/>
              </w:rPr>
              <w:t>，即按</w:t>
            </w:r>
            <w:r>
              <w:rPr>
                <w:rFonts w:hint="eastAsia" w:ascii="Times New Roman" w:hAnsi="Times New Roman" w:cs="Times New Roman"/>
                <w:color w:val="auto"/>
                <w:lang w:val="en-US" w:eastAsia="zh-CN"/>
              </w:rPr>
              <w:t>100</w:t>
            </w:r>
            <w:r>
              <w:rPr>
                <w:rFonts w:hint="default" w:ascii="Times New Roman" w:hAnsi="Times New Roman" w:cs="Times New Roman"/>
                <w:color w:val="auto"/>
                <w:lang w:val="en-US"/>
              </w:rPr>
              <w:t>L/人·d</w:t>
            </w:r>
            <w:r>
              <w:rPr>
                <w:rFonts w:hint="eastAsia" w:ascii="Times New Roman" w:hAnsi="Times New Roman"/>
                <w:color w:val="auto"/>
                <w:lang w:val="en-US"/>
              </w:rPr>
              <w:t>计，则本项目</w:t>
            </w:r>
            <w:r>
              <w:rPr>
                <w:rFonts w:hint="eastAsia" w:ascii="Times New Roman" w:hAnsi="Times New Roman"/>
                <w:color w:val="auto"/>
                <w:lang w:val="en-US" w:eastAsia="zh-CN"/>
              </w:rPr>
              <w:t>一期</w:t>
            </w:r>
            <w:r>
              <w:rPr>
                <w:rFonts w:hint="eastAsia" w:ascii="Times New Roman" w:hAnsi="Times New Roman"/>
                <w:color w:val="auto"/>
                <w:lang w:val="en-US"/>
              </w:rPr>
              <w:t>员工生活用水量为</w:t>
            </w:r>
            <w:r>
              <w:rPr>
                <w:rFonts w:hint="eastAsia" w:ascii="Times New Roman" w:hAnsi="Times New Roman"/>
                <w:color w:val="auto"/>
                <w:lang w:val="en-US" w:eastAsia="zh-CN"/>
              </w:rPr>
              <w:t>1.0</w:t>
            </w:r>
            <w:r>
              <w:rPr>
                <w:rFonts w:hint="eastAsia" w:ascii="Times New Roman" w:hAnsi="Times New Roman"/>
                <w:color w:val="auto"/>
                <w:lang w:val="en-US"/>
              </w:rPr>
              <w:t>m</w:t>
            </w:r>
            <w:r>
              <w:rPr>
                <w:rFonts w:hint="eastAsia" w:ascii="Times New Roman" w:hAnsi="Times New Roman"/>
                <w:color w:val="auto"/>
                <w:vertAlign w:val="superscript"/>
                <w:lang w:val="en-US"/>
              </w:rPr>
              <w:t>3</w:t>
            </w:r>
            <w:r>
              <w:rPr>
                <w:rFonts w:hint="eastAsia" w:ascii="Times New Roman" w:hAnsi="Times New Roman"/>
                <w:color w:val="auto"/>
                <w:lang w:val="en-US"/>
              </w:rPr>
              <w:t>/d（</w:t>
            </w:r>
            <w:r>
              <w:rPr>
                <w:rFonts w:hint="eastAsia" w:ascii="Times New Roman" w:hAnsi="Times New Roman"/>
                <w:color w:val="auto"/>
                <w:lang w:val="en-US" w:eastAsia="zh-CN"/>
              </w:rPr>
              <w:t>150</w:t>
            </w:r>
            <w:r>
              <w:rPr>
                <w:rFonts w:hint="eastAsia" w:ascii="Times New Roman" w:hAnsi="Times New Roman"/>
                <w:color w:val="auto"/>
                <w:lang w:val="en-US"/>
              </w:rPr>
              <w:t>m</w:t>
            </w:r>
            <w:r>
              <w:rPr>
                <w:rFonts w:hint="eastAsia" w:ascii="Times New Roman" w:hAnsi="Times New Roman"/>
                <w:color w:val="auto"/>
                <w:vertAlign w:val="superscript"/>
                <w:lang w:val="en-US"/>
              </w:rPr>
              <w:t>3</w:t>
            </w:r>
            <w:r>
              <w:rPr>
                <w:rFonts w:hint="eastAsia" w:ascii="Times New Roman" w:hAnsi="Times New Roman"/>
                <w:color w:val="auto"/>
                <w:lang w:val="en-US"/>
              </w:rPr>
              <w:t>/a）。</w:t>
            </w:r>
          </w:p>
          <w:p w14:paraId="5D69D8D2">
            <w:pPr>
              <w:pStyle w:val="88"/>
              <w:adjustRightInd/>
              <w:spacing w:line="360" w:lineRule="auto"/>
              <w:ind w:firstLine="480" w:firstLineChars="200"/>
              <w:jc w:val="both"/>
              <w:rPr>
                <w:rFonts w:ascii="Times New Roman" w:hAnsi="Times New Roman"/>
                <w:color w:val="auto"/>
                <w:lang w:val="en-US"/>
              </w:rPr>
            </w:pPr>
            <w:r>
              <w:rPr>
                <w:rFonts w:hint="eastAsia" w:ascii="Times New Roman" w:hAnsi="Times New Roman"/>
                <w:color w:val="auto"/>
                <w:lang w:val="en-US" w:eastAsia="zh-CN"/>
              </w:rPr>
              <w:t>②</w:t>
            </w:r>
            <w:r>
              <w:rPr>
                <w:rFonts w:ascii="Times New Roman" w:hAnsi="Times New Roman"/>
                <w:color w:val="auto"/>
                <w:lang w:val="en-US"/>
              </w:rPr>
              <w:t>排水</w:t>
            </w:r>
          </w:p>
          <w:p w14:paraId="7BF12A65">
            <w:pPr>
              <w:pStyle w:val="88"/>
              <w:adjustRightInd/>
              <w:spacing w:line="360" w:lineRule="auto"/>
              <w:ind w:firstLine="480" w:firstLineChars="200"/>
              <w:jc w:val="both"/>
              <w:rPr>
                <w:rFonts w:hint="default" w:ascii="Times New Roman" w:hAnsi="Times New Roman" w:cs="Times New Roman"/>
                <w:color w:val="auto"/>
                <w:highlight w:val="none"/>
                <w:lang w:val="en-US" w:eastAsia="zh-CN"/>
              </w:rPr>
            </w:pPr>
            <w:r>
              <w:rPr>
                <w:rFonts w:hint="eastAsia" w:ascii="Times New Roman" w:hAnsi="Times New Roman" w:cs="Times New Roman"/>
                <w:color w:val="auto"/>
                <w:lang w:val="en-US" w:eastAsia="zh-CN"/>
              </w:rPr>
              <w:t>本项目产生的</w:t>
            </w:r>
            <w:r>
              <w:rPr>
                <w:rFonts w:hint="default" w:ascii="Times New Roman" w:hAnsi="Times New Roman" w:cs="Times New Roman"/>
                <w:color w:val="auto"/>
                <w:lang w:val="en-US" w:eastAsia="zh-CN"/>
              </w:rPr>
              <w:t>废水主要为</w:t>
            </w:r>
            <w:r>
              <w:rPr>
                <w:rFonts w:hint="default" w:ascii="Times New Roman" w:hAnsi="Times New Roman" w:cs="Times New Roman"/>
                <w:color w:val="auto"/>
                <w:sz w:val="24"/>
                <w:lang w:val="en-US" w:eastAsia="zh-CN"/>
              </w:rPr>
              <w:t>循环冷却系统排水及生活污水，</w:t>
            </w:r>
            <w:r>
              <w:rPr>
                <w:rFonts w:hint="default" w:ascii="Times New Roman" w:hAnsi="Times New Roman" w:cs="Times New Roman"/>
                <w:color w:val="auto"/>
                <w:sz w:val="24"/>
                <w:highlight w:val="none"/>
                <w:lang w:val="en-US" w:eastAsia="zh-CN"/>
              </w:rPr>
              <w:t>废水产生总量为</w:t>
            </w:r>
            <w:r>
              <w:rPr>
                <w:rFonts w:hint="eastAsia" w:ascii="Times New Roman" w:hAnsi="Times New Roman" w:cs="Times New Roman"/>
                <w:color w:val="auto"/>
                <w:sz w:val="24"/>
                <w:highlight w:val="none"/>
                <w:lang w:val="en-US" w:eastAsia="zh-CN"/>
              </w:rPr>
              <w:t>0.816</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d（</w:t>
            </w:r>
            <w:r>
              <w:rPr>
                <w:rFonts w:hint="eastAsia" w:ascii="Times New Roman" w:hAnsi="Times New Roman" w:cs="Times New Roman"/>
                <w:color w:val="auto"/>
                <w:sz w:val="24"/>
                <w:highlight w:val="none"/>
                <w:lang w:val="en-US" w:eastAsia="zh-CN"/>
              </w:rPr>
              <w:t>122.4</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a）</w:t>
            </w:r>
            <w:r>
              <w:rPr>
                <w:rFonts w:hint="eastAsia" w:ascii="Times New Roman" w:hAnsi="Times New Roman" w:cs="Times New Roman"/>
                <w:color w:val="auto"/>
                <w:sz w:val="24"/>
                <w:highlight w:val="none"/>
                <w:lang w:val="en-US" w:eastAsia="zh-CN"/>
              </w:rPr>
              <w:t>。</w:t>
            </w:r>
          </w:p>
          <w:p w14:paraId="1474A38B">
            <w:pPr>
              <w:adjustRightInd w:val="0"/>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循环冷却系统排水</w:t>
            </w:r>
            <w:r>
              <w:rPr>
                <w:rFonts w:hint="eastAsia" w:ascii="宋体" w:hAnsi="宋体" w:cs="宋体"/>
                <w:color w:val="auto"/>
                <w:kern w:val="0"/>
                <w:sz w:val="24"/>
                <w:lang w:eastAsia="zh-CN"/>
              </w:rPr>
              <w:t>：</w:t>
            </w:r>
            <w:r>
              <w:rPr>
                <w:rFonts w:hint="eastAsia" w:ascii="Times New Roman" w:hAnsi="Times New Roman" w:eastAsia="宋体" w:cs="Times New Roman"/>
                <w:bCs/>
                <w:color w:val="auto"/>
                <w:sz w:val="24"/>
                <w:lang w:val="en-US" w:eastAsia="zh-CN"/>
              </w:rPr>
              <w:t>为了保证循环水的水质，需要定期更换新鲜水，根据计算，循环水系统排水量为</w:t>
            </w:r>
            <w:r>
              <w:rPr>
                <w:rFonts w:hint="eastAsia" w:cs="Times New Roman"/>
                <w:bCs/>
                <w:color w:val="auto"/>
                <w:sz w:val="24"/>
                <w:lang w:val="en-US" w:eastAsia="zh-CN"/>
              </w:rPr>
              <w:t>0.002</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w:t>
            </w:r>
            <w:r>
              <w:rPr>
                <w:rFonts w:hint="eastAsia" w:ascii="Times New Roman" w:hAnsi="Times New Roman" w:eastAsia="宋体" w:cs="Times New Roman"/>
                <w:color w:val="auto"/>
                <w:kern w:val="0"/>
                <w:sz w:val="24"/>
                <w:lang w:val="en-US" w:eastAsia="zh-CN"/>
              </w:rPr>
              <w:t>0.</w:t>
            </w:r>
            <w:r>
              <w:rPr>
                <w:rFonts w:hint="eastAsia" w:cs="Times New Roman"/>
                <w:color w:val="auto"/>
                <w:kern w:val="0"/>
                <w:sz w:val="24"/>
                <w:lang w:val="en-US" w:eastAsia="zh-CN"/>
              </w:rPr>
              <w:t>016</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w:t>
            </w:r>
            <w:r>
              <w:rPr>
                <w:rFonts w:hint="eastAsia" w:ascii="Times New Roman" w:hAnsi="Times New Roman" w:eastAsia="宋体" w:cs="Times New Roman"/>
                <w:color w:val="auto"/>
                <w:kern w:val="0"/>
                <w:sz w:val="24"/>
                <w:lang w:eastAsia="zh-CN"/>
              </w:rPr>
              <w:t>，</w:t>
            </w:r>
            <w:r>
              <w:rPr>
                <w:rFonts w:hint="eastAsia" w:cs="Times New Roman"/>
                <w:color w:val="auto"/>
                <w:kern w:val="0"/>
                <w:sz w:val="24"/>
                <w:lang w:val="en-US" w:eastAsia="zh-CN"/>
              </w:rPr>
              <w:t>2.4</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/a</w:t>
            </w:r>
            <w:r>
              <w:rPr>
                <w:rFonts w:hint="eastAsia" w:ascii="Times New Roman" w:hAnsi="Times New Roman" w:eastAsia="宋体" w:cs="Times New Roman"/>
                <w:color w:val="auto"/>
                <w:sz w:val="24"/>
                <w:szCs w:val="24"/>
                <w:lang w:eastAsia="zh-CN"/>
              </w:rPr>
              <w:t>）。</w:t>
            </w:r>
          </w:p>
          <w:p w14:paraId="4E4FE1B5">
            <w:pPr>
              <w:pStyle w:val="88"/>
              <w:adjustRightInd/>
              <w:spacing w:line="360" w:lineRule="auto"/>
              <w:ind w:firstLine="480" w:firstLineChars="200"/>
              <w:jc w:val="both"/>
              <w:rPr>
                <w:rFonts w:hint="eastAsia" w:ascii="Times New Roman" w:hAnsi="Times New Roman" w:eastAsia="Sim Sun"/>
                <w:color w:val="auto"/>
                <w:lang w:val="en-US" w:eastAsia="zh-CN"/>
              </w:rPr>
            </w:pPr>
            <w:r>
              <w:rPr>
                <w:rFonts w:hint="eastAsia" w:ascii="Times New Roman" w:hAnsi="Times New Roman"/>
                <w:color w:val="auto"/>
                <w:lang w:val="en-US" w:eastAsia="zh-CN"/>
              </w:rPr>
              <w:t>生活污水：</w:t>
            </w:r>
            <w:r>
              <w:rPr>
                <w:rFonts w:hint="eastAsia" w:ascii="Times New Roman" w:hAnsi="Times New Roman" w:eastAsia="宋体" w:cs="Times New Roman"/>
                <w:color w:val="auto"/>
                <w:sz w:val="24"/>
                <w:lang w:val="en-US" w:eastAsia="zh-CN"/>
              </w:rPr>
              <w:t>本项目生活污水产生量按生活用水量的80%计，则一期生活污水产生量为0.8m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/d（120m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w:t>
            </w:r>
          </w:p>
          <w:p w14:paraId="11EF618B">
            <w:pPr>
              <w:pStyle w:val="88"/>
              <w:adjustRightInd/>
              <w:spacing w:line="360" w:lineRule="auto"/>
              <w:ind w:firstLine="480" w:firstLineChars="200"/>
              <w:jc w:val="both"/>
              <w:rPr>
                <w:rFonts w:ascii="Times New Roman" w:hAnsi="Times New Roman"/>
                <w:color w:val="auto"/>
                <w:lang w:val="en-US"/>
              </w:rPr>
            </w:pPr>
            <w:r>
              <w:rPr>
                <w:rFonts w:hint="eastAsia"/>
                <w:bCs/>
                <w:color w:val="auto"/>
                <w:sz w:val="24"/>
                <w:lang w:val="en-US" w:eastAsia="zh-CN"/>
              </w:rPr>
              <w:t>生活污水</w:t>
            </w:r>
            <w:r>
              <w:rPr>
                <w:rFonts w:hint="default"/>
                <w:bCs/>
                <w:color w:val="auto"/>
                <w:sz w:val="24"/>
                <w:lang w:val="en-US" w:eastAsia="zh-CN"/>
              </w:rPr>
              <w:t>经</w:t>
            </w:r>
            <w:r>
              <w:rPr>
                <w:rFonts w:hint="eastAsia"/>
                <w:bCs/>
                <w:color w:val="auto"/>
                <w:sz w:val="24"/>
                <w:lang w:val="en-US" w:eastAsia="zh-CN"/>
              </w:rPr>
              <w:t>厂区现有</w:t>
            </w:r>
            <w:r>
              <w:rPr>
                <w:rFonts w:hint="default"/>
                <w:bCs/>
                <w:color w:val="auto"/>
                <w:sz w:val="24"/>
                <w:lang w:val="en-US" w:eastAsia="zh-CN"/>
              </w:rPr>
              <w:t>化粪池处理后</w:t>
            </w:r>
            <w:r>
              <w:rPr>
                <w:rFonts w:hint="eastAsia"/>
                <w:bCs/>
                <w:color w:val="auto"/>
                <w:sz w:val="24"/>
                <w:lang w:val="en-US" w:eastAsia="zh-CN"/>
              </w:rPr>
              <w:t>汇同循环冷却系统排水排入园区污水管网，最终进入固原经济技术开发区新材料产业园污水处理厂进行处理</w:t>
            </w:r>
            <w:r>
              <w:rPr>
                <w:bCs/>
                <w:color w:val="auto"/>
                <w:sz w:val="24"/>
              </w:rPr>
              <w:t>。</w:t>
            </w:r>
          </w:p>
          <w:p w14:paraId="28A9A1D0">
            <w:pPr>
              <w:pStyle w:val="88"/>
              <w:adjustRightInd/>
              <w:spacing w:line="360" w:lineRule="auto"/>
              <w:ind w:firstLine="480" w:firstLineChars="200"/>
              <w:jc w:val="both"/>
              <w:rPr>
                <w:rFonts w:ascii="Times New Roman" w:hAnsi="Times New Roman"/>
                <w:color w:val="auto"/>
                <w:lang w:val="en-US"/>
              </w:rPr>
            </w:pPr>
            <w:r>
              <w:rPr>
                <w:rFonts w:ascii="Times New Roman" w:hAnsi="Times New Roman"/>
                <w:color w:val="auto"/>
                <w:lang w:val="en-US"/>
              </w:rPr>
              <w:t>本项目</w:t>
            </w:r>
            <w:r>
              <w:rPr>
                <w:rFonts w:hint="eastAsia" w:ascii="Times New Roman" w:hAnsi="Times New Roman"/>
                <w:color w:val="auto"/>
                <w:lang w:val="en-US" w:eastAsia="zh-CN"/>
              </w:rPr>
              <w:t>一期</w:t>
            </w:r>
            <w:r>
              <w:rPr>
                <w:rFonts w:ascii="Times New Roman" w:hAnsi="Times New Roman"/>
                <w:color w:val="auto"/>
                <w:lang w:val="en-US"/>
              </w:rPr>
              <w:t>给排水情况详见下表</w:t>
            </w:r>
            <w:r>
              <w:rPr>
                <w:rFonts w:hint="eastAsia" w:ascii="Times New Roman" w:hAnsi="Times New Roman"/>
                <w:color w:val="auto"/>
                <w:lang w:val="en-US" w:eastAsia="zh-CN"/>
              </w:rPr>
              <w:t>2-8</w:t>
            </w:r>
            <w:r>
              <w:rPr>
                <w:rFonts w:ascii="Times New Roman" w:hAnsi="Times New Roman"/>
                <w:color w:val="auto"/>
                <w:lang w:val="en-US"/>
              </w:rPr>
              <w:t>，水平衡图见下图2-1。</w:t>
            </w:r>
          </w:p>
          <w:p w14:paraId="6867716A">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cs="Times New Roman"/>
                <w:b/>
                <w:color w:val="auto"/>
                <w:sz w:val="21"/>
                <w:szCs w:val="21"/>
                <w:lang w:val="en-US"/>
              </w:rPr>
            </w:pPr>
            <w:r>
              <w:rPr>
                <w:rFonts w:cs="Times New Roman"/>
                <w:bCs/>
                <w:color w:val="auto"/>
                <w:sz w:val="21"/>
                <w:szCs w:val="21"/>
              </w:rPr>
              <w:t>表</w:t>
            </w:r>
            <w:r>
              <w:rPr>
                <w:rFonts w:hint="eastAsia" w:cs="Times New Roman"/>
                <w:bCs/>
                <w:color w:val="auto"/>
                <w:sz w:val="21"/>
                <w:szCs w:val="21"/>
                <w:lang w:val="en-US" w:eastAsia="zh-CN"/>
              </w:rPr>
              <w:t>2-8</w:t>
            </w:r>
            <w:r>
              <w:rPr>
                <w:rFonts w:cs="Times New Roman"/>
                <w:b/>
                <w:color w:val="auto"/>
                <w:sz w:val="21"/>
                <w:szCs w:val="21"/>
                <w:lang w:val="en-US"/>
              </w:rPr>
              <w:t xml:space="preserve">            </w:t>
            </w:r>
            <w:r>
              <w:rPr>
                <w:rFonts w:hint="eastAsia" w:cs="Times New Roman"/>
                <w:b/>
                <w:color w:val="auto"/>
                <w:sz w:val="21"/>
                <w:szCs w:val="21"/>
                <w:lang w:val="en-US"/>
              </w:rPr>
              <w:t xml:space="preserve">  </w:t>
            </w:r>
            <w:r>
              <w:rPr>
                <w:rFonts w:cs="Times New Roman"/>
                <w:b/>
                <w:color w:val="auto"/>
                <w:sz w:val="21"/>
                <w:szCs w:val="21"/>
                <w:lang w:val="en-US"/>
              </w:rPr>
              <w:t xml:space="preserve">   </w:t>
            </w:r>
            <w:r>
              <w:rPr>
                <w:rFonts w:hint="eastAsia" w:cs="Times New Roman"/>
                <w:b/>
                <w:color w:val="auto"/>
                <w:sz w:val="24"/>
                <w:szCs w:val="24"/>
                <w:lang w:val="en-US"/>
              </w:rPr>
              <w:t>本</w:t>
            </w:r>
            <w:r>
              <w:rPr>
                <w:rFonts w:cs="Times New Roman"/>
                <w:b/>
                <w:color w:val="auto"/>
                <w:sz w:val="24"/>
                <w:szCs w:val="24"/>
                <w:lang w:val="en-US"/>
              </w:rPr>
              <w:t>项目</w:t>
            </w:r>
            <w:r>
              <w:rPr>
                <w:rFonts w:hint="eastAsia" w:cs="Times New Roman"/>
                <w:b/>
                <w:color w:val="auto"/>
                <w:sz w:val="24"/>
                <w:szCs w:val="24"/>
                <w:lang w:val="en-US" w:eastAsia="zh-CN"/>
              </w:rPr>
              <w:t>一期</w:t>
            </w:r>
            <w:r>
              <w:rPr>
                <w:rFonts w:cs="Times New Roman"/>
                <w:b/>
                <w:color w:val="auto"/>
                <w:sz w:val="24"/>
                <w:szCs w:val="24"/>
                <w:lang w:val="en-US"/>
              </w:rPr>
              <w:t>给排水</w:t>
            </w:r>
            <w:r>
              <w:rPr>
                <w:rFonts w:hint="eastAsia" w:cs="Times New Roman"/>
                <w:b/>
                <w:color w:val="auto"/>
                <w:sz w:val="24"/>
                <w:szCs w:val="24"/>
                <w:lang w:val="en-US"/>
              </w:rPr>
              <w:t>情况</w:t>
            </w:r>
            <w:r>
              <w:rPr>
                <w:rFonts w:cs="Times New Roman"/>
                <w:b/>
                <w:color w:val="auto"/>
                <w:sz w:val="24"/>
                <w:szCs w:val="24"/>
                <w:lang w:val="en-US"/>
              </w:rPr>
              <w:t>一览表</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23"/>
              <w:gridCol w:w="856"/>
              <w:gridCol w:w="841"/>
              <w:gridCol w:w="734"/>
              <w:gridCol w:w="915"/>
              <w:gridCol w:w="796"/>
              <w:gridCol w:w="2195"/>
            </w:tblGrid>
            <w:tr w14:paraId="13E838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16" w:type="pct"/>
                  <w:vMerge w:val="restart"/>
                  <w:tcBorders>
                    <w:tl2br w:val="nil"/>
                    <w:tr2bl w:val="nil"/>
                  </w:tcBorders>
                  <w:noWrap w:val="0"/>
                  <w:vAlign w:val="center"/>
                </w:tcPr>
                <w:p w14:paraId="50B55760">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用水单元</w:t>
                  </w:r>
                </w:p>
              </w:tc>
              <w:tc>
                <w:tcPr>
                  <w:tcW w:w="1004" w:type="pct"/>
                  <w:gridSpan w:val="2"/>
                  <w:tcBorders>
                    <w:tl2br w:val="nil"/>
                    <w:tr2bl w:val="nil"/>
                  </w:tcBorders>
                  <w:noWrap w:val="0"/>
                  <w:vAlign w:val="center"/>
                </w:tcPr>
                <w:p w14:paraId="0A9990E0">
                  <w:pPr>
                    <w:autoSpaceDE/>
                    <w:adjustRightInd w:val="0"/>
                    <w:snapToGrid w:val="0"/>
                    <w:jc w:val="center"/>
                    <w:textAlignment w:val="center"/>
                    <w:rPr>
                      <w:rFonts w:hint="eastAsia" w:eastAsia="宋体" w:cs="Times New Roman"/>
                      <w:b/>
                      <w:color w:val="auto"/>
                      <w:sz w:val="21"/>
                      <w:szCs w:val="21"/>
                      <w:shd w:val="clear" w:color="auto" w:fill="FFFFFF"/>
                      <w:lang w:val="en-US" w:eastAsia="zh-CN"/>
                    </w:rPr>
                  </w:pPr>
                  <w:r>
                    <w:rPr>
                      <w:rFonts w:cs="Times New Roman"/>
                      <w:b/>
                      <w:color w:val="auto"/>
                      <w:sz w:val="21"/>
                      <w:szCs w:val="21"/>
                      <w:shd w:val="clear" w:color="auto" w:fill="FFFFFF"/>
                      <w:lang w:val="en-US"/>
                    </w:rPr>
                    <w:t>新鲜水</w:t>
                  </w:r>
                  <w:r>
                    <w:rPr>
                      <w:rFonts w:hint="eastAsia" w:cs="Times New Roman"/>
                      <w:b/>
                      <w:color w:val="auto"/>
                      <w:sz w:val="21"/>
                      <w:szCs w:val="21"/>
                      <w:shd w:val="clear" w:color="auto" w:fill="FFFFFF"/>
                      <w:lang w:val="en-US" w:eastAsia="zh-CN"/>
                    </w:rPr>
                    <w:t>量</w:t>
                  </w:r>
                </w:p>
              </w:tc>
              <w:tc>
                <w:tcPr>
                  <w:tcW w:w="942" w:type="pct"/>
                  <w:gridSpan w:val="2"/>
                  <w:tcBorders>
                    <w:tl2br w:val="nil"/>
                    <w:tr2bl w:val="nil"/>
                  </w:tcBorders>
                  <w:noWrap w:val="0"/>
                  <w:vAlign w:val="center"/>
                </w:tcPr>
                <w:p w14:paraId="695A6AF6">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损耗量</w:t>
                  </w:r>
                </w:p>
              </w:tc>
              <w:tc>
                <w:tcPr>
                  <w:tcW w:w="1023" w:type="pct"/>
                  <w:gridSpan w:val="2"/>
                  <w:tcBorders>
                    <w:tl2br w:val="nil"/>
                    <w:tr2bl w:val="nil"/>
                  </w:tcBorders>
                  <w:noWrap w:val="0"/>
                  <w:vAlign w:val="center"/>
                </w:tcPr>
                <w:p w14:paraId="603618CE">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废水产生量</w:t>
                  </w:r>
                </w:p>
              </w:tc>
              <w:tc>
                <w:tcPr>
                  <w:tcW w:w="1312" w:type="pct"/>
                  <w:vMerge w:val="restart"/>
                  <w:tcBorders>
                    <w:tl2br w:val="nil"/>
                    <w:tr2bl w:val="nil"/>
                  </w:tcBorders>
                  <w:noWrap w:val="0"/>
                  <w:vAlign w:val="center"/>
                </w:tcPr>
                <w:p w14:paraId="053E62D4">
                  <w:pPr>
                    <w:autoSpaceDE/>
                    <w:adjustRightInd w:val="0"/>
                    <w:snapToGrid w:val="0"/>
                    <w:jc w:val="center"/>
                    <w:textAlignment w:val="center"/>
                    <w:rPr>
                      <w:rFonts w:cs="Times New Roman"/>
                      <w:b/>
                      <w:color w:val="auto"/>
                      <w:sz w:val="21"/>
                      <w:szCs w:val="21"/>
                      <w:shd w:val="clear" w:color="auto" w:fill="FFFFFF"/>
                      <w:lang w:val="en-US"/>
                    </w:rPr>
                  </w:pPr>
                  <w:r>
                    <w:rPr>
                      <w:rFonts w:hint="eastAsia" w:cs="Times New Roman"/>
                      <w:b/>
                      <w:color w:val="auto"/>
                      <w:sz w:val="21"/>
                      <w:szCs w:val="21"/>
                      <w:shd w:val="clear" w:color="auto" w:fill="FFFFFF"/>
                      <w:lang w:val="en-US"/>
                    </w:rPr>
                    <w:t>备注</w:t>
                  </w:r>
                </w:p>
              </w:tc>
            </w:tr>
            <w:tr w14:paraId="5E9AB1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vMerge w:val="continue"/>
                  <w:tcBorders>
                    <w:tl2br w:val="nil"/>
                    <w:tr2bl w:val="nil"/>
                  </w:tcBorders>
                  <w:noWrap w:val="0"/>
                  <w:vAlign w:val="center"/>
                </w:tcPr>
                <w:p w14:paraId="4301639D">
                  <w:pPr>
                    <w:autoSpaceDE/>
                    <w:adjustRightInd w:val="0"/>
                    <w:snapToGrid w:val="0"/>
                    <w:jc w:val="center"/>
                    <w:textAlignment w:val="center"/>
                    <w:rPr>
                      <w:rFonts w:cs="Times New Roman"/>
                      <w:b/>
                      <w:color w:val="auto"/>
                      <w:sz w:val="21"/>
                      <w:szCs w:val="21"/>
                      <w:shd w:val="clear" w:color="auto" w:fill="FFFFFF"/>
                      <w:lang w:val="en-US"/>
                    </w:rPr>
                  </w:pPr>
                </w:p>
              </w:tc>
              <w:tc>
                <w:tcPr>
                  <w:tcW w:w="492" w:type="pct"/>
                  <w:tcBorders>
                    <w:tl2br w:val="nil"/>
                    <w:tr2bl w:val="nil"/>
                  </w:tcBorders>
                  <w:noWrap w:val="0"/>
                  <w:vAlign w:val="center"/>
                </w:tcPr>
                <w:p w14:paraId="1A8ACE04">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/d</w:t>
                  </w:r>
                </w:p>
              </w:tc>
              <w:tc>
                <w:tcPr>
                  <w:tcW w:w="512" w:type="pct"/>
                  <w:tcBorders>
                    <w:tl2br w:val="nil"/>
                    <w:tr2bl w:val="nil"/>
                  </w:tcBorders>
                  <w:noWrap w:val="0"/>
                  <w:vAlign w:val="center"/>
                </w:tcPr>
                <w:p w14:paraId="1FB9C30C">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/a</w:t>
                  </w:r>
                </w:p>
              </w:tc>
              <w:tc>
                <w:tcPr>
                  <w:tcW w:w="503" w:type="pct"/>
                  <w:tcBorders>
                    <w:tl2br w:val="nil"/>
                    <w:tr2bl w:val="nil"/>
                  </w:tcBorders>
                  <w:noWrap w:val="0"/>
                  <w:vAlign w:val="center"/>
                </w:tcPr>
                <w:p w14:paraId="1A347D36">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/d</w:t>
                  </w:r>
                </w:p>
              </w:tc>
              <w:tc>
                <w:tcPr>
                  <w:tcW w:w="439" w:type="pct"/>
                  <w:tcBorders>
                    <w:tl2br w:val="nil"/>
                    <w:tr2bl w:val="nil"/>
                  </w:tcBorders>
                  <w:noWrap w:val="0"/>
                  <w:vAlign w:val="center"/>
                </w:tcPr>
                <w:p w14:paraId="76855C83">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/a</w:t>
                  </w:r>
                </w:p>
              </w:tc>
              <w:tc>
                <w:tcPr>
                  <w:tcW w:w="547" w:type="pct"/>
                  <w:tcBorders>
                    <w:tl2br w:val="nil"/>
                    <w:tr2bl w:val="nil"/>
                  </w:tcBorders>
                  <w:noWrap w:val="0"/>
                  <w:vAlign w:val="center"/>
                </w:tcPr>
                <w:p w14:paraId="61705227">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/d</w:t>
                  </w:r>
                </w:p>
              </w:tc>
              <w:tc>
                <w:tcPr>
                  <w:tcW w:w="476" w:type="pct"/>
                  <w:tcBorders>
                    <w:tl2br w:val="nil"/>
                    <w:tr2bl w:val="nil"/>
                  </w:tcBorders>
                  <w:noWrap w:val="0"/>
                  <w:vAlign w:val="center"/>
                </w:tcPr>
                <w:p w14:paraId="48902C17">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/a</w:t>
                  </w:r>
                </w:p>
              </w:tc>
              <w:tc>
                <w:tcPr>
                  <w:tcW w:w="1312" w:type="pct"/>
                  <w:vMerge w:val="continue"/>
                  <w:tcBorders>
                    <w:tl2br w:val="nil"/>
                    <w:tr2bl w:val="nil"/>
                  </w:tcBorders>
                  <w:noWrap w:val="0"/>
                  <w:vAlign w:val="center"/>
                </w:tcPr>
                <w:p w14:paraId="0D1813DF">
                  <w:pPr>
                    <w:autoSpaceDE/>
                    <w:adjustRightInd w:val="0"/>
                    <w:snapToGrid w:val="0"/>
                    <w:jc w:val="center"/>
                    <w:textAlignment w:val="center"/>
                    <w:rPr>
                      <w:rFonts w:cs="Times New Roman"/>
                      <w:b/>
                      <w:color w:val="auto"/>
                      <w:sz w:val="21"/>
                      <w:szCs w:val="21"/>
                      <w:shd w:val="clear" w:color="auto" w:fill="FFFFFF"/>
                      <w:lang w:val="en-US"/>
                    </w:rPr>
                  </w:pPr>
                </w:p>
              </w:tc>
            </w:tr>
            <w:tr w14:paraId="64FF6D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tcBorders>
                    <w:tl2br w:val="nil"/>
                    <w:tr2bl w:val="nil"/>
                  </w:tcBorders>
                  <w:noWrap w:val="0"/>
                  <w:vAlign w:val="center"/>
                </w:tcPr>
                <w:p w14:paraId="58723C76">
                  <w:pPr>
                    <w:autoSpaceDE/>
                    <w:adjustRightInd w:val="0"/>
                    <w:snapToGrid w:val="0"/>
                    <w:jc w:val="center"/>
                    <w:textAlignment w:val="center"/>
                    <w:rPr>
                      <w:rFonts w:cs="Times New Roman"/>
                      <w:color w:val="auto"/>
                      <w:sz w:val="21"/>
                      <w:szCs w:val="21"/>
                      <w:lang w:val="en-US"/>
                    </w:rPr>
                  </w:pPr>
                  <w:r>
                    <w:rPr>
                      <w:rFonts w:hint="eastAsia" w:cs="Times New Roman"/>
                      <w:color w:val="auto"/>
                      <w:sz w:val="21"/>
                      <w:szCs w:val="21"/>
                      <w:lang w:val="en-US" w:eastAsia="zh-CN"/>
                    </w:rPr>
                    <w:t>循环冷却系统补水</w:t>
                  </w:r>
                </w:p>
              </w:tc>
              <w:tc>
                <w:tcPr>
                  <w:tcW w:w="492" w:type="pct"/>
                  <w:tcBorders>
                    <w:tl2br w:val="nil"/>
                    <w:tr2bl w:val="nil"/>
                  </w:tcBorders>
                  <w:noWrap w:val="0"/>
                  <w:vAlign w:val="center"/>
                </w:tcPr>
                <w:p w14:paraId="1CB43A4A">
                  <w:pPr>
                    <w:autoSpaceDE/>
                    <w:adjustRightInd w:val="0"/>
                    <w:snapToGrid w:val="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0.06</w:t>
                  </w:r>
                </w:p>
              </w:tc>
              <w:tc>
                <w:tcPr>
                  <w:tcW w:w="512" w:type="pct"/>
                  <w:tcBorders>
                    <w:tl2br w:val="nil"/>
                    <w:tr2bl w:val="nil"/>
                  </w:tcBorders>
                  <w:noWrap w:val="0"/>
                  <w:vAlign w:val="center"/>
                </w:tcPr>
                <w:p w14:paraId="33510E66">
                  <w:pPr>
                    <w:autoSpaceDE/>
                    <w:adjustRightInd w:val="0"/>
                    <w:snapToGrid w:val="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8.88</w:t>
                  </w:r>
                </w:p>
              </w:tc>
              <w:tc>
                <w:tcPr>
                  <w:tcW w:w="503" w:type="pct"/>
                  <w:tcBorders>
                    <w:tl2br w:val="nil"/>
                    <w:tr2bl w:val="nil"/>
                  </w:tcBorders>
                  <w:noWrap w:val="0"/>
                  <w:vAlign w:val="center"/>
                </w:tcPr>
                <w:p w14:paraId="7075F136">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0.044</w:t>
                  </w:r>
                </w:p>
              </w:tc>
              <w:tc>
                <w:tcPr>
                  <w:tcW w:w="439" w:type="pct"/>
                  <w:tcBorders>
                    <w:tl2br w:val="nil"/>
                    <w:tr2bl w:val="nil"/>
                  </w:tcBorders>
                  <w:noWrap w:val="0"/>
                  <w:vAlign w:val="center"/>
                </w:tcPr>
                <w:p w14:paraId="0212B401">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6.48</w:t>
                  </w:r>
                </w:p>
              </w:tc>
              <w:tc>
                <w:tcPr>
                  <w:tcW w:w="547" w:type="pct"/>
                  <w:tcBorders>
                    <w:tl2br w:val="nil"/>
                    <w:tr2bl w:val="nil"/>
                  </w:tcBorders>
                  <w:noWrap w:val="0"/>
                  <w:vAlign w:val="center"/>
                </w:tcPr>
                <w:p w14:paraId="66EF0863">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0.016</w:t>
                  </w:r>
                </w:p>
              </w:tc>
              <w:tc>
                <w:tcPr>
                  <w:tcW w:w="476" w:type="pct"/>
                  <w:tcBorders>
                    <w:tl2br w:val="nil"/>
                    <w:tr2bl w:val="nil"/>
                  </w:tcBorders>
                  <w:noWrap w:val="0"/>
                  <w:vAlign w:val="center"/>
                </w:tcPr>
                <w:p w14:paraId="646E2E62">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2.4</w:t>
                  </w:r>
                </w:p>
              </w:tc>
              <w:tc>
                <w:tcPr>
                  <w:tcW w:w="1312" w:type="pct"/>
                  <w:vMerge w:val="restart"/>
                  <w:tcBorders>
                    <w:tl2br w:val="nil"/>
                    <w:tr2bl w:val="nil"/>
                  </w:tcBorders>
                  <w:noWrap w:val="0"/>
                  <w:vAlign w:val="center"/>
                </w:tcPr>
                <w:p w14:paraId="304524A5">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eastAsia="宋体" w:cs="Times New Roman"/>
                      <w:color w:val="auto"/>
                      <w:sz w:val="21"/>
                      <w:szCs w:val="21"/>
                      <w:shd w:val="clear" w:color="auto" w:fill="FFFFFF"/>
                      <w:lang w:val="en-US" w:eastAsia="zh-CN"/>
                    </w:rPr>
                    <w:t>生活污水</w:t>
                  </w:r>
                  <w:r>
                    <w:rPr>
                      <w:rFonts w:hint="default" w:eastAsia="宋体" w:cs="Times New Roman"/>
                      <w:color w:val="auto"/>
                      <w:sz w:val="21"/>
                      <w:szCs w:val="21"/>
                      <w:shd w:val="clear" w:color="auto" w:fill="FFFFFF"/>
                      <w:lang w:val="en-US" w:eastAsia="zh-CN"/>
                    </w:rPr>
                    <w:t>经厂区现有化粪池处理后汇同循环冷却系统排水排入园区污水管网，最终进入</w:t>
                  </w:r>
                  <w:r>
                    <w:rPr>
                      <w:rFonts w:hint="eastAsia" w:cs="Times New Roman"/>
                      <w:color w:val="auto"/>
                      <w:sz w:val="21"/>
                      <w:szCs w:val="21"/>
                      <w:shd w:val="clear" w:color="auto" w:fill="FFFFFF"/>
                      <w:lang w:val="en-US" w:eastAsia="zh-CN"/>
                    </w:rPr>
                    <w:t>固原经济技术开发区新材料产业园污水处理厂进行处理</w:t>
                  </w:r>
                </w:p>
              </w:tc>
            </w:tr>
            <w:tr w14:paraId="068D8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tcBorders>
                    <w:tl2br w:val="nil"/>
                    <w:tr2bl w:val="nil"/>
                  </w:tcBorders>
                  <w:noWrap w:val="0"/>
                  <w:vAlign w:val="center"/>
                </w:tcPr>
                <w:p w14:paraId="7171A67D">
                  <w:pPr>
                    <w:autoSpaceDE/>
                    <w:adjustRightInd w:val="0"/>
                    <w:snapToGrid w:val="0"/>
                    <w:jc w:val="center"/>
                    <w:textAlignment w:val="center"/>
                    <w:rPr>
                      <w:rFonts w:hint="eastAsia" w:eastAsia="宋体" w:cs="Times New Roman"/>
                      <w:color w:val="auto"/>
                      <w:sz w:val="21"/>
                      <w:szCs w:val="21"/>
                      <w:shd w:val="clear" w:color="auto" w:fill="FFFFFF"/>
                      <w:lang w:val="en-US" w:eastAsia="zh-CN"/>
                    </w:rPr>
                  </w:pPr>
                  <w:r>
                    <w:rPr>
                      <w:rFonts w:cs="Times New Roman"/>
                      <w:color w:val="auto"/>
                      <w:sz w:val="21"/>
                      <w:szCs w:val="21"/>
                      <w:lang w:val="en-US"/>
                    </w:rPr>
                    <w:t>生活用水</w:t>
                  </w:r>
                </w:p>
              </w:tc>
              <w:tc>
                <w:tcPr>
                  <w:tcW w:w="492" w:type="pct"/>
                  <w:tcBorders>
                    <w:tl2br w:val="nil"/>
                    <w:tr2bl w:val="nil"/>
                  </w:tcBorders>
                  <w:noWrap w:val="0"/>
                  <w:vAlign w:val="center"/>
                </w:tcPr>
                <w:p w14:paraId="4F6BE37D">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1.0</w:t>
                  </w:r>
                </w:p>
              </w:tc>
              <w:tc>
                <w:tcPr>
                  <w:tcW w:w="512" w:type="pct"/>
                  <w:tcBorders>
                    <w:tl2br w:val="nil"/>
                    <w:tr2bl w:val="nil"/>
                  </w:tcBorders>
                  <w:noWrap w:val="0"/>
                  <w:vAlign w:val="center"/>
                </w:tcPr>
                <w:p w14:paraId="10FD176D">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150</w:t>
                  </w:r>
                </w:p>
              </w:tc>
              <w:tc>
                <w:tcPr>
                  <w:tcW w:w="503" w:type="pct"/>
                  <w:tcBorders>
                    <w:tl2br w:val="nil"/>
                    <w:tr2bl w:val="nil"/>
                  </w:tcBorders>
                  <w:noWrap w:val="0"/>
                  <w:vAlign w:val="center"/>
                </w:tcPr>
                <w:p w14:paraId="28325B9E">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0.2</w:t>
                  </w:r>
                </w:p>
              </w:tc>
              <w:tc>
                <w:tcPr>
                  <w:tcW w:w="439" w:type="pct"/>
                  <w:tcBorders>
                    <w:tl2br w:val="nil"/>
                    <w:tr2bl w:val="nil"/>
                  </w:tcBorders>
                  <w:noWrap w:val="0"/>
                  <w:vAlign w:val="center"/>
                </w:tcPr>
                <w:p w14:paraId="36669E5D">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30</w:t>
                  </w:r>
                </w:p>
              </w:tc>
              <w:tc>
                <w:tcPr>
                  <w:tcW w:w="547" w:type="pct"/>
                  <w:tcBorders>
                    <w:tl2br w:val="nil"/>
                    <w:tr2bl w:val="nil"/>
                  </w:tcBorders>
                  <w:noWrap w:val="0"/>
                  <w:vAlign w:val="center"/>
                </w:tcPr>
                <w:p w14:paraId="6E57E1BD">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0.8</w:t>
                  </w:r>
                </w:p>
              </w:tc>
              <w:tc>
                <w:tcPr>
                  <w:tcW w:w="476" w:type="pct"/>
                  <w:tcBorders>
                    <w:tl2br w:val="nil"/>
                    <w:tr2bl w:val="nil"/>
                  </w:tcBorders>
                  <w:noWrap w:val="0"/>
                  <w:vAlign w:val="center"/>
                </w:tcPr>
                <w:p w14:paraId="7358278D">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120</w:t>
                  </w:r>
                </w:p>
              </w:tc>
              <w:tc>
                <w:tcPr>
                  <w:tcW w:w="1312" w:type="pct"/>
                  <w:vMerge w:val="continue"/>
                  <w:tcBorders>
                    <w:tl2br w:val="nil"/>
                    <w:tr2bl w:val="nil"/>
                  </w:tcBorders>
                  <w:noWrap w:val="0"/>
                  <w:vAlign w:val="center"/>
                </w:tcPr>
                <w:p w14:paraId="00DAE5A2">
                  <w:pPr>
                    <w:autoSpaceDE/>
                    <w:adjustRightInd w:val="0"/>
                    <w:snapToGrid w:val="0"/>
                    <w:jc w:val="center"/>
                    <w:textAlignment w:val="center"/>
                    <w:rPr>
                      <w:rFonts w:hint="default" w:eastAsia="宋体" w:cs="Times New Roman"/>
                      <w:color w:val="auto"/>
                      <w:sz w:val="21"/>
                      <w:szCs w:val="21"/>
                      <w:shd w:val="clear" w:color="auto" w:fill="FFFFFF"/>
                      <w:lang w:val="en-US" w:eastAsia="zh-CN"/>
                    </w:rPr>
                  </w:pPr>
                </w:p>
              </w:tc>
            </w:tr>
            <w:tr w14:paraId="759BEC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tcBorders>
                    <w:tl2br w:val="nil"/>
                    <w:tr2bl w:val="nil"/>
                  </w:tcBorders>
                  <w:noWrap w:val="0"/>
                  <w:vAlign w:val="center"/>
                </w:tcPr>
                <w:p w14:paraId="73F9A9EC">
                  <w:pPr>
                    <w:autoSpaceDE/>
                    <w:adjustRightInd w:val="0"/>
                    <w:snapToGrid w:val="0"/>
                    <w:jc w:val="center"/>
                    <w:textAlignment w:val="center"/>
                    <w:rPr>
                      <w:rFonts w:cs="Times New Roman"/>
                      <w:color w:val="auto"/>
                      <w:sz w:val="21"/>
                      <w:szCs w:val="21"/>
                      <w:shd w:val="clear" w:color="auto" w:fill="FFFFFF"/>
                      <w:lang w:val="en-US"/>
                    </w:rPr>
                  </w:pPr>
                  <w:r>
                    <w:rPr>
                      <w:rFonts w:cs="Times New Roman"/>
                      <w:color w:val="auto"/>
                      <w:sz w:val="21"/>
                      <w:szCs w:val="21"/>
                      <w:shd w:val="clear" w:color="auto" w:fill="FFFFFF"/>
                      <w:lang w:val="en-US"/>
                    </w:rPr>
                    <w:t>合计</w:t>
                  </w:r>
                </w:p>
              </w:tc>
              <w:tc>
                <w:tcPr>
                  <w:tcW w:w="492" w:type="pct"/>
                  <w:tcBorders>
                    <w:tl2br w:val="nil"/>
                    <w:tr2bl w:val="nil"/>
                  </w:tcBorders>
                  <w:noWrap w:val="0"/>
                  <w:vAlign w:val="center"/>
                </w:tcPr>
                <w:p w14:paraId="5C9347D2">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1.06</w:t>
                  </w:r>
                </w:p>
              </w:tc>
              <w:tc>
                <w:tcPr>
                  <w:tcW w:w="512" w:type="pct"/>
                  <w:tcBorders>
                    <w:tl2br w:val="nil"/>
                    <w:tr2bl w:val="nil"/>
                  </w:tcBorders>
                  <w:noWrap w:val="0"/>
                  <w:vAlign w:val="center"/>
                </w:tcPr>
                <w:p w14:paraId="2BE84AFC">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158.88</w:t>
                  </w:r>
                </w:p>
              </w:tc>
              <w:tc>
                <w:tcPr>
                  <w:tcW w:w="503" w:type="pct"/>
                  <w:tcBorders>
                    <w:tl2br w:val="nil"/>
                    <w:tr2bl w:val="nil"/>
                  </w:tcBorders>
                  <w:noWrap w:val="0"/>
                  <w:vAlign w:val="center"/>
                </w:tcPr>
                <w:p w14:paraId="1582679D">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0.244</w:t>
                  </w:r>
                </w:p>
              </w:tc>
              <w:tc>
                <w:tcPr>
                  <w:tcW w:w="439" w:type="pct"/>
                  <w:tcBorders>
                    <w:tl2br w:val="nil"/>
                    <w:tr2bl w:val="nil"/>
                  </w:tcBorders>
                  <w:noWrap w:val="0"/>
                  <w:vAlign w:val="center"/>
                </w:tcPr>
                <w:p w14:paraId="78D5CDF8">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36.48</w:t>
                  </w:r>
                </w:p>
              </w:tc>
              <w:tc>
                <w:tcPr>
                  <w:tcW w:w="547" w:type="pct"/>
                  <w:tcBorders>
                    <w:tl2br w:val="nil"/>
                    <w:tr2bl w:val="nil"/>
                  </w:tcBorders>
                  <w:noWrap w:val="0"/>
                  <w:vAlign w:val="center"/>
                </w:tcPr>
                <w:p w14:paraId="414DF7EA">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0.816</w:t>
                  </w:r>
                </w:p>
              </w:tc>
              <w:tc>
                <w:tcPr>
                  <w:tcW w:w="476" w:type="pct"/>
                  <w:tcBorders>
                    <w:tl2br w:val="nil"/>
                    <w:tr2bl w:val="nil"/>
                  </w:tcBorders>
                  <w:noWrap w:val="0"/>
                  <w:vAlign w:val="center"/>
                </w:tcPr>
                <w:p w14:paraId="79FD051F">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122.4</w:t>
                  </w:r>
                </w:p>
              </w:tc>
              <w:tc>
                <w:tcPr>
                  <w:tcW w:w="1312" w:type="pct"/>
                  <w:tcBorders>
                    <w:tl2br w:val="nil"/>
                    <w:tr2bl w:val="nil"/>
                  </w:tcBorders>
                  <w:noWrap w:val="0"/>
                  <w:vAlign w:val="center"/>
                </w:tcPr>
                <w:p w14:paraId="008C8AAD">
                  <w:pPr>
                    <w:widowControl/>
                    <w:jc w:val="center"/>
                    <w:textAlignment w:val="center"/>
                    <w:rPr>
                      <w:rFonts w:cs="Times New Roman"/>
                      <w:color w:val="auto"/>
                      <w:sz w:val="21"/>
                      <w:szCs w:val="21"/>
                      <w:lang w:val="en-US" w:bidi="ar"/>
                    </w:rPr>
                  </w:pPr>
                  <w:r>
                    <w:rPr>
                      <w:rFonts w:hint="eastAsia" w:cs="Times New Roman"/>
                      <w:color w:val="auto"/>
                      <w:sz w:val="21"/>
                      <w:szCs w:val="21"/>
                      <w:lang w:val="en-US" w:bidi="ar"/>
                    </w:rPr>
                    <w:t>/</w:t>
                  </w:r>
                </w:p>
              </w:tc>
            </w:tr>
          </w:tbl>
          <w:p w14:paraId="6D0C8A2B">
            <w:pPr>
              <w:pStyle w:val="1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cs="Times New Roman"/>
                <w:color w:val="auto"/>
                <w:szCs w:val="21"/>
                <w:lang w:val="en-US"/>
              </w:rPr>
            </w:pPr>
            <w:r>
              <w:rPr>
                <w:rFonts w:cs="Times New Roman"/>
                <w:color w:val="auto"/>
                <w:szCs w:val="21"/>
              </w:rPr>
              <w:object>
                <v:shape id="_x0000_i1027" o:spt="75" type="#_x0000_t75" style="height:160.15pt;width:423.3pt;" o:ole="t" filled="f" o:preferrelative="t" stroked="f" coordsize="21600,21600">
                  <v:path/>
                  <v:fill on="f" focussize="0,0"/>
                  <v:stroke on="f"/>
                  <v:imagedata r:id="rId13" o:title=""/>
                  <o:lock v:ext="edit" aspectratio="f"/>
                  <w10:wrap type="none"/>
                  <w10:anchorlock/>
                </v:shape>
                <o:OLEObject Type="Embed" ProgID="Visio.Drawing.15" ShapeID="_x0000_i1027" DrawAspect="Content" ObjectID="_1468075727" r:id="rId12">
                  <o:LockedField>false</o:LockedField>
                </o:OLEObject>
              </w:object>
            </w:r>
            <w:r>
              <w:rPr>
                <w:rFonts w:cs="Times New Roman"/>
                <w:color w:val="auto"/>
                <w:szCs w:val="21"/>
              </w:rPr>
              <w:t>图</w:t>
            </w:r>
            <w:r>
              <w:rPr>
                <w:rFonts w:cs="Times New Roman"/>
                <w:color w:val="auto"/>
                <w:szCs w:val="21"/>
                <w:lang w:val="en-US"/>
              </w:rPr>
              <w:t>2-1</w:t>
            </w:r>
            <w:r>
              <w:rPr>
                <w:rFonts w:cs="Times New Roman"/>
                <w:color w:val="auto"/>
                <w:szCs w:val="21"/>
              </w:rPr>
              <w:t xml:space="preserve"> </w:t>
            </w:r>
            <w:r>
              <w:rPr>
                <w:rFonts w:hint="eastAsia" w:cs="Times New Roman"/>
                <w:color w:val="auto"/>
                <w:szCs w:val="21"/>
                <w:lang w:val="en-US"/>
              </w:rPr>
              <w:t xml:space="preserve"> </w:t>
            </w:r>
            <w:r>
              <w:rPr>
                <w:rFonts w:cs="Times New Roman"/>
                <w:b/>
                <w:bCs/>
                <w:color w:val="auto"/>
                <w:sz w:val="24"/>
                <w:szCs w:val="24"/>
              </w:rPr>
              <w:t>本项目</w:t>
            </w:r>
            <w:r>
              <w:rPr>
                <w:rFonts w:hint="eastAsia" w:cs="Times New Roman"/>
                <w:b/>
                <w:bCs/>
                <w:color w:val="auto"/>
                <w:sz w:val="24"/>
                <w:szCs w:val="24"/>
                <w:lang w:val="en-US" w:eastAsia="zh-CN"/>
              </w:rPr>
              <w:t>一期</w:t>
            </w:r>
            <w:r>
              <w:rPr>
                <w:rFonts w:cs="Times New Roman"/>
                <w:b/>
                <w:bCs/>
                <w:color w:val="auto"/>
                <w:sz w:val="24"/>
                <w:szCs w:val="24"/>
              </w:rPr>
              <w:t>水平衡图</w:t>
            </w:r>
            <w:r>
              <w:rPr>
                <w:rFonts w:cs="Times New Roman"/>
                <w:color w:val="auto"/>
                <w:szCs w:val="21"/>
              </w:rPr>
              <w:t>（</w:t>
            </w:r>
            <w:r>
              <w:rPr>
                <w:rFonts w:cs="Times New Roman"/>
                <w:color w:val="auto"/>
                <w:szCs w:val="21"/>
                <w:lang w:val="en-US"/>
              </w:rPr>
              <w:t>m</w:t>
            </w:r>
            <w:r>
              <w:rPr>
                <w:rFonts w:cs="Times New Roman"/>
                <w:color w:val="auto"/>
                <w:szCs w:val="21"/>
                <w:vertAlign w:val="superscript"/>
                <w:lang w:val="en-US"/>
              </w:rPr>
              <w:t>3</w:t>
            </w:r>
            <w:r>
              <w:rPr>
                <w:rFonts w:cs="Times New Roman"/>
                <w:color w:val="auto"/>
                <w:szCs w:val="21"/>
                <w:lang w:val="en-US"/>
              </w:rPr>
              <w:t>/d）</w:t>
            </w:r>
          </w:p>
          <w:p w14:paraId="0371C59D">
            <w:pPr>
              <w:pStyle w:val="88"/>
              <w:adjustRightInd/>
              <w:spacing w:line="360" w:lineRule="auto"/>
              <w:ind w:firstLine="482" w:firstLineChars="200"/>
              <w:jc w:val="both"/>
              <w:rPr>
                <w:rFonts w:hint="default" w:ascii="Times New Roman" w:hAnsi="Times New Roman"/>
                <w:b/>
                <w:bCs/>
                <w:color w:val="auto"/>
                <w:lang w:val="en-US"/>
              </w:rPr>
            </w:pPr>
            <w:r>
              <w:rPr>
                <w:rFonts w:hint="eastAsia" w:ascii="Times New Roman" w:hAnsi="Times New Roman"/>
                <w:b/>
                <w:bCs/>
                <w:color w:val="auto"/>
                <w:lang w:val="en-US"/>
              </w:rPr>
              <w:t>⑵</w:t>
            </w:r>
            <w:r>
              <w:rPr>
                <w:rFonts w:hint="eastAsia" w:ascii="Times New Roman" w:hAnsi="Times New Roman"/>
                <w:b/>
                <w:bCs/>
                <w:color w:val="auto"/>
                <w:lang w:val="en-US" w:eastAsia="zh-CN"/>
              </w:rPr>
              <w:t>二期工程建成后全厂</w:t>
            </w:r>
          </w:p>
          <w:p w14:paraId="45BBA4D2">
            <w:pPr>
              <w:pStyle w:val="88"/>
              <w:adjustRightInd/>
              <w:spacing w:line="360" w:lineRule="auto"/>
              <w:ind w:firstLine="482" w:firstLineChars="200"/>
              <w:jc w:val="both"/>
              <w:rPr>
                <w:rFonts w:hint="default" w:ascii="Times New Roman" w:hAnsi="Times New Roman"/>
                <w:b/>
                <w:bCs/>
                <w:color w:val="auto"/>
                <w:lang w:val="en-US"/>
              </w:rPr>
            </w:pPr>
            <w:r>
              <w:rPr>
                <w:rFonts w:hint="eastAsia" w:ascii="Times New Roman" w:hAnsi="Times New Roman"/>
                <w:b/>
                <w:bCs/>
                <w:color w:val="auto"/>
                <w:lang w:val="en-US" w:eastAsia="zh-CN"/>
              </w:rPr>
              <w:t>①给水</w:t>
            </w:r>
          </w:p>
          <w:p w14:paraId="736220EA">
            <w:pPr>
              <w:pStyle w:val="51"/>
              <w:jc w:val="both"/>
              <w:rPr>
                <w:rFonts w:hint="default" w:ascii="Times New Roman" w:hAnsi="Times New Roman" w:cs="Times New Roman"/>
                <w:color w:val="auto"/>
                <w:sz w:val="24"/>
                <w:szCs w:val="24"/>
                <w:highlight w:val="none"/>
              </w:rPr>
            </w:pPr>
            <w:r>
              <w:rPr>
                <w:rFonts w:ascii="Times New Roman" w:hAnsi="Times New Roman"/>
                <w:color w:val="auto"/>
                <w:highlight w:val="none"/>
                <w:lang w:val="en-US"/>
              </w:rPr>
              <w:t>本项目</w:t>
            </w:r>
            <w:r>
              <w:rPr>
                <w:rFonts w:hint="eastAsia" w:ascii="Times New Roman" w:hAnsi="Times New Roman"/>
                <w:color w:val="auto"/>
                <w:highlight w:val="none"/>
                <w:lang w:val="en-US" w:eastAsia="zh-CN"/>
              </w:rPr>
              <w:t>二期建成后全厂</w:t>
            </w:r>
            <w:r>
              <w:rPr>
                <w:rFonts w:ascii="Times New Roman" w:hAnsi="Times New Roman"/>
                <w:color w:val="auto"/>
                <w:highlight w:val="none"/>
                <w:lang w:val="en-US"/>
              </w:rPr>
              <w:t>用水主要</w:t>
            </w:r>
            <w:r>
              <w:rPr>
                <w:rFonts w:hint="eastAsia" w:ascii="Times New Roman" w:hAnsi="Times New Roman"/>
                <w:color w:val="auto"/>
                <w:highlight w:val="none"/>
                <w:lang w:val="en-US" w:eastAsia="zh-CN"/>
              </w:rPr>
              <w:t>包括新增循环冷却水系统补水及</w:t>
            </w:r>
            <w:r>
              <w:rPr>
                <w:rFonts w:ascii="Times New Roman" w:hAnsi="Times New Roman"/>
                <w:color w:val="auto"/>
                <w:highlight w:val="none"/>
                <w:lang w:val="en-US"/>
              </w:rPr>
              <w:t>员工生活用水</w:t>
            </w:r>
            <w:r>
              <w:rPr>
                <w:rFonts w:hint="eastAsia" w:ascii="Times New Roman" w:hAnsi="Times New Roman"/>
                <w:color w:val="auto"/>
                <w:highlight w:val="none"/>
                <w:lang w:val="en-US" w:eastAsia="zh-CN"/>
              </w:rPr>
              <w:t>，</w:t>
            </w:r>
            <w:r>
              <w:rPr>
                <w:rFonts w:hint="eastAsia" w:ascii="Times New Roman" w:hAnsi="Times New Roman" w:cs="Times New Roman"/>
                <w:color w:val="auto"/>
                <w:sz w:val="24"/>
                <w:highlight w:val="none"/>
                <w:lang w:val="en-US" w:eastAsia="zh-CN"/>
              </w:rPr>
              <w:t>新鲜水用量</w:t>
            </w:r>
            <w:r>
              <w:rPr>
                <w:rFonts w:hint="default" w:ascii="Times New Roman" w:hAnsi="Times New Roman" w:cs="Times New Roman"/>
                <w:color w:val="auto"/>
                <w:sz w:val="24"/>
                <w:highlight w:val="none"/>
                <w:lang w:val="en-US" w:eastAsia="zh-CN"/>
              </w:rPr>
              <w:t>为</w:t>
            </w:r>
            <w:r>
              <w:rPr>
                <w:rFonts w:hint="eastAsia" w:ascii="Times New Roman" w:hAnsi="Times New Roman" w:cs="Times New Roman"/>
                <w:bCs/>
                <w:color w:val="auto"/>
                <w:sz w:val="24"/>
                <w:highlight w:val="none"/>
                <w:lang w:val="en-US" w:eastAsia="zh-CN"/>
              </w:rPr>
              <w:t>3.54</w:t>
            </w:r>
            <w:r>
              <w:rPr>
                <w:rFonts w:hint="default" w:ascii="Times New Roman" w:hAnsi="Times New Roman" w:cs="Times New Roman"/>
                <w:color w:val="auto"/>
                <w:kern w:val="0"/>
                <w:sz w:val="24"/>
                <w:highlight w:val="none"/>
              </w:rPr>
              <w:t>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bCs/>
                <w:color w:val="auto"/>
                <w:sz w:val="24"/>
                <w:highlight w:val="none"/>
              </w:rPr>
              <w:t>/d（</w:t>
            </w:r>
            <w:r>
              <w:rPr>
                <w:rFonts w:hint="eastAsia" w:ascii="Times New Roman" w:hAnsi="Times New Roman" w:cs="Times New Roman"/>
                <w:bCs/>
                <w:color w:val="auto"/>
                <w:sz w:val="24"/>
                <w:highlight w:val="none"/>
                <w:lang w:val="en-US" w:eastAsia="zh-CN"/>
              </w:rPr>
              <w:t>530.4</w:t>
            </w:r>
            <w:r>
              <w:rPr>
                <w:rFonts w:hint="default" w:ascii="Times New Roman" w:hAnsi="Times New Roman" w:cs="Times New Roman"/>
                <w:color w:val="auto"/>
                <w:kern w:val="0"/>
                <w:sz w:val="24"/>
                <w:highlight w:val="none"/>
              </w:rPr>
              <w:t>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bCs/>
                <w:color w:val="auto"/>
                <w:sz w:val="24"/>
                <w:highlight w:val="none"/>
              </w:rPr>
              <w:t>/a）</w:t>
            </w:r>
            <w:r>
              <w:rPr>
                <w:rFonts w:hint="default" w:ascii="Times New Roman" w:hAnsi="Times New Roman" w:cs="Times New Roman"/>
                <w:color w:val="auto"/>
                <w:sz w:val="24"/>
                <w:highlight w:val="none"/>
                <w:lang w:val="en-US" w:eastAsia="zh-CN"/>
              </w:rPr>
              <w:t>，</w:t>
            </w:r>
            <w:r>
              <w:rPr>
                <w:rFonts w:hint="eastAsia" w:ascii="Times New Roman" w:hAnsi="Times New Roman"/>
                <w:color w:val="auto"/>
                <w:highlight w:val="none"/>
                <w:lang w:val="en-US" w:eastAsia="zh-CN"/>
              </w:rPr>
              <w:t>新鲜用水</w:t>
            </w:r>
            <w:r>
              <w:rPr>
                <w:rFonts w:ascii="Times New Roman" w:hAnsi="Times New Roman"/>
                <w:color w:val="auto"/>
                <w:highlight w:val="none"/>
                <w:lang w:val="en-US"/>
              </w:rPr>
              <w:t>由</w:t>
            </w:r>
            <w:r>
              <w:rPr>
                <w:rFonts w:hint="eastAsia" w:ascii="Times New Roman" w:hAnsi="Times New Roman"/>
                <w:color w:val="auto"/>
                <w:highlight w:val="none"/>
                <w:lang w:val="en-US" w:eastAsia="zh-CN"/>
              </w:rPr>
              <w:t>园区</w:t>
            </w:r>
            <w:r>
              <w:rPr>
                <w:rFonts w:hint="eastAsia" w:ascii="Times New Roman" w:hAnsi="Times New Roman"/>
                <w:color w:val="auto"/>
                <w:highlight w:val="none"/>
                <w:lang w:val="en-US"/>
              </w:rPr>
              <w:t>供水</w:t>
            </w:r>
            <w:r>
              <w:rPr>
                <w:rFonts w:ascii="Times New Roman" w:hAnsi="Times New Roman"/>
                <w:color w:val="auto"/>
                <w:highlight w:val="none"/>
                <w:lang w:val="en-US"/>
              </w:rPr>
              <w:t>管网提供</w:t>
            </w:r>
            <w:r>
              <w:rPr>
                <w:rFonts w:hint="eastAsia" w:ascii="Times New Roman" w:hAnsi="Times New Roman"/>
                <w:color w:val="auto"/>
                <w:highlight w:val="none"/>
                <w:lang w:val="en-US"/>
              </w:rPr>
              <w:t>。</w:t>
            </w:r>
          </w:p>
          <w:p w14:paraId="1B74A390">
            <w:pPr>
              <w:pStyle w:val="51"/>
              <w:jc w:val="both"/>
              <w:rPr>
                <w:rFonts w:hint="default" w:ascii="Times New Roman" w:hAnsi="Times New Roman" w:cs="Times New Roman"/>
                <w:color w:val="auto"/>
                <w:sz w:val="24"/>
                <w:szCs w:val="24"/>
                <w:highlight w:val="none"/>
                <w:lang w:val="en-US"/>
              </w:rPr>
            </w:pPr>
            <w:r>
              <w:rPr>
                <w:rFonts w:hint="eastAsia" w:ascii="Times New Roman" w:hAnsi="Times New Roman"/>
                <w:color w:val="auto"/>
                <w:lang w:val="en-US" w:eastAsia="zh-CN"/>
              </w:rPr>
              <w:t>循环冷却系统补水</w:t>
            </w:r>
            <w:r>
              <w:rPr>
                <w:rFonts w:hint="eastAsia"/>
                <w:color w:val="auto"/>
                <w:lang w:eastAsia="zh-CN"/>
              </w:rPr>
              <w:t>：</w:t>
            </w:r>
            <w:r>
              <w:rPr>
                <w:rFonts w:hint="eastAsia"/>
                <w:color w:val="auto"/>
                <w:lang w:val="en-US" w:eastAsia="zh-CN"/>
              </w:rPr>
              <w:t>本项目</w:t>
            </w:r>
            <w:r>
              <w:rPr>
                <w:rFonts w:hint="default" w:ascii="Times New Roman" w:hAnsi="Times New Roman" w:cs="Times New Roman"/>
                <w:color w:val="auto"/>
                <w:lang w:val="en-US" w:eastAsia="zh-CN"/>
              </w:rPr>
              <w:t>二期</w:t>
            </w:r>
            <w:r>
              <w:rPr>
                <w:rFonts w:hint="eastAsia" w:ascii="Times New Roman" w:hAnsi="Times New Roman"/>
                <w:color w:val="auto"/>
                <w:lang w:val="en-US" w:eastAsia="zh-CN"/>
              </w:rPr>
              <w:t>冷却脱模</w:t>
            </w:r>
            <w:r>
              <w:rPr>
                <w:rFonts w:hint="default" w:ascii="Times New Roman" w:hAnsi="Times New Roman" w:eastAsia="Sim Sun"/>
                <w:color w:val="auto"/>
                <w:lang w:val="en-US" w:eastAsia="zh-CN"/>
              </w:rPr>
              <w:t>工序</w:t>
            </w:r>
            <w:r>
              <w:rPr>
                <w:rFonts w:hint="eastAsia" w:ascii="Times New Roman" w:hAnsi="Times New Roman" w:eastAsia="Sim Sun"/>
                <w:color w:val="auto"/>
                <w:lang w:val="en-US" w:eastAsia="zh-CN"/>
              </w:rPr>
              <w:t>依托一期的循环冷却水系统</w:t>
            </w:r>
            <w:r>
              <w:rPr>
                <w:rFonts w:hint="eastAsia" w:ascii="Times New Roman" w:hAnsi="Times New Roman"/>
                <w:color w:val="auto"/>
                <w:lang w:val="en-US" w:eastAsia="zh-CN"/>
              </w:rPr>
              <w:t>，二期建成后全厂</w:t>
            </w:r>
            <w:r>
              <w:rPr>
                <w:rFonts w:hint="eastAsia" w:ascii="Times New Roman" w:hAnsi="Times New Roman" w:cs="Times New Roman"/>
                <w:color w:val="auto"/>
                <w:sz w:val="24"/>
                <w:lang w:val="en-US" w:eastAsia="zh-CN"/>
              </w:rPr>
              <w:t>循环水量为</w:t>
            </w:r>
            <w:r>
              <w:rPr>
                <w:rFonts w:hint="eastAsia" w:ascii="Times New Roman" w:hAnsi="Times New Roman" w:cs="Times New Roman"/>
                <w:color w:val="auto"/>
                <w:kern w:val="0"/>
                <w:sz w:val="24"/>
                <w:szCs w:val="21"/>
                <w:lang w:val="en-US" w:eastAsia="zh-CN" w:bidi="ar-SA"/>
              </w:rPr>
              <w:t>6</w:t>
            </w:r>
            <w:r>
              <w:rPr>
                <w:rFonts w:hint="default" w:ascii="Times New Roman" w:hAnsi="Times New Roman" w:eastAsia="宋体" w:cs="Times New Roman"/>
                <w:color w:val="auto"/>
                <w:kern w:val="0"/>
                <w:sz w:val="24"/>
                <w:szCs w:val="21"/>
                <w:lang w:val="en-US" w:eastAsia="zh-CN" w:bidi="ar-SA"/>
              </w:rPr>
              <w:t>m</w:t>
            </w:r>
            <w:r>
              <w:rPr>
                <w:rFonts w:hint="default" w:ascii="Times New Roman" w:hAnsi="Times New Roman" w:eastAsia="宋体" w:cs="Times New Roman"/>
                <w:color w:val="auto"/>
                <w:kern w:val="0"/>
                <w:sz w:val="24"/>
                <w:szCs w:val="21"/>
                <w:vertAlign w:val="superscript"/>
                <w:lang w:val="en-US" w:eastAsia="zh-CN" w:bidi="ar-SA"/>
              </w:rPr>
              <w:t>3</w:t>
            </w:r>
            <w:r>
              <w:rPr>
                <w:rFonts w:hint="default" w:ascii="Times New Roman" w:hAnsi="Times New Roman" w:eastAsia="宋体" w:cs="Times New Roman"/>
                <w:color w:val="auto"/>
                <w:kern w:val="0"/>
                <w:sz w:val="24"/>
                <w:szCs w:val="21"/>
                <w:lang w:val="en-US" w:eastAsia="zh-CN" w:bidi="ar-SA"/>
              </w:rPr>
              <w:t>/h，</w:t>
            </w:r>
            <w:r>
              <w:rPr>
                <w:rFonts w:hint="eastAsia" w:ascii="Times New Roman" w:hAnsi="Times New Roman" w:eastAsia="宋体" w:cs="Times New Roman"/>
                <w:color w:val="auto"/>
                <w:sz w:val="24"/>
                <w:szCs w:val="24"/>
                <w:lang w:eastAsia="zh-CN"/>
              </w:rPr>
              <w:t>经计算，本项目</w:t>
            </w:r>
            <w:r>
              <w:rPr>
                <w:rFonts w:hint="eastAsia" w:ascii="Times New Roman" w:hAnsi="Times New Roman"/>
                <w:color w:val="auto"/>
                <w:lang w:val="en-US" w:eastAsia="zh-CN"/>
              </w:rPr>
              <w:t>二期建成后全厂</w:t>
            </w:r>
            <w:r>
              <w:rPr>
                <w:rFonts w:hint="eastAsia" w:ascii="Times New Roman" w:hAnsi="Times New Roman" w:eastAsia="宋体" w:cs="Times New Roman"/>
                <w:color w:val="auto"/>
                <w:sz w:val="24"/>
                <w:szCs w:val="24"/>
                <w:lang w:eastAsia="zh-CN"/>
              </w:rPr>
              <w:t>强制排污水量为</w:t>
            </w:r>
            <w:r>
              <w:rPr>
                <w:rFonts w:hint="eastAsia" w:ascii="Times New Roman" w:hAnsi="Times New Roman" w:eastAsia="宋体" w:cs="Times New Roman"/>
                <w:color w:val="auto"/>
                <w:sz w:val="24"/>
                <w:szCs w:val="24"/>
                <w:lang w:val="en-US" w:eastAsia="zh-CN"/>
              </w:rPr>
              <w:t>0.045</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/h，风吹损失水量为</w:t>
            </w:r>
            <w:r>
              <w:rPr>
                <w:rFonts w:hint="eastAsia" w:ascii="Times New Roman" w:hAnsi="Times New Roman" w:eastAsia="宋体" w:cs="Times New Roman"/>
                <w:color w:val="auto"/>
                <w:sz w:val="24"/>
                <w:szCs w:val="24"/>
                <w:lang w:val="en-US" w:eastAsia="zh-CN"/>
              </w:rPr>
              <w:t>0.003</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/h，循环水蒸发量为</w:t>
            </w:r>
            <w:r>
              <w:rPr>
                <w:rFonts w:hint="eastAsia" w:ascii="Times New Roman" w:hAnsi="Times New Roman" w:eastAsia="宋体" w:cs="Times New Roman"/>
                <w:color w:val="auto"/>
                <w:sz w:val="24"/>
                <w:szCs w:val="24"/>
                <w:lang w:val="en-US" w:eastAsia="zh-CN"/>
              </w:rPr>
              <w:t>0.144</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/h。本项目循环水系统补充水量应包含其排水量、风吹损失水量和循环蒸发水量，则本项目循环冷却补充水量为</w:t>
            </w:r>
            <w:r>
              <w:rPr>
                <w:rFonts w:hint="eastAsia" w:ascii="Times New Roman" w:hAnsi="Times New Roman" w:eastAsia="宋体" w:cs="Times New Roman"/>
                <w:color w:val="auto"/>
                <w:sz w:val="24"/>
                <w:szCs w:val="24"/>
                <w:lang w:val="en-US" w:eastAsia="zh-CN"/>
              </w:rPr>
              <w:t>0.192</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w:t>
            </w:r>
            <w:r>
              <w:rPr>
                <w:rFonts w:hint="eastAsia" w:ascii="Times New Roman" w:hAnsi="Times New Roman" w:eastAsia="宋体" w:cs="Times New Roman"/>
                <w:color w:val="auto"/>
                <w:sz w:val="24"/>
                <w:szCs w:val="24"/>
                <w:lang w:val="en-US" w:eastAsia="zh-CN"/>
              </w:rPr>
              <w:t>1.54</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/d，</w:t>
            </w:r>
            <w:r>
              <w:rPr>
                <w:rFonts w:hint="eastAsia" w:ascii="Times New Roman" w:hAnsi="Times New Roman" w:eastAsia="宋体" w:cs="Times New Roman"/>
                <w:color w:val="auto"/>
                <w:sz w:val="24"/>
                <w:szCs w:val="24"/>
                <w:lang w:val="en-US" w:eastAsia="zh-CN"/>
              </w:rPr>
              <w:t>230.4</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/a），全部</w:t>
            </w:r>
            <w:r>
              <w:rPr>
                <w:rFonts w:hint="eastAsia" w:ascii="Times New Roman" w:hAnsi="Times New Roman" w:eastAsia="宋体" w:cs="Times New Roman"/>
                <w:color w:val="auto"/>
                <w:sz w:val="24"/>
                <w:szCs w:val="24"/>
                <w:lang w:val="en-US" w:eastAsia="zh-CN"/>
              </w:rPr>
              <w:t>使用</w:t>
            </w:r>
            <w:r>
              <w:rPr>
                <w:rFonts w:hint="eastAsia" w:ascii="Times New Roman" w:hAnsi="Times New Roman" w:eastAsia="宋体" w:cs="Times New Roman"/>
                <w:color w:val="auto"/>
                <w:sz w:val="24"/>
                <w:szCs w:val="24"/>
                <w:lang w:eastAsia="zh-CN"/>
              </w:rPr>
              <w:t>新鲜水。</w:t>
            </w:r>
          </w:p>
          <w:p w14:paraId="0A61521E">
            <w:pPr>
              <w:pStyle w:val="51"/>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olor w:val="auto"/>
                <w:lang w:val="en-US" w:eastAsia="zh-CN"/>
              </w:rPr>
              <w:t>生活用水：本项目二期新增劳动定员10人，</w:t>
            </w:r>
            <w:r>
              <w:rPr>
                <w:rFonts w:ascii="Times New Roman" w:hAnsi="Times New Roman"/>
                <w:color w:val="auto"/>
                <w:lang w:val="en-US"/>
              </w:rPr>
              <w:t>年工作</w:t>
            </w:r>
            <w:r>
              <w:rPr>
                <w:rFonts w:hint="eastAsia" w:ascii="Times New Roman" w:hAnsi="Times New Roman"/>
                <w:color w:val="auto"/>
                <w:lang w:val="en-US" w:eastAsia="zh-CN"/>
              </w:rPr>
              <w:t>150</w:t>
            </w:r>
            <w:r>
              <w:rPr>
                <w:rFonts w:ascii="Times New Roman" w:hAnsi="Times New Roman"/>
                <w:color w:val="auto"/>
                <w:lang w:val="en-US"/>
              </w:rPr>
              <w:t>d，</w:t>
            </w:r>
            <w:r>
              <w:rPr>
                <w:rFonts w:hint="eastAsia" w:ascii="Times New Roman" w:hAnsi="Times New Roman"/>
                <w:color w:val="auto"/>
                <w:lang w:val="en-US" w:eastAsia="zh-CN"/>
              </w:rPr>
              <w:t>每天工作8小时，二期建成后全厂</w:t>
            </w:r>
            <w:r>
              <w:rPr>
                <w:rFonts w:hint="eastAsia" w:ascii="Times New Roman" w:hAnsi="Times New Roman"/>
                <w:color w:val="auto"/>
                <w:lang w:val="en-US"/>
              </w:rPr>
              <w:t>员工生活用水量为</w:t>
            </w:r>
            <w:r>
              <w:rPr>
                <w:rFonts w:hint="eastAsia" w:ascii="Times New Roman" w:hAnsi="Times New Roman"/>
                <w:color w:val="auto"/>
                <w:lang w:val="en-US" w:eastAsia="zh-CN"/>
              </w:rPr>
              <w:t>2.0</w:t>
            </w:r>
            <w:r>
              <w:rPr>
                <w:rFonts w:hint="eastAsia" w:ascii="Times New Roman" w:hAnsi="Times New Roman"/>
                <w:color w:val="auto"/>
                <w:lang w:val="en-US"/>
              </w:rPr>
              <w:t>m</w:t>
            </w:r>
            <w:r>
              <w:rPr>
                <w:rFonts w:hint="eastAsia" w:ascii="Times New Roman" w:hAnsi="Times New Roman"/>
                <w:color w:val="auto"/>
                <w:vertAlign w:val="superscript"/>
                <w:lang w:val="en-US"/>
              </w:rPr>
              <w:t>3</w:t>
            </w:r>
            <w:r>
              <w:rPr>
                <w:rFonts w:hint="eastAsia" w:ascii="Times New Roman" w:hAnsi="Times New Roman"/>
                <w:color w:val="auto"/>
                <w:lang w:val="en-US"/>
              </w:rPr>
              <w:t>/d（</w:t>
            </w:r>
            <w:r>
              <w:rPr>
                <w:rFonts w:hint="eastAsia" w:ascii="Times New Roman" w:hAnsi="Times New Roman"/>
                <w:color w:val="auto"/>
                <w:lang w:val="en-US" w:eastAsia="zh-CN"/>
              </w:rPr>
              <w:t>300</w:t>
            </w:r>
            <w:r>
              <w:rPr>
                <w:rFonts w:hint="eastAsia" w:ascii="Times New Roman" w:hAnsi="Times New Roman"/>
                <w:color w:val="auto"/>
                <w:lang w:val="en-US"/>
              </w:rPr>
              <w:t>m</w:t>
            </w:r>
            <w:r>
              <w:rPr>
                <w:rFonts w:hint="eastAsia" w:ascii="Times New Roman" w:hAnsi="Times New Roman"/>
                <w:color w:val="auto"/>
                <w:vertAlign w:val="superscript"/>
                <w:lang w:val="en-US"/>
              </w:rPr>
              <w:t>3</w:t>
            </w:r>
            <w:r>
              <w:rPr>
                <w:rFonts w:hint="eastAsia" w:ascii="Times New Roman" w:hAnsi="Times New Roman"/>
                <w:color w:val="auto"/>
                <w:lang w:val="en-US"/>
              </w:rPr>
              <w:t>/a）。</w:t>
            </w:r>
          </w:p>
          <w:p w14:paraId="6709E928">
            <w:pPr>
              <w:pStyle w:val="51"/>
              <w:jc w:val="both"/>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②排水</w:t>
            </w:r>
          </w:p>
          <w:p w14:paraId="42E5F4D1">
            <w:pPr>
              <w:pStyle w:val="88"/>
              <w:adjustRightInd/>
              <w:spacing w:line="360" w:lineRule="auto"/>
              <w:ind w:firstLine="480" w:firstLineChars="200"/>
              <w:jc w:val="both"/>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本项目二期建成后全厂产生的</w:t>
            </w:r>
            <w:r>
              <w:rPr>
                <w:rFonts w:hint="default" w:ascii="Times New Roman" w:hAnsi="Times New Roman" w:cs="Times New Roman"/>
                <w:color w:val="auto"/>
                <w:highlight w:val="none"/>
                <w:lang w:val="en-US" w:eastAsia="zh-CN"/>
              </w:rPr>
              <w:t>废水主要为</w:t>
            </w:r>
            <w:r>
              <w:rPr>
                <w:rFonts w:hint="default" w:ascii="Times New Roman" w:hAnsi="Times New Roman" w:cs="Times New Roman"/>
                <w:color w:val="auto"/>
                <w:sz w:val="24"/>
                <w:highlight w:val="none"/>
                <w:lang w:val="en-US" w:eastAsia="zh-CN"/>
              </w:rPr>
              <w:t>循环冷却系统排水及生活污水，废水产生总量为</w:t>
            </w:r>
            <w:r>
              <w:rPr>
                <w:rFonts w:hint="eastAsia" w:ascii="Times New Roman" w:hAnsi="Times New Roman" w:cs="Times New Roman"/>
                <w:color w:val="auto"/>
                <w:sz w:val="24"/>
                <w:highlight w:val="none"/>
                <w:lang w:val="en-US" w:eastAsia="zh-CN"/>
              </w:rPr>
              <w:t>1.96</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d（</w:t>
            </w:r>
            <w:r>
              <w:rPr>
                <w:rFonts w:hint="eastAsia" w:ascii="Times New Roman" w:hAnsi="Times New Roman" w:cs="Times New Roman"/>
                <w:color w:val="auto"/>
                <w:sz w:val="24"/>
                <w:highlight w:val="none"/>
                <w:lang w:val="en-US" w:eastAsia="zh-CN"/>
              </w:rPr>
              <w:t>294</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a）</w:t>
            </w:r>
            <w:r>
              <w:rPr>
                <w:rFonts w:hint="eastAsia" w:ascii="Times New Roman" w:hAnsi="Times New Roman" w:cs="Times New Roman"/>
                <w:color w:val="auto"/>
                <w:sz w:val="24"/>
                <w:highlight w:val="none"/>
                <w:lang w:val="en-US" w:eastAsia="zh-CN"/>
              </w:rPr>
              <w:t>。</w:t>
            </w:r>
          </w:p>
          <w:p w14:paraId="3CD752DF">
            <w:pPr>
              <w:adjustRightInd w:val="0"/>
              <w:snapToGrid w:val="0"/>
              <w:spacing w:line="360" w:lineRule="auto"/>
              <w:ind w:firstLine="480" w:firstLineChars="200"/>
              <w:jc w:val="both"/>
              <w:rPr>
                <w:rFonts w:hint="eastAsia" w:ascii="宋体" w:hAnsi="宋体" w:eastAsia="宋体" w:cs="宋体"/>
                <w:color w:val="auto"/>
                <w:kern w:val="0"/>
                <w:sz w:val="24"/>
                <w:lang w:eastAsia="zh-CN"/>
              </w:rPr>
            </w:pPr>
            <w:r>
              <w:rPr>
                <w:rFonts w:hint="eastAsia" w:ascii="宋体" w:hAnsi="宋体" w:cs="宋体"/>
                <w:color w:val="auto"/>
                <w:kern w:val="0"/>
                <w:sz w:val="24"/>
              </w:rPr>
              <w:t>循环冷却系统排水</w:t>
            </w:r>
            <w:r>
              <w:rPr>
                <w:rFonts w:hint="eastAsia" w:ascii="宋体" w:hAnsi="宋体" w:cs="宋体"/>
                <w:color w:val="auto"/>
                <w:kern w:val="0"/>
                <w:sz w:val="24"/>
                <w:lang w:eastAsia="zh-CN"/>
              </w:rPr>
              <w:t>：</w:t>
            </w:r>
            <w:r>
              <w:rPr>
                <w:rFonts w:hint="eastAsia" w:ascii="Times New Roman" w:hAnsi="Times New Roman" w:eastAsia="宋体" w:cs="Times New Roman"/>
                <w:bCs/>
                <w:color w:val="auto"/>
                <w:sz w:val="24"/>
                <w:lang w:val="en-US" w:eastAsia="zh-CN"/>
              </w:rPr>
              <w:t>为了保证循环水的水质，需要定期更换新鲜水，根据计算，</w:t>
            </w:r>
            <w:r>
              <w:rPr>
                <w:rFonts w:hint="eastAsia" w:cs="Times New Roman"/>
                <w:bCs/>
                <w:color w:val="auto"/>
                <w:sz w:val="24"/>
                <w:lang w:val="en-US" w:eastAsia="zh-CN"/>
              </w:rPr>
              <w:t>二期建成后全厂</w:t>
            </w:r>
            <w:r>
              <w:rPr>
                <w:rFonts w:hint="eastAsia" w:ascii="Times New Roman" w:hAnsi="Times New Roman" w:eastAsia="宋体" w:cs="Times New Roman"/>
                <w:bCs/>
                <w:color w:val="auto"/>
                <w:sz w:val="24"/>
                <w:lang w:val="en-US" w:eastAsia="zh-CN"/>
              </w:rPr>
              <w:t>循环水系统排水量为0.045</w:t>
            </w:r>
            <w:r>
              <w:rPr>
                <w:rFonts w:hint="eastAsia" w:ascii="Times New Roman" w:hAnsi="Times New Roman" w:eastAsia="宋体" w:cs="Times New Roman"/>
                <w:color w:val="auto"/>
                <w:sz w:val="24"/>
                <w:szCs w:val="24"/>
                <w:lang w:eastAsia="zh-CN"/>
              </w:rPr>
              <w:t>m</w:t>
            </w:r>
            <w:r>
              <w:rPr>
                <w:rFonts w:hint="eastAsia"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w:t>
            </w:r>
            <w:r>
              <w:rPr>
                <w:rFonts w:hint="eastAsia" w:ascii="Times New Roman" w:hAnsi="Times New Roman" w:eastAsia="宋体" w:cs="Times New Roman"/>
                <w:color w:val="auto"/>
                <w:kern w:val="0"/>
                <w:sz w:val="24"/>
                <w:lang w:val="en-US" w:eastAsia="zh-CN"/>
              </w:rPr>
              <w:t>0.36</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/d</w:t>
            </w:r>
            <w:r>
              <w:rPr>
                <w:rFonts w:hint="eastAsia" w:ascii="Times New Roman" w:hAnsi="Times New Roman" w:eastAsia="宋体" w:cs="Times New Roman"/>
                <w:color w:val="auto"/>
                <w:kern w:val="0"/>
                <w:sz w:val="24"/>
                <w:lang w:eastAsia="zh-CN"/>
              </w:rPr>
              <w:t>，</w:t>
            </w:r>
            <w:r>
              <w:rPr>
                <w:rFonts w:hint="eastAsia" w:ascii="Times New Roman" w:hAnsi="Times New Roman" w:eastAsia="宋体" w:cs="Times New Roman"/>
                <w:color w:val="auto"/>
                <w:kern w:val="0"/>
                <w:sz w:val="24"/>
                <w:lang w:val="en-US" w:eastAsia="zh-CN"/>
              </w:rPr>
              <w:t>54</w:t>
            </w:r>
            <w:r>
              <w:rPr>
                <w:rFonts w:hint="default" w:ascii="Times New Roman" w:hAnsi="Times New Roman" w:eastAsia="宋体" w:cs="Times New Roman"/>
                <w:color w:val="auto"/>
                <w:kern w:val="0"/>
                <w:sz w:val="24"/>
              </w:rPr>
              <w:t>m</w:t>
            </w:r>
            <w:r>
              <w:rPr>
                <w:rFonts w:hint="default" w:ascii="Times New Roman" w:hAnsi="Times New Roman" w:eastAsia="宋体" w:cs="Times New Roman"/>
                <w:color w:val="auto"/>
                <w:kern w:val="0"/>
                <w:sz w:val="24"/>
                <w:vertAlign w:val="superscript"/>
              </w:rPr>
              <w:t>3</w:t>
            </w:r>
            <w:r>
              <w:rPr>
                <w:rFonts w:hint="default" w:ascii="Times New Roman" w:hAnsi="Times New Roman" w:eastAsia="宋体" w:cs="Times New Roman"/>
                <w:color w:val="auto"/>
                <w:kern w:val="0"/>
                <w:sz w:val="24"/>
              </w:rPr>
              <w:t>/a</w:t>
            </w:r>
            <w:r>
              <w:rPr>
                <w:rFonts w:hint="eastAsia" w:ascii="Times New Roman" w:hAnsi="Times New Roman" w:eastAsia="宋体" w:cs="Times New Roman"/>
                <w:color w:val="auto"/>
                <w:sz w:val="24"/>
                <w:szCs w:val="24"/>
                <w:lang w:eastAsia="zh-CN"/>
              </w:rPr>
              <w:t>）。</w:t>
            </w:r>
          </w:p>
          <w:p w14:paraId="367B2842">
            <w:pPr>
              <w:pStyle w:val="88"/>
              <w:adjustRightInd/>
              <w:spacing w:line="360" w:lineRule="auto"/>
              <w:ind w:firstLine="480" w:firstLineChars="200"/>
              <w:jc w:val="both"/>
              <w:rPr>
                <w:rFonts w:hint="eastAsia" w:ascii="Times New Roman" w:hAnsi="Times New Roman" w:eastAsia="Sim Sun"/>
                <w:color w:val="auto"/>
                <w:lang w:val="en-US" w:eastAsia="zh-CN"/>
              </w:rPr>
            </w:pPr>
            <w:r>
              <w:rPr>
                <w:rFonts w:hint="eastAsia" w:ascii="Times New Roman" w:hAnsi="Times New Roman"/>
                <w:color w:val="auto"/>
                <w:lang w:val="en-US" w:eastAsia="zh-CN"/>
              </w:rPr>
              <w:t>生活污水：</w:t>
            </w:r>
            <w:r>
              <w:rPr>
                <w:rFonts w:hint="eastAsia" w:ascii="Times New Roman" w:hAnsi="Times New Roman" w:eastAsia="宋体" w:cs="Times New Roman"/>
                <w:color w:val="auto"/>
                <w:sz w:val="24"/>
                <w:lang w:val="en-US" w:eastAsia="zh-CN"/>
              </w:rPr>
              <w:t>本项目生活污水产生量按生活用水量的80%计，则二期建成后全厂生活污水产生量为1.6m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/d（240m</w:t>
            </w:r>
            <w:r>
              <w:rPr>
                <w:rFonts w:hint="eastAsia"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/a）。</w:t>
            </w:r>
          </w:p>
          <w:p w14:paraId="30D3E517">
            <w:pPr>
              <w:pStyle w:val="51"/>
              <w:jc w:val="both"/>
              <w:rPr>
                <w:rFonts w:hint="default" w:ascii="Times New Roman" w:hAnsi="Times New Roman" w:cs="Times New Roman"/>
                <w:color w:val="auto"/>
                <w:sz w:val="24"/>
                <w:szCs w:val="24"/>
                <w:highlight w:val="none"/>
              </w:rPr>
            </w:pPr>
            <w:r>
              <w:rPr>
                <w:rFonts w:hint="eastAsia"/>
                <w:bCs/>
                <w:color w:val="auto"/>
                <w:sz w:val="24"/>
                <w:lang w:val="en-US" w:eastAsia="zh-CN"/>
              </w:rPr>
              <w:t>本项目二期建成后全厂生活污水</w:t>
            </w:r>
            <w:r>
              <w:rPr>
                <w:rFonts w:hint="default"/>
                <w:bCs/>
                <w:color w:val="auto"/>
                <w:sz w:val="24"/>
                <w:lang w:val="en-US" w:eastAsia="zh-CN"/>
              </w:rPr>
              <w:t>经</w:t>
            </w:r>
            <w:r>
              <w:rPr>
                <w:rFonts w:hint="eastAsia"/>
                <w:bCs/>
                <w:color w:val="auto"/>
                <w:sz w:val="24"/>
                <w:lang w:val="en-US" w:eastAsia="zh-CN"/>
              </w:rPr>
              <w:t>厂区现有</w:t>
            </w:r>
            <w:r>
              <w:rPr>
                <w:rFonts w:hint="default"/>
                <w:bCs/>
                <w:color w:val="auto"/>
                <w:sz w:val="24"/>
                <w:lang w:val="en-US" w:eastAsia="zh-CN"/>
              </w:rPr>
              <w:t>化粪池处理后</w:t>
            </w:r>
            <w:r>
              <w:rPr>
                <w:rFonts w:hint="eastAsia"/>
                <w:bCs/>
                <w:color w:val="auto"/>
                <w:sz w:val="24"/>
                <w:lang w:val="en-US" w:eastAsia="zh-CN"/>
              </w:rPr>
              <w:t>汇同循环冷却系统排水排入园区污水管网，最终进入固原经济技术开发区新材料产业园污水处理厂进行处理</w:t>
            </w:r>
            <w:r>
              <w:rPr>
                <w:bCs/>
                <w:color w:val="auto"/>
                <w:sz w:val="24"/>
              </w:rPr>
              <w:t>。</w:t>
            </w:r>
          </w:p>
          <w:p w14:paraId="5FEDD2A9">
            <w:pPr>
              <w:pStyle w:val="51"/>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val="en-US"/>
              </w:rPr>
              <w:t>本项目</w:t>
            </w:r>
            <w:r>
              <w:rPr>
                <w:rFonts w:hint="default" w:ascii="Times New Roman" w:hAnsi="Times New Roman" w:cs="Times New Roman"/>
                <w:color w:val="auto"/>
                <w:sz w:val="24"/>
                <w:szCs w:val="24"/>
                <w:highlight w:val="none"/>
                <w:lang w:val="en-US" w:eastAsia="zh-CN"/>
              </w:rPr>
              <w:t>二期建成后全厂</w:t>
            </w:r>
            <w:r>
              <w:rPr>
                <w:rFonts w:hint="default" w:ascii="Times New Roman" w:hAnsi="Times New Roman" w:cs="Times New Roman"/>
                <w:color w:val="auto"/>
                <w:sz w:val="24"/>
                <w:szCs w:val="24"/>
                <w:highlight w:val="none"/>
                <w:lang w:val="en-US"/>
              </w:rPr>
              <w:t>给排水情况详见表</w:t>
            </w:r>
            <w:r>
              <w:rPr>
                <w:rFonts w:hint="eastAsia" w:ascii="Times New Roman" w:hAnsi="Times New Roman" w:cs="Times New Roman"/>
                <w:color w:val="auto"/>
                <w:sz w:val="24"/>
                <w:szCs w:val="24"/>
                <w:highlight w:val="none"/>
                <w:lang w:val="en-US" w:eastAsia="zh-CN"/>
              </w:rPr>
              <w:t>，</w:t>
            </w:r>
            <w:r>
              <w:rPr>
                <w:rFonts w:ascii="Times New Roman" w:hAnsi="Times New Roman"/>
                <w:color w:val="auto"/>
                <w:lang w:val="en-US"/>
              </w:rPr>
              <w:t>水平衡图见下图2-</w:t>
            </w:r>
            <w:r>
              <w:rPr>
                <w:rFonts w:hint="eastAsia" w:ascii="Times New Roman" w:hAnsi="Times New Roman"/>
                <w:color w:val="auto"/>
                <w:lang w:val="en-US" w:eastAsia="zh-CN"/>
              </w:rPr>
              <w:t>2。</w:t>
            </w:r>
          </w:p>
          <w:p w14:paraId="40669444">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cs="Times New Roman"/>
                <w:b/>
                <w:color w:val="auto"/>
                <w:sz w:val="21"/>
                <w:szCs w:val="21"/>
                <w:lang w:val="en-US"/>
              </w:rPr>
            </w:pPr>
            <w:r>
              <w:rPr>
                <w:rFonts w:cs="Times New Roman"/>
                <w:bCs/>
                <w:color w:val="auto"/>
                <w:sz w:val="21"/>
                <w:szCs w:val="21"/>
              </w:rPr>
              <w:t>表</w:t>
            </w:r>
            <w:r>
              <w:rPr>
                <w:rFonts w:hint="eastAsia" w:cs="Times New Roman"/>
                <w:bCs/>
                <w:color w:val="auto"/>
                <w:sz w:val="21"/>
                <w:szCs w:val="21"/>
                <w:lang w:val="en-US" w:eastAsia="zh-CN"/>
              </w:rPr>
              <w:t>2-9</w:t>
            </w:r>
            <w:r>
              <w:rPr>
                <w:rFonts w:cs="Times New Roman"/>
                <w:b/>
                <w:color w:val="auto"/>
                <w:sz w:val="21"/>
                <w:szCs w:val="21"/>
                <w:lang w:val="en-US"/>
              </w:rPr>
              <w:t xml:space="preserve">             </w:t>
            </w:r>
            <w:r>
              <w:rPr>
                <w:rFonts w:hint="eastAsia" w:cs="Times New Roman"/>
                <w:b/>
                <w:color w:val="auto"/>
                <w:sz w:val="24"/>
                <w:szCs w:val="24"/>
                <w:lang w:val="en-US"/>
              </w:rPr>
              <w:t>本</w:t>
            </w:r>
            <w:r>
              <w:rPr>
                <w:rFonts w:cs="Times New Roman"/>
                <w:b/>
                <w:color w:val="auto"/>
                <w:sz w:val="24"/>
                <w:szCs w:val="24"/>
                <w:lang w:val="en-US"/>
              </w:rPr>
              <w:t>项目</w:t>
            </w:r>
            <w:r>
              <w:rPr>
                <w:rFonts w:hint="eastAsia" w:cs="Times New Roman"/>
                <w:b/>
                <w:color w:val="auto"/>
                <w:sz w:val="24"/>
                <w:szCs w:val="24"/>
                <w:lang w:val="en-US" w:eastAsia="zh-CN"/>
              </w:rPr>
              <w:t>二期建成后全厂</w:t>
            </w:r>
            <w:r>
              <w:rPr>
                <w:rFonts w:cs="Times New Roman"/>
                <w:b/>
                <w:color w:val="auto"/>
                <w:sz w:val="24"/>
                <w:szCs w:val="24"/>
                <w:lang w:val="en-US"/>
              </w:rPr>
              <w:t>给排水</w:t>
            </w:r>
            <w:r>
              <w:rPr>
                <w:rFonts w:hint="eastAsia" w:cs="Times New Roman"/>
                <w:b/>
                <w:color w:val="auto"/>
                <w:sz w:val="24"/>
                <w:szCs w:val="24"/>
                <w:lang w:val="en-US"/>
              </w:rPr>
              <w:t>情况</w:t>
            </w:r>
            <w:r>
              <w:rPr>
                <w:rFonts w:cs="Times New Roman"/>
                <w:b/>
                <w:color w:val="auto"/>
                <w:sz w:val="24"/>
                <w:szCs w:val="24"/>
                <w:lang w:val="en-US"/>
              </w:rPr>
              <w:t>一览表</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97"/>
              <w:gridCol w:w="823"/>
              <w:gridCol w:w="856"/>
              <w:gridCol w:w="841"/>
              <w:gridCol w:w="734"/>
              <w:gridCol w:w="915"/>
              <w:gridCol w:w="796"/>
              <w:gridCol w:w="2195"/>
            </w:tblGrid>
            <w:tr w14:paraId="138891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16" w:type="pct"/>
                  <w:vMerge w:val="restart"/>
                  <w:tcBorders>
                    <w:tl2br w:val="nil"/>
                    <w:tr2bl w:val="nil"/>
                  </w:tcBorders>
                  <w:noWrap w:val="0"/>
                  <w:vAlign w:val="center"/>
                </w:tcPr>
                <w:p w14:paraId="2EE0DF2B">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用水单元</w:t>
                  </w:r>
                </w:p>
              </w:tc>
              <w:tc>
                <w:tcPr>
                  <w:tcW w:w="1004" w:type="pct"/>
                  <w:gridSpan w:val="2"/>
                  <w:tcBorders>
                    <w:tl2br w:val="nil"/>
                    <w:tr2bl w:val="nil"/>
                  </w:tcBorders>
                  <w:noWrap w:val="0"/>
                  <w:vAlign w:val="center"/>
                </w:tcPr>
                <w:p w14:paraId="4C706C5C">
                  <w:pPr>
                    <w:autoSpaceDE/>
                    <w:adjustRightInd w:val="0"/>
                    <w:snapToGrid w:val="0"/>
                    <w:jc w:val="center"/>
                    <w:textAlignment w:val="center"/>
                    <w:rPr>
                      <w:rFonts w:hint="eastAsia" w:eastAsia="宋体" w:cs="Times New Roman"/>
                      <w:b/>
                      <w:color w:val="auto"/>
                      <w:sz w:val="21"/>
                      <w:szCs w:val="21"/>
                      <w:shd w:val="clear" w:color="auto" w:fill="FFFFFF"/>
                      <w:lang w:val="en-US" w:eastAsia="zh-CN"/>
                    </w:rPr>
                  </w:pPr>
                  <w:r>
                    <w:rPr>
                      <w:rFonts w:cs="Times New Roman"/>
                      <w:b/>
                      <w:color w:val="auto"/>
                      <w:sz w:val="21"/>
                      <w:szCs w:val="21"/>
                      <w:shd w:val="clear" w:color="auto" w:fill="FFFFFF"/>
                      <w:lang w:val="en-US"/>
                    </w:rPr>
                    <w:t>新鲜水</w:t>
                  </w:r>
                  <w:r>
                    <w:rPr>
                      <w:rFonts w:hint="eastAsia" w:cs="Times New Roman"/>
                      <w:b/>
                      <w:color w:val="auto"/>
                      <w:sz w:val="21"/>
                      <w:szCs w:val="21"/>
                      <w:shd w:val="clear" w:color="auto" w:fill="FFFFFF"/>
                      <w:lang w:val="en-US" w:eastAsia="zh-CN"/>
                    </w:rPr>
                    <w:t>量</w:t>
                  </w:r>
                </w:p>
              </w:tc>
              <w:tc>
                <w:tcPr>
                  <w:tcW w:w="942" w:type="pct"/>
                  <w:gridSpan w:val="2"/>
                  <w:tcBorders>
                    <w:tl2br w:val="nil"/>
                    <w:tr2bl w:val="nil"/>
                  </w:tcBorders>
                  <w:noWrap w:val="0"/>
                  <w:vAlign w:val="center"/>
                </w:tcPr>
                <w:p w14:paraId="406BFD7B">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损耗量</w:t>
                  </w:r>
                </w:p>
              </w:tc>
              <w:tc>
                <w:tcPr>
                  <w:tcW w:w="1023" w:type="pct"/>
                  <w:gridSpan w:val="2"/>
                  <w:tcBorders>
                    <w:tl2br w:val="nil"/>
                    <w:tr2bl w:val="nil"/>
                  </w:tcBorders>
                  <w:noWrap w:val="0"/>
                  <w:vAlign w:val="center"/>
                </w:tcPr>
                <w:p w14:paraId="5304C8B6">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废水产生量</w:t>
                  </w:r>
                </w:p>
              </w:tc>
              <w:tc>
                <w:tcPr>
                  <w:tcW w:w="1313" w:type="pct"/>
                  <w:vMerge w:val="restart"/>
                  <w:tcBorders>
                    <w:tl2br w:val="nil"/>
                    <w:tr2bl w:val="nil"/>
                  </w:tcBorders>
                  <w:noWrap w:val="0"/>
                  <w:vAlign w:val="center"/>
                </w:tcPr>
                <w:p w14:paraId="3F32166F">
                  <w:pPr>
                    <w:autoSpaceDE/>
                    <w:adjustRightInd w:val="0"/>
                    <w:snapToGrid w:val="0"/>
                    <w:jc w:val="center"/>
                    <w:textAlignment w:val="center"/>
                    <w:rPr>
                      <w:rFonts w:cs="Times New Roman"/>
                      <w:b/>
                      <w:color w:val="auto"/>
                      <w:sz w:val="21"/>
                      <w:szCs w:val="21"/>
                      <w:shd w:val="clear" w:color="auto" w:fill="FFFFFF"/>
                      <w:lang w:val="en-US"/>
                    </w:rPr>
                  </w:pPr>
                  <w:r>
                    <w:rPr>
                      <w:rFonts w:hint="eastAsia" w:cs="Times New Roman"/>
                      <w:b/>
                      <w:color w:val="auto"/>
                      <w:sz w:val="21"/>
                      <w:szCs w:val="21"/>
                      <w:shd w:val="clear" w:color="auto" w:fill="FFFFFF"/>
                      <w:lang w:val="en-US"/>
                    </w:rPr>
                    <w:t>备注</w:t>
                  </w:r>
                </w:p>
              </w:tc>
            </w:tr>
            <w:tr w14:paraId="34D9D0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vMerge w:val="continue"/>
                  <w:tcBorders>
                    <w:tl2br w:val="nil"/>
                    <w:tr2bl w:val="nil"/>
                  </w:tcBorders>
                  <w:noWrap w:val="0"/>
                  <w:vAlign w:val="center"/>
                </w:tcPr>
                <w:p w14:paraId="52E28BE4">
                  <w:pPr>
                    <w:autoSpaceDE/>
                    <w:adjustRightInd w:val="0"/>
                    <w:snapToGrid w:val="0"/>
                    <w:jc w:val="center"/>
                    <w:textAlignment w:val="center"/>
                    <w:rPr>
                      <w:rFonts w:cs="Times New Roman"/>
                      <w:b/>
                      <w:color w:val="auto"/>
                      <w:sz w:val="21"/>
                      <w:szCs w:val="21"/>
                      <w:shd w:val="clear" w:color="auto" w:fill="FFFFFF"/>
                      <w:lang w:val="en-US"/>
                    </w:rPr>
                  </w:pPr>
                </w:p>
              </w:tc>
              <w:tc>
                <w:tcPr>
                  <w:tcW w:w="492" w:type="pct"/>
                  <w:tcBorders>
                    <w:tl2br w:val="nil"/>
                    <w:tr2bl w:val="nil"/>
                  </w:tcBorders>
                  <w:noWrap w:val="0"/>
                  <w:vAlign w:val="center"/>
                </w:tcPr>
                <w:p w14:paraId="75482452">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/d</w:t>
                  </w:r>
                </w:p>
              </w:tc>
              <w:tc>
                <w:tcPr>
                  <w:tcW w:w="512" w:type="pct"/>
                  <w:tcBorders>
                    <w:tl2br w:val="nil"/>
                    <w:tr2bl w:val="nil"/>
                  </w:tcBorders>
                  <w:noWrap w:val="0"/>
                  <w:vAlign w:val="center"/>
                </w:tcPr>
                <w:p w14:paraId="74A71F97">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/a</w:t>
                  </w:r>
                </w:p>
              </w:tc>
              <w:tc>
                <w:tcPr>
                  <w:tcW w:w="503" w:type="pct"/>
                  <w:tcBorders>
                    <w:tl2br w:val="nil"/>
                    <w:tr2bl w:val="nil"/>
                  </w:tcBorders>
                  <w:noWrap w:val="0"/>
                  <w:vAlign w:val="center"/>
                </w:tcPr>
                <w:p w14:paraId="1486D093">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/d</w:t>
                  </w:r>
                </w:p>
              </w:tc>
              <w:tc>
                <w:tcPr>
                  <w:tcW w:w="439" w:type="pct"/>
                  <w:tcBorders>
                    <w:tl2br w:val="nil"/>
                    <w:tr2bl w:val="nil"/>
                  </w:tcBorders>
                  <w:noWrap w:val="0"/>
                  <w:vAlign w:val="center"/>
                </w:tcPr>
                <w:p w14:paraId="26325C18">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/a</w:t>
                  </w:r>
                </w:p>
              </w:tc>
              <w:tc>
                <w:tcPr>
                  <w:tcW w:w="547" w:type="pct"/>
                  <w:tcBorders>
                    <w:tl2br w:val="nil"/>
                    <w:tr2bl w:val="nil"/>
                  </w:tcBorders>
                  <w:noWrap w:val="0"/>
                  <w:vAlign w:val="center"/>
                </w:tcPr>
                <w:p w14:paraId="498BF4F4">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/d</w:t>
                  </w:r>
                </w:p>
              </w:tc>
              <w:tc>
                <w:tcPr>
                  <w:tcW w:w="476" w:type="pct"/>
                  <w:tcBorders>
                    <w:tl2br w:val="nil"/>
                    <w:tr2bl w:val="nil"/>
                  </w:tcBorders>
                  <w:noWrap w:val="0"/>
                  <w:vAlign w:val="center"/>
                </w:tcPr>
                <w:p w14:paraId="6CBAF120">
                  <w:pPr>
                    <w:autoSpaceDE/>
                    <w:adjustRightInd w:val="0"/>
                    <w:snapToGrid w:val="0"/>
                    <w:jc w:val="center"/>
                    <w:textAlignment w:val="center"/>
                    <w:rPr>
                      <w:rFonts w:cs="Times New Roman"/>
                      <w:b/>
                      <w:color w:val="auto"/>
                      <w:sz w:val="21"/>
                      <w:szCs w:val="21"/>
                      <w:shd w:val="clear" w:color="auto" w:fill="FFFFFF"/>
                      <w:lang w:val="en-US"/>
                    </w:rPr>
                  </w:pPr>
                  <w:r>
                    <w:rPr>
                      <w:rFonts w:cs="Times New Roman"/>
                      <w:b/>
                      <w:color w:val="auto"/>
                      <w:sz w:val="21"/>
                      <w:szCs w:val="21"/>
                      <w:shd w:val="clear" w:color="auto" w:fill="FFFFFF"/>
                      <w:lang w:val="en-US"/>
                    </w:rPr>
                    <w:t>m</w:t>
                  </w:r>
                  <w:r>
                    <w:rPr>
                      <w:rFonts w:cs="Times New Roman"/>
                      <w:b/>
                      <w:color w:val="auto"/>
                      <w:sz w:val="21"/>
                      <w:szCs w:val="21"/>
                      <w:shd w:val="clear" w:color="auto" w:fill="FFFFFF"/>
                      <w:vertAlign w:val="superscript"/>
                      <w:lang w:val="en-US"/>
                    </w:rPr>
                    <w:t>3</w:t>
                  </w:r>
                  <w:r>
                    <w:rPr>
                      <w:rFonts w:cs="Times New Roman"/>
                      <w:b/>
                      <w:color w:val="auto"/>
                      <w:sz w:val="21"/>
                      <w:szCs w:val="21"/>
                      <w:shd w:val="clear" w:color="auto" w:fill="FFFFFF"/>
                      <w:lang w:val="en-US"/>
                    </w:rPr>
                    <w:t>/a</w:t>
                  </w:r>
                </w:p>
              </w:tc>
              <w:tc>
                <w:tcPr>
                  <w:tcW w:w="1313" w:type="pct"/>
                  <w:vMerge w:val="continue"/>
                  <w:tcBorders>
                    <w:tl2br w:val="nil"/>
                    <w:tr2bl w:val="nil"/>
                  </w:tcBorders>
                  <w:noWrap w:val="0"/>
                  <w:vAlign w:val="center"/>
                </w:tcPr>
                <w:p w14:paraId="0284CF56">
                  <w:pPr>
                    <w:autoSpaceDE/>
                    <w:adjustRightInd w:val="0"/>
                    <w:snapToGrid w:val="0"/>
                    <w:jc w:val="center"/>
                    <w:textAlignment w:val="center"/>
                    <w:rPr>
                      <w:rFonts w:cs="Times New Roman"/>
                      <w:b/>
                      <w:color w:val="auto"/>
                      <w:sz w:val="21"/>
                      <w:szCs w:val="21"/>
                      <w:shd w:val="clear" w:color="auto" w:fill="FFFFFF"/>
                      <w:lang w:val="en-US"/>
                    </w:rPr>
                  </w:pPr>
                </w:p>
              </w:tc>
            </w:tr>
            <w:tr w14:paraId="15A76B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tcBorders>
                    <w:tl2br w:val="nil"/>
                    <w:tr2bl w:val="nil"/>
                  </w:tcBorders>
                  <w:noWrap w:val="0"/>
                  <w:vAlign w:val="center"/>
                </w:tcPr>
                <w:p w14:paraId="44C816BB">
                  <w:pPr>
                    <w:autoSpaceDE/>
                    <w:adjustRightInd w:val="0"/>
                    <w:snapToGrid w:val="0"/>
                    <w:jc w:val="center"/>
                    <w:textAlignment w:val="center"/>
                    <w:rPr>
                      <w:rFonts w:cs="Times New Roman"/>
                      <w:color w:val="auto"/>
                      <w:sz w:val="21"/>
                      <w:szCs w:val="21"/>
                      <w:lang w:val="en-US"/>
                    </w:rPr>
                  </w:pPr>
                  <w:r>
                    <w:rPr>
                      <w:rFonts w:hint="eastAsia" w:cs="Times New Roman"/>
                      <w:color w:val="auto"/>
                      <w:sz w:val="21"/>
                      <w:szCs w:val="21"/>
                      <w:lang w:val="en-US" w:eastAsia="zh-CN"/>
                    </w:rPr>
                    <w:t>循环冷却系统补水</w:t>
                  </w:r>
                </w:p>
              </w:tc>
              <w:tc>
                <w:tcPr>
                  <w:tcW w:w="492" w:type="pct"/>
                  <w:tcBorders>
                    <w:tl2br w:val="nil"/>
                    <w:tr2bl w:val="nil"/>
                  </w:tcBorders>
                  <w:noWrap w:val="0"/>
                  <w:vAlign w:val="center"/>
                </w:tcPr>
                <w:p w14:paraId="064A61C6">
                  <w:pPr>
                    <w:autoSpaceDE/>
                    <w:adjustRightInd w:val="0"/>
                    <w:snapToGrid w:val="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1.54</w:t>
                  </w:r>
                </w:p>
              </w:tc>
              <w:tc>
                <w:tcPr>
                  <w:tcW w:w="512" w:type="pct"/>
                  <w:tcBorders>
                    <w:tl2br w:val="nil"/>
                    <w:tr2bl w:val="nil"/>
                  </w:tcBorders>
                  <w:noWrap w:val="0"/>
                  <w:vAlign w:val="center"/>
                </w:tcPr>
                <w:p w14:paraId="059D395C">
                  <w:pPr>
                    <w:autoSpaceDE/>
                    <w:adjustRightInd w:val="0"/>
                    <w:snapToGrid w:val="0"/>
                    <w:jc w:val="center"/>
                    <w:textAlignment w:val="center"/>
                    <w:rPr>
                      <w:rFonts w:hint="default" w:cs="Times New Roman"/>
                      <w:color w:val="auto"/>
                      <w:sz w:val="21"/>
                      <w:szCs w:val="21"/>
                      <w:lang w:val="en-US" w:eastAsia="zh-CN"/>
                    </w:rPr>
                  </w:pPr>
                  <w:r>
                    <w:rPr>
                      <w:rFonts w:hint="eastAsia" w:cs="Times New Roman"/>
                      <w:color w:val="auto"/>
                      <w:sz w:val="21"/>
                      <w:szCs w:val="21"/>
                      <w:lang w:val="en-US" w:eastAsia="zh-CN"/>
                    </w:rPr>
                    <w:t>230.4</w:t>
                  </w:r>
                </w:p>
              </w:tc>
              <w:tc>
                <w:tcPr>
                  <w:tcW w:w="503" w:type="pct"/>
                  <w:tcBorders>
                    <w:tl2br w:val="nil"/>
                    <w:tr2bl w:val="nil"/>
                  </w:tcBorders>
                  <w:noWrap w:val="0"/>
                  <w:vAlign w:val="center"/>
                </w:tcPr>
                <w:p w14:paraId="256C8FE3">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1.18</w:t>
                  </w:r>
                </w:p>
              </w:tc>
              <w:tc>
                <w:tcPr>
                  <w:tcW w:w="439" w:type="pct"/>
                  <w:tcBorders>
                    <w:tl2br w:val="nil"/>
                    <w:tr2bl w:val="nil"/>
                  </w:tcBorders>
                  <w:noWrap w:val="0"/>
                  <w:vAlign w:val="center"/>
                </w:tcPr>
                <w:p w14:paraId="0AB21217">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176.4</w:t>
                  </w:r>
                </w:p>
              </w:tc>
              <w:tc>
                <w:tcPr>
                  <w:tcW w:w="547" w:type="pct"/>
                  <w:tcBorders>
                    <w:tl2br w:val="nil"/>
                    <w:tr2bl w:val="nil"/>
                  </w:tcBorders>
                  <w:noWrap w:val="0"/>
                  <w:vAlign w:val="center"/>
                </w:tcPr>
                <w:p w14:paraId="32C6A06B">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0.36</w:t>
                  </w:r>
                </w:p>
              </w:tc>
              <w:tc>
                <w:tcPr>
                  <w:tcW w:w="476" w:type="pct"/>
                  <w:tcBorders>
                    <w:tl2br w:val="nil"/>
                    <w:tr2bl w:val="nil"/>
                  </w:tcBorders>
                  <w:noWrap w:val="0"/>
                  <w:vAlign w:val="center"/>
                </w:tcPr>
                <w:p w14:paraId="3BAF871D">
                  <w:pPr>
                    <w:autoSpaceDE/>
                    <w:adjustRightInd w:val="0"/>
                    <w:snapToGrid w:val="0"/>
                    <w:jc w:val="center"/>
                    <w:textAlignment w:val="center"/>
                    <w:rPr>
                      <w:rFonts w:hint="default"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54</w:t>
                  </w:r>
                </w:p>
              </w:tc>
              <w:tc>
                <w:tcPr>
                  <w:tcW w:w="1313" w:type="pct"/>
                  <w:vMerge w:val="restart"/>
                  <w:tcBorders>
                    <w:tl2br w:val="nil"/>
                    <w:tr2bl w:val="nil"/>
                  </w:tcBorders>
                  <w:noWrap w:val="0"/>
                  <w:vAlign w:val="center"/>
                </w:tcPr>
                <w:p w14:paraId="314C8C60">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eastAsia="宋体" w:cs="Times New Roman"/>
                      <w:color w:val="auto"/>
                      <w:sz w:val="21"/>
                      <w:szCs w:val="21"/>
                      <w:shd w:val="clear" w:color="auto" w:fill="FFFFFF"/>
                      <w:lang w:val="en-US" w:eastAsia="zh-CN"/>
                    </w:rPr>
                    <w:t>生活污水</w:t>
                  </w:r>
                  <w:r>
                    <w:rPr>
                      <w:rFonts w:hint="default" w:eastAsia="宋体" w:cs="Times New Roman"/>
                      <w:color w:val="auto"/>
                      <w:sz w:val="21"/>
                      <w:szCs w:val="21"/>
                      <w:shd w:val="clear" w:color="auto" w:fill="FFFFFF"/>
                      <w:lang w:val="en-US" w:eastAsia="zh-CN"/>
                    </w:rPr>
                    <w:t>经厂区现有化粪池处理后汇同循环冷却系统排水排入园区污水管网，最终进入</w:t>
                  </w:r>
                  <w:r>
                    <w:rPr>
                      <w:rFonts w:hint="eastAsia" w:cs="Times New Roman"/>
                      <w:color w:val="auto"/>
                      <w:sz w:val="21"/>
                      <w:szCs w:val="21"/>
                      <w:shd w:val="clear" w:color="auto" w:fill="FFFFFF"/>
                      <w:lang w:val="en-US" w:eastAsia="zh-CN"/>
                    </w:rPr>
                    <w:t>固原经济技术开发区新材料产业园污水处理厂进行处理</w:t>
                  </w:r>
                </w:p>
              </w:tc>
            </w:tr>
            <w:tr w14:paraId="2D91F3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tcBorders>
                    <w:tl2br w:val="nil"/>
                    <w:tr2bl w:val="nil"/>
                  </w:tcBorders>
                  <w:noWrap w:val="0"/>
                  <w:vAlign w:val="center"/>
                </w:tcPr>
                <w:p w14:paraId="309C3CEF">
                  <w:pPr>
                    <w:autoSpaceDE/>
                    <w:adjustRightInd w:val="0"/>
                    <w:snapToGrid w:val="0"/>
                    <w:jc w:val="center"/>
                    <w:textAlignment w:val="center"/>
                    <w:rPr>
                      <w:rFonts w:hint="eastAsia" w:eastAsia="宋体" w:cs="Times New Roman"/>
                      <w:color w:val="auto"/>
                      <w:sz w:val="21"/>
                      <w:szCs w:val="21"/>
                      <w:shd w:val="clear" w:color="auto" w:fill="FFFFFF"/>
                      <w:lang w:val="en-US" w:eastAsia="zh-CN"/>
                    </w:rPr>
                  </w:pPr>
                  <w:r>
                    <w:rPr>
                      <w:rFonts w:cs="Times New Roman"/>
                      <w:color w:val="auto"/>
                      <w:sz w:val="21"/>
                      <w:szCs w:val="21"/>
                      <w:lang w:val="en-US"/>
                    </w:rPr>
                    <w:t>生活用水</w:t>
                  </w:r>
                </w:p>
              </w:tc>
              <w:tc>
                <w:tcPr>
                  <w:tcW w:w="492" w:type="pct"/>
                  <w:tcBorders>
                    <w:tl2br w:val="nil"/>
                    <w:tr2bl w:val="nil"/>
                  </w:tcBorders>
                  <w:noWrap w:val="0"/>
                  <w:vAlign w:val="center"/>
                </w:tcPr>
                <w:p w14:paraId="46CE0F1C">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2.0</w:t>
                  </w:r>
                </w:p>
              </w:tc>
              <w:tc>
                <w:tcPr>
                  <w:tcW w:w="512" w:type="pct"/>
                  <w:tcBorders>
                    <w:tl2br w:val="nil"/>
                    <w:tr2bl w:val="nil"/>
                  </w:tcBorders>
                  <w:noWrap w:val="0"/>
                  <w:vAlign w:val="center"/>
                </w:tcPr>
                <w:p w14:paraId="1957D38F">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300</w:t>
                  </w:r>
                </w:p>
              </w:tc>
              <w:tc>
                <w:tcPr>
                  <w:tcW w:w="503" w:type="pct"/>
                  <w:tcBorders>
                    <w:tl2br w:val="nil"/>
                    <w:tr2bl w:val="nil"/>
                  </w:tcBorders>
                  <w:noWrap w:val="0"/>
                  <w:vAlign w:val="center"/>
                </w:tcPr>
                <w:p w14:paraId="4793D24D">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0.4</w:t>
                  </w:r>
                </w:p>
              </w:tc>
              <w:tc>
                <w:tcPr>
                  <w:tcW w:w="439" w:type="pct"/>
                  <w:tcBorders>
                    <w:tl2br w:val="nil"/>
                    <w:tr2bl w:val="nil"/>
                  </w:tcBorders>
                  <w:noWrap w:val="0"/>
                  <w:vAlign w:val="center"/>
                </w:tcPr>
                <w:p w14:paraId="0C29C66C">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60</w:t>
                  </w:r>
                </w:p>
              </w:tc>
              <w:tc>
                <w:tcPr>
                  <w:tcW w:w="547" w:type="pct"/>
                  <w:tcBorders>
                    <w:tl2br w:val="nil"/>
                    <w:tr2bl w:val="nil"/>
                  </w:tcBorders>
                  <w:noWrap w:val="0"/>
                  <w:vAlign w:val="center"/>
                </w:tcPr>
                <w:p w14:paraId="461148FF">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1.6</w:t>
                  </w:r>
                </w:p>
              </w:tc>
              <w:tc>
                <w:tcPr>
                  <w:tcW w:w="476" w:type="pct"/>
                  <w:tcBorders>
                    <w:tl2br w:val="nil"/>
                    <w:tr2bl w:val="nil"/>
                  </w:tcBorders>
                  <w:noWrap w:val="0"/>
                  <w:vAlign w:val="center"/>
                </w:tcPr>
                <w:p w14:paraId="6C75813D">
                  <w:pPr>
                    <w:autoSpaceDE/>
                    <w:adjustRightInd w:val="0"/>
                    <w:snapToGrid w:val="0"/>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240</w:t>
                  </w:r>
                </w:p>
              </w:tc>
              <w:tc>
                <w:tcPr>
                  <w:tcW w:w="1313" w:type="pct"/>
                  <w:vMerge w:val="continue"/>
                  <w:tcBorders>
                    <w:tl2br w:val="nil"/>
                    <w:tr2bl w:val="nil"/>
                  </w:tcBorders>
                  <w:noWrap w:val="0"/>
                  <w:vAlign w:val="center"/>
                </w:tcPr>
                <w:p w14:paraId="0D9F8337">
                  <w:pPr>
                    <w:autoSpaceDE/>
                    <w:adjustRightInd w:val="0"/>
                    <w:snapToGrid w:val="0"/>
                    <w:jc w:val="center"/>
                    <w:textAlignment w:val="center"/>
                    <w:rPr>
                      <w:rFonts w:hint="default" w:eastAsia="宋体" w:cs="Times New Roman"/>
                      <w:color w:val="auto"/>
                      <w:sz w:val="21"/>
                      <w:szCs w:val="21"/>
                      <w:shd w:val="clear" w:color="auto" w:fill="FFFFFF"/>
                      <w:lang w:val="en-US" w:eastAsia="zh-CN"/>
                    </w:rPr>
                  </w:pPr>
                </w:p>
              </w:tc>
            </w:tr>
            <w:tr w14:paraId="71C17F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6" w:type="pct"/>
                  <w:tcBorders>
                    <w:tl2br w:val="nil"/>
                    <w:tr2bl w:val="nil"/>
                  </w:tcBorders>
                  <w:noWrap w:val="0"/>
                  <w:vAlign w:val="center"/>
                </w:tcPr>
                <w:p w14:paraId="4BD4E097">
                  <w:pPr>
                    <w:autoSpaceDE/>
                    <w:adjustRightInd w:val="0"/>
                    <w:snapToGrid w:val="0"/>
                    <w:jc w:val="center"/>
                    <w:textAlignment w:val="center"/>
                    <w:rPr>
                      <w:rFonts w:cs="Times New Roman"/>
                      <w:color w:val="auto"/>
                      <w:sz w:val="21"/>
                      <w:szCs w:val="21"/>
                      <w:shd w:val="clear" w:color="auto" w:fill="FFFFFF"/>
                      <w:lang w:val="en-US"/>
                    </w:rPr>
                  </w:pPr>
                  <w:r>
                    <w:rPr>
                      <w:rFonts w:cs="Times New Roman"/>
                      <w:color w:val="auto"/>
                      <w:sz w:val="21"/>
                      <w:szCs w:val="21"/>
                      <w:shd w:val="clear" w:color="auto" w:fill="FFFFFF"/>
                      <w:lang w:val="en-US"/>
                    </w:rPr>
                    <w:t>合计</w:t>
                  </w:r>
                </w:p>
              </w:tc>
              <w:tc>
                <w:tcPr>
                  <w:tcW w:w="492" w:type="pct"/>
                  <w:tcBorders>
                    <w:tl2br w:val="nil"/>
                    <w:tr2bl w:val="nil"/>
                  </w:tcBorders>
                  <w:noWrap w:val="0"/>
                  <w:vAlign w:val="center"/>
                </w:tcPr>
                <w:p w14:paraId="6447B3C6">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3.54</w:t>
                  </w:r>
                </w:p>
              </w:tc>
              <w:tc>
                <w:tcPr>
                  <w:tcW w:w="512" w:type="pct"/>
                  <w:tcBorders>
                    <w:tl2br w:val="nil"/>
                    <w:tr2bl w:val="nil"/>
                  </w:tcBorders>
                  <w:noWrap w:val="0"/>
                  <w:vAlign w:val="center"/>
                </w:tcPr>
                <w:p w14:paraId="434582DC">
                  <w:pPr>
                    <w:autoSpaceDE/>
                    <w:adjustRightInd w:val="0"/>
                    <w:snapToGrid w:val="0"/>
                    <w:jc w:val="center"/>
                    <w:textAlignment w:val="center"/>
                    <w:rPr>
                      <w:rFonts w:hint="default" w:eastAsia="宋体" w:cs="Times New Roman"/>
                      <w:color w:val="auto"/>
                      <w:sz w:val="21"/>
                      <w:szCs w:val="21"/>
                      <w:lang w:val="en-US" w:eastAsia="zh-CN"/>
                    </w:rPr>
                  </w:pPr>
                  <w:r>
                    <w:rPr>
                      <w:rFonts w:hint="eastAsia" w:cs="Times New Roman"/>
                      <w:color w:val="auto"/>
                      <w:sz w:val="21"/>
                      <w:szCs w:val="21"/>
                      <w:lang w:val="en-US" w:eastAsia="zh-CN"/>
                    </w:rPr>
                    <w:t>530.4</w:t>
                  </w:r>
                </w:p>
              </w:tc>
              <w:tc>
                <w:tcPr>
                  <w:tcW w:w="503" w:type="pct"/>
                  <w:tcBorders>
                    <w:tl2br w:val="nil"/>
                    <w:tr2bl w:val="nil"/>
                  </w:tcBorders>
                  <w:noWrap w:val="0"/>
                  <w:vAlign w:val="center"/>
                </w:tcPr>
                <w:p w14:paraId="66D3662C">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1.58</w:t>
                  </w:r>
                </w:p>
              </w:tc>
              <w:tc>
                <w:tcPr>
                  <w:tcW w:w="439" w:type="pct"/>
                  <w:tcBorders>
                    <w:tl2br w:val="nil"/>
                    <w:tr2bl w:val="nil"/>
                  </w:tcBorders>
                  <w:noWrap w:val="0"/>
                  <w:vAlign w:val="center"/>
                </w:tcPr>
                <w:p w14:paraId="78A36B95">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236.4</w:t>
                  </w:r>
                </w:p>
              </w:tc>
              <w:tc>
                <w:tcPr>
                  <w:tcW w:w="547" w:type="pct"/>
                  <w:tcBorders>
                    <w:tl2br w:val="nil"/>
                    <w:tr2bl w:val="nil"/>
                  </w:tcBorders>
                  <w:noWrap w:val="0"/>
                  <w:vAlign w:val="center"/>
                </w:tcPr>
                <w:p w14:paraId="3A574609">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1.96</w:t>
                  </w:r>
                </w:p>
              </w:tc>
              <w:tc>
                <w:tcPr>
                  <w:tcW w:w="476" w:type="pct"/>
                  <w:tcBorders>
                    <w:tl2br w:val="nil"/>
                    <w:tr2bl w:val="nil"/>
                  </w:tcBorders>
                  <w:noWrap w:val="0"/>
                  <w:vAlign w:val="center"/>
                </w:tcPr>
                <w:p w14:paraId="154B6DCD">
                  <w:pPr>
                    <w:widowControl/>
                    <w:jc w:val="center"/>
                    <w:textAlignment w:val="center"/>
                    <w:rPr>
                      <w:rFonts w:hint="default" w:eastAsia="宋体" w:cs="Times New Roman"/>
                      <w:color w:val="auto"/>
                      <w:sz w:val="21"/>
                      <w:szCs w:val="21"/>
                      <w:shd w:val="clear" w:color="auto" w:fill="FFFFFF"/>
                      <w:lang w:val="en-US" w:eastAsia="zh-CN"/>
                    </w:rPr>
                  </w:pPr>
                  <w:r>
                    <w:rPr>
                      <w:rFonts w:hint="eastAsia" w:cs="Times New Roman"/>
                      <w:color w:val="auto"/>
                      <w:sz w:val="21"/>
                      <w:szCs w:val="21"/>
                      <w:shd w:val="clear" w:color="auto" w:fill="FFFFFF"/>
                      <w:lang w:val="en-US" w:eastAsia="zh-CN"/>
                    </w:rPr>
                    <w:t>294</w:t>
                  </w:r>
                </w:p>
              </w:tc>
              <w:tc>
                <w:tcPr>
                  <w:tcW w:w="1313" w:type="pct"/>
                  <w:tcBorders>
                    <w:tl2br w:val="nil"/>
                    <w:tr2bl w:val="nil"/>
                  </w:tcBorders>
                  <w:noWrap w:val="0"/>
                  <w:vAlign w:val="center"/>
                </w:tcPr>
                <w:p w14:paraId="60268F3F">
                  <w:pPr>
                    <w:widowControl/>
                    <w:jc w:val="center"/>
                    <w:textAlignment w:val="center"/>
                    <w:rPr>
                      <w:rFonts w:cs="Times New Roman"/>
                      <w:color w:val="auto"/>
                      <w:sz w:val="21"/>
                      <w:szCs w:val="21"/>
                      <w:lang w:val="en-US" w:bidi="ar"/>
                    </w:rPr>
                  </w:pPr>
                  <w:r>
                    <w:rPr>
                      <w:rFonts w:hint="eastAsia" w:cs="Times New Roman"/>
                      <w:color w:val="auto"/>
                      <w:sz w:val="21"/>
                      <w:szCs w:val="21"/>
                      <w:lang w:val="en-US" w:bidi="ar"/>
                    </w:rPr>
                    <w:t>/</w:t>
                  </w:r>
                </w:p>
              </w:tc>
            </w:tr>
          </w:tbl>
          <w:p w14:paraId="6246AA00">
            <w:pPr>
              <w:pStyle w:val="1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cs="Times New Roman"/>
                <w:color w:val="auto"/>
                <w:szCs w:val="21"/>
                <w:lang w:val="en-US"/>
              </w:rPr>
            </w:pPr>
            <w:r>
              <w:rPr>
                <w:rFonts w:cs="Times New Roman"/>
                <w:color w:val="auto"/>
                <w:szCs w:val="21"/>
              </w:rPr>
              <w:object>
                <v:shape id="_x0000_i1028" o:spt="75" type="#_x0000_t75" style="height:160.15pt;width:423.3pt;" o:ole="t" filled="f" o:preferrelative="t" stroked="f" coordsize="21600,21600">
                  <v:path/>
                  <v:fill on="f" focussize="0,0"/>
                  <v:stroke on="f"/>
                  <v:imagedata r:id="rId15" o:title=""/>
                  <o:lock v:ext="edit" aspectratio="f"/>
                  <w10:wrap type="none"/>
                  <w10:anchorlock/>
                </v:shape>
                <o:OLEObject Type="Embed" ProgID="Visio.Drawing.15" ShapeID="_x0000_i1028" DrawAspect="Content" ObjectID="_1468075728" r:id="rId14">
                  <o:LockedField>false</o:LockedField>
                </o:OLEObject>
              </w:object>
            </w:r>
            <w:r>
              <w:rPr>
                <w:rFonts w:cs="Times New Roman"/>
                <w:color w:val="auto"/>
                <w:szCs w:val="21"/>
              </w:rPr>
              <w:t>图</w:t>
            </w:r>
            <w:r>
              <w:rPr>
                <w:rFonts w:cs="Times New Roman"/>
                <w:color w:val="auto"/>
                <w:szCs w:val="21"/>
                <w:lang w:val="en-US"/>
              </w:rPr>
              <w:t>2-</w:t>
            </w:r>
            <w:r>
              <w:rPr>
                <w:rFonts w:hint="eastAsia" w:cs="Times New Roman"/>
                <w:color w:val="auto"/>
                <w:szCs w:val="21"/>
                <w:lang w:val="en-US" w:eastAsia="zh-CN"/>
              </w:rPr>
              <w:t>2</w:t>
            </w:r>
            <w:r>
              <w:rPr>
                <w:rFonts w:cs="Times New Roman"/>
                <w:color w:val="auto"/>
                <w:szCs w:val="21"/>
              </w:rPr>
              <w:t xml:space="preserve"> </w:t>
            </w:r>
            <w:r>
              <w:rPr>
                <w:rFonts w:hint="eastAsia" w:cs="Times New Roman"/>
                <w:color w:val="auto"/>
                <w:szCs w:val="21"/>
                <w:lang w:val="en-US"/>
              </w:rPr>
              <w:t xml:space="preserve"> </w:t>
            </w:r>
            <w:r>
              <w:rPr>
                <w:rFonts w:cs="Times New Roman"/>
                <w:b/>
                <w:bCs/>
                <w:color w:val="auto"/>
                <w:sz w:val="24"/>
                <w:szCs w:val="24"/>
              </w:rPr>
              <w:t>本项目</w:t>
            </w:r>
            <w:r>
              <w:rPr>
                <w:rFonts w:hint="eastAsia" w:cs="Times New Roman"/>
                <w:b/>
                <w:bCs/>
                <w:color w:val="auto"/>
                <w:sz w:val="24"/>
                <w:szCs w:val="24"/>
                <w:lang w:val="en-US" w:eastAsia="zh-CN"/>
              </w:rPr>
              <w:t>二期建成后全厂</w:t>
            </w:r>
            <w:r>
              <w:rPr>
                <w:rFonts w:cs="Times New Roman"/>
                <w:b/>
                <w:bCs/>
                <w:color w:val="auto"/>
                <w:sz w:val="24"/>
                <w:szCs w:val="24"/>
              </w:rPr>
              <w:t>水平衡图</w:t>
            </w:r>
            <w:r>
              <w:rPr>
                <w:rFonts w:cs="Times New Roman"/>
                <w:color w:val="auto"/>
                <w:szCs w:val="21"/>
              </w:rPr>
              <w:t>（</w:t>
            </w:r>
            <w:r>
              <w:rPr>
                <w:rFonts w:hint="eastAsia" w:cs="Times New Roman"/>
                <w:color w:val="auto"/>
                <w:szCs w:val="21"/>
                <w:lang w:val="en-US" w:eastAsia="zh-CN"/>
              </w:rPr>
              <w:t>单位：</w:t>
            </w:r>
            <w:r>
              <w:rPr>
                <w:rFonts w:cs="Times New Roman"/>
                <w:color w:val="auto"/>
                <w:szCs w:val="21"/>
                <w:lang w:val="en-US"/>
              </w:rPr>
              <w:t>m</w:t>
            </w:r>
            <w:r>
              <w:rPr>
                <w:rFonts w:cs="Times New Roman"/>
                <w:color w:val="auto"/>
                <w:szCs w:val="21"/>
                <w:vertAlign w:val="superscript"/>
                <w:lang w:val="en-US"/>
              </w:rPr>
              <w:t>3</w:t>
            </w:r>
            <w:r>
              <w:rPr>
                <w:rFonts w:cs="Times New Roman"/>
                <w:color w:val="auto"/>
                <w:szCs w:val="21"/>
                <w:lang w:val="en-US"/>
              </w:rPr>
              <w:t>/d）</w:t>
            </w:r>
          </w:p>
          <w:p w14:paraId="1B0E75F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color w:val="auto"/>
                <w:sz w:val="24"/>
                <w:szCs w:val="24"/>
              </w:rPr>
            </w:pPr>
            <w:r>
              <w:rPr>
                <w:b/>
                <w:color w:val="auto"/>
                <w:sz w:val="24"/>
                <w:szCs w:val="24"/>
              </w:rPr>
              <w:t>7</w:t>
            </w:r>
            <w:r>
              <w:rPr>
                <w:rFonts w:hint="eastAsia"/>
                <w:b/>
                <w:color w:val="auto"/>
                <w:sz w:val="24"/>
                <w:szCs w:val="24"/>
                <w:lang w:val="en-US" w:eastAsia="zh-CN"/>
              </w:rPr>
              <w:t>.</w:t>
            </w:r>
            <w:r>
              <w:rPr>
                <w:b/>
                <w:color w:val="auto"/>
                <w:sz w:val="24"/>
                <w:szCs w:val="24"/>
              </w:rPr>
              <w:t>劳动定员与工作制度</w:t>
            </w:r>
          </w:p>
          <w:p w14:paraId="4B245F75">
            <w:pPr>
              <w:pStyle w:val="51"/>
              <w:jc w:val="both"/>
              <w:rPr>
                <w:rFonts w:hint="default" w:ascii="Times New Roman" w:hAnsi="Times New Roman" w:eastAsia="宋体"/>
                <w:b/>
                <w:bCs/>
                <w:color w:val="auto"/>
                <w:lang w:val="en-US" w:eastAsia="zh-CN"/>
              </w:rPr>
            </w:pPr>
            <w:r>
              <w:rPr>
                <w:rFonts w:hint="default" w:ascii="Times New Roman" w:hAnsi="Times New Roman" w:eastAsia="宋体" w:cs="Times New Roman"/>
                <w:color w:val="auto"/>
                <w:sz w:val="24"/>
                <w:szCs w:val="24"/>
                <w:lang w:val="en-US" w:eastAsia="zh-CN"/>
              </w:rPr>
              <w:t>本项目</w:t>
            </w:r>
            <w:r>
              <w:rPr>
                <w:rFonts w:hint="eastAsia" w:ascii="Times New Roman" w:hAnsi="Times New Roman" w:eastAsia="宋体" w:cs="Times New Roman"/>
                <w:color w:val="auto"/>
                <w:sz w:val="24"/>
                <w:szCs w:val="24"/>
                <w:lang w:val="en-US" w:eastAsia="zh-CN"/>
              </w:rPr>
              <w:t>一期</w:t>
            </w:r>
            <w:r>
              <w:rPr>
                <w:rFonts w:hint="default" w:ascii="Times New Roman" w:hAnsi="Times New Roman" w:eastAsia="宋体" w:cs="Times New Roman"/>
                <w:color w:val="auto"/>
                <w:sz w:val="24"/>
                <w:szCs w:val="24"/>
                <w:lang w:val="en-US" w:eastAsia="zh-CN"/>
              </w:rPr>
              <w:t>劳动定员</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人，</w:t>
            </w:r>
            <w:r>
              <w:rPr>
                <w:rFonts w:hint="eastAsia" w:ascii="Times New Roman" w:hAnsi="Times New Roman" w:eastAsia="宋体" w:cs="Times New Roman"/>
                <w:color w:val="auto"/>
                <w:sz w:val="24"/>
                <w:szCs w:val="24"/>
                <w:lang w:val="en-US" w:eastAsia="zh-CN"/>
              </w:rPr>
              <w:t>二期新增劳动定员10人，均不在</w:t>
            </w:r>
            <w:r>
              <w:rPr>
                <w:rFonts w:hint="eastAsia" w:cs="Times New Roman"/>
                <w:b w:val="0"/>
                <w:bCs w:val="0"/>
                <w:color w:val="auto"/>
                <w:sz w:val="24"/>
                <w:szCs w:val="24"/>
                <w:lang w:val="en-US" w:eastAsia="zh-CN"/>
              </w:rPr>
              <w:t>厂内住宿，厂内不设置员工食堂。</w:t>
            </w:r>
            <w:r>
              <w:rPr>
                <w:rFonts w:hint="eastAsia" w:ascii="Times New Roman" w:hAnsi="Times New Roman" w:eastAsia="宋体" w:cs="Times New Roman"/>
                <w:color w:val="auto"/>
                <w:sz w:val="24"/>
                <w:szCs w:val="24"/>
                <w:lang w:val="en-US" w:eastAsia="zh-CN"/>
              </w:rPr>
              <w:t>工作制度：实行一班制生产，年工作天数约为150d，每天工作8h，</w:t>
            </w:r>
            <w:r>
              <w:rPr>
                <w:rFonts w:hint="default" w:ascii="Times New Roman" w:hAnsi="Times New Roman" w:eastAsia="宋体" w:cs="Times New Roman"/>
                <w:color w:val="auto"/>
                <w:sz w:val="24"/>
                <w:szCs w:val="24"/>
                <w:lang w:val="en-US" w:eastAsia="zh-CN"/>
              </w:rPr>
              <w:t>年运行</w:t>
            </w:r>
            <w:r>
              <w:rPr>
                <w:rFonts w:hint="eastAsia" w:ascii="Times New Roman" w:hAnsi="Times New Roman" w:eastAsia="宋体" w:cs="Times New Roman"/>
                <w:color w:val="auto"/>
                <w:sz w:val="24"/>
                <w:szCs w:val="24"/>
                <w:lang w:val="en-US" w:eastAsia="zh-CN"/>
              </w:rPr>
              <w:t>时间1200</w:t>
            </w:r>
            <w:r>
              <w:rPr>
                <w:rFonts w:hint="default" w:ascii="Times New Roman" w:hAnsi="Times New Roman" w:eastAsia="宋体" w:cs="Times New Roman"/>
                <w:color w:val="auto"/>
                <w:sz w:val="24"/>
                <w:szCs w:val="24"/>
                <w:lang w:val="en-US" w:eastAsia="zh-CN"/>
              </w:rPr>
              <w:t>h。</w:t>
            </w:r>
          </w:p>
          <w:p w14:paraId="7E95FF1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cs="Times New Roman"/>
                <w:b/>
                <w:bCs/>
                <w:color w:val="auto"/>
                <w:sz w:val="24"/>
                <w:szCs w:val="24"/>
                <w:lang w:val="en-US"/>
              </w:rPr>
            </w:pPr>
            <w:r>
              <w:rPr>
                <w:rFonts w:hint="eastAsia" w:cs="Times New Roman"/>
                <w:b/>
                <w:bCs/>
                <w:color w:val="auto"/>
                <w:sz w:val="24"/>
                <w:szCs w:val="24"/>
                <w:lang w:val="en-US" w:eastAsia="zh-CN"/>
              </w:rPr>
              <w:t>8</w:t>
            </w:r>
            <w:r>
              <w:rPr>
                <w:rFonts w:cs="Times New Roman"/>
                <w:b/>
                <w:bCs/>
                <w:color w:val="auto"/>
                <w:sz w:val="24"/>
                <w:szCs w:val="24"/>
                <w:lang w:val="en-US"/>
              </w:rPr>
              <w:t>、平面布置合理性分析</w:t>
            </w:r>
          </w:p>
          <w:p w14:paraId="40603083">
            <w:pPr>
              <w:pStyle w:val="88"/>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Cs w:val="24"/>
              </w:rPr>
            </w:pPr>
            <w:r>
              <w:rPr>
                <w:rFonts w:hint="eastAsia" w:ascii="Times New Roman" w:hAnsi="Times New Roman" w:eastAsia="宋体" w:cs="Times New Roman"/>
                <w:i w:val="0"/>
                <w:iCs w:val="0"/>
                <w:caps w:val="0"/>
                <w:color w:val="auto"/>
                <w:spacing w:val="0"/>
                <w:sz w:val="24"/>
                <w:szCs w:val="24"/>
                <w:shd w:val="clear" w:color="auto" w:fill="FFFFFF"/>
                <w:lang w:val="en-US" w:eastAsia="zh-CN"/>
              </w:rPr>
              <w:t>本项目租赁宁夏天楹环保能源有限公司内闲置空地，一期主要建设2座生产车间、1座原料及成品仓库、1座管理用房</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二期不新增建构筑物，仅在生产车间2内新增购置泡沫箱生产设备。</w:t>
            </w:r>
            <w:r>
              <w:rPr>
                <w:rFonts w:hint="eastAsia" w:ascii="Times New Roman" w:hAnsi="Times New Roman" w:cs="Times New Roman"/>
                <w:color w:val="auto"/>
                <w:sz w:val="24"/>
                <w:szCs w:val="24"/>
                <w:lang w:val="en-US" w:eastAsia="zh-CN"/>
              </w:rPr>
              <w:t>生产车间2位于厂区北部，生产车间1位于厂区西南侧，</w:t>
            </w:r>
            <w:r>
              <w:rPr>
                <w:rFonts w:hint="eastAsia" w:ascii="Times New Roman" w:hAnsi="Times New Roman" w:eastAsia="宋体" w:cs="Times New Roman"/>
                <w:i w:val="0"/>
                <w:iCs w:val="0"/>
                <w:caps w:val="0"/>
                <w:color w:val="auto"/>
                <w:spacing w:val="0"/>
                <w:sz w:val="24"/>
                <w:szCs w:val="24"/>
                <w:shd w:val="clear" w:color="auto" w:fill="FFFFFF"/>
                <w:lang w:val="en-US" w:eastAsia="zh-CN"/>
              </w:rPr>
              <w:t>原料及成品仓库</w:t>
            </w:r>
            <w:r>
              <w:rPr>
                <w:rFonts w:hint="eastAsia" w:ascii="Times New Roman" w:hAnsi="Times New Roman" w:cs="Times New Roman"/>
                <w:color w:val="auto"/>
                <w:sz w:val="24"/>
                <w:szCs w:val="24"/>
                <w:lang w:val="en-US" w:eastAsia="zh-CN"/>
              </w:rPr>
              <w:t>位于厂区东南侧，</w:t>
            </w:r>
            <w:r>
              <w:rPr>
                <w:rFonts w:hint="default" w:ascii="Times New Roman" w:hAnsi="Times New Roman" w:cs="Times New Roman"/>
                <w:color w:val="auto"/>
                <w:sz w:val="24"/>
                <w:szCs w:val="24"/>
              </w:rPr>
              <w:t>厂区</w:t>
            </w:r>
            <w:r>
              <w:rPr>
                <w:rFonts w:hint="eastAsia" w:ascii="Times New Roman" w:hAnsi="Times New Roman" w:cs="Times New Roman"/>
                <w:color w:val="auto"/>
                <w:sz w:val="24"/>
                <w:szCs w:val="24"/>
                <w:lang w:val="en-US" w:eastAsia="zh-CN"/>
              </w:rPr>
              <w:t>设置2</w:t>
            </w:r>
            <w:r>
              <w:rPr>
                <w:rFonts w:hint="default" w:ascii="Times New Roman" w:hAnsi="Times New Roman" w:cs="Times New Roman"/>
                <w:color w:val="auto"/>
                <w:sz w:val="24"/>
                <w:szCs w:val="24"/>
              </w:rPr>
              <w:t>个出入口，位于厂区东侧，为人员和物流进出使用。项目整体平面布局严格按照工艺流程的顺序安排生产线，尽可能缩短厂内货物运输距离，降低成本和工程造价，节约用地。</w:t>
            </w:r>
          </w:p>
          <w:p w14:paraId="36AC88DE">
            <w:pPr>
              <w:pStyle w:val="88"/>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综上，从环境保护角度分析，项目总平面布置合理，平面布置图见</w:t>
            </w:r>
            <w:r>
              <w:rPr>
                <w:rFonts w:hint="default" w:ascii="Times New Roman" w:hAnsi="Times New Roman" w:cs="Times New Roman"/>
                <w:color w:val="auto"/>
                <w:szCs w:val="24"/>
                <w:lang w:val="en-US" w:eastAsia="zh-CN"/>
              </w:rPr>
              <w:t>附</w:t>
            </w:r>
            <w:r>
              <w:rPr>
                <w:rFonts w:hint="default" w:ascii="Times New Roman" w:hAnsi="Times New Roman" w:cs="Times New Roman"/>
                <w:color w:val="auto"/>
                <w:szCs w:val="24"/>
              </w:rPr>
              <w:t>图2-</w:t>
            </w:r>
            <w:r>
              <w:rPr>
                <w:rFonts w:hint="eastAsia" w:ascii="Times New Roman" w:hAnsi="Times New Roman" w:cs="Times New Roman"/>
                <w:color w:val="auto"/>
                <w:szCs w:val="24"/>
                <w:lang w:val="en-US" w:eastAsia="zh-CN"/>
              </w:rPr>
              <w:t>1</w:t>
            </w:r>
            <w:r>
              <w:rPr>
                <w:rFonts w:hint="default" w:ascii="Times New Roman" w:hAnsi="Times New Roman" w:cs="Times New Roman"/>
                <w:color w:val="auto"/>
                <w:szCs w:val="24"/>
              </w:rPr>
              <w:t>。</w:t>
            </w:r>
          </w:p>
          <w:p w14:paraId="720C8A3C">
            <w:pPr>
              <w:pStyle w:val="88"/>
              <w:adjustRightInd/>
              <w:spacing w:line="360" w:lineRule="auto"/>
              <w:ind w:firstLine="482" w:firstLineChars="200"/>
              <w:jc w:val="both"/>
              <w:rPr>
                <w:rFonts w:ascii="Times New Roman" w:hAnsi="Times New Roman"/>
                <w:b/>
                <w:bCs/>
                <w:color w:val="auto"/>
                <w:szCs w:val="24"/>
                <w:lang w:bidi="zh-CN"/>
              </w:rPr>
            </w:pPr>
            <w:r>
              <w:rPr>
                <w:rFonts w:hint="eastAsia" w:ascii="Times New Roman" w:hAnsi="Times New Roman"/>
                <w:b/>
                <w:bCs/>
                <w:color w:val="auto"/>
                <w:szCs w:val="24"/>
                <w:lang w:val="en-US" w:bidi="zh-CN"/>
              </w:rPr>
              <w:t>9</w:t>
            </w:r>
            <w:r>
              <w:rPr>
                <w:rFonts w:ascii="Times New Roman" w:hAnsi="Times New Roman"/>
                <w:b/>
                <w:bCs/>
                <w:color w:val="auto"/>
                <w:szCs w:val="24"/>
                <w:lang w:bidi="zh-CN"/>
              </w:rPr>
              <w:t>、总投资与环保投资</w:t>
            </w:r>
          </w:p>
          <w:p w14:paraId="6FD4C6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szCs w:val="24"/>
                <w:lang w:val="en-US" w:eastAsia="zh-CN"/>
              </w:rPr>
              <w:t>本项目建设总投资</w:t>
            </w:r>
            <w:r>
              <w:rPr>
                <w:rFonts w:hint="eastAsia" w:ascii="Times New Roman" w:hAnsi="Times New Roman" w:cs="Times New Roman"/>
                <w:color w:val="auto"/>
                <w:sz w:val="24"/>
                <w:szCs w:val="24"/>
                <w:lang w:val="en-US" w:eastAsia="zh-CN"/>
              </w:rPr>
              <w:t>2700.00</w:t>
            </w:r>
            <w:r>
              <w:rPr>
                <w:rFonts w:hint="default" w:ascii="Times New Roman" w:hAnsi="Times New Roman" w:eastAsia="宋体" w:cs="Times New Roman"/>
                <w:color w:val="auto"/>
                <w:kern w:val="0"/>
                <w:sz w:val="24"/>
                <w:szCs w:val="24"/>
                <w:lang w:val="en-US" w:eastAsia="zh-CN"/>
              </w:rPr>
              <w:t>万元，环保投资</w:t>
            </w:r>
            <w:r>
              <w:rPr>
                <w:rFonts w:hint="eastAsia" w:ascii="Times New Roman" w:hAnsi="Times New Roman" w:cs="Times New Roman"/>
                <w:color w:val="auto"/>
                <w:kern w:val="0"/>
                <w:sz w:val="24"/>
                <w:szCs w:val="24"/>
                <w:lang w:val="en-US" w:eastAsia="zh-CN"/>
              </w:rPr>
              <w:t>38.2</w:t>
            </w:r>
            <w:r>
              <w:rPr>
                <w:rFonts w:hint="default" w:ascii="Times New Roman" w:hAnsi="Times New Roman" w:eastAsia="宋体" w:cs="Times New Roman"/>
                <w:color w:val="auto"/>
                <w:kern w:val="0"/>
                <w:sz w:val="24"/>
                <w:szCs w:val="24"/>
                <w:lang w:val="en-US" w:eastAsia="zh-CN"/>
              </w:rPr>
              <w:t>万元，占总投资的</w:t>
            </w:r>
            <w:r>
              <w:rPr>
                <w:rFonts w:hint="eastAsia" w:ascii="Times New Roman" w:hAnsi="Times New Roman" w:cs="Times New Roman"/>
                <w:color w:val="auto"/>
                <w:kern w:val="0"/>
                <w:sz w:val="24"/>
                <w:szCs w:val="24"/>
                <w:lang w:val="en-US" w:eastAsia="zh-CN"/>
              </w:rPr>
              <w:t>1.41</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lang w:val="en-US" w:eastAsia="zh-CN"/>
              </w:rPr>
              <w:t>其中，一期</w:t>
            </w:r>
            <w:r>
              <w:rPr>
                <w:rFonts w:hint="default" w:ascii="Times New Roman" w:hAnsi="Times New Roman" w:eastAsia="宋体" w:cs="Times New Roman"/>
                <w:color w:val="auto"/>
                <w:kern w:val="0"/>
                <w:sz w:val="24"/>
                <w:szCs w:val="24"/>
                <w:lang w:val="en-US" w:eastAsia="zh-CN"/>
              </w:rPr>
              <w:t>建设投资</w:t>
            </w:r>
            <w:r>
              <w:rPr>
                <w:rFonts w:hint="eastAsia" w:ascii="Times New Roman" w:hAnsi="Times New Roman" w:cs="Times New Roman"/>
                <w:color w:val="auto"/>
                <w:sz w:val="24"/>
                <w:szCs w:val="24"/>
                <w:lang w:val="en-US" w:eastAsia="zh-CN"/>
              </w:rPr>
              <w:t>1200.00</w:t>
            </w:r>
            <w:r>
              <w:rPr>
                <w:rFonts w:hint="default" w:ascii="Times New Roman" w:hAnsi="Times New Roman" w:eastAsia="宋体" w:cs="Times New Roman"/>
                <w:color w:val="auto"/>
                <w:kern w:val="0"/>
                <w:sz w:val="24"/>
                <w:szCs w:val="24"/>
                <w:lang w:val="en-US" w:eastAsia="zh-CN"/>
              </w:rPr>
              <w:t>万元，环保投资</w:t>
            </w:r>
            <w:r>
              <w:rPr>
                <w:rFonts w:hint="eastAsia" w:ascii="Times New Roman" w:hAnsi="Times New Roman" w:cs="Times New Roman"/>
                <w:color w:val="auto"/>
                <w:kern w:val="0"/>
                <w:sz w:val="24"/>
                <w:szCs w:val="24"/>
                <w:lang w:val="en-US" w:eastAsia="zh-CN"/>
              </w:rPr>
              <w:t>25.7</w:t>
            </w:r>
            <w:r>
              <w:rPr>
                <w:rFonts w:hint="default" w:ascii="Times New Roman" w:hAnsi="Times New Roman" w:eastAsia="宋体" w:cs="Times New Roman"/>
                <w:color w:val="auto"/>
                <w:kern w:val="0"/>
                <w:sz w:val="24"/>
                <w:szCs w:val="24"/>
                <w:lang w:val="en-US" w:eastAsia="zh-CN"/>
              </w:rPr>
              <w:t>万元，占</w:t>
            </w:r>
            <w:r>
              <w:rPr>
                <w:rFonts w:hint="eastAsia" w:ascii="Times New Roman" w:hAnsi="Times New Roman" w:cs="Times New Roman"/>
                <w:color w:val="auto"/>
                <w:kern w:val="0"/>
                <w:sz w:val="24"/>
                <w:szCs w:val="24"/>
                <w:lang w:val="en-US" w:eastAsia="zh-CN"/>
              </w:rPr>
              <w:t>一期建设</w:t>
            </w:r>
            <w:r>
              <w:rPr>
                <w:rFonts w:hint="default" w:ascii="Times New Roman" w:hAnsi="Times New Roman" w:eastAsia="宋体" w:cs="Times New Roman"/>
                <w:color w:val="auto"/>
                <w:kern w:val="0"/>
                <w:sz w:val="24"/>
                <w:szCs w:val="24"/>
                <w:lang w:val="en-US" w:eastAsia="zh-CN"/>
              </w:rPr>
              <w:t>投资的</w:t>
            </w:r>
            <w:r>
              <w:rPr>
                <w:rFonts w:hint="eastAsia" w:ascii="Times New Roman" w:hAnsi="Times New Roman" w:cs="Times New Roman"/>
                <w:color w:val="auto"/>
                <w:kern w:val="0"/>
                <w:sz w:val="24"/>
                <w:szCs w:val="24"/>
                <w:lang w:val="en-US" w:eastAsia="zh-CN"/>
              </w:rPr>
              <w:t>2.14</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cs="Times New Roman"/>
                <w:color w:val="auto"/>
                <w:kern w:val="0"/>
                <w:sz w:val="24"/>
                <w:szCs w:val="24"/>
                <w:lang w:val="en-US" w:eastAsia="zh-CN"/>
              </w:rPr>
              <w:t>；二期</w:t>
            </w:r>
            <w:r>
              <w:rPr>
                <w:rFonts w:hint="default" w:ascii="Times New Roman" w:hAnsi="Times New Roman" w:eastAsia="宋体" w:cs="Times New Roman"/>
                <w:color w:val="auto"/>
                <w:kern w:val="0"/>
                <w:sz w:val="24"/>
                <w:szCs w:val="24"/>
                <w:lang w:val="en-US" w:eastAsia="zh-CN"/>
              </w:rPr>
              <w:t>建设投资</w:t>
            </w:r>
            <w:r>
              <w:rPr>
                <w:rFonts w:hint="eastAsia" w:ascii="Times New Roman" w:hAnsi="Times New Roman" w:cs="Times New Roman"/>
                <w:color w:val="auto"/>
                <w:sz w:val="24"/>
                <w:szCs w:val="24"/>
                <w:lang w:val="en-US" w:eastAsia="zh-CN"/>
              </w:rPr>
              <w:t>1500.00</w:t>
            </w:r>
            <w:r>
              <w:rPr>
                <w:rFonts w:hint="default" w:ascii="Times New Roman" w:hAnsi="Times New Roman" w:eastAsia="宋体" w:cs="Times New Roman"/>
                <w:color w:val="auto"/>
                <w:kern w:val="0"/>
                <w:sz w:val="24"/>
                <w:szCs w:val="24"/>
                <w:lang w:val="en-US" w:eastAsia="zh-CN"/>
              </w:rPr>
              <w:t>万元，环保投资</w:t>
            </w:r>
            <w:r>
              <w:rPr>
                <w:rFonts w:hint="eastAsia" w:ascii="Times New Roman" w:hAnsi="Times New Roman" w:cs="Times New Roman"/>
                <w:color w:val="auto"/>
                <w:kern w:val="0"/>
                <w:sz w:val="24"/>
                <w:szCs w:val="24"/>
                <w:lang w:val="en-US" w:eastAsia="zh-CN"/>
              </w:rPr>
              <w:t>12.5</w:t>
            </w:r>
            <w:r>
              <w:rPr>
                <w:rFonts w:hint="default" w:ascii="Times New Roman" w:hAnsi="Times New Roman" w:eastAsia="宋体" w:cs="Times New Roman"/>
                <w:color w:val="auto"/>
                <w:kern w:val="0"/>
                <w:sz w:val="24"/>
                <w:szCs w:val="24"/>
                <w:lang w:val="en-US" w:eastAsia="zh-CN"/>
              </w:rPr>
              <w:t>万元，占</w:t>
            </w:r>
            <w:r>
              <w:rPr>
                <w:rFonts w:hint="eastAsia" w:cs="Times New Roman"/>
                <w:color w:val="auto"/>
                <w:kern w:val="0"/>
                <w:sz w:val="24"/>
                <w:szCs w:val="24"/>
                <w:lang w:val="en-US" w:eastAsia="zh-CN"/>
              </w:rPr>
              <w:t>二</w:t>
            </w:r>
            <w:r>
              <w:rPr>
                <w:rFonts w:hint="eastAsia" w:ascii="Times New Roman" w:hAnsi="Times New Roman" w:cs="Times New Roman"/>
                <w:color w:val="auto"/>
                <w:kern w:val="0"/>
                <w:sz w:val="24"/>
                <w:szCs w:val="24"/>
                <w:lang w:val="en-US" w:eastAsia="zh-CN"/>
              </w:rPr>
              <w:t>期建设</w:t>
            </w:r>
            <w:r>
              <w:rPr>
                <w:rFonts w:hint="default" w:ascii="Times New Roman" w:hAnsi="Times New Roman" w:eastAsia="宋体" w:cs="Times New Roman"/>
                <w:color w:val="auto"/>
                <w:kern w:val="0"/>
                <w:sz w:val="24"/>
                <w:szCs w:val="24"/>
                <w:lang w:val="en-US" w:eastAsia="zh-CN"/>
              </w:rPr>
              <w:t>投资的</w:t>
            </w:r>
            <w:r>
              <w:rPr>
                <w:rFonts w:hint="eastAsia" w:ascii="Times New Roman" w:hAnsi="Times New Roman" w:cs="Times New Roman"/>
                <w:color w:val="auto"/>
                <w:kern w:val="0"/>
                <w:sz w:val="24"/>
                <w:szCs w:val="24"/>
                <w:lang w:val="en-US" w:eastAsia="zh-CN"/>
              </w:rPr>
              <w:t>0.83</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cs="Times New Roman"/>
                <w:color w:val="auto"/>
                <w:kern w:val="0"/>
                <w:sz w:val="24"/>
                <w:szCs w:val="24"/>
                <w:lang w:val="en-US" w:eastAsia="zh-CN"/>
              </w:rPr>
              <w:t>。环保投资</w:t>
            </w:r>
            <w:r>
              <w:rPr>
                <w:rFonts w:hint="default" w:ascii="Times New Roman" w:hAnsi="Times New Roman" w:cs="Times New Roman"/>
                <w:color w:val="auto"/>
                <w:kern w:val="0"/>
                <w:sz w:val="24"/>
                <w:lang w:val="en-US" w:eastAsia="zh-CN"/>
              </w:rPr>
              <w:t>主要用于施工期废气、废水、噪声、固废治理及运营期废气、废水、噪声、固废治理</w:t>
            </w:r>
            <w:r>
              <w:rPr>
                <w:rFonts w:hint="eastAsia" w:cs="Times New Roman"/>
                <w:color w:val="auto"/>
                <w:kern w:val="0"/>
                <w:sz w:val="24"/>
                <w:lang w:val="en-US" w:eastAsia="zh-CN"/>
              </w:rPr>
              <w:t>、</w:t>
            </w:r>
            <w:r>
              <w:rPr>
                <w:rFonts w:hint="default" w:ascii="Times New Roman" w:hAnsi="Times New Roman" w:cs="Times New Roman"/>
                <w:color w:val="auto"/>
                <w:kern w:val="0"/>
                <w:sz w:val="24"/>
                <w:lang w:val="en-US" w:eastAsia="zh-CN"/>
              </w:rPr>
              <w:t>防渗措施</w:t>
            </w:r>
            <w:r>
              <w:rPr>
                <w:rFonts w:hint="eastAsia" w:cs="Times New Roman"/>
                <w:color w:val="auto"/>
                <w:kern w:val="0"/>
                <w:sz w:val="24"/>
                <w:lang w:val="en-US" w:eastAsia="zh-CN"/>
              </w:rPr>
              <w:t>及</w:t>
            </w:r>
            <w:r>
              <w:rPr>
                <w:rFonts w:hint="default" w:ascii="Times New Roman" w:hAnsi="Times New Roman" w:cs="Times New Roman"/>
                <w:color w:val="auto"/>
                <w:kern w:val="0"/>
                <w:sz w:val="24"/>
                <w:lang w:val="en-US" w:eastAsia="zh-CN"/>
              </w:rPr>
              <w:t>风险防范措施，具体环保投资见表</w:t>
            </w:r>
            <w:r>
              <w:rPr>
                <w:rFonts w:hint="eastAsia" w:ascii="Times New Roman" w:hAnsi="Times New Roman" w:cs="Times New Roman"/>
                <w:color w:val="auto"/>
                <w:kern w:val="0"/>
                <w:sz w:val="24"/>
                <w:lang w:val="en-US" w:eastAsia="zh-CN"/>
              </w:rPr>
              <w:t>2-10~2-11</w:t>
            </w:r>
            <w:r>
              <w:rPr>
                <w:rFonts w:hint="default" w:ascii="Times New Roman" w:hAnsi="Times New Roman" w:cs="Times New Roman"/>
                <w:color w:val="auto"/>
                <w:kern w:val="0"/>
                <w:sz w:val="24"/>
                <w:lang w:val="en-US" w:eastAsia="zh-CN"/>
              </w:rPr>
              <w:t>。</w:t>
            </w:r>
          </w:p>
          <w:p w14:paraId="0132B66F">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0"/>
              <w:jc w:val="both"/>
              <w:textAlignment w:val="auto"/>
              <w:rPr>
                <w:rFonts w:hint="eastAsia" w:ascii="Times New Roman" w:hAnsi="Times New Roman" w:eastAsia="宋体" w:cs="Times New Roman"/>
                <w:b/>
                <w:bCs/>
                <w:color w:val="auto"/>
                <w:kern w:val="0"/>
                <w:szCs w:val="20"/>
                <w:lang w:eastAsia="zh-CN"/>
              </w:rPr>
            </w:pPr>
            <w:r>
              <w:rPr>
                <w:rFonts w:hint="default" w:ascii="Times New Roman" w:hAnsi="Times New Roman" w:eastAsia="宋体" w:cs="Times New Roman"/>
                <w:b w:val="0"/>
                <w:bCs/>
                <w:color w:val="auto"/>
                <w:kern w:val="0"/>
                <w:sz w:val="21"/>
                <w:szCs w:val="21"/>
              </w:rPr>
              <w:t>表</w:t>
            </w:r>
            <w:r>
              <w:rPr>
                <w:rFonts w:hint="default" w:ascii="Times New Roman" w:hAnsi="Times New Roman" w:eastAsia="宋体" w:cs="Times New Roman"/>
                <w:b w:val="0"/>
                <w:bCs/>
                <w:color w:val="auto"/>
                <w:kern w:val="0"/>
                <w:sz w:val="21"/>
                <w:szCs w:val="21"/>
                <w:lang w:val="en-US" w:eastAsia="zh-CN"/>
              </w:rPr>
              <w:t>2-</w:t>
            </w:r>
            <w:r>
              <w:rPr>
                <w:rFonts w:hint="eastAsia" w:cs="Times New Roman"/>
                <w:b w:val="0"/>
                <w:bCs/>
                <w:color w:val="auto"/>
                <w:kern w:val="0"/>
                <w:sz w:val="21"/>
                <w:szCs w:val="21"/>
                <w:lang w:val="en-US" w:eastAsia="zh-CN"/>
              </w:rPr>
              <w:t>10</w:t>
            </w:r>
            <w:r>
              <w:rPr>
                <w:rFonts w:hint="default" w:ascii="Times New Roman" w:hAnsi="Times New Roman" w:eastAsia="宋体" w:cs="Times New Roman"/>
                <w:b/>
                <w:bCs w:val="0"/>
                <w:color w:val="auto"/>
                <w:kern w:val="0"/>
              </w:rPr>
              <w:t xml:space="preserve">     </w:t>
            </w:r>
            <w:r>
              <w:rPr>
                <w:rFonts w:hint="eastAsia" w:cs="Times New Roman"/>
                <w:b/>
                <w:bCs w:val="0"/>
                <w:color w:val="auto"/>
                <w:kern w:val="0"/>
                <w:lang w:val="en-US" w:eastAsia="zh-CN"/>
              </w:rPr>
              <w:t xml:space="preserve"> </w:t>
            </w:r>
            <w:r>
              <w:rPr>
                <w:rFonts w:hint="default" w:ascii="Times New Roman" w:hAnsi="Times New Roman" w:eastAsia="宋体" w:cs="Times New Roman"/>
                <w:b/>
                <w:bCs w:val="0"/>
                <w:color w:val="auto"/>
                <w:kern w:val="0"/>
              </w:rPr>
              <w:t xml:space="preserve"> </w:t>
            </w:r>
            <w:r>
              <w:rPr>
                <w:rFonts w:hint="eastAsia" w:cs="Times New Roman"/>
                <w:b/>
                <w:bCs w:val="0"/>
                <w:color w:val="auto"/>
                <w:kern w:val="0"/>
                <w:lang w:val="en-US" w:eastAsia="zh-CN"/>
              </w:rPr>
              <w:t xml:space="preserve">   </w:t>
            </w:r>
            <w:r>
              <w:rPr>
                <w:rFonts w:hint="default" w:ascii="Times New Roman" w:hAnsi="Times New Roman" w:eastAsia="宋体" w:cs="Times New Roman"/>
                <w:b/>
                <w:bCs w:val="0"/>
                <w:color w:val="auto"/>
                <w:kern w:val="0"/>
              </w:rPr>
              <w:t xml:space="preserve">   </w:t>
            </w:r>
            <w:r>
              <w:rPr>
                <w:rFonts w:hint="eastAsia" w:cs="Times New Roman"/>
                <w:b/>
                <w:bCs w:val="0"/>
                <w:color w:val="auto"/>
                <w:kern w:val="0"/>
                <w:lang w:val="en-US" w:eastAsia="zh-CN"/>
              </w:rPr>
              <w:t xml:space="preserve">  </w:t>
            </w:r>
            <w:r>
              <w:rPr>
                <w:rFonts w:hint="default" w:ascii="Times New Roman" w:hAnsi="Times New Roman" w:eastAsia="宋体" w:cs="Times New Roman"/>
                <w:b/>
                <w:bCs w:val="0"/>
                <w:color w:val="auto"/>
                <w:kern w:val="0"/>
              </w:rPr>
              <w:t xml:space="preserve">  </w:t>
            </w:r>
            <w:r>
              <w:rPr>
                <w:rFonts w:hint="eastAsia" w:cs="Times New Roman"/>
                <w:b/>
                <w:bCs w:val="0"/>
                <w:color w:val="auto"/>
                <w:kern w:val="0"/>
                <w:sz w:val="24"/>
                <w:szCs w:val="24"/>
                <w:lang w:val="en-US" w:eastAsia="zh-CN"/>
              </w:rPr>
              <w:t>本</w:t>
            </w:r>
            <w:r>
              <w:rPr>
                <w:rFonts w:hint="default" w:ascii="Times New Roman" w:hAnsi="Times New Roman" w:eastAsia="宋体" w:cs="Times New Roman"/>
                <w:b/>
                <w:bCs w:val="0"/>
                <w:color w:val="auto"/>
                <w:kern w:val="0"/>
                <w:sz w:val="24"/>
                <w:szCs w:val="24"/>
              </w:rPr>
              <w:t>项目</w:t>
            </w:r>
            <w:r>
              <w:rPr>
                <w:rFonts w:hint="eastAsia" w:cs="Times New Roman"/>
                <w:b/>
                <w:bCs w:val="0"/>
                <w:color w:val="auto"/>
                <w:kern w:val="0"/>
                <w:sz w:val="24"/>
                <w:szCs w:val="24"/>
                <w:lang w:val="en-US" w:eastAsia="zh-CN"/>
              </w:rPr>
              <w:t>一期</w:t>
            </w:r>
            <w:r>
              <w:rPr>
                <w:rFonts w:hint="default" w:ascii="Times New Roman" w:hAnsi="Times New Roman" w:eastAsia="宋体" w:cs="Times New Roman"/>
                <w:b/>
                <w:bCs w:val="0"/>
                <w:color w:val="auto"/>
                <w:kern w:val="0"/>
                <w:sz w:val="24"/>
                <w:szCs w:val="24"/>
              </w:rPr>
              <w:t>环保投资估算</w:t>
            </w:r>
            <w:r>
              <w:rPr>
                <w:rFonts w:hint="default" w:ascii="Times New Roman" w:hAnsi="Times New Roman" w:cs="Times New Roman"/>
                <w:b/>
                <w:bCs w:val="0"/>
                <w:color w:val="auto"/>
                <w:kern w:val="0"/>
                <w:sz w:val="24"/>
                <w:szCs w:val="24"/>
                <w:lang w:eastAsia="zh-CN"/>
              </w:rPr>
              <w:t>表</w:t>
            </w:r>
            <w:r>
              <w:rPr>
                <w:rFonts w:hint="default" w:ascii="Times New Roman" w:hAnsi="Times New Roman" w:eastAsia="宋体" w:cs="Times New Roman"/>
                <w:b/>
                <w:bCs w:val="0"/>
                <w:color w:val="auto"/>
                <w:kern w:val="0"/>
                <w:sz w:val="24"/>
                <w:szCs w:val="24"/>
              </w:rPr>
              <w:t xml:space="preserve">  </w:t>
            </w:r>
            <w:r>
              <w:rPr>
                <w:rFonts w:hint="default" w:ascii="Times New Roman" w:hAnsi="Times New Roman" w:eastAsia="宋体" w:cs="Times New Roman"/>
                <w:b/>
                <w:bCs w:val="0"/>
                <w:color w:val="auto"/>
                <w:kern w:val="0"/>
              </w:rPr>
              <w:t xml:space="preserve">  </w:t>
            </w:r>
            <w:r>
              <w:rPr>
                <w:rFonts w:hint="default" w:ascii="Times New Roman" w:hAnsi="Times New Roman" w:eastAsia="宋体" w:cs="Times New Roman"/>
                <w:b/>
                <w:bCs/>
                <w:color w:val="auto"/>
                <w:kern w:val="0"/>
                <w:szCs w:val="20"/>
              </w:rPr>
              <w:t xml:space="preserve">  </w:t>
            </w:r>
            <w:r>
              <w:rPr>
                <w:rFonts w:hint="eastAsia" w:cs="Times New Roman"/>
                <w:b/>
                <w:bCs/>
                <w:color w:val="auto"/>
                <w:kern w:val="0"/>
                <w:szCs w:val="20"/>
                <w:lang w:val="en-US" w:eastAsia="zh-CN"/>
              </w:rPr>
              <w:t xml:space="preserve">    </w:t>
            </w:r>
            <w:r>
              <w:rPr>
                <w:rFonts w:hint="default" w:ascii="Times New Roman" w:hAnsi="Times New Roman" w:eastAsia="宋体" w:cs="Times New Roman"/>
                <w:b/>
                <w:bCs/>
                <w:color w:val="auto"/>
                <w:kern w:val="0"/>
                <w:szCs w:val="20"/>
              </w:rPr>
              <w:t xml:space="preserve">    </w:t>
            </w:r>
            <w:r>
              <w:rPr>
                <w:rFonts w:hint="eastAsia" w:cs="Times New Roman"/>
                <w:b w:val="0"/>
                <w:bCs w:val="0"/>
                <w:color w:val="auto"/>
                <w:kern w:val="0"/>
                <w:sz w:val="21"/>
                <w:szCs w:val="21"/>
                <w:lang w:eastAsia="zh-CN"/>
              </w:rPr>
              <w:t>单位：万元</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34"/>
              <w:gridCol w:w="750"/>
              <w:gridCol w:w="721"/>
              <w:gridCol w:w="777"/>
              <w:gridCol w:w="4317"/>
              <w:gridCol w:w="647"/>
              <w:gridCol w:w="711"/>
            </w:tblGrid>
            <w:tr w14:paraId="20971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noWrap w:val="0"/>
                  <w:vAlign w:val="center"/>
                </w:tcPr>
                <w:p w14:paraId="6781BC4A">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阶段</w:t>
                  </w:r>
                </w:p>
              </w:tc>
              <w:tc>
                <w:tcPr>
                  <w:tcW w:w="449" w:type="pct"/>
                  <w:noWrap w:val="0"/>
                  <w:vAlign w:val="center"/>
                </w:tcPr>
                <w:p w14:paraId="7B7C27E6">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w:t>
                  </w:r>
                </w:p>
              </w:tc>
              <w:tc>
                <w:tcPr>
                  <w:tcW w:w="3478" w:type="pct"/>
                  <w:gridSpan w:val="3"/>
                  <w:noWrap w:val="0"/>
                  <w:vAlign w:val="center"/>
                </w:tcPr>
                <w:p w14:paraId="6B19027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w:t>
                  </w:r>
                </w:p>
              </w:tc>
              <w:tc>
                <w:tcPr>
                  <w:tcW w:w="387" w:type="pct"/>
                  <w:noWrap w:val="0"/>
                  <w:vAlign w:val="center"/>
                </w:tcPr>
                <w:p w14:paraId="148F0F2A">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投资</w:t>
                  </w:r>
                  <w:r>
                    <w:rPr>
                      <w:rFonts w:hint="eastAsia" w:cs="Times New Roman"/>
                      <w:b/>
                      <w:bCs/>
                      <w:color w:val="auto"/>
                      <w:sz w:val="21"/>
                      <w:szCs w:val="21"/>
                      <w:lang w:eastAsia="zh-CN"/>
                    </w:rPr>
                    <w:t>额</w:t>
                  </w:r>
                </w:p>
              </w:tc>
              <w:tc>
                <w:tcPr>
                  <w:tcW w:w="425" w:type="pct"/>
                  <w:noWrap w:val="0"/>
                  <w:vAlign w:val="center"/>
                </w:tcPr>
                <w:p w14:paraId="793B4BD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eastAsia="zh-CN"/>
                    </w:rPr>
                    <w:t>比例</w:t>
                  </w:r>
                  <w:r>
                    <w:rPr>
                      <w:rFonts w:hint="eastAsia" w:cs="Times New Roman"/>
                      <w:b/>
                      <w:bCs/>
                      <w:color w:val="auto"/>
                      <w:sz w:val="21"/>
                      <w:szCs w:val="21"/>
                      <w:lang w:val="en-US" w:eastAsia="zh-CN"/>
                    </w:rPr>
                    <w:t>%</w:t>
                  </w:r>
                </w:p>
              </w:tc>
            </w:tr>
            <w:tr w14:paraId="05D06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restart"/>
                  <w:noWrap w:val="0"/>
                  <w:vAlign w:val="center"/>
                </w:tcPr>
                <w:p w14:paraId="29D2262C">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施工期</w:t>
                  </w:r>
                </w:p>
              </w:tc>
              <w:tc>
                <w:tcPr>
                  <w:tcW w:w="449" w:type="pct"/>
                  <w:noWrap w:val="0"/>
                  <w:vAlign w:val="center"/>
                </w:tcPr>
                <w:p w14:paraId="6C7A48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废气治理</w:t>
                  </w:r>
                </w:p>
              </w:tc>
              <w:tc>
                <w:tcPr>
                  <w:tcW w:w="896" w:type="pct"/>
                  <w:gridSpan w:val="2"/>
                  <w:noWrap w:val="0"/>
                  <w:vAlign w:val="center"/>
                </w:tcPr>
                <w:p w14:paraId="251BFB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color w:val="auto"/>
                      <w:kern w:val="0"/>
                      <w:sz w:val="21"/>
                      <w:szCs w:val="21"/>
                      <w:lang w:val="en-US" w:eastAsia="zh-CN"/>
                    </w:rPr>
                    <w:t>扬尘</w:t>
                  </w:r>
                </w:p>
              </w:tc>
              <w:tc>
                <w:tcPr>
                  <w:tcW w:w="2581" w:type="pct"/>
                  <w:noWrap w:val="0"/>
                  <w:vAlign w:val="center"/>
                </w:tcPr>
                <w:p w14:paraId="2AEE5A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rPr>
                    <w:t>施工现场采取围栏、覆盖遮蔽等措施，定期洒水</w:t>
                  </w:r>
                </w:p>
              </w:tc>
              <w:tc>
                <w:tcPr>
                  <w:tcW w:w="387" w:type="pct"/>
                  <w:noWrap w:val="0"/>
                  <w:vAlign w:val="center"/>
                </w:tcPr>
                <w:p w14:paraId="07AD3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1.0</w:t>
                  </w:r>
                </w:p>
              </w:tc>
              <w:tc>
                <w:tcPr>
                  <w:tcW w:w="425" w:type="pct"/>
                  <w:noWrap w:val="0"/>
                  <w:vAlign w:val="center"/>
                </w:tcPr>
                <w:p w14:paraId="03014A85">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eastAsia="宋体" w:cs="Times New Roman"/>
                      <w:color w:val="auto"/>
                      <w:kern w:val="0"/>
                      <w:sz w:val="21"/>
                      <w:szCs w:val="21"/>
                      <w:lang w:val="en-US" w:eastAsia="zh-CN" w:bidi="ar-SA"/>
                    </w:rPr>
                    <w:t>3.89</w:t>
                  </w:r>
                </w:p>
              </w:tc>
            </w:tr>
            <w:tr w14:paraId="08301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6177F38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b w:val="0"/>
                      <w:bCs w:val="0"/>
                      <w:color w:val="auto"/>
                      <w:sz w:val="21"/>
                      <w:szCs w:val="21"/>
                      <w:lang w:eastAsia="zh-CN"/>
                    </w:rPr>
                  </w:pPr>
                </w:p>
              </w:tc>
              <w:tc>
                <w:tcPr>
                  <w:tcW w:w="449" w:type="pct"/>
                  <w:vMerge w:val="restart"/>
                  <w:noWrap w:val="0"/>
                  <w:vAlign w:val="center"/>
                </w:tcPr>
                <w:p w14:paraId="1E28F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color w:val="auto"/>
                      <w:kern w:val="0"/>
                      <w:sz w:val="21"/>
                      <w:szCs w:val="21"/>
                      <w:lang w:val="en-US" w:eastAsia="zh-CN"/>
                    </w:rPr>
                    <w:t>废水治理</w:t>
                  </w:r>
                </w:p>
              </w:tc>
              <w:tc>
                <w:tcPr>
                  <w:tcW w:w="896" w:type="pct"/>
                  <w:gridSpan w:val="2"/>
                  <w:noWrap w:val="0"/>
                  <w:vAlign w:val="center"/>
                </w:tcPr>
                <w:p w14:paraId="09814B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施工废水</w:t>
                  </w:r>
                </w:p>
              </w:tc>
              <w:tc>
                <w:tcPr>
                  <w:tcW w:w="2581" w:type="pct"/>
                  <w:noWrap w:val="0"/>
                  <w:vAlign w:val="center"/>
                </w:tcPr>
                <w:p w14:paraId="4F9DF4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color w:val="auto"/>
                      <w:kern w:val="0"/>
                      <w:sz w:val="21"/>
                      <w:szCs w:val="21"/>
                      <w:lang w:val="en-US" w:eastAsia="zh-CN"/>
                    </w:rPr>
                    <w:t>施工场地设置临时沉淀池（1座，10m</w:t>
                  </w:r>
                  <w:r>
                    <w:rPr>
                      <w:rFonts w:hint="eastAsia" w:cs="Times New Roman"/>
                      <w:color w:val="auto"/>
                      <w:kern w:val="0"/>
                      <w:sz w:val="21"/>
                      <w:szCs w:val="21"/>
                      <w:vertAlign w:val="superscript"/>
                      <w:lang w:val="en-US" w:eastAsia="zh-CN"/>
                    </w:rPr>
                    <w:t>3</w:t>
                  </w:r>
                  <w:r>
                    <w:rPr>
                      <w:rFonts w:hint="eastAsia" w:cs="Times New Roman"/>
                      <w:color w:val="auto"/>
                      <w:kern w:val="0"/>
                      <w:sz w:val="21"/>
                      <w:szCs w:val="21"/>
                      <w:lang w:val="en-US" w:eastAsia="zh-CN"/>
                    </w:rPr>
                    <w:t>）</w:t>
                  </w:r>
                </w:p>
              </w:tc>
              <w:tc>
                <w:tcPr>
                  <w:tcW w:w="387" w:type="pct"/>
                  <w:noWrap w:val="0"/>
                  <w:vAlign w:val="center"/>
                </w:tcPr>
                <w:p w14:paraId="7DE571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1.0</w:t>
                  </w:r>
                </w:p>
              </w:tc>
              <w:tc>
                <w:tcPr>
                  <w:tcW w:w="425" w:type="pct"/>
                  <w:noWrap w:val="0"/>
                  <w:vAlign w:val="center"/>
                </w:tcPr>
                <w:p w14:paraId="1B7DAF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3.89</w:t>
                  </w:r>
                </w:p>
              </w:tc>
            </w:tr>
            <w:tr w14:paraId="2913C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6AB0D2D3">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b w:val="0"/>
                      <w:bCs w:val="0"/>
                      <w:color w:val="auto"/>
                      <w:sz w:val="21"/>
                      <w:szCs w:val="21"/>
                      <w:lang w:eastAsia="zh-CN"/>
                    </w:rPr>
                  </w:pPr>
                </w:p>
              </w:tc>
              <w:tc>
                <w:tcPr>
                  <w:tcW w:w="449" w:type="pct"/>
                  <w:vMerge w:val="continue"/>
                  <w:noWrap w:val="0"/>
                  <w:vAlign w:val="center"/>
                </w:tcPr>
                <w:p w14:paraId="39DFDC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rPr>
                  </w:pPr>
                </w:p>
              </w:tc>
              <w:tc>
                <w:tcPr>
                  <w:tcW w:w="896" w:type="pct"/>
                  <w:gridSpan w:val="2"/>
                  <w:noWrap w:val="0"/>
                  <w:vAlign w:val="center"/>
                </w:tcPr>
                <w:p w14:paraId="2AC86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color w:val="auto"/>
                      <w:kern w:val="0"/>
                      <w:sz w:val="21"/>
                      <w:szCs w:val="21"/>
                      <w:lang w:val="en-US" w:eastAsia="zh-CN"/>
                    </w:rPr>
                    <w:t>施工人员生活污水</w:t>
                  </w:r>
                </w:p>
              </w:tc>
              <w:tc>
                <w:tcPr>
                  <w:tcW w:w="2581" w:type="pct"/>
                  <w:noWrap w:val="0"/>
                  <w:vAlign w:val="center"/>
                </w:tcPr>
                <w:p w14:paraId="0857ED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依托宁夏天楹环保能源有限公司</w:t>
                  </w:r>
                  <w:r>
                    <w:rPr>
                      <w:rFonts w:hint="eastAsia" w:cs="Times New Roman"/>
                      <w:b w:val="0"/>
                      <w:bCs w:val="0"/>
                      <w:color w:val="auto"/>
                      <w:kern w:val="2"/>
                      <w:sz w:val="21"/>
                      <w:szCs w:val="21"/>
                      <w:lang w:val="en-US" w:eastAsia="zh-CN" w:bidi="ar-SA"/>
                    </w:rPr>
                    <w:t>现有化粪池</w:t>
                  </w:r>
                </w:p>
              </w:tc>
              <w:tc>
                <w:tcPr>
                  <w:tcW w:w="387" w:type="pct"/>
                  <w:noWrap w:val="0"/>
                  <w:vAlign w:val="center"/>
                </w:tcPr>
                <w:p w14:paraId="26BF24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c>
                <w:tcPr>
                  <w:tcW w:w="425" w:type="pct"/>
                  <w:noWrap w:val="0"/>
                  <w:vAlign w:val="center"/>
                </w:tcPr>
                <w:p w14:paraId="3AECDB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14:paraId="4CA43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38D7BC5C">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val="0"/>
                      <w:bCs w:val="0"/>
                      <w:color w:val="auto"/>
                      <w:sz w:val="21"/>
                      <w:szCs w:val="21"/>
                    </w:rPr>
                  </w:pPr>
                </w:p>
              </w:tc>
              <w:tc>
                <w:tcPr>
                  <w:tcW w:w="449" w:type="pct"/>
                  <w:noWrap w:val="0"/>
                  <w:vAlign w:val="center"/>
                </w:tcPr>
                <w:p w14:paraId="64991D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rPr>
                  </w:pPr>
                  <w:r>
                    <w:rPr>
                      <w:rFonts w:hint="eastAsia" w:cs="Times New Roman"/>
                      <w:color w:val="auto"/>
                      <w:kern w:val="0"/>
                      <w:sz w:val="21"/>
                      <w:szCs w:val="21"/>
                      <w:lang w:val="en-US" w:eastAsia="zh-CN"/>
                    </w:rPr>
                    <w:t>噪声治理</w:t>
                  </w:r>
                </w:p>
              </w:tc>
              <w:tc>
                <w:tcPr>
                  <w:tcW w:w="896" w:type="pct"/>
                  <w:gridSpan w:val="2"/>
                  <w:noWrap w:val="0"/>
                  <w:vAlign w:val="center"/>
                </w:tcPr>
                <w:p w14:paraId="09C7A1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rPr>
                  </w:pPr>
                  <w:r>
                    <w:rPr>
                      <w:rFonts w:hint="eastAsia" w:cs="Times New Roman"/>
                      <w:color w:val="auto"/>
                      <w:kern w:val="0"/>
                      <w:sz w:val="21"/>
                      <w:szCs w:val="21"/>
                      <w:lang w:val="en-US" w:eastAsia="zh-CN"/>
                    </w:rPr>
                    <w:t>机械设备</w:t>
                  </w:r>
                </w:p>
              </w:tc>
              <w:tc>
                <w:tcPr>
                  <w:tcW w:w="2581" w:type="pct"/>
                  <w:noWrap w:val="0"/>
                  <w:vAlign w:val="center"/>
                </w:tcPr>
                <w:p w14:paraId="5CCDAF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rPr>
                  </w:pPr>
                  <w:r>
                    <w:rPr>
                      <w:snapToGrid w:val="0"/>
                      <w:color w:val="auto"/>
                      <w:kern w:val="0"/>
                      <w:sz w:val="21"/>
                      <w:szCs w:val="21"/>
                    </w:rPr>
                    <w:t>施工采用低噪声机械设备，定期维护保养</w:t>
                  </w:r>
                </w:p>
              </w:tc>
              <w:tc>
                <w:tcPr>
                  <w:tcW w:w="387" w:type="pct"/>
                  <w:noWrap w:val="0"/>
                  <w:vAlign w:val="center"/>
                </w:tcPr>
                <w:p w14:paraId="5C4C4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1.0</w:t>
                  </w:r>
                </w:p>
              </w:tc>
              <w:tc>
                <w:tcPr>
                  <w:tcW w:w="425" w:type="pct"/>
                  <w:noWrap w:val="0"/>
                  <w:vAlign w:val="center"/>
                </w:tcPr>
                <w:p w14:paraId="35F44D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3.89</w:t>
                  </w:r>
                </w:p>
              </w:tc>
            </w:tr>
            <w:tr w14:paraId="2FA6B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6BA297F0">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val="0"/>
                      <w:bCs w:val="0"/>
                      <w:color w:val="auto"/>
                      <w:sz w:val="21"/>
                      <w:szCs w:val="21"/>
                    </w:rPr>
                  </w:pPr>
                </w:p>
              </w:tc>
              <w:tc>
                <w:tcPr>
                  <w:tcW w:w="449" w:type="pct"/>
                  <w:vMerge w:val="restart"/>
                  <w:noWrap w:val="0"/>
                  <w:vAlign w:val="center"/>
                </w:tcPr>
                <w:p w14:paraId="6DBEC8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rPr>
                  </w:pPr>
                  <w:r>
                    <w:rPr>
                      <w:rFonts w:hint="eastAsia" w:cs="Times New Roman"/>
                      <w:color w:val="auto"/>
                      <w:kern w:val="0"/>
                      <w:sz w:val="21"/>
                      <w:szCs w:val="21"/>
                      <w:lang w:val="en-US" w:eastAsia="zh-CN"/>
                    </w:rPr>
                    <w:t>固废治理</w:t>
                  </w:r>
                </w:p>
              </w:tc>
              <w:tc>
                <w:tcPr>
                  <w:tcW w:w="896" w:type="pct"/>
                  <w:gridSpan w:val="2"/>
                  <w:noWrap w:val="0"/>
                  <w:vAlign w:val="center"/>
                </w:tcPr>
                <w:p w14:paraId="5B1F0F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建筑垃圾</w:t>
                  </w:r>
                </w:p>
              </w:tc>
              <w:tc>
                <w:tcPr>
                  <w:tcW w:w="2581" w:type="pct"/>
                  <w:noWrap w:val="0"/>
                  <w:vAlign w:val="center"/>
                </w:tcPr>
                <w:p w14:paraId="1661EA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rPr>
                  </w:pPr>
                  <w:r>
                    <w:rPr>
                      <w:rFonts w:hint="eastAsia"/>
                      <w:color w:val="auto"/>
                      <w:sz w:val="21"/>
                      <w:szCs w:val="21"/>
                      <w:lang w:val="en-US" w:eastAsia="zh-CN"/>
                    </w:rPr>
                    <w:t>能利用的利用，无法利用的运输至建筑垃圾填埋场处置</w:t>
                  </w:r>
                </w:p>
              </w:tc>
              <w:tc>
                <w:tcPr>
                  <w:tcW w:w="387" w:type="pct"/>
                  <w:noWrap w:val="0"/>
                  <w:vAlign w:val="center"/>
                </w:tcPr>
                <w:p w14:paraId="44D54B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0.5</w:t>
                  </w:r>
                </w:p>
              </w:tc>
              <w:tc>
                <w:tcPr>
                  <w:tcW w:w="425" w:type="pct"/>
                  <w:noWrap w:val="0"/>
                  <w:vAlign w:val="center"/>
                </w:tcPr>
                <w:p w14:paraId="370250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1.95</w:t>
                  </w:r>
                </w:p>
              </w:tc>
            </w:tr>
            <w:tr w14:paraId="3AFA0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55DB68AF">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val="0"/>
                      <w:bCs w:val="0"/>
                      <w:color w:val="auto"/>
                      <w:sz w:val="21"/>
                      <w:szCs w:val="21"/>
                    </w:rPr>
                  </w:pPr>
                </w:p>
              </w:tc>
              <w:tc>
                <w:tcPr>
                  <w:tcW w:w="449" w:type="pct"/>
                  <w:vMerge w:val="continue"/>
                  <w:noWrap w:val="0"/>
                  <w:vAlign w:val="center"/>
                </w:tcPr>
                <w:p w14:paraId="28AE9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rPr>
                  </w:pPr>
                </w:p>
              </w:tc>
              <w:tc>
                <w:tcPr>
                  <w:tcW w:w="896" w:type="pct"/>
                  <w:gridSpan w:val="2"/>
                  <w:noWrap w:val="0"/>
                  <w:vAlign w:val="center"/>
                </w:tcPr>
                <w:p w14:paraId="5D3317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color w:val="auto"/>
                      <w:kern w:val="0"/>
                      <w:sz w:val="21"/>
                      <w:szCs w:val="21"/>
                      <w:lang w:val="en-US" w:eastAsia="zh-CN"/>
                    </w:rPr>
                    <w:t>废包装材料</w:t>
                  </w:r>
                </w:p>
              </w:tc>
              <w:tc>
                <w:tcPr>
                  <w:tcW w:w="2581" w:type="pct"/>
                  <w:noWrap w:val="0"/>
                  <w:vAlign w:val="center"/>
                </w:tcPr>
                <w:p w14:paraId="56DE82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olor w:val="auto"/>
                      <w:sz w:val="21"/>
                      <w:szCs w:val="21"/>
                      <w:lang w:val="en-US" w:eastAsia="zh-CN"/>
                    </w:rPr>
                    <w:t>废包装材料集中收集后外售于废品收购站</w:t>
                  </w:r>
                </w:p>
              </w:tc>
              <w:tc>
                <w:tcPr>
                  <w:tcW w:w="387" w:type="pct"/>
                  <w:noWrap w:val="0"/>
                  <w:vAlign w:val="center"/>
                </w:tcPr>
                <w:p w14:paraId="32BCC4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c>
                <w:tcPr>
                  <w:tcW w:w="425" w:type="pct"/>
                  <w:noWrap w:val="0"/>
                  <w:vAlign w:val="center"/>
                </w:tcPr>
                <w:p w14:paraId="770209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14:paraId="2E172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0E04D013">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val="0"/>
                      <w:bCs w:val="0"/>
                      <w:color w:val="auto"/>
                      <w:sz w:val="21"/>
                      <w:szCs w:val="21"/>
                    </w:rPr>
                  </w:pPr>
                </w:p>
              </w:tc>
              <w:tc>
                <w:tcPr>
                  <w:tcW w:w="449" w:type="pct"/>
                  <w:vMerge w:val="continue"/>
                  <w:noWrap w:val="0"/>
                  <w:vAlign w:val="center"/>
                </w:tcPr>
                <w:p w14:paraId="2CBF9B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rPr>
                  </w:pPr>
                </w:p>
              </w:tc>
              <w:tc>
                <w:tcPr>
                  <w:tcW w:w="896" w:type="pct"/>
                  <w:gridSpan w:val="2"/>
                  <w:noWrap w:val="0"/>
                  <w:vAlign w:val="center"/>
                </w:tcPr>
                <w:p w14:paraId="137705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生活垃圾</w:t>
                  </w:r>
                </w:p>
              </w:tc>
              <w:tc>
                <w:tcPr>
                  <w:tcW w:w="2581" w:type="pct"/>
                  <w:noWrap w:val="0"/>
                  <w:vAlign w:val="center"/>
                </w:tcPr>
                <w:p w14:paraId="48C1F5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olor w:val="auto"/>
                      <w:sz w:val="21"/>
                      <w:szCs w:val="21"/>
                      <w:lang w:val="en-US" w:eastAsia="zh-CN"/>
                    </w:rPr>
                  </w:pPr>
                  <w:r>
                    <w:rPr>
                      <w:rFonts w:hint="eastAsia" w:ascii="Times New Roman" w:hAnsi="Times New Roman" w:eastAsia="宋体" w:cs="Times New Roman"/>
                      <w:b w:val="0"/>
                      <w:bCs w:val="0"/>
                      <w:color w:val="auto"/>
                      <w:kern w:val="2"/>
                      <w:sz w:val="21"/>
                      <w:szCs w:val="21"/>
                      <w:lang w:val="en-US" w:eastAsia="zh-CN" w:bidi="ar-SA"/>
                    </w:rPr>
                    <w:t>经</w:t>
                  </w:r>
                  <w:r>
                    <w:rPr>
                      <w:rFonts w:hint="eastAsia"/>
                      <w:color w:val="auto"/>
                      <w:sz w:val="21"/>
                      <w:szCs w:val="21"/>
                      <w:lang w:val="en-US" w:eastAsia="zh-CN"/>
                    </w:rPr>
                    <w:t>生活垃圾收集设施</w:t>
                  </w:r>
                  <w:r>
                    <w:rPr>
                      <w:rFonts w:hint="eastAsia" w:ascii="Times New Roman" w:hAnsi="Times New Roman" w:eastAsia="宋体" w:cs="Times New Roman"/>
                      <w:b w:val="0"/>
                      <w:bCs w:val="0"/>
                      <w:color w:val="auto"/>
                      <w:kern w:val="2"/>
                      <w:sz w:val="21"/>
                      <w:szCs w:val="21"/>
                      <w:lang w:val="en-US" w:eastAsia="zh-CN" w:bidi="ar-SA"/>
                    </w:rPr>
                    <w:t>集中收集后由园区环卫部门统一清运处理</w:t>
                  </w:r>
                </w:p>
              </w:tc>
              <w:tc>
                <w:tcPr>
                  <w:tcW w:w="387" w:type="pct"/>
                  <w:noWrap w:val="0"/>
                  <w:vAlign w:val="center"/>
                </w:tcPr>
                <w:p w14:paraId="58D6BA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0.5</w:t>
                  </w:r>
                </w:p>
              </w:tc>
              <w:tc>
                <w:tcPr>
                  <w:tcW w:w="425" w:type="pct"/>
                  <w:noWrap w:val="0"/>
                  <w:vAlign w:val="center"/>
                </w:tcPr>
                <w:p w14:paraId="4E15BF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1.95</w:t>
                  </w:r>
                </w:p>
              </w:tc>
            </w:tr>
            <w:tr w14:paraId="6EDF8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restart"/>
                  <w:noWrap w:val="0"/>
                  <w:vAlign w:val="center"/>
                </w:tcPr>
                <w:p w14:paraId="7ED5BB68">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449" w:type="pct"/>
                  <w:noWrap w:val="0"/>
                  <w:vAlign w:val="center"/>
                </w:tcPr>
                <w:p w14:paraId="4B69344A">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废气</w:t>
                  </w:r>
                  <w:r>
                    <w:rPr>
                      <w:rFonts w:hint="default" w:ascii="Times New Roman" w:hAnsi="Times New Roman" w:cs="Times New Roman"/>
                      <w:color w:val="auto"/>
                      <w:sz w:val="21"/>
                      <w:szCs w:val="21"/>
                    </w:rPr>
                    <w:t>污染防治</w:t>
                  </w:r>
                </w:p>
              </w:tc>
              <w:tc>
                <w:tcPr>
                  <w:tcW w:w="896" w:type="pct"/>
                  <w:gridSpan w:val="2"/>
                  <w:noWrap w:val="0"/>
                  <w:vAlign w:val="center"/>
                </w:tcPr>
                <w:p w14:paraId="24462F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发泡工序、成型工序废气</w:t>
                  </w:r>
                </w:p>
              </w:tc>
              <w:tc>
                <w:tcPr>
                  <w:tcW w:w="2581" w:type="pct"/>
                  <w:noWrap w:val="0"/>
                  <w:vAlign w:val="center"/>
                </w:tcPr>
                <w:p w14:paraId="1ECF61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通过集气罩（收集效率90%）收集后经1套“二级活性炭吸附装置”处理后由1根</w:t>
                  </w:r>
                  <w:r>
                    <w:rPr>
                      <w:rFonts w:hint="default" w:ascii="Times New Roman" w:hAnsi="Times New Roman" w:eastAsia="宋体" w:cs="Times New Roman"/>
                      <w:color w:val="auto"/>
                      <w:sz w:val="21"/>
                      <w:szCs w:val="21"/>
                      <w:lang w:val="en-US" w:eastAsia="zh-CN"/>
                    </w:rPr>
                    <w:t>15m</w:t>
                  </w:r>
                  <w:r>
                    <w:rPr>
                      <w:rFonts w:hint="eastAsia" w:ascii="Times New Roman" w:hAnsi="Times New Roman" w:eastAsia="宋体" w:cs="Times New Roman"/>
                      <w:color w:val="auto"/>
                      <w:sz w:val="21"/>
                      <w:szCs w:val="21"/>
                      <w:lang w:val="en-US" w:eastAsia="zh-CN"/>
                    </w:rPr>
                    <w:t>高的排气筒（一期</w:t>
                  </w:r>
                  <w:r>
                    <w:rPr>
                      <w:rFonts w:hint="default" w:ascii="Times New Roman" w:hAnsi="Times New Roman" w:eastAsia="宋体" w:cs="Times New Roman"/>
                      <w:color w:val="auto"/>
                      <w:sz w:val="21"/>
                      <w:szCs w:val="21"/>
                      <w:lang w:val="en-US" w:eastAsia="zh-CN"/>
                    </w:rPr>
                    <w:t>DA00</w:t>
                  </w:r>
                  <w:r>
                    <w:rPr>
                      <w:rFonts w:hint="eastAsia" w:ascii="Times New Roman" w:hAnsi="Times New Roman" w:eastAsia="宋体" w:cs="Times New Roman"/>
                      <w:color w:val="auto"/>
                      <w:sz w:val="21"/>
                      <w:szCs w:val="21"/>
                      <w:lang w:val="en-US" w:eastAsia="zh-CN"/>
                    </w:rPr>
                    <w:t>1）排放</w:t>
                  </w:r>
                </w:p>
              </w:tc>
              <w:tc>
                <w:tcPr>
                  <w:tcW w:w="387" w:type="pct"/>
                  <w:noWrap w:val="0"/>
                  <w:vAlign w:val="center"/>
                </w:tcPr>
                <w:p w14:paraId="0B00BBE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7.5</w:t>
                  </w:r>
                </w:p>
              </w:tc>
              <w:tc>
                <w:tcPr>
                  <w:tcW w:w="425" w:type="pct"/>
                  <w:noWrap w:val="0"/>
                  <w:vAlign w:val="center"/>
                </w:tcPr>
                <w:p w14:paraId="1E617F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29.18</w:t>
                  </w:r>
                </w:p>
              </w:tc>
            </w:tr>
            <w:tr w14:paraId="35889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260" w:type="pct"/>
                  <w:vMerge w:val="continue"/>
                  <w:noWrap w:val="0"/>
                  <w:vAlign w:val="center"/>
                </w:tcPr>
                <w:p w14:paraId="792C8E5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restart"/>
                  <w:noWrap w:val="0"/>
                  <w:vAlign w:val="center"/>
                </w:tcPr>
                <w:p w14:paraId="45BC1F5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废水污染防治</w:t>
                  </w:r>
                </w:p>
              </w:tc>
              <w:tc>
                <w:tcPr>
                  <w:tcW w:w="896" w:type="pct"/>
                  <w:gridSpan w:val="2"/>
                  <w:noWrap w:val="0"/>
                  <w:vAlign w:val="center"/>
                </w:tcPr>
                <w:p w14:paraId="2694E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eastAsia="zh-CN"/>
                    </w:rPr>
                    <w:t>生活污水</w:t>
                  </w:r>
                </w:p>
              </w:tc>
              <w:tc>
                <w:tcPr>
                  <w:tcW w:w="2581" w:type="pct"/>
                  <w:vMerge w:val="restart"/>
                  <w:noWrap w:val="0"/>
                  <w:vAlign w:val="center"/>
                </w:tcPr>
                <w:p w14:paraId="78C85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0"/>
                      <w:sz w:val="21"/>
                      <w:szCs w:val="21"/>
                      <w:lang w:val="en-US" w:eastAsia="zh-CN"/>
                    </w:rPr>
                    <w:t>生活污水</w:t>
                  </w:r>
                  <w:r>
                    <w:rPr>
                      <w:rFonts w:hint="default" w:ascii="Times New Roman" w:hAnsi="Times New Roman" w:cs="Times New Roman"/>
                      <w:color w:val="auto"/>
                      <w:kern w:val="0"/>
                      <w:sz w:val="21"/>
                      <w:szCs w:val="21"/>
                      <w:lang w:val="en-US" w:eastAsia="zh-CN"/>
                    </w:rPr>
                    <w:t>经</w:t>
                  </w:r>
                  <w:r>
                    <w:rPr>
                      <w:rFonts w:hint="eastAsia" w:ascii="Times New Roman" w:hAnsi="Times New Roman" w:cs="Times New Roman"/>
                      <w:color w:val="auto"/>
                      <w:kern w:val="0"/>
                      <w:sz w:val="21"/>
                      <w:szCs w:val="21"/>
                      <w:lang w:val="en-US" w:eastAsia="zh-CN"/>
                    </w:rPr>
                    <w:t>厂区现有</w:t>
                  </w:r>
                  <w:r>
                    <w:rPr>
                      <w:rFonts w:hint="default" w:ascii="Times New Roman" w:hAnsi="Times New Roman" w:cs="Times New Roman"/>
                      <w:color w:val="auto"/>
                      <w:kern w:val="0"/>
                      <w:sz w:val="21"/>
                      <w:szCs w:val="21"/>
                      <w:lang w:val="en-US" w:eastAsia="zh-CN"/>
                    </w:rPr>
                    <w:t>化粪池处理后</w:t>
                  </w:r>
                  <w:r>
                    <w:rPr>
                      <w:rFonts w:hint="eastAsia"/>
                      <w:color w:val="auto"/>
                      <w:sz w:val="21"/>
                      <w:szCs w:val="21"/>
                      <w:lang w:val="en-US" w:eastAsia="zh-CN"/>
                    </w:rPr>
                    <w:t>同</w:t>
                  </w:r>
                  <w:r>
                    <w:rPr>
                      <w:rFonts w:hint="eastAsia" w:ascii="Times New Roman" w:hAnsi="Times New Roman" w:cs="Times New Roman"/>
                      <w:color w:val="auto"/>
                      <w:kern w:val="0"/>
                      <w:sz w:val="21"/>
                      <w:szCs w:val="21"/>
                      <w:lang w:val="en-US" w:eastAsia="zh-CN"/>
                    </w:rPr>
                    <w:t>循环冷却系统排水排入园区污水管网，最终进入</w:t>
                  </w:r>
                  <w:r>
                    <w:rPr>
                      <w:rFonts w:hint="eastAsia" w:cs="Times New Roman"/>
                      <w:color w:val="auto"/>
                      <w:kern w:val="0"/>
                      <w:sz w:val="21"/>
                      <w:szCs w:val="21"/>
                      <w:lang w:val="en-US" w:eastAsia="zh-CN"/>
                    </w:rPr>
                    <w:t>固原经济技术开发区新材料产业园污水处理厂进行处理</w:t>
                  </w:r>
                </w:p>
              </w:tc>
              <w:tc>
                <w:tcPr>
                  <w:tcW w:w="387" w:type="pct"/>
                  <w:vMerge w:val="restart"/>
                  <w:noWrap w:val="0"/>
                  <w:vAlign w:val="center"/>
                </w:tcPr>
                <w:p w14:paraId="6F5DA7A3">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425" w:type="pct"/>
                  <w:vMerge w:val="restart"/>
                  <w:noWrap w:val="0"/>
                  <w:vAlign w:val="center"/>
                </w:tcPr>
                <w:p w14:paraId="7F0DF0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r>
            <w:tr w14:paraId="6C7B2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260" w:type="pct"/>
                  <w:vMerge w:val="continue"/>
                  <w:noWrap w:val="0"/>
                  <w:vAlign w:val="center"/>
                </w:tcPr>
                <w:p w14:paraId="670DEF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color w:val="auto"/>
                      <w:sz w:val="21"/>
                      <w:szCs w:val="21"/>
                    </w:rPr>
                  </w:pPr>
                </w:p>
              </w:tc>
              <w:tc>
                <w:tcPr>
                  <w:tcW w:w="449" w:type="pct"/>
                  <w:vMerge w:val="continue"/>
                  <w:noWrap w:val="0"/>
                  <w:vAlign w:val="center"/>
                </w:tcPr>
                <w:p w14:paraId="3E78F5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color w:val="auto"/>
                      <w:sz w:val="21"/>
                      <w:szCs w:val="21"/>
                    </w:rPr>
                  </w:pPr>
                </w:p>
              </w:tc>
              <w:tc>
                <w:tcPr>
                  <w:tcW w:w="896" w:type="pct"/>
                  <w:gridSpan w:val="2"/>
                  <w:noWrap w:val="0"/>
                  <w:vAlign w:val="center"/>
                </w:tcPr>
                <w:p w14:paraId="34443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r>
                    <w:rPr>
                      <w:rFonts w:hint="eastAsia" w:ascii="Times New Roman" w:hAnsi="Times New Roman" w:cs="Times New Roman"/>
                      <w:color w:val="auto"/>
                      <w:kern w:val="0"/>
                      <w:sz w:val="21"/>
                      <w:szCs w:val="21"/>
                      <w:lang w:val="en-US" w:eastAsia="zh-CN"/>
                    </w:rPr>
                    <w:t>循环冷却系统排水</w:t>
                  </w:r>
                </w:p>
              </w:tc>
              <w:tc>
                <w:tcPr>
                  <w:tcW w:w="2581" w:type="pct"/>
                  <w:vMerge w:val="continue"/>
                  <w:noWrap w:val="0"/>
                  <w:vAlign w:val="center"/>
                </w:tcPr>
                <w:p w14:paraId="6C149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p>
              </w:tc>
              <w:tc>
                <w:tcPr>
                  <w:tcW w:w="387" w:type="pct"/>
                  <w:vMerge w:val="continue"/>
                  <w:noWrap w:val="0"/>
                  <w:vAlign w:val="center"/>
                </w:tcPr>
                <w:p w14:paraId="5917F6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p>
              </w:tc>
              <w:tc>
                <w:tcPr>
                  <w:tcW w:w="425" w:type="pct"/>
                  <w:vMerge w:val="continue"/>
                  <w:noWrap w:val="0"/>
                  <w:vAlign w:val="center"/>
                </w:tcPr>
                <w:p w14:paraId="0D146A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p>
              </w:tc>
            </w:tr>
            <w:tr w14:paraId="14FD6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7816181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restart"/>
                  <w:noWrap w:val="0"/>
                  <w:vAlign w:val="center"/>
                </w:tcPr>
                <w:p w14:paraId="23C3449F">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固体废物</w:t>
                  </w:r>
                  <w:r>
                    <w:rPr>
                      <w:rFonts w:hint="default" w:ascii="Times New Roman" w:hAnsi="Times New Roman" w:cs="Times New Roman"/>
                      <w:color w:val="auto"/>
                      <w:sz w:val="21"/>
                      <w:szCs w:val="21"/>
                    </w:rPr>
                    <w:t>治理</w:t>
                  </w:r>
                </w:p>
              </w:tc>
              <w:tc>
                <w:tcPr>
                  <w:tcW w:w="896" w:type="pct"/>
                  <w:gridSpan w:val="2"/>
                  <w:noWrap w:val="0"/>
                  <w:vAlign w:val="center"/>
                </w:tcPr>
                <w:p w14:paraId="3A94E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0"/>
                      <w:sz w:val="21"/>
                      <w:szCs w:val="21"/>
                    </w:rPr>
                    <w:t>生活垃圾</w:t>
                  </w:r>
                </w:p>
              </w:tc>
              <w:tc>
                <w:tcPr>
                  <w:tcW w:w="2581" w:type="pct"/>
                  <w:noWrap w:val="0"/>
                  <w:vAlign w:val="center"/>
                </w:tcPr>
                <w:p w14:paraId="495B07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vertAlign w:val="baseline"/>
                      <w:lang w:eastAsia="zh-CN"/>
                    </w:rPr>
                  </w:pPr>
                  <w:r>
                    <w:rPr>
                      <w:rFonts w:hint="eastAsia" w:cs="Times New Roman"/>
                      <w:color w:val="auto"/>
                      <w:sz w:val="21"/>
                      <w:szCs w:val="21"/>
                      <w:vertAlign w:val="baseline"/>
                      <w:lang w:val="en-US" w:eastAsia="zh-CN"/>
                    </w:rPr>
                    <w:t>经</w:t>
                  </w:r>
                  <w:r>
                    <w:rPr>
                      <w:rFonts w:hint="eastAsia" w:ascii="Times New Roman" w:hAnsi="Times New Roman" w:eastAsia="宋体" w:cs="Times New Roman"/>
                      <w:color w:val="auto"/>
                      <w:sz w:val="21"/>
                      <w:szCs w:val="21"/>
                      <w:vertAlign w:val="baseline"/>
                      <w:lang w:eastAsia="zh-CN"/>
                    </w:rPr>
                    <w:t>垃圾桶集中分类收集后由环卫部门统一清运处置</w:t>
                  </w:r>
                </w:p>
              </w:tc>
              <w:tc>
                <w:tcPr>
                  <w:tcW w:w="387" w:type="pct"/>
                  <w:noWrap w:val="0"/>
                  <w:vAlign w:val="center"/>
                </w:tcPr>
                <w:p w14:paraId="6A293054">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eastAsia" w:cs="Times New Roman"/>
                      <w:color w:val="auto"/>
                      <w:kern w:val="2"/>
                      <w:sz w:val="21"/>
                      <w:szCs w:val="21"/>
                      <w:lang w:val="en-US" w:eastAsia="zh-CN" w:bidi="ar-SA"/>
                    </w:rPr>
                    <w:t>1.2</w:t>
                  </w:r>
                </w:p>
              </w:tc>
              <w:tc>
                <w:tcPr>
                  <w:tcW w:w="425" w:type="pct"/>
                  <w:noWrap w:val="0"/>
                  <w:vAlign w:val="center"/>
                </w:tcPr>
                <w:p w14:paraId="2F8EA9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4.67</w:t>
                  </w:r>
                </w:p>
              </w:tc>
            </w:tr>
            <w:tr w14:paraId="08CF3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60" w:type="pct"/>
                  <w:vMerge w:val="continue"/>
                  <w:noWrap w:val="0"/>
                  <w:vAlign w:val="center"/>
                </w:tcPr>
                <w:p w14:paraId="327CCFF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continue"/>
                  <w:noWrap w:val="0"/>
                  <w:vAlign w:val="center"/>
                </w:tcPr>
                <w:p w14:paraId="7FB2D61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1" w:type="pct"/>
                  <w:vMerge w:val="restart"/>
                  <w:noWrap w:val="0"/>
                  <w:vAlign w:val="center"/>
                </w:tcPr>
                <w:p w14:paraId="0F8D3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一般工业固体废物</w:t>
                  </w:r>
                </w:p>
              </w:tc>
              <w:tc>
                <w:tcPr>
                  <w:tcW w:w="465" w:type="pct"/>
                  <w:noWrap w:val="0"/>
                  <w:vAlign w:val="center"/>
                </w:tcPr>
                <w:p w14:paraId="7F3145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废包装袋</w:t>
                  </w:r>
                </w:p>
              </w:tc>
              <w:tc>
                <w:tcPr>
                  <w:tcW w:w="2581" w:type="pct"/>
                  <w:vMerge w:val="restart"/>
                  <w:noWrap w:val="0"/>
                  <w:vAlign w:val="center"/>
                </w:tcPr>
                <w:p w14:paraId="5872EE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bCs/>
                      <w:color w:val="auto"/>
                      <w:spacing w:val="4"/>
                      <w:sz w:val="21"/>
                      <w:szCs w:val="21"/>
                      <w:highlight w:val="none"/>
                    </w:rPr>
                    <w:t>集中收集后，定期</w:t>
                  </w:r>
                  <w:r>
                    <w:rPr>
                      <w:rFonts w:hint="eastAsia"/>
                      <w:bCs/>
                      <w:color w:val="auto"/>
                      <w:spacing w:val="4"/>
                      <w:sz w:val="21"/>
                      <w:szCs w:val="21"/>
                      <w:highlight w:val="none"/>
                      <w:lang w:val="en-US" w:eastAsia="zh-CN"/>
                    </w:rPr>
                    <w:t>外售于废品收购站</w:t>
                  </w:r>
                </w:p>
              </w:tc>
              <w:tc>
                <w:tcPr>
                  <w:tcW w:w="387" w:type="pct"/>
                  <w:vMerge w:val="restart"/>
                  <w:noWrap w:val="0"/>
                  <w:vAlign w:val="center"/>
                </w:tcPr>
                <w:p w14:paraId="43995901">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w:t>
                  </w:r>
                </w:p>
              </w:tc>
              <w:tc>
                <w:tcPr>
                  <w:tcW w:w="425" w:type="pct"/>
                  <w:vMerge w:val="restart"/>
                  <w:noWrap w:val="0"/>
                  <w:vAlign w:val="center"/>
                </w:tcPr>
                <w:p w14:paraId="2E2A91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14:paraId="265BD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60" w:type="pct"/>
                  <w:vMerge w:val="continue"/>
                  <w:noWrap w:val="0"/>
                  <w:vAlign w:val="center"/>
                </w:tcPr>
                <w:p w14:paraId="4F7D838C">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continue"/>
                  <w:noWrap w:val="0"/>
                  <w:vAlign w:val="center"/>
                </w:tcPr>
                <w:p w14:paraId="17486281">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1" w:type="pct"/>
                  <w:vMerge w:val="continue"/>
                  <w:noWrap w:val="0"/>
                  <w:vAlign w:val="center"/>
                </w:tcPr>
                <w:p w14:paraId="2F5A5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465" w:type="pct"/>
                  <w:noWrap w:val="0"/>
                  <w:vAlign w:val="center"/>
                </w:tcPr>
                <w:p w14:paraId="1F40F4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废边角料</w:t>
                  </w:r>
                </w:p>
              </w:tc>
              <w:tc>
                <w:tcPr>
                  <w:tcW w:w="2581" w:type="pct"/>
                  <w:vMerge w:val="continue"/>
                  <w:noWrap w:val="0"/>
                  <w:vAlign w:val="center"/>
                </w:tcPr>
                <w:p w14:paraId="7E4A0F7F">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sz w:val="21"/>
                      <w:szCs w:val="21"/>
                    </w:rPr>
                  </w:pPr>
                </w:p>
              </w:tc>
              <w:tc>
                <w:tcPr>
                  <w:tcW w:w="387" w:type="pct"/>
                  <w:vMerge w:val="continue"/>
                  <w:noWrap w:val="0"/>
                  <w:vAlign w:val="center"/>
                </w:tcPr>
                <w:p w14:paraId="5F69CDC8">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cs="Times New Roman"/>
                      <w:color w:val="auto"/>
                      <w:sz w:val="21"/>
                      <w:szCs w:val="21"/>
                      <w:lang w:val="en-US" w:eastAsia="zh-CN"/>
                    </w:rPr>
                  </w:pPr>
                </w:p>
              </w:tc>
              <w:tc>
                <w:tcPr>
                  <w:tcW w:w="425" w:type="pct"/>
                  <w:vMerge w:val="continue"/>
                  <w:noWrap w:val="0"/>
                  <w:vAlign w:val="center"/>
                </w:tcPr>
                <w:p w14:paraId="4BF5B7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r>
            <w:tr w14:paraId="12FAD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4F62BE6A">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continue"/>
                  <w:noWrap w:val="0"/>
                  <w:vAlign w:val="center"/>
                </w:tcPr>
                <w:p w14:paraId="51A89121">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1" w:type="pct"/>
                  <w:vMerge w:val="continue"/>
                  <w:noWrap w:val="0"/>
                  <w:vAlign w:val="center"/>
                </w:tcPr>
                <w:p w14:paraId="1E3A95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465" w:type="pct"/>
                  <w:noWrap w:val="0"/>
                  <w:vAlign w:val="center"/>
                </w:tcPr>
                <w:p w14:paraId="63DC4B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不合格品</w:t>
                  </w:r>
                </w:p>
              </w:tc>
              <w:tc>
                <w:tcPr>
                  <w:tcW w:w="2581" w:type="pct"/>
                  <w:vMerge w:val="continue"/>
                  <w:noWrap w:val="0"/>
                  <w:vAlign w:val="center"/>
                </w:tcPr>
                <w:p w14:paraId="2438D631">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sz w:val="21"/>
                      <w:szCs w:val="21"/>
                    </w:rPr>
                  </w:pPr>
                </w:p>
              </w:tc>
              <w:tc>
                <w:tcPr>
                  <w:tcW w:w="387" w:type="pct"/>
                  <w:vMerge w:val="continue"/>
                  <w:noWrap w:val="0"/>
                  <w:vAlign w:val="center"/>
                </w:tcPr>
                <w:p w14:paraId="6E006752">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color w:val="auto"/>
                      <w:sz w:val="21"/>
                      <w:szCs w:val="21"/>
                      <w:lang w:val="en-US" w:eastAsia="zh-CN"/>
                    </w:rPr>
                  </w:pPr>
                </w:p>
              </w:tc>
              <w:tc>
                <w:tcPr>
                  <w:tcW w:w="425" w:type="pct"/>
                  <w:vMerge w:val="continue"/>
                  <w:noWrap w:val="0"/>
                  <w:vAlign w:val="center"/>
                </w:tcPr>
                <w:p w14:paraId="273787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SA"/>
                    </w:rPr>
                  </w:pPr>
                </w:p>
              </w:tc>
            </w:tr>
            <w:tr w14:paraId="48B8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484357F9">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continue"/>
                  <w:noWrap w:val="0"/>
                  <w:vAlign w:val="center"/>
                </w:tcPr>
                <w:p w14:paraId="520EEA6A">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1" w:type="pct"/>
                  <w:vMerge w:val="restart"/>
                  <w:noWrap w:val="0"/>
                  <w:vAlign w:val="center"/>
                </w:tcPr>
                <w:p w14:paraId="0565C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lang w:eastAsia="zh-CN"/>
                    </w:rPr>
                  </w:pPr>
                  <w:r>
                    <w:rPr>
                      <w:rFonts w:hint="default" w:ascii="Times New Roman" w:hAnsi="Times New Roman" w:cs="Times New Roman"/>
                      <w:color w:val="auto"/>
                      <w:spacing w:val="0"/>
                      <w:kern w:val="2"/>
                      <w:sz w:val="21"/>
                      <w:szCs w:val="21"/>
                      <w:lang w:val="en-US" w:eastAsia="zh-CN" w:bidi="ar-SA"/>
                    </w:rPr>
                    <w:t>危险废物</w:t>
                  </w:r>
                </w:p>
              </w:tc>
              <w:tc>
                <w:tcPr>
                  <w:tcW w:w="465" w:type="pct"/>
                  <w:noWrap w:val="0"/>
                  <w:vAlign w:val="center"/>
                </w:tcPr>
                <w:p w14:paraId="40886B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kern w:val="2"/>
                      <w:sz w:val="21"/>
                      <w:szCs w:val="21"/>
                      <w:lang w:val="en-US" w:eastAsia="zh-CN" w:bidi="ar-SA"/>
                    </w:rPr>
                    <w:t>废活性炭</w:t>
                  </w:r>
                </w:p>
              </w:tc>
              <w:tc>
                <w:tcPr>
                  <w:tcW w:w="2581" w:type="pct"/>
                  <w:vMerge w:val="restart"/>
                  <w:noWrap w:val="0"/>
                  <w:vAlign w:val="center"/>
                </w:tcPr>
                <w:p w14:paraId="14C80A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lang w:eastAsia="zh-CN"/>
                    </w:rPr>
                  </w:pPr>
                  <w:r>
                    <w:rPr>
                      <w:rFonts w:hint="default" w:ascii="Times New Roman" w:hAnsi="Times New Roman" w:cs="Times New Roman"/>
                      <w:snapToGrid w:val="0"/>
                      <w:color w:val="auto"/>
                      <w:kern w:val="0"/>
                      <w:sz w:val="21"/>
                      <w:szCs w:val="21"/>
                      <w:lang w:bidi="ar"/>
                    </w:rPr>
                    <w:t>废活性炭经密封包装后、废润滑油由密闭储油桶收集后与废润滑油桶均置于托盘上，分区暂存于</w:t>
                  </w:r>
                  <w:r>
                    <w:rPr>
                      <w:rFonts w:hint="eastAsia" w:ascii="Times New Roman" w:hAnsi="Times New Roman" w:cs="Times New Roman"/>
                      <w:snapToGrid w:val="0"/>
                      <w:color w:val="auto"/>
                      <w:kern w:val="0"/>
                      <w:sz w:val="21"/>
                      <w:szCs w:val="21"/>
                      <w:lang w:eastAsia="zh-CN" w:bidi="ar"/>
                    </w:rPr>
                    <w:t>危废贮存点（</w:t>
                  </w:r>
                  <w:r>
                    <w:rPr>
                      <w:rFonts w:hint="eastAsia" w:ascii="Times New Roman" w:hAnsi="Times New Roman" w:cs="Times New Roman"/>
                      <w:snapToGrid w:val="0"/>
                      <w:color w:val="auto"/>
                      <w:kern w:val="0"/>
                      <w:sz w:val="21"/>
                      <w:szCs w:val="21"/>
                      <w:lang w:val="en-US" w:eastAsia="zh-CN" w:bidi="ar"/>
                    </w:rPr>
                    <w:t>1座，</w:t>
                  </w:r>
                  <w:r>
                    <w:rPr>
                      <w:rFonts w:hint="eastAsia" w:ascii="Times New Roman" w:hAnsi="Times New Roman" w:cs="Times New Roman"/>
                      <w:bCs/>
                      <w:color w:val="auto"/>
                      <w:sz w:val="21"/>
                      <w:szCs w:val="21"/>
                      <w:lang w:val="en-US" w:eastAsia="zh-CN"/>
                    </w:rPr>
                    <w:t>10m</w:t>
                  </w:r>
                  <w:r>
                    <w:rPr>
                      <w:rFonts w:hint="default" w:ascii="Times New Roman" w:hAnsi="Times New Roman" w:cs="Times New Roman"/>
                      <w:bCs/>
                      <w:color w:val="auto"/>
                      <w:sz w:val="21"/>
                      <w:szCs w:val="21"/>
                      <w:vertAlign w:val="superscript"/>
                    </w:rPr>
                    <w:t>2</w:t>
                  </w:r>
                  <w:r>
                    <w:rPr>
                      <w:rFonts w:hint="eastAsia" w:ascii="Times New Roman" w:hAnsi="Times New Roman" w:cs="Times New Roman"/>
                      <w:snapToGrid w:val="0"/>
                      <w:color w:val="auto"/>
                      <w:kern w:val="0"/>
                      <w:sz w:val="21"/>
                      <w:szCs w:val="21"/>
                      <w:lang w:eastAsia="zh-CN" w:bidi="ar"/>
                    </w:rPr>
                    <w:t>）</w:t>
                  </w:r>
                  <w:r>
                    <w:rPr>
                      <w:rFonts w:hint="default" w:ascii="Times New Roman" w:hAnsi="Times New Roman" w:cs="Times New Roman"/>
                      <w:snapToGrid w:val="0"/>
                      <w:color w:val="auto"/>
                      <w:kern w:val="0"/>
                      <w:sz w:val="21"/>
                      <w:szCs w:val="21"/>
                      <w:lang w:bidi="ar"/>
                    </w:rPr>
                    <w:t>内，定期委托有资质的单位进行处置</w:t>
                  </w:r>
                </w:p>
              </w:tc>
              <w:tc>
                <w:tcPr>
                  <w:tcW w:w="387" w:type="pct"/>
                  <w:vMerge w:val="restart"/>
                  <w:noWrap w:val="0"/>
                  <w:vAlign w:val="center"/>
                </w:tcPr>
                <w:p w14:paraId="09371E81">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Times New Roman"/>
                      <w:color w:val="auto"/>
                      <w:sz w:val="21"/>
                      <w:szCs w:val="21"/>
                      <w:lang w:val="en-US" w:eastAsia="zh-CN"/>
                    </w:rPr>
                  </w:pPr>
                  <w:r>
                    <w:rPr>
                      <w:rFonts w:hint="eastAsia" w:cs="Times New Roman"/>
                      <w:color w:val="auto"/>
                      <w:sz w:val="21"/>
                      <w:szCs w:val="21"/>
                      <w:lang w:val="en-US" w:eastAsia="zh-CN"/>
                    </w:rPr>
                    <w:t>4.5</w:t>
                  </w:r>
                </w:p>
              </w:tc>
              <w:tc>
                <w:tcPr>
                  <w:tcW w:w="425" w:type="pct"/>
                  <w:vMerge w:val="restart"/>
                  <w:noWrap w:val="0"/>
                  <w:vAlign w:val="center"/>
                </w:tcPr>
                <w:p w14:paraId="3AE820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17.51</w:t>
                  </w:r>
                </w:p>
              </w:tc>
            </w:tr>
            <w:tr w14:paraId="4F26F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2BEF8224">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continue"/>
                  <w:noWrap w:val="0"/>
                  <w:vAlign w:val="center"/>
                </w:tcPr>
                <w:p w14:paraId="506B2176">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1" w:type="pct"/>
                  <w:vMerge w:val="continue"/>
                  <w:noWrap w:val="0"/>
                  <w:vAlign w:val="center"/>
                </w:tcPr>
                <w:p w14:paraId="2C5964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p>
              </w:tc>
              <w:tc>
                <w:tcPr>
                  <w:tcW w:w="465" w:type="pct"/>
                  <w:noWrap w:val="0"/>
                  <w:vAlign w:val="center"/>
                </w:tcPr>
                <w:p w14:paraId="5C066E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kern w:val="2"/>
                      <w:sz w:val="21"/>
                      <w:szCs w:val="21"/>
                      <w:lang w:val="en-US" w:eastAsia="zh-CN" w:bidi="ar-SA"/>
                    </w:rPr>
                    <w:t>废润滑油</w:t>
                  </w:r>
                </w:p>
              </w:tc>
              <w:tc>
                <w:tcPr>
                  <w:tcW w:w="2581" w:type="pct"/>
                  <w:vMerge w:val="continue"/>
                  <w:noWrap w:val="0"/>
                  <w:vAlign w:val="center"/>
                </w:tcPr>
                <w:p w14:paraId="1B7D07E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p>
              </w:tc>
              <w:tc>
                <w:tcPr>
                  <w:tcW w:w="387" w:type="pct"/>
                  <w:vMerge w:val="continue"/>
                  <w:noWrap w:val="0"/>
                  <w:vAlign w:val="center"/>
                </w:tcPr>
                <w:p w14:paraId="2C2C594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color w:val="auto"/>
                      <w:sz w:val="21"/>
                      <w:szCs w:val="21"/>
                      <w:lang w:val="en-US" w:eastAsia="zh-CN"/>
                    </w:rPr>
                  </w:pPr>
                </w:p>
              </w:tc>
              <w:tc>
                <w:tcPr>
                  <w:tcW w:w="425" w:type="pct"/>
                  <w:vMerge w:val="continue"/>
                  <w:noWrap w:val="0"/>
                  <w:vAlign w:val="center"/>
                </w:tcPr>
                <w:p w14:paraId="270BEF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SA"/>
                    </w:rPr>
                  </w:pPr>
                </w:p>
              </w:tc>
            </w:tr>
            <w:tr w14:paraId="51014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0DFBD3AC">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continue"/>
                  <w:noWrap w:val="0"/>
                  <w:vAlign w:val="center"/>
                </w:tcPr>
                <w:p w14:paraId="1B5DAAF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1" w:type="pct"/>
                  <w:vMerge w:val="continue"/>
                  <w:noWrap w:val="0"/>
                  <w:vAlign w:val="center"/>
                </w:tcPr>
                <w:p w14:paraId="051304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p>
              </w:tc>
              <w:tc>
                <w:tcPr>
                  <w:tcW w:w="465" w:type="pct"/>
                  <w:noWrap w:val="0"/>
                  <w:vAlign w:val="center"/>
                </w:tcPr>
                <w:p w14:paraId="750B7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kern w:val="2"/>
                      <w:sz w:val="21"/>
                      <w:szCs w:val="21"/>
                      <w:lang w:val="en-US" w:eastAsia="zh-CN" w:bidi="ar-SA"/>
                    </w:rPr>
                    <w:t>废润滑油桶</w:t>
                  </w:r>
                </w:p>
              </w:tc>
              <w:tc>
                <w:tcPr>
                  <w:tcW w:w="2581" w:type="pct"/>
                  <w:vMerge w:val="continue"/>
                  <w:noWrap w:val="0"/>
                  <w:vAlign w:val="center"/>
                </w:tcPr>
                <w:p w14:paraId="17C56B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p>
              </w:tc>
              <w:tc>
                <w:tcPr>
                  <w:tcW w:w="387" w:type="pct"/>
                  <w:vMerge w:val="continue"/>
                  <w:noWrap w:val="0"/>
                  <w:vAlign w:val="center"/>
                </w:tcPr>
                <w:p w14:paraId="37389A54">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color w:val="auto"/>
                      <w:sz w:val="21"/>
                      <w:szCs w:val="21"/>
                      <w:lang w:val="en-US" w:eastAsia="zh-CN"/>
                    </w:rPr>
                  </w:pPr>
                </w:p>
              </w:tc>
              <w:tc>
                <w:tcPr>
                  <w:tcW w:w="425" w:type="pct"/>
                  <w:vMerge w:val="continue"/>
                  <w:noWrap w:val="0"/>
                  <w:vAlign w:val="center"/>
                </w:tcPr>
                <w:p w14:paraId="0A6AE3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SA"/>
                    </w:rPr>
                  </w:pPr>
                </w:p>
              </w:tc>
            </w:tr>
            <w:tr w14:paraId="3CE06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646F46C4">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noWrap w:val="0"/>
                  <w:vAlign w:val="center"/>
                </w:tcPr>
                <w:p w14:paraId="32F99B55">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r>
                    <w:rPr>
                      <w:rFonts w:hint="default" w:ascii="Times New Roman" w:hAnsi="Times New Roman" w:cs="Times New Roman"/>
                      <w:color w:val="auto"/>
                      <w:sz w:val="21"/>
                      <w:szCs w:val="21"/>
                    </w:rPr>
                    <w:t>污染防治</w:t>
                  </w:r>
                </w:p>
              </w:tc>
              <w:tc>
                <w:tcPr>
                  <w:tcW w:w="3478" w:type="pct"/>
                  <w:gridSpan w:val="3"/>
                  <w:noWrap w:val="0"/>
                  <w:vAlign w:val="center"/>
                </w:tcPr>
                <w:p w14:paraId="23B58AE8">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color w:val="auto"/>
                      <w:kern w:val="0"/>
                      <w:sz w:val="21"/>
                      <w:szCs w:val="21"/>
                    </w:rPr>
                    <w:t>厂房隔声，选用低噪声设备，采取减振、隔声等降噪措施</w:t>
                  </w:r>
                </w:p>
              </w:tc>
              <w:tc>
                <w:tcPr>
                  <w:tcW w:w="387" w:type="pct"/>
                  <w:noWrap w:val="0"/>
                  <w:vAlign w:val="center"/>
                </w:tcPr>
                <w:p w14:paraId="6A18D2E2">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3.0</w:t>
                  </w:r>
                </w:p>
              </w:tc>
              <w:tc>
                <w:tcPr>
                  <w:tcW w:w="425" w:type="pct"/>
                  <w:noWrap w:val="0"/>
                  <w:vAlign w:val="center"/>
                </w:tcPr>
                <w:p w14:paraId="79128F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11.67</w:t>
                  </w:r>
                </w:p>
              </w:tc>
            </w:tr>
            <w:tr w14:paraId="4A27E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5A77EDB5">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restart"/>
                  <w:noWrap w:val="0"/>
                  <w:vAlign w:val="center"/>
                </w:tcPr>
                <w:p w14:paraId="27F22C75">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防渗措施</w:t>
                  </w:r>
                </w:p>
              </w:tc>
              <w:tc>
                <w:tcPr>
                  <w:tcW w:w="896" w:type="pct"/>
                  <w:gridSpan w:val="2"/>
                  <w:noWrap w:val="0"/>
                  <w:vAlign w:val="center"/>
                </w:tcPr>
                <w:p w14:paraId="30EA3F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kern w:val="2"/>
                      <w:sz w:val="21"/>
                      <w:szCs w:val="21"/>
                      <w:lang w:val="en-US" w:eastAsia="zh-CN" w:bidi="ar-SA"/>
                    </w:rPr>
                    <w:t>重点防渗区</w:t>
                  </w:r>
                </w:p>
              </w:tc>
              <w:tc>
                <w:tcPr>
                  <w:tcW w:w="2581" w:type="pct"/>
                  <w:noWrap w:val="0"/>
                  <w:vAlign w:val="center"/>
                </w:tcPr>
                <w:p w14:paraId="247AB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pacing w:val="0"/>
                      <w:kern w:val="0"/>
                      <w:sz w:val="21"/>
                      <w:szCs w:val="21"/>
                      <w:lang w:eastAsia="zh-CN"/>
                    </w:rPr>
                    <w:t>主要为危废贮存点，</w:t>
                  </w:r>
                  <w:r>
                    <w:rPr>
                      <w:rFonts w:hint="default" w:ascii="Times New Roman" w:hAnsi="Times New Roman" w:eastAsia="宋体" w:cs="Times New Roman"/>
                      <w:color w:val="auto"/>
                      <w:kern w:val="0"/>
                      <w:sz w:val="21"/>
                      <w:szCs w:val="21"/>
                      <w:lang w:eastAsia="zh-CN"/>
                    </w:rPr>
                    <w:t>项目</w:t>
                  </w:r>
                  <w:r>
                    <w:rPr>
                      <w:rFonts w:hint="eastAsia" w:ascii="Times New Roman" w:hAnsi="Times New Roman" w:eastAsia="宋体" w:cs="Times New Roman"/>
                      <w:color w:val="auto"/>
                      <w:kern w:val="0"/>
                      <w:sz w:val="21"/>
                      <w:szCs w:val="21"/>
                      <w:lang w:val="en-US" w:eastAsia="zh-CN"/>
                    </w:rPr>
                    <w:t>产生的</w:t>
                  </w:r>
                  <w:r>
                    <w:rPr>
                      <w:rFonts w:hint="default" w:ascii="Times New Roman" w:hAnsi="Times New Roman" w:cs="Times New Roman"/>
                      <w:snapToGrid w:val="0"/>
                      <w:color w:val="auto"/>
                      <w:kern w:val="0"/>
                      <w:sz w:val="21"/>
                      <w:szCs w:val="21"/>
                      <w:lang w:bidi="ar"/>
                    </w:rPr>
                    <w:t>废活性炭经密封包装后、</w:t>
                  </w:r>
                  <w:r>
                    <w:rPr>
                      <w:rFonts w:hint="eastAsia"/>
                      <w:snapToGrid w:val="0"/>
                      <w:color w:val="auto"/>
                      <w:sz w:val="21"/>
                      <w:szCs w:val="21"/>
                      <w:lang w:eastAsia="zh-CN"/>
                    </w:rPr>
                    <w:t>废润滑油由专用闭口储油桶收集后与废润滑油桶置于托盘上</w:t>
                  </w:r>
                  <w:r>
                    <w:rPr>
                      <w:rFonts w:hint="default" w:ascii="Times New Roman" w:hAnsi="Times New Roman" w:eastAsia="宋体" w:cs="Times New Roman"/>
                      <w:color w:val="auto"/>
                      <w:kern w:val="0"/>
                      <w:sz w:val="21"/>
                      <w:szCs w:val="21"/>
                      <w:lang w:eastAsia="zh-CN"/>
                    </w:rPr>
                    <w:t>，危险废物不与地面直接接触</w:t>
                  </w:r>
                  <w:r>
                    <w:rPr>
                      <w:rFonts w:hint="eastAsia" w:ascii="Times New Roman" w:hAnsi="Times New Roman" w:eastAsia="宋体" w:cs="Times New Roman"/>
                      <w:color w:val="auto"/>
                      <w:kern w:val="0"/>
                      <w:sz w:val="21"/>
                      <w:szCs w:val="21"/>
                      <w:lang w:eastAsia="zh-CN"/>
                    </w:rPr>
                    <w:t>。</w:t>
                  </w:r>
                  <w:r>
                    <w:rPr>
                      <w:rFonts w:hint="default" w:ascii="Times New Roman" w:hAnsi="Times New Roman" w:cs="Times New Roman"/>
                      <w:color w:val="auto"/>
                      <w:spacing w:val="0"/>
                      <w:kern w:val="0"/>
                      <w:sz w:val="21"/>
                      <w:szCs w:val="21"/>
                      <w:lang w:eastAsia="zh-CN"/>
                    </w:rPr>
                    <w:t>贮存设施地面与裙脚应采取表面防渗措施，表面防渗材料应与所接触的物料或污染物相容，可采用抗渗混凝土、高密度聚乙烯膜、</w:t>
                  </w:r>
                  <w:r>
                    <w:rPr>
                      <w:rFonts w:hint="eastAsia" w:ascii="Times New Roman" w:hAnsi="Times New Roman" w:cs="Times New Roman"/>
                      <w:color w:val="auto"/>
                      <w:spacing w:val="0"/>
                      <w:kern w:val="0"/>
                      <w:sz w:val="21"/>
                      <w:szCs w:val="21"/>
                      <w:lang w:eastAsia="zh-CN"/>
                    </w:rPr>
                    <w:t>钠基</w:t>
                  </w:r>
                  <w:r>
                    <w:rPr>
                      <w:rFonts w:hint="default" w:ascii="Times New Roman" w:hAnsi="Times New Roman" w:cs="Times New Roman"/>
                      <w:color w:val="auto"/>
                      <w:spacing w:val="0"/>
                      <w:kern w:val="0"/>
                      <w:sz w:val="21"/>
                      <w:szCs w:val="21"/>
                      <w:lang w:eastAsia="zh-CN"/>
                    </w:rPr>
                    <w:t>膨润土防水毯或其他防渗性能等效的材料</w:t>
                  </w:r>
                </w:p>
              </w:tc>
              <w:tc>
                <w:tcPr>
                  <w:tcW w:w="387" w:type="pct"/>
                  <w:noWrap w:val="0"/>
                  <w:vAlign w:val="center"/>
                </w:tcPr>
                <w:p w14:paraId="5B286A96">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Times New Roman"/>
                      <w:color w:val="auto"/>
                      <w:sz w:val="21"/>
                      <w:szCs w:val="21"/>
                      <w:lang w:val="en-US" w:eastAsia="zh-CN"/>
                    </w:rPr>
                  </w:pPr>
                  <w:r>
                    <w:rPr>
                      <w:rFonts w:hint="eastAsia" w:cs="Times New Roman"/>
                      <w:color w:val="auto"/>
                      <w:sz w:val="21"/>
                      <w:szCs w:val="21"/>
                      <w:lang w:val="en-US" w:eastAsia="zh-CN"/>
                    </w:rPr>
                    <w:t>2.5</w:t>
                  </w:r>
                </w:p>
              </w:tc>
              <w:tc>
                <w:tcPr>
                  <w:tcW w:w="425" w:type="pct"/>
                  <w:noWrap w:val="0"/>
                  <w:vAlign w:val="center"/>
                </w:tcPr>
                <w:p w14:paraId="3C7C8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9.73</w:t>
                  </w:r>
                </w:p>
              </w:tc>
            </w:tr>
            <w:tr w14:paraId="78264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0" w:type="pct"/>
                  <w:vMerge w:val="continue"/>
                  <w:noWrap w:val="0"/>
                  <w:vAlign w:val="center"/>
                </w:tcPr>
                <w:p w14:paraId="6B785146">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9" w:type="pct"/>
                  <w:vMerge w:val="continue"/>
                  <w:noWrap w:val="0"/>
                  <w:vAlign w:val="center"/>
                </w:tcPr>
                <w:p w14:paraId="02B2036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val="en-US" w:eastAsia="zh-CN"/>
                    </w:rPr>
                  </w:pPr>
                </w:p>
              </w:tc>
              <w:tc>
                <w:tcPr>
                  <w:tcW w:w="896" w:type="pct"/>
                  <w:gridSpan w:val="2"/>
                  <w:noWrap w:val="0"/>
                  <w:vAlign w:val="center"/>
                </w:tcPr>
                <w:p w14:paraId="1E5CB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kern w:val="2"/>
                      <w:sz w:val="21"/>
                      <w:szCs w:val="21"/>
                      <w:lang w:val="en-US" w:eastAsia="zh-CN" w:bidi="ar-SA"/>
                    </w:rPr>
                    <w:t>简单防渗区</w:t>
                  </w:r>
                </w:p>
              </w:tc>
              <w:tc>
                <w:tcPr>
                  <w:tcW w:w="2581" w:type="pct"/>
                  <w:noWrap w:val="0"/>
                  <w:vAlign w:val="center"/>
                </w:tcPr>
                <w:p w14:paraId="06494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color w:val="auto"/>
                      <w:sz w:val="21"/>
                      <w:szCs w:val="21"/>
                    </w:rPr>
                    <w:t>其他区域为简单防渗区，实施一般</w:t>
                  </w:r>
                  <w:r>
                    <w:rPr>
                      <w:rFonts w:hint="eastAsia"/>
                      <w:color w:val="auto"/>
                      <w:sz w:val="21"/>
                      <w:szCs w:val="21"/>
                    </w:rPr>
                    <w:t>水泥硬化</w:t>
                  </w:r>
                  <w:r>
                    <w:rPr>
                      <w:rFonts w:hint="eastAsia"/>
                      <w:color w:val="auto"/>
                      <w:sz w:val="21"/>
                      <w:szCs w:val="21"/>
                      <w:lang w:val="en-US" w:eastAsia="zh-CN"/>
                    </w:rPr>
                    <w:t>措施</w:t>
                  </w:r>
                </w:p>
              </w:tc>
              <w:tc>
                <w:tcPr>
                  <w:tcW w:w="387" w:type="pct"/>
                  <w:noWrap w:val="0"/>
                  <w:vAlign w:val="center"/>
                </w:tcPr>
                <w:p w14:paraId="1D7D0D1A">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Times New Roman"/>
                      <w:color w:val="auto"/>
                      <w:sz w:val="21"/>
                      <w:szCs w:val="21"/>
                      <w:lang w:val="en-US" w:eastAsia="zh-CN"/>
                    </w:rPr>
                  </w:pPr>
                  <w:r>
                    <w:rPr>
                      <w:rFonts w:hint="eastAsia" w:cs="Times New Roman"/>
                      <w:color w:val="auto"/>
                      <w:sz w:val="21"/>
                      <w:szCs w:val="21"/>
                      <w:lang w:val="en-US" w:eastAsia="zh-CN"/>
                    </w:rPr>
                    <w:t>3.0</w:t>
                  </w:r>
                </w:p>
              </w:tc>
              <w:tc>
                <w:tcPr>
                  <w:tcW w:w="425" w:type="pct"/>
                  <w:noWrap w:val="0"/>
                  <w:vAlign w:val="center"/>
                </w:tcPr>
                <w:p w14:paraId="66C75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11.67</w:t>
                  </w:r>
                </w:p>
              </w:tc>
            </w:tr>
            <w:tr w14:paraId="713FB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187" w:type="pct"/>
                  <w:gridSpan w:val="5"/>
                  <w:noWrap w:val="0"/>
                  <w:vAlign w:val="center"/>
                </w:tcPr>
                <w:p w14:paraId="36A8E067">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387" w:type="pct"/>
                  <w:noWrap w:val="0"/>
                  <w:vAlign w:val="center"/>
                </w:tcPr>
                <w:p w14:paraId="1DA2D9D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25.7</w:t>
                  </w:r>
                </w:p>
              </w:tc>
              <w:tc>
                <w:tcPr>
                  <w:tcW w:w="425" w:type="pct"/>
                  <w:noWrap w:val="0"/>
                  <w:vAlign w:val="center"/>
                </w:tcPr>
                <w:p w14:paraId="14D0AC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100</w:t>
                  </w:r>
                </w:p>
              </w:tc>
            </w:tr>
          </w:tbl>
          <w:p w14:paraId="5D4BD0F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420" w:firstLineChars="200"/>
              <w:jc w:val="both"/>
              <w:textAlignment w:val="auto"/>
              <w:rPr>
                <w:rFonts w:hint="eastAsia" w:ascii="Times New Roman" w:hAnsi="Times New Roman" w:eastAsia="宋体" w:cs="Times New Roman"/>
                <w:b/>
                <w:bCs/>
                <w:color w:val="auto"/>
                <w:kern w:val="0"/>
                <w:szCs w:val="20"/>
                <w:lang w:eastAsia="zh-CN"/>
              </w:rPr>
            </w:pPr>
            <w:r>
              <w:rPr>
                <w:rFonts w:hint="default" w:ascii="Times New Roman" w:hAnsi="Times New Roman" w:eastAsia="宋体" w:cs="Times New Roman"/>
                <w:b w:val="0"/>
                <w:bCs/>
                <w:color w:val="auto"/>
                <w:kern w:val="0"/>
                <w:sz w:val="21"/>
                <w:szCs w:val="21"/>
              </w:rPr>
              <w:t>表</w:t>
            </w:r>
            <w:r>
              <w:rPr>
                <w:rFonts w:hint="default" w:ascii="Times New Roman" w:hAnsi="Times New Roman" w:eastAsia="宋体" w:cs="Times New Roman"/>
                <w:b w:val="0"/>
                <w:bCs/>
                <w:color w:val="auto"/>
                <w:kern w:val="0"/>
                <w:sz w:val="21"/>
                <w:szCs w:val="21"/>
                <w:lang w:val="en-US" w:eastAsia="zh-CN"/>
              </w:rPr>
              <w:t>2-</w:t>
            </w:r>
            <w:r>
              <w:rPr>
                <w:rFonts w:hint="eastAsia" w:cs="Times New Roman"/>
                <w:b w:val="0"/>
                <w:bCs/>
                <w:color w:val="auto"/>
                <w:kern w:val="0"/>
                <w:sz w:val="21"/>
                <w:szCs w:val="21"/>
                <w:lang w:val="en-US" w:eastAsia="zh-CN"/>
              </w:rPr>
              <w:t>11</w:t>
            </w:r>
            <w:r>
              <w:rPr>
                <w:rFonts w:hint="default" w:ascii="Times New Roman" w:hAnsi="Times New Roman" w:eastAsia="宋体" w:cs="Times New Roman"/>
                <w:b/>
                <w:bCs w:val="0"/>
                <w:color w:val="auto"/>
                <w:kern w:val="0"/>
                <w:sz w:val="21"/>
                <w:szCs w:val="21"/>
              </w:rPr>
              <w:t xml:space="preserve"> </w:t>
            </w:r>
            <w:r>
              <w:rPr>
                <w:rFonts w:hint="default" w:ascii="Times New Roman" w:hAnsi="Times New Roman" w:eastAsia="宋体" w:cs="Times New Roman"/>
                <w:b/>
                <w:bCs w:val="0"/>
                <w:color w:val="auto"/>
                <w:kern w:val="0"/>
              </w:rPr>
              <w:t xml:space="preserve">     </w:t>
            </w:r>
            <w:r>
              <w:rPr>
                <w:rFonts w:hint="eastAsia" w:cs="Times New Roman"/>
                <w:b/>
                <w:bCs w:val="0"/>
                <w:color w:val="auto"/>
                <w:kern w:val="0"/>
                <w:lang w:val="en-US" w:eastAsia="zh-CN"/>
              </w:rPr>
              <w:t xml:space="preserve"> </w:t>
            </w:r>
            <w:r>
              <w:rPr>
                <w:rFonts w:hint="default" w:ascii="Times New Roman" w:hAnsi="Times New Roman" w:eastAsia="宋体" w:cs="Times New Roman"/>
                <w:b/>
                <w:bCs w:val="0"/>
                <w:color w:val="auto"/>
                <w:kern w:val="0"/>
              </w:rPr>
              <w:t xml:space="preserve"> </w:t>
            </w:r>
            <w:r>
              <w:rPr>
                <w:rFonts w:hint="eastAsia" w:cs="Times New Roman"/>
                <w:b/>
                <w:bCs w:val="0"/>
                <w:color w:val="auto"/>
                <w:kern w:val="0"/>
                <w:lang w:val="en-US" w:eastAsia="zh-CN"/>
              </w:rPr>
              <w:t xml:space="preserve">   </w:t>
            </w:r>
            <w:r>
              <w:rPr>
                <w:rFonts w:hint="default" w:ascii="Times New Roman" w:hAnsi="Times New Roman" w:eastAsia="宋体" w:cs="Times New Roman"/>
                <w:b/>
                <w:bCs w:val="0"/>
                <w:color w:val="auto"/>
                <w:kern w:val="0"/>
              </w:rPr>
              <w:t xml:space="preserve">   </w:t>
            </w:r>
            <w:r>
              <w:rPr>
                <w:rFonts w:hint="eastAsia" w:cs="Times New Roman"/>
                <w:b/>
                <w:bCs w:val="0"/>
                <w:color w:val="auto"/>
                <w:kern w:val="0"/>
                <w:lang w:val="en-US" w:eastAsia="zh-CN"/>
              </w:rPr>
              <w:t xml:space="preserve">  </w:t>
            </w:r>
            <w:r>
              <w:rPr>
                <w:rFonts w:hint="default" w:ascii="Times New Roman" w:hAnsi="Times New Roman" w:eastAsia="宋体" w:cs="Times New Roman"/>
                <w:b/>
                <w:bCs w:val="0"/>
                <w:color w:val="auto"/>
                <w:kern w:val="0"/>
              </w:rPr>
              <w:t xml:space="preserve">  </w:t>
            </w:r>
            <w:r>
              <w:rPr>
                <w:rFonts w:hint="eastAsia" w:cs="Times New Roman"/>
                <w:b/>
                <w:bCs w:val="0"/>
                <w:color w:val="auto"/>
                <w:kern w:val="0"/>
                <w:sz w:val="24"/>
                <w:szCs w:val="24"/>
                <w:lang w:val="en-US" w:eastAsia="zh-CN"/>
              </w:rPr>
              <w:t>本</w:t>
            </w:r>
            <w:r>
              <w:rPr>
                <w:rFonts w:hint="default" w:ascii="Times New Roman" w:hAnsi="Times New Roman" w:eastAsia="宋体" w:cs="Times New Roman"/>
                <w:b/>
                <w:bCs w:val="0"/>
                <w:color w:val="auto"/>
                <w:kern w:val="0"/>
                <w:sz w:val="24"/>
                <w:szCs w:val="24"/>
              </w:rPr>
              <w:t>项目</w:t>
            </w:r>
            <w:r>
              <w:rPr>
                <w:rFonts w:hint="eastAsia" w:cs="Times New Roman"/>
                <w:b/>
                <w:bCs w:val="0"/>
                <w:color w:val="auto"/>
                <w:kern w:val="0"/>
                <w:sz w:val="24"/>
                <w:szCs w:val="24"/>
                <w:lang w:val="en-US" w:eastAsia="zh-CN"/>
              </w:rPr>
              <w:t>二期</w:t>
            </w:r>
            <w:r>
              <w:rPr>
                <w:rFonts w:hint="default" w:ascii="Times New Roman" w:hAnsi="Times New Roman" w:eastAsia="宋体" w:cs="Times New Roman"/>
                <w:b/>
                <w:bCs w:val="0"/>
                <w:color w:val="auto"/>
                <w:kern w:val="0"/>
                <w:sz w:val="24"/>
                <w:szCs w:val="24"/>
              </w:rPr>
              <w:t>环保投资估算</w:t>
            </w:r>
            <w:r>
              <w:rPr>
                <w:rFonts w:hint="default" w:ascii="Times New Roman" w:hAnsi="Times New Roman" w:cs="Times New Roman"/>
                <w:b/>
                <w:bCs w:val="0"/>
                <w:color w:val="auto"/>
                <w:kern w:val="0"/>
                <w:sz w:val="24"/>
                <w:szCs w:val="24"/>
                <w:lang w:eastAsia="zh-CN"/>
              </w:rPr>
              <w:t>表</w:t>
            </w:r>
            <w:r>
              <w:rPr>
                <w:rFonts w:hint="default" w:ascii="Times New Roman" w:hAnsi="Times New Roman" w:eastAsia="宋体" w:cs="Times New Roman"/>
                <w:b/>
                <w:bCs w:val="0"/>
                <w:color w:val="auto"/>
                <w:kern w:val="0"/>
                <w:sz w:val="24"/>
                <w:szCs w:val="24"/>
              </w:rPr>
              <w:t xml:space="preserve">  </w:t>
            </w:r>
            <w:r>
              <w:rPr>
                <w:rFonts w:hint="default" w:ascii="Times New Roman" w:hAnsi="Times New Roman" w:eastAsia="宋体" w:cs="Times New Roman"/>
                <w:b/>
                <w:bCs w:val="0"/>
                <w:color w:val="auto"/>
                <w:kern w:val="0"/>
              </w:rPr>
              <w:t xml:space="preserve">  </w:t>
            </w:r>
            <w:r>
              <w:rPr>
                <w:rFonts w:hint="default" w:ascii="Times New Roman" w:hAnsi="Times New Roman" w:eastAsia="宋体" w:cs="Times New Roman"/>
                <w:b/>
                <w:bCs/>
                <w:color w:val="auto"/>
                <w:kern w:val="0"/>
                <w:szCs w:val="20"/>
              </w:rPr>
              <w:t xml:space="preserve">  </w:t>
            </w:r>
            <w:r>
              <w:rPr>
                <w:rFonts w:hint="eastAsia" w:cs="Times New Roman"/>
                <w:b/>
                <w:bCs/>
                <w:color w:val="auto"/>
                <w:kern w:val="0"/>
                <w:szCs w:val="20"/>
                <w:lang w:val="en-US" w:eastAsia="zh-CN"/>
              </w:rPr>
              <w:t xml:space="preserve">    </w:t>
            </w:r>
            <w:r>
              <w:rPr>
                <w:rFonts w:hint="default" w:ascii="Times New Roman" w:hAnsi="Times New Roman" w:eastAsia="宋体" w:cs="Times New Roman"/>
                <w:b/>
                <w:bCs/>
                <w:color w:val="auto"/>
                <w:kern w:val="0"/>
                <w:szCs w:val="20"/>
              </w:rPr>
              <w:t xml:space="preserve">    </w:t>
            </w:r>
            <w:r>
              <w:rPr>
                <w:rFonts w:hint="eastAsia" w:cs="Times New Roman"/>
                <w:b w:val="0"/>
                <w:bCs w:val="0"/>
                <w:color w:val="auto"/>
                <w:kern w:val="0"/>
                <w:sz w:val="21"/>
                <w:szCs w:val="21"/>
                <w:lang w:eastAsia="zh-CN"/>
              </w:rPr>
              <w:t>单位：万元</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739"/>
              <w:gridCol w:w="719"/>
              <w:gridCol w:w="914"/>
              <w:gridCol w:w="4205"/>
              <w:gridCol w:w="643"/>
              <w:gridCol w:w="710"/>
            </w:tblGrid>
            <w:tr w14:paraId="0EA0B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noWrap w:val="0"/>
                  <w:vAlign w:val="center"/>
                </w:tcPr>
                <w:p w14:paraId="201C038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阶段</w:t>
                  </w:r>
                </w:p>
              </w:tc>
              <w:tc>
                <w:tcPr>
                  <w:tcW w:w="442" w:type="pct"/>
                  <w:noWrap w:val="0"/>
                  <w:vAlign w:val="center"/>
                </w:tcPr>
                <w:p w14:paraId="6C5A6E4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w:t>
                  </w:r>
                </w:p>
              </w:tc>
              <w:tc>
                <w:tcPr>
                  <w:tcW w:w="3491" w:type="pct"/>
                  <w:gridSpan w:val="3"/>
                  <w:noWrap w:val="0"/>
                  <w:vAlign w:val="center"/>
                </w:tcPr>
                <w:p w14:paraId="1891C8E1">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w:t>
                  </w:r>
                </w:p>
              </w:tc>
              <w:tc>
                <w:tcPr>
                  <w:tcW w:w="385" w:type="pct"/>
                  <w:noWrap w:val="0"/>
                  <w:vAlign w:val="center"/>
                </w:tcPr>
                <w:p w14:paraId="1770335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投资</w:t>
                  </w:r>
                  <w:r>
                    <w:rPr>
                      <w:rFonts w:hint="eastAsia" w:cs="Times New Roman"/>
                      <w:b/>
                      <w:bCs/>
                      <w:color w:val="auto"/>
                      <w:sz w:val="21"/>
                      <w:szCs w:val="21"/>
                      <w:lang w:eastAsia="zh-CN"/>
                    </w:rPr>
                    <w:t>额</w:t>
                  </w:r>
                </w:p>
              </w:tc>
              <w:tc>
                <w:tcPr>
                  <w:tcW w:w="425" w:type="pct"/>
                  <w:noWrap w:val="0"/>
                  <w:vAlign w:val="center"/>
                </w:tcPr>
                <w:p w14:paraId="640A2CA8">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eastAsia="zh-CN"/>
                    </w:rPr>
                    <w:t>比例</w:t>
                  </w:r>
                  <w:r>
                    <w:rPr>
                      <w:rFonts w:hint="eastAsia" w:cs="Times New Roman"/>
                      <w:b/>
                      <w:bCs/>
                      <w:color w:val="auto"/>
                      <w:sz w:val="21"/>
                      <w:szCs w:val="21"/>
                      <w:lang w:val="en-US" w:eastAsia="zh-CN"/>
                    </w:rPr>
                    <w:t>%</w:t>
                  </w:r>
                </w:p>
              </w:tc>
            </w:tr>
            <w:tr w14:paraId="74BA4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255" w:type="pct"/>
                  <w:vMerge w:val="restart"/>
                  <w:noWrap w:val="0"/>
                  <w:vAlign w:val="center"/>
                </w:tcPr>
                <w:p w14:paraId="7A233323">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施工期</w:t>
                  </w:r>
                </w:p>
              </w:tc>
              <w:tc>
                <w:tcPr>
                  <w:tcW w:w="442" w:type="pct"/>
                  <w:vMerge w:val="restart"/>
                  <w:noWrap w:val="0"/>
                  <w:vAlign w:val="center"/>
                </w:tcPr>
                <w:p w14:paraId="2DA43B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color w:val="auto"/>
                      <w:kern w:val="0"/>
                      <w:sz w:val="21"/>
                      <w:szCs w:val="21"/>
                      <w:lang w:val="en-US" w:eastAsia="zh-CN"/>
                    </w:rPr>
                    <w:t>固废治理</w:t>
                  </w:r>
                </w:p>
              </w:tc>
              <w:tc>
                <w:tcPr>
                  <w:tcW w:w="977" w:type="pct"/>
                  <w:gridSpan w:val="2"/>
                  <w:shd w:val="clear" w:color="auto" w:fill="auto"/>
                  <w:noWrap w:val="0"/>
                  <w:vAlign w:val="center"/>
                </w:tcPr>
                <w:p w14:paraId="20BD32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color w:val="auto"/>
                      <w:kern w:val="0"/>
                      <w:sz w:val="21"/>
                      <w:szCs w:val="21"/>
                      <w:lang w:val="en-US" w:eastAsia="zh-CN"/>
                    </w:rPr>
                    <w:t>废包装材料</w:t>
                  </w:r>
                </w:p>
              </w:tc>
              <w:tc>
                <w:tcPr>
                  <w:tcW w:w="2514" w:type="pct"/>
                  <w:shd w:val="clear" w:color="auto" w:fill="auto"/>
                  <w:noWrap w:val="0"/>
                  <w:vAlign w:val="center"/>
                </w:tcPr>
                <w:p w14:paraId="7B064E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olor w:val="auto"/>
                      <w:sz w:val="21"/>
                      <w:szCs w:val="21"/>
                      <w:lang w:val="en-US" w:eastAsia="zh-CN"/>
                    </w:rPr>
                    <w:t>废包装材料集中收集后外售于废品收购站</w:t>
                  </w:r>
                </w:p>
              </w:tc>
              <w:tc>
                <w:tcPr>
                  <w:tcW w:w="385" w:type="pct"/>
                  <w:noWrap w:val="0"/>
                  <w:vAlign w:val="center"/>
                </w:tcPr>
                <w:p w14:paraId="5183E9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c>
                <w:tcPr>
                  <w:tcW w:w="425" w:type="pct"/>
                  <w:noWrap w:val="0"/>
                  <w:vAlign w:val="center"/>
                </w:tcPr>
                <w:p w14:paraId="43EE7685">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14:paraId="27393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2364BE3C">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b w:val="0"/>
                      <w:bCs w:val="0"/>
                      <w:color w:val="auto"/>
                      <w:sz w:val="21"/>
                      <w:szCs w:val="21"/>
                      <w:lang w:eastAsia="zh-CN"/>
                    </w:rPr>
                  </w:pPr>
                </w:p>
              </w:tc>
              <w:tc>
                <w:tcPr>
                  <w:tcW w:w="442" w:type="pct"/>
                  <w:vMerge w:val="continue"/>
                  <w:noWrap w:val="0"/>
                  <w:vAlign w:val="center"/>
                </w:tcPr>
                <w:p w14:paraId="1CF0A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rPr>
                  </w:pPr>
                </w:p>
              </w:tc>
              <w:tc>
                <w:tcPr>
                  <w:tcW w:w="977" w:type="pct"/>
                  <w:gridSpan w:val="2"/>
                  <w:shd w:val="clear" w:color="auto" w:fill="auto"/>
                  <w:noWrap w:val="0"/>
                  <w:vAlign w:val="center"/>
                </w:tcPr>
                <w:p w14:paraId="53C924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SA"/>
                    </w:rPr>
                  </w:pPr>
                  <w:r>
                    <w:rPr>
                      <w:rFonts w:hint="eastAsia" w:cs="Times New Roman"/>
                      <w:color w:val="auto"/>
                      <w:kern w:val="0"/>
                      <w:sz w:val="21"/>
                      <w:szCs w:val="21"/>
                      <w:lang w:val="en-US" w:eastAsia="zh-CN"/>
                    </w:rPr>
                    <w:t>生活垃圾</w:t>
                  </w:r>
                </w:p>
              </w:tc>
              <w:tc>
                <w:tcPr>
                  <w:tcW w:w="2514" w:type="pct"/>
                  <w:shd w:val="clear" w:color="auto" w:fill="auto"/>
                  <w:noWrap w:val="0"/>
                  <w:vAlign w:val="center"/>
                </w:tcPr>
                <w:p w14:paraId="026857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经</w:t>
                  </w:r>
                  <w:r>
                    <w:rPr>
                      <w:rFonts w:hint="eastAsia"/>
                      <w:color w:val="auto"/>
                      <w:sz w:val="21"/>
                      <w:szCs w:val="21"/>
                      <w:lang w:val="en-US" w:eastAsia="zh-CN"/>
                    </w:rPr>
                    <w:t>生活垃圾收集设施</w:t>
                  </w:r>
                  <w:r>
                    <w:rPr>
                      <w:rFonts w:hint="eastAsia" w:ascii="Times New Roman" w:hAnsi="Times New Roman" w:eastAsia="宋体" w:cs="Times New Roman"/>
                      <w:b w:val="0"/>
                      <w:bCs w:val="0"/>
                      <w:color w:val="auto"/>
                      <w:kern w:val="2"/>
                      <w:sz w:val="21"/>
                      <w:szCs w:val="21"/>
                      <w:lang w:val="en-US" w:eastAsia="zh-CN" w:bidi="ar-SA"/>
                    </w:rPr>
                    <w:t>集中收集后由园区环卫部门统一清运处理</w:t>
                  </w:r>
                </w:p>
              </w:tc>
              <w:tc>
                <w:tcPr>
                  <w:tcW w:w="385" w:type="pct"/>
                  <w:noWrap w:val="0"/>
                  <w:vAlign w:val="center"/>
                </w:tcPr>
                <w:p w14:paraId="275B10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0.5</w:t>
                  </w:r>
                </w:p>
              </w:tc>
              <w:tc>
                <w:tcPr>
                  <w:tcW w:w="425" w:type="pct"/>
                  <w:noWrap w:val="0"/>
                  <w:vAlign w:val="center"/>
                </w:tcPr>
                <w:p w14:paraId="35CB2D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4.0</w:t>
                  </w:r>
                </w:p>
              </w:tc>
            </w:tr>
            <w:tr w14:paraId="360BF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restart"/>
                  <w:noWrap w:val="0"/>
                  <w:vAlign w:val="center"/>
                </w:tcPr>
                <w:p w14:paraId="731E3280">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442" w:type="pct"/>
                  <w:noWrap w:val="0"/>
                  <w:vAlign w:val="center"/>
                </w:tcPr>
                <w:p w14:paraId="1889996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废气</w:t>
                  </w:r>
                  <w:r>
                    <w:rPr>
                      <w:rFonts w:hint="default" w:ascii="Times New Roman" w:hAnsi="Times New Roman" w:cs="Times New Roman"/>
                      <w:color w:val="auto"/>
                      <w:sz w:val="21"/>
                      <w:szCs w:val="21"/>
                    </w:rPr>
                    <w:t>污染防治</w:t>
                  </w:r>
                </w:p>
              </w:tc>
              <w:tc>
                <w:tcPr>
                  <w:tcW w:w="977" w:type="pct"/>
                  <w:gridSpan w:val="2"/>
                  <w:noWrap w:val="0"/>
                  <w:vAlign w:val="center"/>
                </w:tcPr>
                <w:p w14:paraId="6529C7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发泡工序、成型工序废气</w:t>
                  </w:r>
                </w:p>
              </w:tc>
              <w:tc>
                <w:tcPr>
                  <w:tcW w:w="2514" w:type="pct"/>
                  <w:noWrap w:val="0"/>
                  <w:vAlign w:val="center"/>
                </w:tcPr>
                <w:p w14:paraId="0C6633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通过集气罩（收集效率90%）收集后经1套“二级活性炭吸附装置”处理后由1根</w:t>
                  </w:r>
                  <w:r>
                    <w:rPr>
                      <w:rFonts w:hint="default" w:ascii="Times New Roman" w:hAnsi="Times New Roman" w:eastAsia="宋体" w:cs="Times New Roman"/>
                      <w:color w:val="auto"/>
                      <w:sz w:val="21"/>
                      <w:szCs w:val="21"/>
                      <w:lang w:val="en-US" w:eastAsia="zh-CN"/>
                    </w:rPr>
                    <w:t>15m</w:t>
                  </w:r>
                  <w:r>
                    <w:rPr>
                      <w:rFonts w:hint="eastAsia" w:ascii="Times New Roman" w:hAnsi="Times New Roman" w:eastAsia="宋体" w:cs="Times New Roman"/>
                      <w:color w:val="auto"/>
                      <w:sz w:val="21"/>
                      <w:szCs w:val="21"/>
                      <w:lang w:val="en-US" w:eastAsia="zh-CN"/>
                    </w:rPr>
                    <w:t>高的排气筒（二期</w:t>
                  </w:r>
                  <w:r>
                    <w:rPr>
                      <w:rFonts w:hint="default" w:ascii="Times New Roman" w:hAnsi="Times New Roman" w:eastAsia="宋体" w:cs="Times New Roman"/>
                      <w:color w:val="auto"/>
                      <w:sz w:val="21"/>
                      <w:szCs w:val="21"/>
                      <w:lang w:val="en-US" w:eastAsia="zh-CN"/>
                    </w:rPr>
                    <w:t>DA00</w:t>
                  </w:r>
                  <w:r>
                    <w:rPr>
                      <w:rFonts w:hint="eastAsia" w:ascii="Times New Roman" w:hAnsi="Times New Roman" w:eastAsia="宋体" w:cs="Times New Roman"/>
                      <w:color w:val="auto"/>
                      <w:sz w:val="21"/>
                      <w:szCs w:val="21"/>
                      <w:lang w:val="en-US" w:eastAsia="zh-CN"/>
                    </w:rPr>
                    <w:t>2）排放</w:t>
                  </w:r>
                </w:p>
              </w:tc>
              <w:tc>
                <w:tcPr>
                  <w:tcW w:w="385" w:type="pct"/>
                  <w:noWrap w:val="0"/>
                  <w:vAlign w:val="center"/>
                </w:tcPr>
                <w:p w14:paraId="63EB849F">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7.5</w:t>
                  </w:r>
                </w:p>
              </w:tc>
              <w:tc>
                <w:tcPr>
                  <w:tcW w:w="425" w:type="pct"/>
                  <w:noWrap w:val="0"/>
                  <w:vAlign w:val="center"/>
                </w:tcPr>
                <w:p w14:paraId="18AA08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60</w:t>
                  </w:r>
                  <w:r>
                    <w:rPr>
                      <w:rFonts w:hint="eastAsia" w:ascii="Times New Roman" w:hAnsi="Times New Roman" w:eastAsia="宋体" w:cs="Times New Roman"/>
                      <w:color w:val="auto"/>
                      <w:kern w:val="0"/>
                      <w:sz w:val="21"/>
                      <w:szCs w:val="21"/>
                      <w:lang w:val="en-US" w:eastAsia="zh-CN" w:bidi="ar-SA"/>
                    </w:rPr>
                    <w:t>.0</w:t>
                  </w:r>
                </w:p>
              </w:tc>
            </w:tr>
            <w:tr w14:paraId="0E962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255" w:type="pct"/>
                  <w:vMerge w:val="continue"/>
                  <w:noWrap w:val="0"/>
                  <w:vAlign w:val="center"/>
                </w:tcPr>
                <w:p w14:paraId="568A0DDF">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restart"/>
                  <w:noWrap w:val="0"/>
                  <w:vAlign w:val="center"/>
                </w:tcPr>
                <w:p w14:paraId="3A986A3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废水污染防治</w:t>
                  </w:r>
                </w:p>
              </w:tc>
              <w:tc>
                <w:tcPr>
                  <w:tcW w:w="977" w:type="pct"/>
                  <w:gridSpan w:val="2"/>
                  <w:noWrap w:val="0"/>
                  <w:vAlign w:val="center"/>
                </w:tcPr>
                <w:p w14:paraId="33955F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eastAsia="zh-CN"/>
                    </w:rPr>
                    <w:t>生活污水</w:t>
                  </w:r>
                </w:p>
              </w:tc>
              <w:tc>
                <w:tcPr>
                  <w:tcW w:w="2514" w:type="pct"/>
                  <w:vMerge w:val="restart"/>
                  <w:noWrap w:val="0"/>
                  <w:vAlign w:val="center"/>
                </w:tcPr>
                <w:p w14:paraId="332A4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0"/>
                      <w:sz w:val="21"/>
                      <w:szCs w:val="21"/>
                      <w:lang w:val="en-US" w:eastAsia="zh-CN"/>
                    </w:rPr>
                    <w:t>生活污水</w:t>
                  </w:r>
                  <w:r>
                    <w:rPr>
                      <w:rFonts w:hint="default" w:ascii="Times New Roman" w:hAnsi="Times New Roman" w:cs="Times New Roman"/>
                      <w:color w:val="auto"/>
                      <w:kern w:val="0"/>
                      <w:sz w:val="21"/>
                      <w:szCs w:val="21"/>
                      <w:lang w:val="en-US" w:eastAsia="zh-CN"/>
                    </w:rPr>
                    <w:t>经</w:t>
                  </w:r>
                  <w:r>
                    <w:rPr>
                      <w:rFonts w:hint="eastAsia" w:ascii="Times New Roman" w:hAnsi="Times New Roman" w:cs="Times New Roman"/>
                      <w:color w:val="auto"/>
                      <w:kern w:val="0"/>
                      <w:sz w:val="21"/>
                      <w:szCs w:val="21"/>
                      <w:lang w:val="en-US" w:eastAsia="zh-CN"/>
                    </w:rPr>
                    <w:t>厂区现有</w:t>
                  </w:r>
                  <w:r>
                    <w:rPr>
                      <w:rFonts w:hint="default" w:ascii="Times New Roman" w:hAnsi="Times New Roman" w:cs="Times New Roman"/>
                      <w:color w:val="auto"/>
                      <w:kern w:val="0"/>
                      <w:sz w:val="21"/>
                      <w:szCs w:val="21"/>
                      <w:lang w:val="en-US" w:eastAsia="zh-CN"/>
                    </w:rPr>
                    <w:t>化粪池处理后</w:t>
                  </w:r>
                  <w:r>
                    <w:rPr>
                      <w:rFonts w:hint="eastAsia"/>
                      <w:color w:val="auto"/>
                      <w:sz w:val="21"/>
                      <w:szCs w:val="21"/>
                      <w:lang w:val="en-US" w:eastAsia="zh-CN"/>
                    </w:rPr>
                    <w:t>同</w:t>
                  </w:r>
                  <w:r>
                    <w:rPr>
                      <w:rFonts w:hint="eastAsia" w:ascii="Times New Roman" w:hAnsi="Times New Roman" w:cs="Times New Roman"/>
                      <w:color w:val="auto"/>
                      <w:kern w:val="0"/>
                      <w:sz w:val="21"/>
                      <w:szCs w:val="21"/>
                      <w:lang w:val="en-US" w:eastAsia="zh-CN"/>
                    </w:rPr>
                    <w:t>循环冷却系统排水排入园区污水管网，最终进入</w:t>
                  </w:r>
                  <w:r>
                    <w:rPr>
                      <w:rFonts w:hint="eastAsia" w:cs="Times New Roman"/>
                      <w:color w:val="auto"/>
                      <w:kern w:val="0"/>
                      <w:sz w:val="21"/>
                      <w:szCs w:val="21"/>
                      <w:lang w:val="en-US" w:eastAsia="zh-CN"/>
                    </w:rPr>
                    <w:t>固原经济技术开发区新材料产业园污水处理厂进行处理</w:t>
                  </w:r>
                </w:p>
              </w:tc>
              <w:tc>
                <w:tcPr>
                  <w:tcW w:w="385" w:type="pct"/>
                  <w:vMerge w:val="restart"/>
                  <w:noWrap w:val="0"/>
                  <w:vAlign w:val="center"/>
                </w:tcPr>
                <w:p w14:paraId="14366476">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425" w:type="pct"/>
                  <w:vMerge w:val="restart"/>
                  <w:noWrap w:val="0"/>
                  <w:vAlign w:val="center"/>
                </w:tcPr>
                <w:p w14:paraId="2C390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r>
            <w:tr w14:paraId="466A2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255" w:type="pct"/>
                  <w:vMerge w:val="continue"/>
                  <w:noWrap w:val="0"/>
                  <w:vAlign w:val="center"/>
                </w:tcPr>
                <w:p w14:paraId="357EC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color w:val="auto"/>
                      <w:sz w:val="21"/>
                      <w:szCs w:val="21"/>
                    </w:rPr>
                  </w:pPr>
                </w:p>
              </w:tc>
              <w:tc>
                <w:tcPr>
                  <w:tcW w:w="442" w:type="pct"/>
                  <w:vMerge w:val="continue"/>
                  <w:noWrap w:val="0"/>
                  <w:vAlign w:val="center"/>
                </w:tcPr>
                <w:p w14:paraId="67D72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color w:val="auto"/>
                      <w:sz w:val="21"/>
                      <w:szCs w:val="21"/>
                    </w:rPr>
                  </w:pPr>
                </w:p>
              </w:tc>
              <w:tc>
                <w:tcPr>
                  <w:tcW w:w="977" w:type="pct"/>
                  <w:gridSpan w:val="2"/>
                  <w:noWrap w:val="0"/>
                  <w:vAlign w:val="center"/>
                </w:tcPr>
                <w:p w14:paraId="0D7E84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r>
                    <w:rPr>
                      <w:rFonts w:hint="eastAsia" w:ascii="Times New Roman" w:hAnsi="Times New Roman" w:cs="Times New Roman"/>
                      <w:color w:val="auto"/>
                      <w:kern w:val="0"/>
                      <w:sz w:val="21"/>
                      <w:szCs w:val="21"/>
                      <w:lang w:val="en-US" w:eastAsia="zh-CN"/>
                    </w:rPr>
                    <w:t>循环冷却系统排水</w:t>
                  </w:r>
                </w:p>
              </w:tc>
              <w:tc>
                <w:tcPr>
                  <w:tcW w:w="2514" w:type="pct"/>
                  <w:vMerge w:val="continue"/>
                  <w:noWrap w:val="0"/>
                  <w:vAlign w:val="center"/>
                </w:tcPr>
                <w:p w14:paraId="502C7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p>
              </w:tc>
              <w:tc>
                <w:tcPr>
                  <w:tcW w:w="385" w:type="pct"/>
                  <w:vMerge w:val="continue"/>
                  <w:noWrap w:val="0"/>
                  <w:vAlign w:val="center"/>
                </w:tcPr>
                <w:p w14:paraId="4DFCD4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p>
              </w:tc>
              <w:tc>
                <w:tcPr>
                  <w:tcW w:w="425" w:type="pct"/>
                  <w:vMerge w:val="continue"/>
                  <w:noWrap w:val="0"/>
                  <w:vAlign w:val="center"/>
                </w:tcPr>
                <w:p w14:paraId="51766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sz w:val="21"/>
                      <w:szCs w:val="21"/>
                      <w:lang w:eastAsia="zh-CN"/>
                    </w:rPr>
                  </w:pPr>
                </w:p>
              </w:tc>
            </w:tr>
            <w:tr w14:paraId="17D38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134AE112">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restart"/>
                  <w:noWrap w:val="0"/>
                  <w:vAlign w:val="center"/>
                </w:tcPr>
                <w:p w14:paraId="7BE5AF87">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固体废物</w:t>
                  </w:r>
                  <w:r>
                    <w:rPr>
                      <w:rFonts w:hint="default" w:ascii="Times New Roman" w:hAnsi="Times New Roman" w:cs="Times New Roman"/>
                      <w:color w:val="auto"/>
                      <w:sz w:val="21"/>
                      <w:szCs w:val="21"/>
                    </w:rPr>
                    <w:t>治理</w:t>
                  </w:r>
                </w:p>
              </w:tc>
              <w:tc>
                <w:tcPr>
                  <w:tcW w:w="977" w:type="pct"/>
                  <w:gridSpan w:val="2"/>
                  <w:noWrap w:val="0"/>
                  <w:vAlign w:val="center"/>
                </w:tcPr>
                <w:p w14:paraId="15EFF9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0"/>
                      <w:sz w:val="21"/>
                      <w:szCs w:val="21"/>
                    </w:rPr>
                    <w:t>生活垃圾</w:t>
                  </w:r>
                </w:p>
              </w:tc>
              <w:tc>
                <w:tcPr>
                  <w:tcW w:w="2514" w:type="pct"/>
                  <w:noWrap w:val="0"/>
                  <w:vAlign w:val="center"/>
                </w:tcPr>
                <w:p w14:paraId="7B942D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vertAlign w:val="baseline"/>
                      <w:lang w:eastAsia="zh-CN"/>
                    </w:rPr>
                  </w:pPr>
                  <w:r>
                    <w:rPr>
                      <w:rFonts w:hint="eastAsia" w:cs="Times New Roman"/>
                      <w:color w:val="auto"/>
                      <w:sz w:val="21"/>
                      <w:szCs w:val="21"/>
                      <w:vertAlign w:val="baseline"/>
                      <w:lang w:val="en-US" w:eastAsia="zh-CN"/>
                    </w:rPr>
                    <w:t>依托一期</w:t>
                  </w:r>
                  <w:r>
                    <w:rPr>
                      <w:rFonts w:hint="eastAsia" w:ascii="Times New Roman" w:hAnsi="Times New Roman" w:eastAsia="宋体" w:cs="Times New Roman"/>
                      <w:color w:val="auto"/>
                      <w:sz w:val="21"/>
                      <w:szCs w:val="21"/>
                      <w:vertAlign w:val="baseline"/>
                      <w:lang w:eastAsia="zh-CN"/>
                    </w:rPr>
                    <w:t>垃圾桶集中分类收集后由环卫部门统一清运处置</w:t>
                  </w:r>
                </w:p>
              </w:tc>
              <w:tc>
                <w:tcPr>
                  <w:tcW w:w="385" w:type="pct"/>
                  <w:noWrap w:val="0"/>
                  <w:vAlign w:val="center"/>
                </w:tcPr>
                <w:p w14:paraId="6DF16AC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rPr>
                      <w:rFonts w:hint="default" w:ascii="Times New Roman" w:hAnsi="Times New Roman" w:cs="Times New Roman"/>
                      <w:color w:val="auto"/>
                      <w:sz w:val="21"/>
                      <w:szCs w:val="21"/>
                      <w:lang w:val="en-US" w:eastAsia="zh-CN"/>
                    </w:rPr>
                  </w:pPr>
                  <w:r>
                    <w:rPr>
                      <w:rFonts w:hint="eastAsia" w:cs="Times New Roman"/>
                      <w:color w:val="auto"/>
                      <w:kern w:val="2"/>
                      <w:sz w:val="21"/>
                      <w:szCs w:val="21"/>
                      <w:lang w:val="en-US" w:eastAsia="zh-CN" w:bidi="ar-SA"/>
                    </w:rPr>
                    <w:t>/</w:t>
                  </w:r>
                </w:p>
              </w:tc>
              <w:tc>
                <w:tcPr>
                  <w:tcW w:w="425" w:type="pct"/>
                  <w:noWrap w:val="0"/>
                  <w:vAlign w:val="center"/>
                </w:tcPr>
                <w:p w14:paraId="331225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14:paraId="59DCE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55" w:type="pct"/>
                  <w:vMerge w:val="continue"/>
                  <w:noWrap w:val="0"/>
                  <w:vAlign w:val="center"/>
                </w:tcPr>
                <w:p w14:paraId="68E5615F">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continue"/>
                  <w:noWrap w:val="0"/>
                  <w:vAlign w:val="center"/>
                </w:tcPr>
                <w:p w14:paraId="2336613C">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0" w:type="pct"/>
                  <w:vMerge w:val="restart"/>
                  <w:noWrap w:val="0"/>
                  <w:vAlign w:val="center"/>
                </w:tcPr>
                <w:p w14:paraId="6536C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一般工业固体废物</w:t>
                  </w:r>
                </w:p>
              </w:tc>
              <w:tc>
                <w:tcPr>
                  <w:tcW w:w="546" w:type="pct"/>
                  <w:noWrap w:val="0"/>
                  <w:vAlign w:val="center"/>
                </w:tcPr>
                <w:p w14:paraId="0796B8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废包装袋</w:t>
                  </w:r>
                </w:p>
              </w:tc>
              <w:tc>
                <w:tcPr>
                  <w:tcW w:w="2514" w:type="pct"/>
                  <w:vMerge w:val="restart"/>
                  <w:noWrap w:val="0"/>
                  <w:vAlign w:val="center"/>
                </w:tcPr>
                <w:p w14:paraId="454A77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bCs/>
                      <w:color w:val="auto"/>
                      <w:spacing w:val="4"/>
                      <w:sz w:val="21"/>
                      <w:szCs w:val="21"/>
                      <w:highlight w:val="none"/>
                    </w:rPr>
                    <w:t>集中收集后，定期</w:t>
                  </w:r>
                  <w:r>
                    <w:rPr>
                      <w:rFonts w:hint="eastAsia"/>
                      <w:bCs/>
                      <w:color w:val="auto"/>
                      <w:spacing w:val="4"/>
                      <w:sz w:val="21"/>
                      <w:szCs w:val="21"/>
                      <w:highlight w:val="none"/>
                      <w:lang w:val="en-US" w:eastAsia="zh-CN"/>
                    </w:rPr>
                    <w:t>外售于废品收购站</w:t>
                  </w:r>
                </w:p>
              </w:tc>
              <w:tc>
                <w:tcPr>
                  <w:tcW w:w="385" w:type="pct"/>
                  <w:vMerge w:val="restart"/>
                  <w:noWrap w:val="0"/>
                  <w:vAlign w:val="center"/>
                </w:tcPr>
                <w:p w14:paraId="46AE7455">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w:t>
                  </w:r>
                </w:p>
              </w:tc>
              <w:tc>
                <w:tcPr>
                  <w:tcW w:w="425" w:type="pct"/>
                  <w:vMerge w:val="restart"/>
                  <w:noWrap w:val="0"/>
                  <w:vAlign w:val="center"/>
                </w:tcPr>
                <w:p w14:paraId="59A2EA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w:t>
                  </w:r>
                </w:p>
              </w:tc>
            </w:tr>
            <w:tr w14:paraId="1DD31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55" w:type="pct"/>
                  <w:vMerge w:val="continue"/>
                  <w:noWrap w:val="0"/>
                  <w:vAlign w:val="center"/>
                </w:tcPr>
                <w:p w14:paraId="789965DF">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continue"/>
                  <w:noWrap w:val="0"/>
                  <w:vAlign w:val="center"/>
                </w:tcPr>
                <w:p w14:paraId="61895EB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0" w:type="pct"/>
                  <w:vMerge w:val="continue"/>
                  <w:noWrap w:val="0"/>
                  <w:vAlign w:val="center"/>
                </w:tcPr>
                <w:p w14:paraId="25441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546" w:type="pct"/>
                  <w:noWrap w:val="0"/>
                  <w:vAlign w:val="center"/>
                </w:tcPr>
                <w:p w14:paraId="2B8ED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废边角料</w:t>
                  </w:r>
                </w:p>
              </w:tc>
              <w:tc>
                <w:tcPr>
                  <w:tcW w:w="2514" w:type="pct"/>
                  <w:vMerge w:val="continue"/>
                  <w:noWrap w:val="0"/>
                  <w:vAlign w:val="center"/>
                </w:tcPr>
                <w:p w14:paraId="2FBBC780">
                  <w:pPr>
                    <w:keepNext w:val="0"/>
                    <w:keepLines w:val="0"/>
                    <w:pageBreakBefore w:val="0"/>
                    <w:kinsoku/>
                    <w:wordWrap/>
                    <w:overflowPunct/>
                    <w:topLinePunct w:val="0"/>
                    <w:autoSpaceDE/>
                    <w:autoSpaceDN/>
                    <w:bidi w:val="0"/>
                    <w:adjustRightInd w:val="0"/>
                    <w:snapToGrid w:val="0"/>
                    <w:spacing w:line="240" w:lineRule="auto"/>
                    <w:jc w:val="center"/>
                    <w:textAlignment w:val="auto"/>
                    <w:rPr>
                      <w:bCs/>
                      <w:color w:val="auto"/>
                      <w:spacing w:val="4"/>
                      <w:sz w:val="21"/>
                      <w:szCs w:val="21"/>
                      <w:highlight w:val="none"/>
                    </w:rPr>
                  </w:pPr>
                </w:p>
              </w:tc>
              <w:tc>
                <w:tcPr>
                  <w:tcW w:w="385" w:type="pct"/>
                  <w:vMerge w:val="continue"/>
                  <w:noWrap w:val="0"/>
                  <w:vAlign w:val="center"/>
                </w:tcPr>
                <w:p w14:paraId="529C978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cs="Times New Roman"/>
                      <w:color w:val="auto"/>
                      <w:sz w:val="21"/>
                      <w:szCs w:val="21"/>
                      <w:lang w:val="en-US" w:eastAsia="zh-CN"/>
                    </w:rPr>
                  </w:pPr>
                </w:p>
              </w:tc>
              <w:tc>
                <w:tcPr>
                  <w:tcW w:w="425" w:type="pct"/>
                  <w:vMerge w:val="continue"/>
                  <w:noWrap w:val="0"/>
                  <w:vAlign w:val="center"/>
                </w:tcPr>
                <w:p w14:paraId="78E12E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val="en-US" w:eastAsia="zh-CN" w:bidi="ar-SA"/>
                    </w:rPr>
                  </w:pPr>
                </w:p>
              </w:tc>
            </w:tr>
            <w:tr w14:paraId="5390E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23B7763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continue"/>
                  <w:noWrap w:val="0"/>
                  <w:vAlign w:val="center"/>
                </w:tcPr>
                <w:p w14:paraId="0E7672B2">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0" w:type="pct"/>
                  <w:vMerge w:val="continue"/>
                  <w:noWrap w:val="0"/>
                  <w:vAlign w:val="center"/>
                </w:tcPr>
                <w:p w14:paraId="314577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p>
              </w:tc>
              <w:tc>
                <w:tcPr>
                  <w:tcW w:w="546" w:type="pct"/>
                  <w:noWrap w:val="0"/>
                  <w:vAlign w:val="center"/>
                </w:tcPr>
                <w:p w14:paraId="56085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不合格品</w:t>
                  </w:r>
                </w:p>
              </w:tc>
              <w:tc>
                <w:tcPr>
                  <w:tcW w:w="2514" w:type="pct"/>
                  <w:vMerge w:val="continue"/>
                  <w:noWrap w:val="0"/>
                  <w:vAlign w:val="center"/>
                </w:tcPr>
                <w:p w14:paraId="54E8D1B6">
                  <w:pPr>
                    <w:keepNext w:val="0"/>
                    <w:keepLines w:val="0"/>
                    <w:pageBreakBefore w:val="0"/>
                    <w:kinsoku/>
                    <w:wordWrap/>
                    <w:overflowPunct/>
                    <w:topLinePunct w:val="0"/>
                    <w:autoSpaceDE/>
                    <w:autoSpaceDN/>
                    <w:bidi w:val="0"/>
                    <w:adjustRightInd w:val="0"/>
                    <w:snapToGrid w:val="0"/>
                    <w:spacing w:line="240" w:lineRule="auto"/>
                    <w:jc w:val="center"/>
                    <w:textAlignment w:val="auto"/>
                    <w:rPr>
                      <w:color w:val="auto"/>
                      <w:sz w:val="21"/>
                      <w:szCs w:val="21"/>
                    </w:rPr>
                  </w:pPr>
                </w:p>
              </w:tc>
              <w:tc>
                <w:tcPr>
                  <w:tcW w:w="385" w:type="pct"/>
                  <w:vMerge w:val="continue"/>
                  <w:noWrap w:val="0"/>
                  <w:vAlign w:val="center"/>
                </w:tcPr>
                <w:p w14:paraId="63ACF7FB">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color w:val="auto"/>
                      <w:sz w:val="21"/>
                      <w:szCs w:val="21"/>
                      <w:lang w:val="en-US" w:eastAsia="zh-CN"/>
                    </w:rPr>
                  </w:pPr>
                </w:p>
              </w:tc>
              <w:tc>
                <w:tcPr>
                  <w:tcW w:w="425" w:type="pct"/>
                  <w:vMerge w:val="continue"/>
                  <w:noWrap w:val="0"/>
                  <w:vAlign w:val="center"/>
                </w:tcPr>
                <w:p w14:paraId="042AB8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SA"/>
                    </w:rPr>
                  </w:pPr>
                </w:p>
              </w:tc>
            </w:tr>
            <w:tr w14:paraId="271B9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3CAD5394">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continue"/>
                  <w:noWrap w:val="0"/>
                  <w:vAlign w:val="center"/>
                </w:tcPr>
                <w:p w14:paraId="1143849A">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0" w:type="pct"/>
                  <w:vMerge w:val="restart"/>
                  <w:noWrap w:val="0"/>
                  <w:vAlign w:val="center"/>
                </w:tcPr>
                <w:p w14:paraId="0190F7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lang w:eastAsia="zh-CN"/>
                    </w:rPr>
                  </w:pPr>
                  <w:r>
                    <w:rPr>
                      <w:rFonts w:hint="default" w:ascii="Times New Roman" w:hAnsi="Times New Roman" w:cs="Times New Roman"/>
                      <w:color w:val="auto"/>
                      <w:spacing w:val="0"/>
                      <w:kern w:val="2"/>
                      <w:sz w:val="21"/>
                      <w:szCs w:val="21"/>
                      <w:lang w:val="en-US" w:eastAsia="zh-CN" w:bidi="ar-SA"/>
                    </w:rPr>
                    <w:t>危险废物</w:t>
                  </w:r>
                </w:p>
              </w:tc>
              <w:tc>
                <w:tcPr>
                  <w:tcW w:w="546" w:type="pct"/>
                  <w:noWrap w:val="0"/>
                  <w:vAlign w:val="center"/>
                </w:tcPr>
                <w:p w14:paraId="6CB0C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kern w:val="2"/>
                      <w:sz w:val="21"/>
                      <w:szCs w:val="21"/>
                      <w:lang w:val="en-US" w:eastAsia="zh-CN" w:bidi="ar-SA"/>
                    </w:rPr>
                    <w:t>废活性炭</w:t>
                  </w:r>
                </w:p>
              </w:tc>
              <w:tc>
                <w:tcPr>
                  <w:tcW w:w="2514" w:type="pct"/>
                  <w:vMerge w:val="restart"/>
                  <w:noWrap w:val="0"/>
                  <w:vAlign w:val="center"/>
                </w:tcPr>
                <w:p w14:paraId="23F8FC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auto"/>
                      <w:sz w:val="21"/>
                      <w:szCs w:val="21"/>
                      <w:lang w:val="en-US" w:eastAsia="zh-CN"/>
                    </w:rPr>
                  </w:pPr>
                  <w:r>
                    <w:rPr>
                      <w:rFonts w:hint="default" w:ascii="Times New Roman" w:hAnsi="Times New Roman" w:cs="Times New Roman"/>
                      <w:snapToGrid w:val="0"/>
                      <w:color w:val="auto"/>
                      <w:kern w:val="0"/>
                      <w:sz w:val="21"/>
                      <w:szCs w:val="21"/>
                      <w:lang w:bidi="ar"/>
                    </w:rPr>
                    <w:t>废活性炭经密封包装后、废润滑油由密闭储油桶收集后与废润滑油桶均置于托盘上，分区暂存于</w:t>
                  </w:r>
                  <w:r>
                    <w:rPr>
                      <w:rFonts w:hint="eastAsia" w:ascii="Times New Roman" w:hAnsi="Times New Roman" w:cs="Times New Roman"/>
                      <w:snapToGrid w:val="0"/>
                      <w:color w:val="auto"/>
                      <w:kern w:val="0"/>
                      <w:sz w:val="21"/>
                      <w:szCs w:val="21"/>
                      <w:lang w:val="en-US" w:eastAsia="zh-CN" w:bidi="ar"/>
                    </w:rPr>
                    <w:t>一期已建</w:t>
                  </w:r>
                  <w:r>
                    <w:rPr>
                      <w:rFonts w:hint="eastAsia" w:ascii="Times New Roman" w:hAnsi="Times New Roman" w:cs="Times New Roman"/>
                      <w:snapToGrid w:val="0"/>
                      <w:color w:val="auto"/>
                      <w:kern w:val="0"/>
                      <w:sz w:val="21"/>
                      <w:szCs w:val="21"/>
                      <w:lang w:eastAsia="zh-CN" w:bidi="ar"/>
                    </w:rPr>
                    <w:t>危废贮存点（</w:t>
                  </w:r>
                  <w:r>
                    <w:rPr>
                      <w:rFonts w:hint="eastAsia" w:ascii="Times New Roman" w:hAnsi="Times New Roman" w:cs="Times New Roman"/>
                      <w:snapToGrid w:val="0"/>
                      <w:color w:val="auto"/>
                      <w:kern w:val="0"/>
                      <w:sz w:val="21"/>
                      <w:szCs w:val="21"/>
                      <w:lang w:val="en-US" w:eastAsia="zh-CN" w:bidi="ar"/>
                    </w:rPr>
                    <w:t>1座，</w:t>
                  </w:r>
                  <w:r>
                    <w:rPr>
                      <w:rFonts w:hint="eastAsia" w:ascii="Times New Roman" w:hAnsi="Times New Roman" w:cs="Times New Roman"/>
                      <w:bCs/>
                      <w:color w:val="auto"/>
                      <w:sz w:val="21"/>
                      <w:szCs w:val="21"/>
                      <w:lang w:val="en-US" w:eastAsia="zh-CN"/>
                    </w:rPr>
                    <w:t>10m</w:t>
                  </w:r>
                  <w:r>
                    <w:rPr>
                      <w:rFonts w:hint="default" w:ascii="Times New Roman" w:hAnsi="Times New Roman" w:cs="Times New Roman"/>
                      <w:bCs/>
                      <w:color w:val="auto"/>
                      <w:sz w:val="21"/>
                      <w:szCs w:val="21"/>
                      <w:vertAlign w:val="superscript"/>
                    </w:rPr>
                    <w:t>2</w:t>
                  </w:r>
                  <w:r>
                    <w:rPr>
                      <w:rFonts w:hint="eastAsia" w:ascii="Times New Roman" w:hAnsi="Times New Roman" w:cs="Times New Roman"/>
                      <w:snapToGrid w:val="0"/>
                      <w:color w:val="auto"/>
                      <w:kern w:val="0"/>
                      <w:sz w:val="21"/>
                      <w:szCs w:val="21"/>
                      <w:lang w:eastAsia="zh-CN" w:bidi="ar"/>
                    </w:rPr>
                    <w:t>）</w:t>
                  </w:r>
                  <w:r>
                    <w:rPr>
                      <w:rFonts w:hint="default" w:ascii="Times New Roman" w:hAnsi="Times New Roman" w:cs="Times New Roman"/>
                      <w:snapToGrid w:val="0"/>
                      <w:color w:val="auto"/>
                      <w:kern w:val="0"/>
                      <w:sz w:val="21"/>
                      <w:szCs w:val="21"/>
                      <w:lang w:bidi="ar"/>
                    </w:rPr>
                    <w:t>内，定期委托有资质的单位进行处置</w:t>
                  </w:r>
                  <w:r>
                    <w:rPr>
                      <w:rFonts w:hint="eastAsia" w:cs="Times New Roman"/>
                      <w:snapToGrid w:val="0"/>
                      <w:color w:val="auto"/>
                      <w:kern w:val="0"/>
                      <w:sz w:val="21"/>
                      <w:szCs w:val="21"/>
                      <w:lang w:eastAsia="zh-CN" w:bidi="ar"/>
                    </w:rPr>
                    <w:t>。</w:t>
                  </w:r>
                  <w:r>
                    <w:rPr>
                      <w:rFonts w:hint="eastAsia" w:cs="Times New Roman"/>
                      <w:snapToGrid w:val="0"/>
                      <w:color w:val="auto"/>
                      <w:kern w:val="0"/>
                      <w:sz w:val="21"/>
                      <w:szCs w:val="21"/>
                      <w:lang w:val="en-US" w:eastAsia="zh-CN" w:bidi="ar"/>
                    </w:rPr>
                    <w:t>主要新增密闭储油桶及托盘</w:t>
                  </w:r>
                </w:p>
              </w:tc>
              <w:tc>
                <w:tcPr>
                  <w:tcW w:w="385" w:type="pct"/>
                  <w:vMerge w:val="restart"/>
                  <w:noWrap w:val="0"/>
                  <w:vAlign w:val="center"/>
                </w:tcPr>
                <w:p w14:paraId="4AA24C6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425" w:type="pct"/>
                  <w:vMerge w:val="restart"/>
                  <w:noWrap w:val="0"/>
                  <w:vAlign w:val="center"/>
                </w:tcPr>
                <w:p w14:paraId="74643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12.0</w:t>
                  </w:r>
                </w:p>
              </w:tc>
            </w:tr>
            <w:tr w14:paraId="7CC2C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640AA531">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continue"/>
                  <w:noWrap w:val="0"/>
                  <w:vAlign w:val="center"/>
                </w:tcPr>
                <w:p w14:paraId="08C9E767">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0" w:type="pct"/>
                  <w:vMerge w:val="continue"/>
                  <w:noWrap w:val="0"/>
                  <w:vAlign w:val="center"/>
                </w:tcPr>
                <w:p w14:paraId="7F839E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p>
              </w:tc>
              <w:tc>
                <w:tcPr>
                  <w:tcW w:w="546" w:type="pct"/>
                  <w:noWrap w:val="0"/>
                  <w:vAlign w:val="center"/>
                </w:tcPr>
                <w:p w14:paraId="13D046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kern w:val="2"/>
                      <w:sz w:val="21"/>
                      <w:szCs w:val="21"/>
                      <w:lang w:val="en-US" w:eastAsia="zh-CN" w:bidi="ar-SA"/>
                    </w:rPr>
                    <w:t>废润滑油</w:t>
                  </w:r>
                </w:p>
              </w:tc>
              <w:tc>
                <w:tcPr>
                  <w:tcW w:w="2514" w:type="pct"/>
                  <w:vMerge w:val="continue"/>
                  <w:noWrap w:val="0"/>
                  <w:vAlign w:val="center"/>
                </w:tcPr>
                <w:p w14:paraId="4A3293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p>
              </w:tc>
              <w:tc>
                <w:tcPr>
                  <w:tcW w:w="385" w:type="pct"/>
                  <w:vMerge w:val="continue"/>
                  <w:noWrap w:val="0"/>
                  <w:vAlign w:val="center"/>
                </w:tcPr>
                <w:p w14:paraId="0621CC57">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color w:val="auto"/>
                      <w:sz w:val="21"/>
                      <w:szCs w:val="21"/>
                      <w:lang w:val="en-US" w:eastAsia="zh-CN"/>
                    </w:rPr>
                  </w:pPr>
                </w:p>
              </w:tc>
              <w:tc>
                <w:tcPr>
                  <w:tcW w:w="425" w:type="pct"/>
                  <w:vMerge w:val="continue"/>
                  <w:noWrap w:val="0"/>
                  <w:vAlign w:val="center"/>
                </w:tcPr>
                <w:p w14:paraId="26F74D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SA"/>
                    </w:rPr>
                  </w:pPr>
                </w:p>
              </w:tc>
            </w:tr>
            <w:tr w14:paraId="4DB4C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559EDFF7">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continue"/>
                  <w:noWrap w:val="0"/>
                  <w:vAlign w:val="center"/>
                </w:tcPr>
                <w:p w14:paraId="5CA7A04D">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eastAsia="zh-CN"/>
                    </w:rPr>
                  </w:pPr>
                </w:p>
              </w:tc>
              <w:tc>
                <w:tcPr>
                  <w:tcW w:w="430" w:type="pct"/>
                  <w:vMerge w:val="continue"/>
                  <w:noWrap w:val="0"/>
                  <w:vAlign w:val="center"/>
                </w:tcPr>
                <w:p w14:paraId="082482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p>
              </w:tc>
              <w:tc>
                <w:tcPr>
                  <w:tcW w:w="546" w:type="pct"/>
                  <w:noWrap w:val="0"/>
                  <w:vAlign w:val="center"/>
                </w:tcPr>
                <w:p w14:paraId="412CDA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kern w:val="2"/>
                      <w:sz w:val="21"/>
                      <w:szCs w:val="21"/>
                      <w:lang w:val="en-US" w:eastAsia="zh-CN" w:bidi="ar-SA"/>
                    </w:rPr>
                    <w:t>废润滑油桶</w:t>
                  </w:r>
                </w:p>
              </w:tc>
              <w:tc>
                <w:tcPr>
                  <w:tcW w:w="2514" w:type="pct"/>
                  <w:vMerge w:val="continue"/>
                  <w:noWrap w:val="0"/>
                  <w:vAlign w:val="center"/>
                </w:tcPr>
                <w:p w14:paraId="1626A4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rPr>
                  </w:pPr>
                </w:p>
              </w:tc>
              <w:tc>
                <w:tcPr>
                  <w:tcW w:w="385" w:type="pct"/>
                  <w:vMerge w:val="continue"/>
                  <w:noWrap w:val="0"/>
                  <w:vAlign w:val="center"/>
                </w:tcPr>
                <w:p w14:paraId="28F25A89">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cs="Times New Roman"/>
                      <w:color w:val="auto"/>
                      <w:sz w:val="21"/>
                      <w:szCs w:val="21"/>
                      <w:lang w:val="en-US" w:eastAsia="zh-CN"/>
                    </w:rPr>
                  </w:pPr>
                </w:p>
              </w:tc>
              <w:tc>
                <w:tcPr>
                  <w:tcW w:w="425" w:type="pct"/>
                  <w:vMerge w:val="continue"/>
                  <w:noWrap w:val="0"/>
                  <w:vAlign w:val="center"/>
                </w:tcPr>
                <w:p w14:paraId="542C6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SA"/>
                    </w:rPr>
                  </w:pPr>
                </w:p>
              </w:tc>
            </w:tr>
            <w:tr w14:paraId="04156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2D8DE0C3">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noWrap w:val="0"/>
                  <w:vAlign w:val="center"/>
                </w:tcPr>
                <w:p w14:paraId="5791E13C">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r>
                    <w:rPr>
                      <w:rFonts w:hint="default" w:ascii="Times New Roman" w:hAnsi="Times New Roman" w:cs="Times New Roman"/>
                      <w:color w:val="auto"/>
                      <w:sz w:val="21"/>
                      <w:szCs w:val="21"/>
                    </w:rPr>
                    <w:t>污染防治</w:t>
                  </w:r>
                </w:p>
              </w:tc>
              <w:tc>
                <w:tcPr>
                  <w:tcW w:w="3491" w:type="pct"/>
                  <w:gridSpan w:val="3"/>
                  <w:noWrap w:val="0"/>
                  <w:vAlign w:val="center"/>
                </w:tcPr>
                <w:p w14:paraId="1812FF1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color w:val="auto"/>
                      <w:kern w:val="0"/>
                      <w:sz w:val="21"/>
                      <w:szCs w:val="21"/>
                    </w:rPr>
                    <w:t>选用低噪声设备，采取减振、隔声等降噪措施</w:t>
                  </w:r>
                </w:p>
              </w:tc>
              <w:tc>
                <w:tcPr>
                  <w:tcW w:w="385" w:type="pct"/>
                  <w:noWrap w:val="0"/>
                  <w:vAlign w:val="center"/>
                </w:tcPr>
                <w:p w14:paraId="45800C37">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3.0</w:t>
                  </w:r>
                </w:p>
              </w:tc>
              <w:tc>
                <w:tcPr>
                  <w:tcW w:w="425" w:type="pct"/>
                  <w:noWrap w:val="0"/>
                  <w:vAlign w:val="center"/>
                </w:tcPr>
                <w:p w14:paraId="297E71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24.0</w:t>
                  </w:r>
                </w:p>
              </w:tc>
            </w:tr>
            <w:tr w14:paraId="43C1E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1EAA4795">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restart"/>
                  <w:noWrap w:val="0"/>
                  <w:vAlign w:val="center"/>
                </w:tcPr>
                <w:p w14:paraId="69633C83">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防渗措施</w:t>
                  </w:r>
                </w:p>
              </w:tc>
              <w:tc>
                <w:tcPr>
                  <w:tcW w:w="977" w:type="pct"/>
                  <w:gridSpan w:val="2"/>
                  <w:noWrap w:val="0"/>
                  <w:vAlign w:val="center"/>
                </w:tcPr>
                <w:p w14:paraId="637FC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kern w:val="2"/>
                      <w:sz w:val="21"/>
                      <w:szCs w:val="21"/>
                      <w:lang w:val="en-US" w:eastAsia="zh-CN" w:bidi="ar-SA"/>
                    </w:rPr>
                    <w:t>重点防渗区</w:t>
                  </w:r>
                </w:p>
              </w:tc>
              <w:tc>
                <w:tcPr>
                  <w:tcW w:w="2514" w:type="pct"/>
                  <w:noWrap w:val="0"/>
                  <w:vAlign w:val="center"/>
                </w:tcPr>
                <w:p w14:paraId="759C3A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依托一期已建危废贮存点防渗措施</w:t>
                  </w:r>
                </w:p>
              </w:tc>
              <w:tc>
                <w:tcPr>
                  <w:tcW w:w="385" w:type="pct"/>
                  <w:noWrap w:val="0"/>
                  <w:vAlign w:val="center"/>
                </w:tcPr>
                <w:p w14:paraId="5AC25839">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425" w:type="pct"/>
                  <w:noWrap w:val="0"/>
                  <w:vAlign w:val="center"/>
                </w:tcPr>
                <w:p w14:paraId="37034E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r>
            <w:tr w14:paraId="52AE2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55" w:type="pct"/>
                  <w:vMerge w:val="continue"/>
                  <w:noWrap w:val="0"/>
                  <w:vAlign w:val="center"/>
                </w:tcPr>
                <w:p w14:paraId="52020FEE">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p>
              </w:tc>
              <w:tc>
                <w:tcPr>
                  <w:tcW w:w="442" w:type="pct"/>
                  <w:vMerge w:val="continue"/>
                  <w:noWrap w:val="0"/>
                  <w:vAlign w:val="center"/>
                </w:tcPr>
                <w:p w14:paraId="0EDAF769">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Times New Roman" w:hAnsi="Times New Roman" w:cs="Times New Roman"/>
                      <w:color w:val="auto"/>
                      <w:sz w:val="21"/>
                      <w:szCs w:val="21"/>
                      <w:lang w:val="en-US" w:eastAsia="zh-CN"/>
                    </w:rPr>
                  </w:pPr>
                </w:p>
              </w:tc>
              <w:tc>
                <w:tcPr>
                  <w:tcW w:w="977" w:type="pct"/>
                  <w:gridSpan w:val="2"/>
                  <w:noWrap w:val="0"/>
                  <w:vAlign w:val="center"/>
                </w:tcPr>
                <w:p w14:paraId="63D510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kern w:val="2"/>
                      <w:sz w:val="21"/>
                      <w:szCs w:val="21"/>
                      <w:lang w:val="en-US" w:eastAsia="zh-CN" w:bidi="ar-SA"/>
                    </w:rPr>
                    <w:t>简单防渗区</w:t>
                  </w:r>
                </w:p>
              </w:tc>
              <w:tc>
                <w:tcPr>
                  <w:tcW w:w="2514" w:type="pct"/>
                  <w:noWrap w:val="0"/>
                  <w:vAlign w:val="center"/>
                </w:tcPr>
                <w:p w14:paraId="771E3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依托一期已建水泥硬化措施</w:t>
                  </w:r>
                </w:p>
              </w:tc>
              <w:tc>
                <w:tcPr>
                  <w:tcW w:w="385" w:type="pct"/>
                  <w:noWrap w:val="0"/>
                  <w:vAlign w:val="center"/>
                </w:tcPr>
                <w:p w14:paraId="6CEE5D93">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425" w:type="pct"/>
                  <w:noWrap w:val="0"/>
                  <w:vAlign w:val="center"/>
                </w:tcPr>
                <w:p w14:paraId="699160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w:t>
                  </w:r>
                </w:p>
              </w:tc>
            </w:tr>
            <w:tr w14:paraId="05BC7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189" w:type="pct"/>
                  <w:gridSpan w:val="5"/>
                  <w:noWrap w:val="0"/>
                  <w:vAlign w:val="center"/>
                </w:tcPr>
                <w:p w14:paraId="5F6D3758">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385" w:type="pct"/>
                  <w:noWrap w:val="0"/>
                  <w:vAlign w:val="center"/>
                </w:tcPr>
                <w:p w14:paraId="00ADC608">
                  <w:pPr>
                    <w:pStyle w:val="10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12.5</w:t>
                  </w:r>
                </w:p>
              </w:tc>
              <w:tc>
                <w:tcPr>
                  <w:tcW w:w="425" w:type="pct"/>
                  <w:noWrap w:val="0"/>
                  <w:vAlign w:val="center"/>
                </w:tcPr>
                <w:p w14:paraId="23DE82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100</w:t>
                  </w:r>
                </w:p>
              </w:tc>
            </w:tr>
          </w:tbl>
          <w:p w14:paraId="2F6F760A">
            <w:pPr>
              <w:rPr>
                <w:rFonts w:hint="default"/>
                <w:color w:val="auto"/>
              </w:rPr>
            </w:pPr>
          </w:p>
        </w:tc>
      </w:tr>
      <w:tr w14:paraId="6F7CA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5" w:type="dxa"/>
            <w:noWrap w:val="0"/>
            <w:vAlign w:val="center"/>
          </w:tcPr>
          <w:p w14:paraId="37E23BF1">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工艺流程和产排污环节</w:t>
            </w:r>
          </w:p>
        </w:tc>
        <w:tc>
          <w:tcPr>
            <w:tcW w:w="8606" w:type="dxa"/>
            <w:gridSpan w:val="2"/>
            <w:noWrap w:val="0"/>
            <w:vAlign w:val="top"/>
          </w:tcPr>
          <w:p w14:paraId="1BF7C717">
            <w:pPr>
              <w:pStyle w:val="3"/>
              <w:keepNext/>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482" w:firstLineChars="200"/>
              <w:textAlignment w:val="auto"/>
              <w:rPr>
                <w:rFonts w:hint="default"/>
                <w:color w:val="auto"/>
              </w:rPr>
            </w:pPr>
            <w:r>
              <w:rPr>
                <w:rFonts w:hint="default" w:ascii="Times New Roman" w:hAnsi="Times New Roman" w:eastAsia="宋体"/>
                <w:b/>
                <w:bCs/>
                <w:color w:val="auto"/>
                <w:kern w:val="44"/>
                <w:sz w:val="24"/>
                <w:szCs w:val="30"/>
                <w:lang w:val="en-US" w:eastAsia="zh-CN" w:bidi="ar-SA"/>
              </w:rPr>
              <w:t>1、</w:t>
            </w:r>
            <w:r>
              <w:rPr>
                <w:rFonts w:hint="default"/>
                <w:color w:val="auto"/>
              </w:rPr>
              <w:t>施工期工艺流程及产污环节</w:t>
            </w:r>
          </w:p>
          <w:p w14:paraId="47CA3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Cs/>
                <w:color w:val="auto"/>
                <w:sz w:val="24"/>
                <w:szCs w:val="24"/>
                <w:lang w:val="en-US" w:eastAsia="zh-CN"/>
              </w:rPr>
            </w:pPr>
            <w:r>
              <w:rPr>
                <w:rFonts w:hint="default" w:ascii="Times New Roman" w:hAnsi="Times New Roman" w:eastAsia="宋体" w:cs="Times New Roman"/>
                <w:color w:val="auto"/>
                <w:spacing w:val="0"/>
                <w:kern w:val="21"/>
                <w:position w:val="0"/>
                <w:sz w:val="24"/>
                <w:szCs w:val="24"/>
                <w:highlight w:val="none"/>
              </w:rPr>
              <w:t>本项目</w:t>
            </w:r>
            <w:r>
              <w:rPr>
                <w:rFonts w:hint="eastAsia"/>
                <w:color w:val="auto"/>
                <w:spacing w:val="0"/>
                <w:kern w:val="0"/>
                <w:sz w:val="24"/>
                <w:szCs w:val="24"/>
                <w:lang w:val="en-US" w:eastAsia="zh-CN"/>
              </w:rPr>
              <w:t>在宁夏天楹环保能源有限公司现有预留空地进行建设</w:t>
            </w:r>
            <w:r>
              <w:rPr>
                <w:rFonts w:hint="eastAsia"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施工过程主要包括场地平整、主体工程施工、设备安装、竣工调试</w:t>
            </w:r>
            <w:r>
              <w:rPr>
                <w:rFonts w:hint="eastAsia"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具体工艺流程及产污环节见下图。</w:t>
            </w:r>
          </w:p>
          <w:p w14:paraId="2F22446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kern w:val="0"/>
                <w:sz w:val="24"/>
              </w:rPr>
            </w:pPr>
            <w:r>
              <w:rPr>
                <w:rFonts w:ascii="Times New Roman" w:hAnsi="Times New Roman"/>
                <w:color w:val="auto"/>
              </w:rPr>
              <w:object>
                <v:shape id="_x0000_i1029" o:spt="75" type="#_x0000_t75" style="height:217.5pt;width:192pt;" o:ole="t" filled="f" o:preferrelative="t" stroked="f" coordsize="21600,21600">
                  <v:path/>
                  <v:fill on="f" focussize="0,0"/>
                  <v:stroke on="f"/>
                  <v:imagedata r:id="rId17" o:title=""/>
                  <o:lock v:ext="edit" aspectratio="f"/>
                  <w10:wrap type="none"/>
                  <w10:anchorlock/>
                </v:shape>
                <o:OLEObject Type="Embed" ProgID="Visio.Drawing.15" ShapeID="_x0000_i1029" DrawAspect="Content" ObjectID="_1468075729" r:id="rId16">
                  <o:LockedField>false</o:LockedField>
                </o:OLEObject>
              </w:object>
            </w:r>
          </w:p>
          <w:p w14:paraId="6BAB0097">
            <w:pPr>
              <w:pStyle w:val="98"/>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b/>
                <w:bCs/>
                <w:color w:val="auto"/>
              </w:rPr>
            </w:pPr>
            <w:r>
              <w:rPr>
                <w:rFonts w:hint="eastAsia"/>
                <w:b w:val="0"/>
                <w:bCs w:val="0"/>
                <w:color w:val="auto"/>
                <w:sz w:val="21"/>
                <w:szCs w:val="21"/>
                <w:lang w:val="en-US" w:eastAsia="zh-CN"/>
              </w:rPr>
              <w:t>图2-3</w:t>
            </w:r>
            <w:r>
              <w:rPr>
                <w:rFonts w:hint="eastAsia"/>
                <w:color w:val="auto"/>
                <w:lang w:val="en-US" w:eastAsia="zh-CN"/>
              </w:rPr>
              <w:t xml:space="preserve">  </w:t>
            </w:r>
            <w:r>
              <w:rPr>
                <w:rFonts w:hint="eastAsia"/>
                <w:b/>
                <w:bCs/>
                <w:color w:val="auto"/>
                <w:lang w:val="en-US" w:eastAsia="zh-CN"/>
              </w:rPr>
              <w:t>本项目</w:t>
            </w:r>
            <w:r>
              <w:rPr>
                <w:rFonts w:hint="eastAsia"/>
                <w:b/>
                <w:bCs/>
                <w:color w:val="auto"/>
              </w:rPr>
              <w:t>施工期工艺流程及产污</w:t>
            </w:r>
            <w:r>
              <w:rPr>
                <w:rFonts w:hint="eastAsia"/>
                <w:b/>
                <w:bCs/>
                <w:color w:val="auto"/>
                <w:lang w:val="en-US" w:eastAsia="zh-CN"/>
              </w:rPr>
              <w:t>环节</w:t>
            </w:r>
            <w:r>
              <w:rPr>
                <w:rFonts w:hint="eastAsia"/>
                <w:b/>
                <w:bCs/>
                <w:color w:val="auto"/>
              </w:rPr>
              <w:t>图</w:t>
            </w:r>
          </w:p>
          <w:p w14:paraId="0A205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rPr>
            </w:pPr>
            <w:r>
              <w:rPr>
                <w:color w:val="auto"/>
                <w:kern w:val="0"/>
                <w:sz w:val="24"/>
                <w:szCs w:val="24"/>
              </w:rPr>
              <w:t>⑴</w:t>
            </w:r>
            <w:r>
              <w:rPr>
                <w:rFonts w:ascii="Times New Roman" w:hAnsi="Times New Roman"/>
                <w:color w:val="auto"/>
                <w:sz w:val="24"/>
                <w:szCs w:val="24"/>
              </w:rPr>
              <w:t>场地平整</w:t>
            </w:r>
            <w:r>
              <w:rPr>
                <w:rFonts w:hint="eastAsia" w:ascii="Times New Roman" w:hAnsi="Times New Roman"/>
                <w:color w:val="auto"/>
                <w:sz w:val="24"/>
                <w:szCs w:val="24"/>
              </w:rPr>
              <w:t>、</w:t>
            </w:r>
            <w:r>
              <w:rPr>
                <w:rFonts w:ascii="Times New Roman" w:hAnsi="Times New Roman"/>
                <w:color w:val="auto"/>
                <w:sz w:val="24"/>
                <w:szCs w:val="24"/>
              </w:rPr>
              <w:t>主体工程施</w:t>
            </w:r>
            <w:r>
              <w:rPr>
                <w:rFonts w:ascii="Times New Roman" w:hAnsi="Times New Roman"/>
                <w:color w:val="auto"/>
                <w:sz w:val="24"/>
              </w:rPr>
              <w:t>工</w:t>
            </w:r>
          </w:p>
          <w:p w14:paraId="607AAB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rPr>
            </w:pPr>
            <w:r>
              <w:rPr>
                <w:rFonts w:hint="eastAsia" w:ascii="Times New Roman" w:hAnsi="Times New Roman"/>
                <w:color w:val="auto"/>
                <w:sz w:val="24"/>
              </w:rPr>
              <w:t>场地平整主要为施工场地场平工程，主要有清除场地内所有地上、地下障碍物、排除地面积水、铺筑临时道路等；</w:t>
            </w:r>
            <w:r>
              <w:rPr>
                <w:rFonts w:ascii="Times New Roman" w:hAnsi="Times New Roman"/>
                <w:color w:val="auto"/>
                <w:sz w:val="24"/>
              </w:rPr>
              <w:t>主体工程施工主要是指对</w:t>
            </w:r>
            <w:r>
              <w:rPr>
                <w:rFonts w:hint="eastAsia" w:ascii="Times New Roman" w:hAnsi="Times New Roman"/>
                <w:color w:val="auto"/>
                <w:sz w:val="24"/>
                <w:lang w:val="en-US" w:eastAsia="zh-CN"/>
              </w:rPr>
              <w:t>生产车间</w:t>
            </w:r>
            <w:r>
              <w:rPr>
                <w:rFonts w:hint="eastAsia" w:ascii="Times New Roman" w:hAnsi="Times New Roman"/>
                <w:color w:val="auto"/>
                <w:sz w:val="24"/>
              </w:rPr>
              <w:t>、库房、</w:t>
            </w:r>
            <w:r>
              <w:rPr>
                <w:rFonts w:hint="eastAsia" w:ascii="Times New Roman" w:hAnsi="Times New Roman"/>
                <w:color w:val="auto"/>
                <w:sz w:val="24"/>
                <w:lang w:val="en-US" w:eastAsia="zh-CN"/>
              </w:rPr>
              <w:t>管理</w:t>
            </w:r>
            <w:r>
              <w:rPr>
                <w:rFonts w:hint="eastAsia" w:ascii="Times New Roman" w:hAnsi="Times New Roman"/>
                <w:color w:val="auto"/>
                <w:sz w:val="24"/>
              </w:rPr>
              <w:t>用房</w:t>
            </w:r>
            <w:r>
              <w:rPr>
                <w:rFonts w:ascii="Times New Roman" w:hAnsi="Times New Roman"/>
                <w:color w:val="auto"/>
                <w:sz w:val="24"/>
              </w:rPr>
              <w:t>的建设。项目施工期的噪声主要来自各种施工机械和车辆运输产生的噪声；施工物料运输、装载等过程产生扬尘和施工机械废气；施工过程会产生施工废水；施工过程会产生废弃施工材料；此外，施工人员也会产生生活污水和生活垃圾。</w:t>
            </w:r>
          </w:p>
          <w:p w14:paraId="7C9468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szCs w:val="24"/>
              </w:rPr>
            </w:pPr>
            <w:r>
              <w:rPr>
                <w:rFonts w:ascii="Times New Roman" w:hAnsi="Times New Roman"/>
                <w:color w:val="auto"/>
                <w:sz w:val="24"/>
                <w:szCs w:val="24"/>
              </w:rPr>
              <w:fldChar w:fldCharType="begin"/>
            </w:r>
            <w:r>
              <w:rPr>
                <w:rFonts w:ascii="Times New Roman" w:hAnsi="Times New Roman"/>
                <w:color w:val="auto"/>
                <w:sz w:val="24"/>
                <w:szCs w:val="24"/>
              </w:rPr>
              <w:instrText xml:space="preserve"> = 2 \* GB2 \* MERGEFORMAT </w:instrText>
            </w:r>
            <w:r>
              <w:rPr>
                <w:rFonts w:ascii="Times New Roman" w:hAnsi="Times New Roman"/>
                <w:color w:val="auto"/>
                <w:sz w:val="24"/>
                <w:szCs w:val="24"/>
              </w:rPr>
              <w:fldChar w:fldCharType="separate"/>
            </w:r>
            <w:r>
              <w:rPr>
                <w:rFonts w:ascii="Times New Roman" w:hAnsi="Times New Roman"/>
                <w:color w:val="auto"/>
                <w:sz w:val="24"/>
                <w:szCs w:val="24"/>
              </w:rPr>
              <w:t>⑵</w:t>
            </w:r>
            <w:r>
              <w:rPr>
                <w:rFonts w:ascii="Times New Roman" w:hAnsi="Times New Roman"/>
                <w:color w:val="auto"/>
                <w:sz w:val="24"/>
                <w:szCs w:val="24"/>
              </w:rPr>
              <w:fldChar w:fldCharType="end"/>
            </w:r>
            <w:r>
              <w:rPr>
                <w:rFonts w:ascii="Times New Roman" w:hAnsi="Times New Roman"/>
                <w:color w:val="auto"/>
                <w:sz w:val="24"/>
                <w:szCs w:val="24"/>
              </w:rPr>
              <w:t>设备安装</w:t>
            </w:r>
          </w:p>
          <w:p w14:paraId="2A80F4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rPr>
            </w:pPr>
            <w:r>
              <w:rPr>
                <w:rFonts w:ascii="Times New Roman" w:hAnsi="Times New Roman"/>
                <w:color w:val="auto"/>
                <w:sz w:val="24"/>
              </w:rPr>
              <w:t>在设备安装过程中，将会产生设备</w:t>
            </w:r>
            <w:r>
              <w:rPr>
                <w:rFonts w:hint="eastAsia" w:ascii="Times New Roman" w:hAnsi="Times New Roman"/>
                <w:color w:val="auto"/>
                <w:sz w:val="24"/>
              </w:rPr>
              <w:t>安装</w:t>
            </w:r>
            <w:r>
              <w:rPr>
                <w:rFonts w:ascii="Times New Roman" w:hAnsi="Times New Roman"/>
                <w:color w:val="auto"/>
                <w:sz w:val="24"/>
              </w:rPr>
              <w:t>噪声和废弃的包装物。</w:t>
            </w:r>
          </w:p>
          <w:p w14:paraId="49D2AB25">
            <w:pPr>
              <w:pStyle w:val="9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b/>
                <w:bCs/>
                <w:color w:val="auto"/>
              </w:rPr>
            </w:pPr>
            <w:r>
              <w:rPr>
                <w:rFonts w:ascii="Times New Roman" w:hAnsi="Times New Roman"/>
                <w:color w:val="auto"/>
                <w:sz w:val="24"/>
              </w:rPr>
              <w:t>施工期产污环节汇总见表2-</w:t>
            </w:r>
            <w:r>
              <w:rPr>
                <w:rFonts w:hint="eastAsia" w:ascii="Times New Roman" w:hAnsi="Times New Roman"/>
                <w:color w:val="auto"/>
                <w:sz w:val="24"/>
                <w:lang w:val="en-US" w:eastAsia="zh-CN"/>
              </w:rPr>
              <w:t>12</w:t>
            </w:r>
            <w:r>
              <w:rPr>
                <w:rFonts w:ascii="Times New Roman" w:hAnsi="Times New Roman"/>
                <w:color w:val="auto"/>
                <w:sz w:val="24"/>
              </w:rPr>
              <w:t>。</w:t>
            </w:r>
          </w:p>
          <w:p w14:paraId="4787BA7A">
            <w:pPr>
              <w:widowControl/>
              <w:adjustRightInd w:val="0"/>
              <w:snapToGrid w:val="0"/>
              <w:ind w:firstLine="436" w:firstLineChars="200"/>
              <w:rPr>
                <w:rFonts w:cs="Times New Roman"/>
                <w:b/>
                <w:color w:val="auto"/>
                <w:spacing w:val="4"/>
                <w:sz w:val="21"/>
                <w:szCs w:val="21"/>
              </w:rPr>
            </w:pPr>
            <w:r>
              <w:rPr>
                <w:rFonts w:cs="Times New Roman"/>
                <w:color w:val="auto"/>
                <w:spacing w:val="4"/>
                <w:sz w:val="21"/>
                <w:szCs w:val="21"/>
              </w:rPr>
              <w:t>表</w:t>
            </w:r>
            <w:r>
              <w:rPr>
                <w:rFonts w:hint="eastAsia" w:cs="Times New Roman"/>
                <w:color w:val="auto"/>
                <w:spacing w:val="4"/>
                <w:sz w:val="21"/>
                <w:szCs w:val="21"/>
                <w:lang w:val="en-US" w:eastAsia="zh-CN"/>
              </w:rPr>
              <w:t xml:space="preserve">2-12   </w:t>
            </w:r>
            <w:r>
              <w:rPr>
                <w:rFonts w:cs="Times New Roman"/>
                <w:color w:val="auto"/>
                <w:spacing w:val="4"/>
                <w:sz w:val="21"/>
                <w:szCs w:val="21"/>
              </w:rPr>
              <w:t xml:space="preserve">   </w:t>
            </w:r>
            <w:r>
              <w:rPr>
                <w:rFonts w:hint="eastAsia" w:cs="Times New Roman"/>
                <w:color w:val="auto"/>
                <w:spacing w:val="4"/>
                <w:sz w:val="21"/>
                <w:szCs w:val="21"/>
                <w:lang w:val="en-US"/>
              </w:rPr>
              <w:t xml:space="preserve">   </w:t>
            </w:r>
            <w:r>
              <w:rPr>
                <w:rFonts w:cs="Times New Roman"/>
                <w:color w:val="auto"/>
                <w:spacing w:val="4"/>
                <w:sz w:val="21"/>
                <w:szCs w:val="21"/>
              </w:rPr>
              <w:t xml:space="preserve">  </w:t>
            </w:r>
            <w:r>
              <w:rPr>
                <w:rFonts w:hint="eastAsia" w:cs="Times New Roman"/>
                <w:color w:val="auto"/>
                <w:spacing w:val="4"/>
                <w:sz w:val="21"/>
                <w:szCs w:val="21"/>
                <w:lang w:val="en-US" w:eastAsia="zh-CN"/>
              </w:rPr>
              <w:t xml:space="preserve">    </w:t>
            </w:r>
            <w:r>
              <w:rPr>
                <w:rFonts w:cs="Times New Roman"/>
                <w:color w:val="auto"/>
                <w:spacing w:val="4"/>
                <w:sz w:val="21"/>
                <w:szCs w:val="21"/>
              </w:rPr>
              <w:t xml:space="preserve"> </w:t>
            </w:r>
            <w:r>
              <w:rPr>
                <w:rFonts w:hint="eastAsia" w:cs="Times New Roman"/>
                <w:color w:val="auto"/>
                <w:spacing w:val="4"/>
                <w:sz w:val="21"/>
                <w:szCs w:val="21"/>
                <w:lang w:val="en-US" w:eastAsia="zh-CN"/>
              </w:rPr>
              <w:t xml:space="preserve"> </w:t>
            </w:r>
            <w:r>
              <w:rPr>
                <w:rFonts w:cs="Times New Roman"/>
                <w:b/>
                <w:color w:val="auto"/>
                <w:spacing w:val="4"/>
                <w:sz w:val="24"/>
                <w:szCs w:val="24"/>
              </w:rPr>
              <w:t>本项目</w:t>
            </w:r>
            <w:r>
              <w:rPr>
                <w:rFonts w:hint="eastAsia" w:cs="Times New Roman"/>
                <w:b/>
                <w:color w:val="auto"/>
                <w:spacing w:val="4"/>
                <w:sz w:val="24"/>
                <w:szCs w:val="24"/>
                <w:lang w:val="en-US" w:eastAsia="zh-CN"/>
              </w:rPr>
              <w:t>施工期</w:t>
            </w:r>
            <w:r>
              <w:rPr>
                <w:rFonts w:cs="Times New Roman"/>
                <w:b/>
                <w:color w:val="auto"/>
                <w:spacing w:val="4"/>
                <w:sz w:val="24"/>
                <w:szCs w:val="24"/>
              </w:rPr>
              <w:t>产污环节一览表</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15"/>
              <w:gridCol w:w="2696"/>
              <w:gridCol w:w="4147"/>
            </w:tblGrid>
            <w:tr w14:paraId="22187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noWrap w:val="0"/>
                  <w:vAlign w:val="center"/>
                </w:tcPr>
                <w:p w14:paraId="508C04DC">
                  <w:pPr>
                    <w:adjustRightInd w:val="0"/>
                    <w:snapToGrid w:val="0"/>
                    <w:jc w:val="center"/>
                    <w:rPr>
                      <w:rFonts w:ascii="Times New Roman" w:hAnsi="Times New Roman"/>
                      <w:b/>
                      <w:bCs/>
                      <w:color w:val="auto"/>
                    </w:rPr>
                  </w:pPr>
                  <w:r>
                    <w:rPr>
                      <w:rFonts w:ascii="Times New Roman" w:hAnsi="Times New Roman"/>
                      <w:b/>
                      <w:bCs/>
                      <w:color w:val="auto"/>
                    </w:rPr>
                    <w:t>污染类别</w:t>
                  </w:r>
                </w:p>
              </w:tc>
              <w:tc>
                <w:tcPr>
                  <w:tcW w:w="1612" w:type="pct"/>
                  <w:tcBorders>
                    <w:right w:val="single" w:color="auto" w:sz="4" w:space="0"/>
                  </w:tcBorders>
                  <w:noWrap w:val="0"/>
                  <w:vAlign w:val="center"/>
                </w:tcPr>
                <w:p w14:paraId="7066E141">
                  <w:pPr>
                    <w:adjustRightInd w:val="0"/>
                    <w:snapToGrid w:val="0"/>
                    <w:jc w:val="center"/>
                    <w:rPr>
                      <w:rFonts w:ascii="Times New Roman" w:hAnsi="Times New Roman"/>
                      <w:b/>
                      <w:bCs/>
                      <w:color w:val="auto"/>
                    </w:rPr>
                  </w:pPr>
                  <w:r>
                    <w:rPr>
                      <w:rFonts w:ascii="Times New Roman" w:hAnsi="Times New Roman"/>
                      <w:b/>
                      <w:bCs/>
                      <w:color w:val="auto"/>
                    </w:rPr>
                    <w:t>污染源名称</w:t>
                  </w:r>
                </w:p>
              </w:tc>
              <w:tc>
                <w:tcPr>
                  <w:tcW w:w="2480" w:type="pct"/>
                  <w:noWrap w:val="0"/>
                  <w:vAlign w:val="center"/>
                </w:tcPr>
                <w:p w14:paraId="4677E760">
                  <w:pPr>
                    <w:adjustRightInd w:val="0"/>
                    <w:snapToGrid w:val="0"/>
                    <w:jc w:val="center"/>
                    <w:rPr>
                      <w:rFonts w:ascii="Times New Roman" w:hAnsi="Times New Roman"/>
                      <w:b/>
                      <w:bCs/>
                      <w:color w:val="auto"/>
                    </w:rPr>
                  </w:pPr>
                  <w:r>
                    <w:rPr>
                      <w:rFonts w:ascii="Times New Roman" w:hAnsi="Times New Roman"/>
                      <w:b/>
                      <w:bCs/>
                      <w:color w:val="auto"/>
                    </w:rPr>
                    <w:t>主要污染物</w:t>
                  </w:r>
                </w:p>
              </w:tc>
            </w:tr>
            <w:tr w14:paraId="0FFDF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restart"/>
                  <w:noWrap w:val="0"/>
                  <w:vAlign w:val="center"/>
                </w:tcPr>
                <w:p w14:paraId="17E5AB82">
                  <w:pPr>
                    <w:adjustRightInd w:val="0"/>
                    <w:snapToGrid w:val="0"/>
                    <w:jc w:val="center"/>
                    <w:rPr>
                      <w:rFonts w:ascii="Times New Roman" w:hAnsi="Times New Roman"/>
                      <w:color w:val="auto"/>
                    </w:rPr>
                  </w:pPr>
                  <w:r>
                    <w:rPr>
                      <w:rFonts w:ascii="Times New Roman" w:hAnsi="Times New Roman"/>
                      <w:color w:val="auto"/>
                    </w:rPr>
                    <w:t>废气</w:t>
                  </w:r>
                </w:p>
              </w:tc>
              <w:tc>
                <w:tcPr>
                  <w:tcW w:w="1612" w:type="pct"/>
                  <w:tcBorders>
                    <w:right w:val="single" w:color="auto" w:sz="4" w:space="0"/>
                  </w:tcBorders>
                  <w:noWrap w:val="0"/>
                  <w:vAlign w:val="center"/>
                </w:tcPr>
                <w:p w14:paraId="72E88177">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施工扬尘</w:t>
                  </w:r>
                  <w:r>
                    <w:rPr>
                      <w:rFonts w:hint="eastAsia" w:ascii="Times New Roman" w:hAnsi="Times New Roman"/>
                      <w:color w:val="auto"/>
                      <w:lang w:val="en-US" w:eastAsia="zh-CN"/>
                    </w:rPr>
                    <w:t>G</w:t>
                  </w:r>
                </w:p>
              </w:tc>
              <w:tc>
                <w:tcPr>
                  <w:tcW w:w="2480" w:type="pct"/>
                  <w:noWrap w:val="0"/>
                  <w:vAlign w:val="center"/>
                </w:tcPr>
                <w:p w14:paraId="38F79679">
                  <w:pPr>
                    <w:adjustRightInd w:val="0"/>
                    <w:snapToGrid w:val="0"/>
                    <w:jc w:val="center"/>
                    <w:rPr>
                      <w:rFonts w:ascii="Times New Roman" w:hAnsi="Times New Roman"/>
                      <w:color w:val="auto"/>
                    </w:rPr>
                  </w:pPr>
                  <w:r>
                    <w:rPr>
                      <w:rFonts w:ascii="Times New Roman" w:hAnsi="Times New Roman"/>
                      <w:color w:val="auto"/>
                    </w:rPr>
                    <w:t>颗粒物</w:t>
                  </w:r>
                </w:p>
              </w:tc>
            </w:tr>
            <w:tr w14:paraId="248EA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continue"/>
                  <w:noWrap w:val="0"/>
                  <w:vAlign w:val="center"/>
                </w:tcPr>
                <w:p w14:paraId="24900A5B">
                  <w:pPr>
                    <w:adjustRightInd w:val="0"/>
                    <w:snapToGrid w:val="0"/>
                    <w:jc w:val="center"/>
                    <w:rPr>
                      <w:rFonts w:ascii="Times New Roman" w:hAnsi="Times New Roman"/>
                      <w:color w:val="auto"/>
                    </w:rPr>
                  </w:pPr>
                </w:p>
              </w:tc>
              <w:tc>
                <w:tcPr>
                  <w:tcW w:w="1612" w:type="pct"/>
                  <w:tcBorders>
                    <w:right w:val="single" w:color="auto" w:sz="4" w:space="0"/>
                  </w:tcBorders>
                  <w:noWrap w:val="0"/>
                  <w:vAlign w:val="center"/>
                </w:tcPr>
                <w:p w14:paraId="5F955DF1">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施工机械废气</w:t>
                  </w:r>
                  <w:r>
                    <w:rPr>
                      <w:rFonts w:hint="eastAsia" w:ascii="Times New Roman" w:hAnsi="Times New Roman"/>
                      <w:color w:val="auto"/>
                      <w:lang w:val="en-US" w:eastAsia="zh-CN"/>
                    </w:rPr>
                    <w:t>G</w:t>
                  </w:r>
                </w:p>
              </w:tc>
              <w:tc>
                <w:tcPr>
                  <w:tcW w:w="2480" w:type="pct"/>
                  <w:noWrap w:val="0"/>
                  <w:vAlign w:val="center"/>
                </w:tcPr>
                <w:p w14:paraId="6AEB9C30">
                  <w:pPr>
                    <w:adjustRightInd w:val="0"/>
                    <w:snapToGrid w:val="0"/>
                    <w:jc w:val="center"/>
                    <w:rPr>
                      <w:rFonts w:ascii="Times New Roman" w:hAnsi="Times New Roman"/>
                      <w:color w:val="auto"/>
                    </w:rPr>
                  </w:pPr>
                  <w:r>
                    <w:rPr>
                      <w:rFonts w:ascii="Times New Roman" w:hAnsi="Times New Roman"/>
                      <w:color w:val="auto"/>
                    </w:rPr>
                    <w:t>CO、THC、NO</w:t>
                  </w:r>
                  <w:r>
                    <w:rPr>
                      <w:rFonts w:ascii="Times New Roman" w:hAnsi="Times New Roman"/>
                      <w:color w:val="auto"/>
                      <w:vertAlign w:val="subscript"/>
                    </w:rPr>
                    <w:t>X</w:t>
                  </w:r>
                </w:p>
              </w:tc>
            </w:tr>
            <w:tr w14:paraId="1D3C9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restart"/>
                  <w:noWrap w:val="0"/>
                  <w:vAlign w:val="center"/>
                </w:tcPr>
                <w:p w14:paraId="751D7DD7">
                  <w:pPr>
                    <w:adjustRightInd w:val="0"/>
                    <w:snapToGrid w:val="0"/>
                    <w:jc w:val="center"/>
                    <w:rPr>
                      <w:rFonts w:ascii="Times New Roman" w:hAnsi="Times New Roman"/>
                      <w:color w:val="auto"/>
                    </w:rPr>
                  </w:pPr>
                  <w:r>
                    <w:rPr>
                      <w:rFonts w:ascii="Times New Roman" w:hAnsi="Times New Roman"/>
                      <w:color w:val="auto"/>
                    </w:rPr>
                    <w:t>废水</w:t>
                  </w:r>
                </w:p>
              </w:tc>
              <w:tc>
                <w:tcPr>
                  <w:tcW w:w="1612" w:type="pct"/>
                  <w:tcBorders>
                    <w:right w:val="single" w:color="auto" w:sz="4" w:space="0"/>
                  </w:tcBorders>
                  <w:noWrap w:val="0"/>
                  <w:vAlign w:val="center"/>
                </w:tcPr>
                <w:p w14:paraId="65834EFD">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施工废水</w:t>
                  </w:r>
                  <w:r>
                    <w:rPr>
                      <w:rFonts w:hint="eastAsia" w:ascii="Times New Roman" w:hAnsi="Times New Roman"/>
                      <w:color w:val="auto"/>
                      <w:lang w:val="en-US" w:eastAsia="zh-CN"/>
                    </w:rPr>
                    <w:t>W</w:t>
                  </w:r>
                </w:p>
              </w:tc>
              <w:tc>
                <w:tcPr>
                  <w:tcW w:w="2480" w:type="pct"/>
                  <w:noWrap w:val="0"/>
                  <w:vAlign w:val="center"/>
                </w:tcPr>
                <w:p w14:paraId="5347D0A7">
                  <w:pPr>
                    <w:adjustRightInd w:val="0"/>
                    <w:snapToGrid w:val="0"/>
                    <w:jc w:val="center"/>
                    <w:rPr>
                      <w:rFonts w:ascii="Times New Roman" w:hAnsi="Times New Roman"/>
                      <w:color w:val="auto"/>
                    </w:rPr>
                  </w:pPr>
                  <w:r>
                    <w:rPr>
                      <w:rFonts w:ascii="Times New Roman" w:hAnsi="Times New Roman"/>
                      <w:color w:val="auto"/>
                    </w:rPr>
                    <w:t>SS</w:t>
                  </w:r>
                </w:p>
              </w:tc>
            </w:tr>
            <w:tr w14:paraId="58437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continue"/>
                  <w:noWrap w:val="0"/>
                  <w:vAlign w:val="center"/>
                </w:tcPr>
                <w:p w14:paraId="5133075B">
                  <w:pPr>
                    <w:adjustRightInd w:val="0"/>
                    <w:snapToGrid w:val="0"/>
                    <w:jc w:val="center"/>
                    <w:rPr>
                      <w:rFonts w:ascii="Times New Roman" w:hAnsi="Times New Roman"/>
                      <w:color w:val="auto"/>
                    </w:rPr>
                  </w:pPr>
                </w:p>
              </w:tc>
              <w:tc>
                <w:tcPr>
                  <w:tcW w:w="1612" w:type="pct"/>
                  <w:tcBorders>
                    <w:right w:val="single" w:color="auto" w:sz="4" w:space="0"/>
                  </w:tcBorders>
                  <w:noWrap w:val="0"/>
                  <w:vAlign w:val="center"/>
                </w:tcPr>
                <w:p w14:paraId="2704BE4E">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施工</w:t>
                  </w:r>
                  <w:r>
                    <w:rPr>
                      <w:rFonts w:hint="eastAsia" w:ascii="Times New Roman" w:hAnsi="Times New Roman"/>
                      <w:color w:val="auto"/>
                    </w:rPr>
                    <w:t>人员</w:t>
                  </w:r>
                  <w:r>
                    <w:rPr>
                      <w:rFonts w:ascii="Times New Roman" w:hAnsi="Times New Roman"/>
                      <w:color w:val="auto"/>
                    </w:rPr>
                    <w:t>生活污水</w:t>
                  </w:r>
                  <w:r>
                    <w:rPr>
                      <w:rFonts w:hint="eastAsia" w:ascii="Times New Roman" w:hAnsi="Times New Roman"/>
                      <w:color w:val="auto"/>
                      <w:lang w:val="en-US" w:eastAsia="zh-CN"/>
                    </w:rPr>
                    <w:t>W</w:t>
                  </w:r>
                </w:p>
              </w:tc>
              <w:tc>
                <w:tcPr>
                  <w:tcW w:w="2480" w:type="pct"/>
                  <w:noWrap w:val="0"/>
                  <w:vAlign w:val="center"/>
                </w:tcPr>
                <w:p w14:paraId="082795DA">
                  <w:pPr>
                    <w:adjustRightInd w:val="0"/>
                    <w:snapToGrid w:val="0"/>
                    <w:jc w:val="center"/>
                    <w:rPr>
                      <w:rFonts w:ascii="Times New Roman" w:hAnsi="Times New Roman"/>
                      <w:color w:val="auto"/>
                    </w:rPr>
                  </w:pPr>
                  <w:r>
                    <w:rPr>
                      <w:rFonts w:ascii="Times New Roman" w:hAnsi="Times New Roman"/>
                      <w:color w:val="auto"/>
                    </w:rPr>
                    <w:t>COD、NH</w:t>
                  </w:r>
                  <w:r>
                    <w:rPr>
                      <w:rFonts w:ascii="Times New Roman" w:hAnsi="Times New Roman"/>
                      <w:color w:val="auto"/>
                      <w:vertAlign w:val="subscript"/>
                    </w:rPr>
                    <w:t>3</w:t>
                  </w:r>
                  <w:r>
                    <w:rPr>
                      <w:rFonts w:ascii="Times New Roman" w:hAnsi="Times New Roman"/>
                      <w:color w:val="auto"/>
                    </w:rPr>
                    <w:t>-N、BOD</w:t>
                  </w:r>
                  <w:r>
                    <w:rPr>
                      <w:rFonts w:ascii="Times New Roman" w:hAnsi="Times New Roman"/>
                      <w:color w:val="auto"/>
                      <w:vertAlign w:val="subscript"/>
                    </w:rPr>
                    <w:t>5</w:t>
                  </w:r>
                  <w:r>
                    <w:rPr>
                      <w:rFonts w:ascii="Times New Roman" w:hAnsi="Times New Roman"/>
                      <w:color w:val="auto"/>
                    </w:rPr>
                    <w:t>、SS</w:t>
                  </w:r>
                </w:p>
              </w:tc>
            </w:tr>
            <w:tr w14:paraId="4DE10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restart"/>
                  <w:noWrap w:val="0"/>
                  <w:vAlign w:val="center"/>
                </w:tcPr>
                <w:p w14:paraId="0D9CB6AE">
                  <w:pPr>
                    <w:adjustRightInd w:val="0"/>
                    <w:snapToGrid w:val="0"/>
                    <w:jc w:val="center"/>
                    <w:rPr>
                      <w:rFonts w:ascii="Times New Roman" w:hAnsi="Times New Roman"/>
                      <w:color w:val="auto"/>
                    </w:rPr>
                  </w:pPr>
                  <w:r>
                    <w:rPr>
                      <w:rFonts w:ascii="Times New Roman" w:hAnsi="Times New Roman"/>
                      <w:color w:val="auto"/>
                    </w:rPr>
                    <w:t>固体废物</w:t>
                  </w:r>
                </w:p>
              </w:tc>
              <w:tc>
                <w:tcPr>
                  <w:tcW w:w="1612" w:type="pct"/>
                  <w:tcBorders>
                    <w:right w:val="single" w:color="auto" w:sz="4" w:space="0"/>
                  </w:tcBorders>
                  <w:noWrap w:val="0"/>
                  <w:vAlign w:val="center"/>
                </w:tcPr>
                <w:p w14:paraId="19354381">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建筑垃圾</w:t>
                  </w:r>
                  <w:r>
                    <w:rPr>
                      <w:rFonts w:hint="eastAsia" w:ascii="Times New Roman" w:hAnsi="Times New Roman"/>
                      <w:color w:val="auto"/>
                      <w:lang w:val="en-US" w:eastAsia="zh-CN"/>
                    </w:rPr>
                    <w:t>S</w:t>
                  </w:r>
                </w:p>
              </w:tc>
              <w:tc>
                <w:tcPr>
                  <w:tcW w:w="2480" w:type="pct"/>
                  <w:noWrap w:val="0"/>
                  <w:vAlign w:val="center"/>
                </w:tcPr>
                <w:p w14:paraId="7B46DBD5">
                  <w:pPr>
                    <w:adjustRightInd w:val="0"/>
                    <w:snapToGrid w:val="0"/>
                    <w:jc w:val="center"/>
                    <w:rPr>
                      <w:rFonts w:ascii="Times New Roman" w:hAnsi="Times New Roman"/>
                      <w:color w:val="auto"/>
                    </w:rPr>
                  </w:pPr>
                  <w:r>
                    <w:rPr>
                      <w:rFonts w:ascii="Times New Roman" w:hAnsi="Times New Roman"/>
                      <w:color w:val="auto"/>
                    </w:rPr>
                    <w:t>建筑垃圾</w:t>
                  </w:r>
                </w:p>
              </w:tc>
            </w:tr>
            <w:tr w14:paraId="7D0E6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continue"/>
                  <w:noWrap w:val="0"/>
                  <w:vAlign w:val="center"/>
                </w:tcPr>
                <w:p w14:paraId="229FCC99">
                  <w:pPr>
                    <w:adjustRightInd w:val="0"/>
                    <w:snapToGrid w:val="0"/>
                    <w:jc w:val="center"/>
                    <w:rPr>
                      <w:rFonts w:ascii="Times New Roman" w:hAnsi="Times New Roman"/>
                      <w:color w:val="auto"/>
                    </w:rPr>
                  </w:pPr>
                </w:p>
              </w:tc>
              <w:tc>
                <w:tcPr>
                  <w:tcW w:w="1612" w:type="pct"/>
                  <w:tcBorders>
                    <w:right w:val="single" w:color="auto" w:sz="4" w:space="0"/>
                  </w:tcBorders>
                  <w:noWrap w:val="0"/>
                  <w:vAlign w:val="center"/>
                </w:tcPr>
                <w:p w14:paraId="5218B129">
                  <w:pPr>
                    <w:adjustRightInd w:val="0"/>
                    <w:snapToGrid w:val="0"/>
                    <w:jc w:val="center"/>
                    <w:rPr>
                      <w:rFonts w:hint="eastAsia" w:ascii="Times New Roman" w:hAnsi="Times New Roman" w:eastAsia="宋体"/>
                      <w:color w:val="auto"/>
                      <w:lang w:val="en-US" w:eastAsia="zh-CN"/>
                    </w:rPr>
                  </w:pPr>
                  <w:r>
                    <w:rPr>
                      <w:rFonts w:hint="eastAsia"/>
                      <w:color w:val="auto"/>
                      <w:lang w:val="en-US" w:eastAsia="zh-CN"/>
                    </w:rPr>
                    <w:t>废包装材料S</w:t>
                  </w:r>
                </w:p>
              </w:tc>
              <w:tc>
                <w:tcPr>
                  <w:tcW w:w="2480" w:type="pct"/>
                  <w:noWrap w:val="0"/>
                  <w:vAlign w:val="center"/>
                </w:tcPr>
                <w:p w14:paraId="60E1C864">
                  <w:pPr>
                    <w:adjustRightInd w:val="0"/>
                    <w:snapToGrid w:val="0"/>
                    <w:jc w:val="center"/>
                    <w:rPr>
                      <w:rFonts w:hint="eastAsia" w:ascii="Times New Roman" w:hAnsi="Times New Roman" w:eastAsia="宋体"/>
                      <w:color w:val="auto"/>
                      <w:lang w:val="en-US" w:eastAsia="zh-CN"/>
                    </w:rPr>
                  </w:pPr>
                  <w:r>
                    <w:rPr>
                      <w:rFonts w:hint="eastAsia"/>
                      <w:color w:val="auto"/>
                      <w:lang w:val="en-US" w:eastAsia="zh-CN"/>
                    </w:rPr>
                    <w:t>废包装材料</w:t>
                  </w:r>
                </w:p>
              </w:tc>
            </w:tr>
            <w:tr w14:paraId="56A8E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continue"/>
                  <w:noWrap w:val="0"/>
                  <w:vAlign w:val="center"/>
                </w:tcPr>
                <w:p w14:paraId="0D846B5E">
                  <w:pPr>
                    <w:adjustRightInd w:val="0"/>
                    <w:snapToGrid w:val="0"/>
                    <w:jc w:val="center"/>
                    <w:rPr>
                      <w:rFonts w:ascii="Times New Roman" w:hAnsi="Times New Roman"/>
                      <w:color w:val="auto"/>
                    </w:rPr>
                  </w:pPr>
                </w:p>
              </w:tc>
              <w:tc>
                <w:tcPr>
                  <w:tcW w:w="1612" w:type="pct"/>
                  <w:tcBorders>
                    <w:right w:val="single" w:color="auto" w:sz="4" w:space="0"/>
                  </w:tcBorders>
                  <w:noWrap w:val="0"/>
                  <w:vAlign w:val="center"/>
                </w:tcPr>
                <w:p w14:paraId="4C90BA52">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施工人员生活垃圾</w:t>
                  </w:r>
                  <w:r>
                    <w:rPr>
                      <w:rFonts w:hint="eastAsia" w:ascii="Times New Roman" w:hAnsi="Times New Roman"/>
                      <w:color w:val="auto"/>
                      <w:lang w:val="en-US" w:eastAsia="zh-CN"/>
                    </w:rPr>
                    <w:t>S</w:t>
                  </w:r>
                </w:p>
              </w:tc>
              <w:tc>
                <w:tcPr>
                  <w:tcW w:w="2480" w:type="pct"/>
                  <w:noWrap w:val="0"/>
                  <w:vAlign w:val="center"/>
                </w:tcPr>
                <w:p w14:paraId="402326E8">
                  <w:pPr>
                    <w:adjustRightInd w:val="0"/>
                    <w:snapToGrid w:val="0"/>
                    <w:jc w:val="center"/>
                    <w:rPr>
                      <w:rFonts w:ascii="Times New Roman" w:hAnsi="Times New Roman"/>
                      <w:color w:val="auto"/>
                    </w:rPr>
                  </w:pPr>
                  <w:r>
                    <w:rPr>
                      <w:rFonts w:ascii="Times New Roman" w:hAnsi="Times New Roman"/>
                      <w:color w:val="auto"/>
                    </w:rPr>
                    <w:t>生活垃圾</w:t>
                  </w:r>
                </w:p>
              </w:tc>
            </w:tr>
            <w:tr w14:paraId="457F5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restart"/>
                  <w:noWrap w:val="0"/>
                  <w:vAlign w:val="center"/>
                </w:tcPr>
                <w:p w14:paraId="06CAD84A">
                  <w:pPr>
                    <w:adjustRightInd w:val="0"/>
                    <w:snapToGrid w:val="0"/>
                    <w:jc w:val="center"/>
                    <w:rPr>
                      <w:rFonts w:ascii="Times New Roman" w:hAnsi="Times New Roman"/>
                      <w:color w:val="auto"/>
                    </w:rPr>
                  </w:pPr>
                  <w:r>
                    <w:rPr>
                      <w:rFonts w:ascii="Times New Roman" w:hAnsi="Times New Roman"/>
                      <w:color w:val="auto"/>
                    </w:rPr>
                    <w:t>噪声</w:t>
                  </w:r>
                </w:p>
              </w:tc>
              <w:tc>
                <w:tcPr>
                  <w:tcW w:w="1612" w:type="pct"/>
                  <w:tcBorders>
                    <w:right w:val="single" w:color="auto" w:sz="4" w:space="0"/>
                  </w:tcBorders>
                  <w:noWrap w:val="0"/>
                  <w:vAlign w:val="center"/>
                </w:tcPr>
                <w:p w14:paraId="7491CE3A">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施工机械噪声</w:t>
                  </w:r>
                  <w:r>
                    <w:rPr>
                      <w:rFonts w:hint="eastAsia" w:ascii="Times New Roman" w:hAnsi="Times New Roman"/>
                      <w:color w:val="auto"/>
                      <w:lang w:val="en-US" w:eastAsia="zh-CN"/>
                    </w:rPr>
                    <w:t>N</w:t>
                  </w:r>
                </w:p>
              </w:tc>
              <w:tc>
                <w:tcPr>
                  <w:tcW w:w="2480" w:type="pct"/>
                  <w:noWrap w:val="0"/>
                  <w:vAlign w:val="center"/>
                </w:tcPr>
                <w:p w14:paraId="10A156A8">
                  <w:pPr>
                    <w:adjustRightInd w:val="0"/>
                    <w:snapToGrid w:val="0"/>
                    <w:jc w:val="center"/>
                    <w:rPr>
                      <w:rFonts w:ascii="Times New Roman" w:hAnsi="Times New Roman"/>
                      <w:color w:val="auto"/>
                    </w:rPr>
                  </w:pPr>
                  <w:r>
                    <w:rPr>
                      <w:rFonts w:hint="eastAsia" w:ascii="Times New Roman" w:hAnsi="Times New Roman"/>
                      <w:color w:val="auto"/>
                    </w:rPr>
                    <w:t>等效A声级</w:t>
                  </w:r>
                </w:p>
              </w:tc>
            </w:tr>
            <w:tr w14:paraId="11D09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06" w:type="pct"/>
                  <w:vMerge w:val="continue"/>
                  <w:noWrap w:val="0"/>
                  <w:vAlign w:val="center"/>
                </w:tcPr>
                <w:p w14:paraId="747C7AEF">
                  <w:pPr>
                    <w:adjustRightInd w:val="0"/>
                    <w:snapToGrid w:val="0"/>
                    <w:jc w:val="center"/>
                    <w:rPr>
                      <w:rFonts w:ascii="Times New Roman" w:hAnsi="Times New Roman"/>
                      <w:color w:val="auto"/>
                    </w:rPr>
                  </w:pPr>
                </w:p>
              </w:tc>
              <w:tc>
                <w:tcPr>
                  <w:tcW w:w="1612" w:type="pct"/>
                  <w:tcBorders>
                    <w:right w:val="single" w:color="auto" w:sz="4" w:space="0"/>
                  </w:tcBorders>
                  <w:noWrap w:val="0"/>
                  <w:vAlign w:val="center"/>
                </w:tcPr>
                <w:p w14:paraId="49E29A36">
                  <w:pPr>
                    <w:adjustRightInd w:val="0"/>
                    <w:snapToGrid w:val="0"/>
                    <w:jc w:val="center"/>
                    <w:rPr>
                      <w:rFonts w:hint="eastAsia" w:ascii="Times New Roman" w:hAnsi="Times New Roman" w:eastAsia="宋体"/>
                      <w:color w:val="auto"/>
                      <w:lang w:val="en-US" w:eastAsia="zh-CN"/>
                    </w:rPr>
                  </w:pPr>
                  <w:r>
                    <w:rPr>
                      <w:rFonts w:ascii="Times New Roman" w:hAnsi="Times New Roman"/>
                      <w:color w:val="auto"/>
                    </w:rPr>
                    <w:t>施工车辆噪声</w:t>
                  </w:r>
                  <w:r>
                    <w:rPr>
                      <w:rFonts w:hint="eastAsia" w:ascii="Times New Roman" w:hAnsi="Times New Roman"/>
                      <w:color w:val="auto"/>
                      <w:lang w:val="en-US" w:eastAsia="zh-CN"/>
                    </w:rPr>
                    <w:t>N</w:t>
                  </w:r>
                </w:p>
              </w:tc>
              <w:tc>
                <w:tcPr>
                  <w:tcW w:w="2480" w:type="pct"/>
                  <w:noWrap w:val="0"/>
                  <w:vAlign w:val="center"/>
                </w:tcPr>
                <w:p w14:paraId="533BB379">
                  <w:pPr>
                    <w:adjustRightInd w:val="0"/>
                    <w:snapToGrid w:val="0"/>
                    <w:jc w:val="center"/>
                    <w:rPr>
                      <w:rFonts w:ascii="Times New Roman" w:hAnsi="Times New Roman"/>
                      <w:color w:val="auto"/>
                    </w:rPr>
                  </w:pPr>
                  <w:r>
                    <w:rPr>
                      <w:rFonts w:ascii="Times New Roman" w:hAnsi="Times New Roman"/>
                      <w:color w:val="auto"/>
                    </w:rPr>
                    <w:t>等效A声级</w:t>
                  </w:r>
                </w:p>
              </w:tc>
            </w:tr>
          </w:tbl>
          <w:p w14:paraId="4D23AD89">
            <w:pPr>
              <w:pStyle w:val="3"/>
              <w:keepNext/>
              <w:keepLines w:val="0"/>
              <w:pageBreakBefore w:val="0"/>
              <w:widowControl w:val="0"/>
              <w:numPr>
                <w:ilvl w:val="0"/>
                <w:numId w:val="0"/>
              </w:numPr>
              <w:kinsoku/>
              <w:wordWrap/>
              <w:overflowPunct w:val="0"/>
              <w:topLinePunct w:val="0"/>
              <w:autoSpaceDE w:val="0"/>
              <w:autoSpaceDN w:val="0"/>
              <w:bidi w:val="0"/>
              <w:adjustRightInd w:val="0"/>
              <w:snapToGrid w:val="0"/>
              <w:ind w:left="0" w:leftChars="0" w:firstLine="48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kern w:val="44"/>
                <w:sz w:val="24"/>
                <w:szCs w:val="30"/>
                <w:lang w:val="en-US" w:eastAsia="zh-CN" w:bidi="ar-SA"/>
              </w:rPr>
              <w:t>2、</w:t>
            </w:r>
            <w:r>
              <w:rPr>
                <w:rFonts w:hint="default" w:ascii="Times New Roman" w:hAnsi="Times New Roman" w:eastAsia="宋体" w:cs="Times New Roman"/>
                <w:color w:val="auto"/>
              </w:rPr>
              <w:t>运营期工艺流程及产污环节</w:t>
            </w:r>
          </w:p>
          <w:p w14:paraId="7955F17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lang w:val="en-US" w:eastAsia="zh-CN"/>
              </w:rPr>
            </w:pPr>
            <w:r>
              <w:rPr>
                <w:rFonts w:hint="eastAsia"/>
                <w:color w:val="auto"/>
                <w:sz w:val="24"/>
                <w:szCs w:val="24"/>
                <w:lang w:val="en-US" w:eastAsia="zh-CN"/>
              </w:rPr>
              <w:t>本项目一期、二期工艺流程一致，本次进行统一分析。</w:t>
            </w:r>
            <w:r>
              <w:rPr>
                <w:rFonts w:hint="eastAsia" w:ascii="Times New Roman" w:hAnsi="Times New Roman" w:eastAsia="宋体" w:cs="Times New Roman"/>
                <w:color w:val="auto"/>
                <w:kern w:val="0"/>
                <w:sz w:val="24"/>
                <w:lang w:val="en-US" w:eastAsia="zh-CN"/>
              </w:rPr>
              <w:t>本项目运营期发泡-成型工艺流程及产污环节见下图。</w:t>
            </w:r>
          </w:p>
          <w:p w14:paraId="385DDEB0">
            <w:pPr>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outlineLvl w:val="9"/>
              <w:rPr>
                <w:rFonts w:hint="eastAsia" w:ascii="Times New Roman" w:hAnsi="Times New Roman" w:eastAsia="宋体" w:cs="Times New Roman"/>
                <w:color w:val="auto"/>
                <w:kern w:val="0"/>
                <w:sz w:val="24"/>
                <w:lang w:val="en-US" w:eastAsia="zh-CN"/>
              </w:rPr>
            </w:pPr>
            <w:r>
              <w:rPr>
                <w:rFonts w:hint="eastAsia" w:ascii="Times New Roman" w:hAnsi="Times New Roman" w:eastAsia="宋体" w:cs="Times New Roman"/>
                <w:color w:val="auto"/>
                <w:kern w:val="0"/>
                <w:sz w:val="24"/>
                <w:lang w:val="en-US" w:eastAsia="zh-CN"/>
              </w:rPr>
              <w:object>
                <v:shape id="_x0000_i1030" o:spt="75" type="#_x0000_t75" style="height:317.05pt;width:377.65pt;" o:ole="t" filled="f" o:preferrelative="t" stroked="f" coordsize="21600,21600">
                  <v:path/>
                  <v:fill on="f" focussize="0,0"/>
                  <v:stroke on="f"/>
                  <v:imagedata r:id="rId19" o:title=""/>
                  <o:lock v:ext="edit" aspectratio="f"/>
                  <w10:wrap type="none"/>
                  <w10:anchorlock/>
                </v:shape>
                <o:OLEObject Type="Embed" ProgID="Visio.Drawing.15" ShapeID="_x0000_i1030" DrawAspect="Content" ObjectID="_1468075730" r:id="rId18">
                  <o:LockedField>false</o:LockedField>
                </o:OLEObject>
              </w:object>
            </w:r>
          </w:p>
          <w:p w14:paraId="79AA78DE">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b/>
                <w:bCs/>
                <w:color w:val="auto"/>
                <w:sz w:val="24"/>
                <w:highlight w:val="none"/>
              </w:rPr>
            </w:pPr>
            <w:r>
              <w:rPr>
                <w:color w:val="auto"/>
                <w:szCs w:val="21"/>
                <w:highlight w:val="none"/>
              </w:rPr>
              <w:t>图2-</w:t>
            </w:r>
            <w:r>
              <w:rPr>
                <w:rFonts w:hint="eastAsia"/>
                <w:color w:val="auto"/>
                <w:szCs w:val="21"/>
                <w:highlight w:val="none"/>
                <w:lang w:val="en-US" w:eastAsia="zh-CN"/>
              </w:rPr>
              <w:t>4</w:t>
            </w:r>
            <w:r>
              <w:rPr>
                <w:b/>
                <w:bCs/>
                <w:color w:val="auto"/>
                <w:szCs w:val="21"/>
                <w:highlight w:val="none"/>
              </w:rPr>
              <w:t xml:space="preserve">  </w:t>
            </w:r>
            <w:r>
              <w:rPr>
                <w:rFonts w:hint="eastAsia"/>
                <w:b/>
                <w:bCs/>
                <w:color w:val="auto"/>
                <w:sz w:val="24"/>
                <w:highlight w:val="none"/>
                <w:lang w:val="en-US" w:eastAsia="zh-CN"/>
              </w:rPr>
              <w:t>本项目</w:t>
            </w:r>
            <w:r>
              <w:rPr>
                <w:b/>
                <w:bCs/>
                <w:color w:val="auto"/>
                <w:sz w:val="24"/>
                <w:highlight w:val="none"/>
              </w:rPr>
              <w:t>运营期工艺流程及产污环节图</w:t>
            </w:r>
          </w:p>
          <w:p w14:paraId="3CB5CE1F">
            <w:pPr>
              <w:adjustRightInd w:val="0"/>
              <w:snapToGrid w:val="0"/>
              <w:spacing w:line="360" w:lineRule="auto"/>
              <w:ind w:firstLine="490" w:firstLineChars="200"/>
              <w:rPr>
                <w:b/>
                <w:color w:val="auto"/>
                <w:spacing w:val="2"/>
                <w:sz w:val="24"/>
                <w:highlight w:val="none"/>
              </w:rPr>
            </w:pPr>
            <w:r>
              <w:rPr>
                <w:b/>
                <w:color w:val="auto"/>
                <w:spacing w:val="2"/>
                <w:sz w:val="24"/>
                <w:highlight w:val="none"/>
              </w:rPr>
              <w:t>工艺流程简述：</w:t>
            </w:r>
          </w:p>
          <w:p w14:paraId="32E29DF2">
            <w:pPr>
              <w:adjustRightInd w:val="0"/>
              <w:snapToGrid w:val="0"/>
              <w:spacing w:line="360" w:lineRule="auto"/>
              <w:ind w:firstLine="454"/>
              <w:rPr>
                <w:rFonts w:hint="eastAsia"/>
                <w:color w:val="auto"/>
                <w:sz w:val="24"/>
                <w:highlight w:val="none"/>
                <w:lang w:val="en-US" w:eastAsia="zh-CN"/>
              </w:rPr>
            </w:pPr>
            <w:r>
              <w:rPr>
                <w:rFonts w:hint="eastAsia"/>
                <w:color w:val="auto"/>
                <w:sz w:val="24"/>
                <w:highlight w:val="none"/>
              </w:rPr>
              <w:t>①</w:t>
            </w:r>
            <w:r>
              <w:rPr>
                <w:rFonts w:hint="eastAsia"/>
                <w:color w:val="auto"/>
                <w:sz w:val="24"/>
                <w:highlight w:val="none"/>
                <w:lang w:val="en-US" w:eastAsia="zh-CN"/>
              </w:rPr>
              <w:t>发泡</w:t>
            </w:r>
          </w:p>
          <w:p w14:paraId="2DEE7D0E">
            <w:pPr>
              <w:adjustRightInd w:val="0"/>
              <w:snapToGrid w:val="0"/>
              <w:spacing w:line="360" w:lineRule="auto"/>
              <w:ind w:firstLine="454"/>
              <w:rPr>
                <w:rFonts w:hint="eastAsia"/>
                <w:color w:val="auto"/>
                <w:sz w:val="24"/>
                <w:highlight w:val="none"/>
                <w:lang w:eastAsia="zh-CN"/>
              </w:rPr>
            </w:pPr>
            <w:r>
              <w:rPr>
                <w:color w:val="auto"/>
                <w:sz w:val="24"/>
                <w:highlight w:val="none"/>
              </w:rPr>
              <w:t>可发性EPS颗粒内含有物理发泡剂（主要为碳氢化合物），当把粒子投入发泡机中，再通入饱和蒸汽，发泡剂受热体积膨胀将软化的粒子膨化为内部充满泡孔的泡沫粒子，形成为Φ2-5mm的EPS大颗粒。预发泡时间一般在3min左右；</w:t>
            </w:r>
            <w:r>
              <w:rPr>
                <w:rFonts w:hint="eastAsia"/>
                <w:color w:val="auto"/>
                <w:sz w:val="24"/>
                <w:highlight w:val="none"/>
                <w:lang w:val="en-US" w:eastAsia="zh-CN"/>
              </w:rPr>
              <w:t>本项目发泡温度为100</w:t>
            </w:r>
            <w:r>
              <w:rPr>
                <w:color w:val="auto"/>
                <w:sz w:val="24"/>
                <w:highlight w:val="none"/>
              </w:rPr>
              <w:t>℃；EPS颗粒的体积可缓慢增加至原来的40-80倍</w:t>
            </w:r>
            <w:r>
              <w:rPr>
                <w:rFonts w:hint="eastAsia"/>
                <w:color w:val="auto"/>
                <w:sz w:val="24"/>
                <w:highlight w:val="none"/>
                <w:lang w:eastAsia="zh-CN"/>
              </w:rPr>
              <w:t>。</w:t>
            </w:r>
          </w:p>
          <w:p w14:paraId="5E986B17">
            <w:pPr>
              <w:adjustRightInd w:val="0"/>
              <w:snapToGrid w:val="0"/>
              <w:spacing w:line="360" w:lineRule="auto"/>
              <w:ind w:firstLine="454"/>
              <w:rPr>
                <w:rFonts w:hint="default" w:eastAsia="宋体"/>
                <w:color w:val="auto"/>
                <w:sz w:val="24"/>
                <w:highlight w:val="none"/>
                <w:lang w:val="en-US" w:eastAsia="zh-CN"/>
              </w:rPr>
            </w:pPr>
            <w:r>
              <w:rPr>
                <w:rFonts w:hint="eastAsia"/>
                <w:color w:val="auto"/>
                <w:sz w:val="24"/>
                <w:highlight w:val="none"/>
                <w:lang w:val="en-US" w:eastAsia="zh-CN"/>
              </w:rPr>
              <w:t>此过程会</w:t>
            </w:r>
            <w:r>
              <w:rPr>
                <w:color w:val="auto"/>
                <w:sz w:val="24"/>
                <w:highlight w:val="none"/>
              </w:rPr>
              <w:t>产生</w:t>
            </w:r>
            <w:r>
              <w:rPr>
                <w:rFonts w:hint="eastAsia"/>
                <w:color w:val="auto"/>
                <w:sz w:val="24"/>
                <w:highlight w:val="none"/>
                <w:lang w:val="en-US" w:eastAsia="zh-CN"/>
              </w:rPr>
              <w:t>发泡废气G1（</w:t>
            </w:r>
            <w:r>
              <w:rPr>
                <w:rFonts w:hint="eastAsia"/>
                <w:color w:val="auto"/>
                <w:sz w:val="24"/>
                <w:highlight w:val="none"/>
              </w:rPr>
              <w:t>非甲烷总烃</w:t>
            </w:r>
            <w:r>
              <w:rPr>
                <w:rFonts w:hint="eastAsia"/>
                <w:color w:val="auto"/>
                <w:sz w:val="24"/>
                <w:highlight w:val="none"/>
                <w:lang w:eastAsia="zh-CN"/>
              </w:rPr>
              <w:t>、</w:t>
            </w:r>
            <w:r>
              <w:rPr>
                <w:rFonts w:hint="eastAsia"/>
                <w:color w:val="auto"/>
                <w:sz w:val="24"/>
                <w:highlight w:val="none"/>
                <w:lang w:val="en-US" w:eastAsia="zh-CN"/>
              </w:rPr>
              <w:t>甲苯）和设备运行噪声N</w:t>
            </w:r>
            <w:r>
              <w:rPr>
                <w:color w:val="auto"/>
                <w:sz w:val="24"/>
                <w:highlight w:val="none"/>
              </w:rPr>
              <w:t>，在该工序安装集气罩和</w:t>
            </w:r>
            <w:r>
              <w:rPr>
                <w:rFonts w:hint="eastAsia"/>
                <w:color w:val="auto"/>
                <w:sz w:val="24"/>
                <w:highlight w:val="none"/>
                <w:lang w:val="en-US" w:eastAsia="zh-CN"/>
              </w:rPr>
              <w:t>二级</w:t>
            </w:r>
            <w:r>
              <w:rPr>
                <w:color w:val="auto"/>
                <w:sz w:val="24"/>
                <w:highlight w:val="none"/>
              </w:rPr>
              <w:t>活性炭吸附装置，可有效降低废气的排放量。</w:t>
            </w:r>
          </w:p>
          <w:p w14:paraId="3BB0216D">
            <w:pPr>
              <w:pStyle w:val="51"/>
              <w:rPr>
                <w:rFonts w:ascii="Times New Roman" w:hAnsi="Times New Roman"/>
                <w:color w:val="auto"/>
                <w:highlight w:val="none"/>
                <w:lang w:eastAsia="zh-CN"/>
              </w:rPr>
            </w:pPr>
            <w:r>
              <w:rPr>
                <w:rFonts w:hint="eastAsia" w:ascii="Times New Roman" w:hAnsi="Times New Roman"/>
                <w:color w:val="auto"/>
                <w:highlight w:val="none"/>
                <w:lang w:eastAsia="zh-CN"/>
              </w:rPr>
              <w:t>②</w:t>
            </w:r>
            <w:r>
              <w:rPr>
                <w:rFonts w:ascii="Times New Roman" w:hAnsi="Times New Roman"/>
                <w:color w:val="auto"/>
                <w:highlight w:val="none"/>
                <w:lang w:eastAsia="zh-CN"/>
              </w:rPr>
              <w:t>熟化</w:t>
            </w:r>
          </w:p>
          <w:p w14:paraId="4C6BBF06">
            <w:pPr>
              <w:pStyle w:val="51"/>
              <w:rPr>
                <w:rFonts w:ascii="Times New Roman" w:hAnsi="Times New Roman"/>
                <w:color w:val="auto"/>
                <w:highlight w:val="none"/>
                <w:lang w:eastAsia="zh-CN"/>
              </w:rPr>
            </w:pPr>
            <w:r>
              <w:rPr>
                <w:rFonts w:ascii="Times New Roman" w:hAnsi="Times New Roman"/>
                <w:color w:val="auto"/>
                <w:highlight w:val="none"/>
                <w:lang w:eastAsia="zh-CN"/>
              </w:rPr>
              <w:t>刚发好的泡粒因部分发泡剂挥发逃逸和残留发泡剂受冷体积缩小使泡粒内呈真空状态而极易变形。必须存放一段时间让空气渗透到泡粒内逐步充满泡孔而使泡粒产生弹性的过程叫熟化。粒子熟化时间为4-8h，熟化温度以</w:t>
            </w:r>
            <w:r>
              <w:rPr>
                <w:rFonts w:hint="eastAsia" w:ascii="Times New Roman" w:hAnsi="Times New Roman"/>
                <w:color w:val="auto"/>
                <w:highlight w:val="none"/>
                <w:lang w:val="en-US" w:eastAsia="zh-CN"/>
              </w:rPr>
              <w:t>3</w:t>
            </w:r>
            <w:r>
              <w:rPr>
                <w:rFonts w:ascii="Times New Roman" w:hAnsi="Times New Roman"/>
                <w:color w:val="auto"/>
                <w:highlight w:val="none"/>
                <w:lang w:eastAsia="zh-CN"/>
              </w:rPr>
              <w:t>0~</w:t>
            </w:r>
            <w:r>
              <w:rPr>
                <w:rFonts w:hint="eastAsia" w:ascii="Times New Roman" w:hAnsi="Times New Roman"/>
                <w:color w:val="auto"/>
                <w:highlight w:val="none"/>
                <w:lang w:val="en-US" w:eastAsia="zh-CN"/>
              </w:rPr>
              <w:t>40</w:t>
            </w:r>
            <w:r>
              <w:rPr>
                <w:rFonts w:ascii="Times New Roman" w:hAnsi="Times New Roman"/>
                <w:color w:val="auto"/>
                <w:highlight w:val="none"/>
                <w:lang w:eastAsia="zh-CN"/>
              </w:rPr>
              <w:t>℃为宜，熟化工序在熟化仓内完成，适宜的熟化温度和通风能有效提高熟化程度。</w:t>
            </w:r>
          </w:p>
          <w:p w14:paraId="339B9211">
            <w:pPr>
              <w:adjustRightInd w:val="0"/>
              <w:snapToGrid w:val="0"/>
              <w:spacing w:line="360" w:lineRule="auto"/>
              <w:ind w:firstLine="454"/>
              <w:rPr>
                <w:color w:val="auto"/>
                <w:sz w:val="24"/>
                <w:highlight w:val="none"/>
              </w:rPr>
            </w:pPr>
            <w:r>
              <w:rPr>
                <w:rFonts w:hint="eastAsia"/>
                <w:color w:val="auto"/>
                <w:sz w:val="24"/>
                <w:highlight w:val="none"/>
              </w:rPr>
              <w:t>③</w:t>
            </w:r>
            <w:r>
              <w:rPr>
                <w:color w:val="auto"/>
                <w:sz w:val="24"/>
                <w:highlight w:val="none"/>
              </w:rPr>
              <w:t>成型</w:t>
            </w:r>
          </w:p>
          <w:p w14:paraId="6E514923">
            <w:pPr>
              <w:adjustRightInd w:val="0"/>
              <w:snapToGrid w:val="0"/>
              <w:spacing w:line="360" w:lineRule="auto"/>
              <w:ind w:firstLine="454"/>
              <w:rPr>
                <w:color w:val="auto"/>
                <w:sz w:val="24"/>
                <w:highlight w:val="none"/>
              </w:rPr>
            </w:pPr>
            <w:r>
              <w:rPr>
                <w:color w:val="auto"/>
                <w:sz w:val="24"/>
                <w:highlight w:val="none"/>
              </w:rPr>
              <w:t>熟化后的预发珠粒进入EPS节能型自动成型机，通过蒸汽进行加热，空气来不及逸出，受热膨胀后产生压力，此时聚合物软化又再度膨胀，并胀满珠粒间隙而结成整块，形成与模具形状相同的泡沫塑料制品，</w:t>
            </w:r>
            <w:r>
              <w:rPr>
                <w:rFonts w:hint="eastAsia"/>
                <w:color w:val="auto"/>
                <w:sz w:val="24"/>
                <w:highlight w:val="none"/>
                <w:lang w:val="en-US" w:eastAsia="zh-CN"/>
              </w:rPr>
              <w:t>成型温度为160</w:t>
            </w:r>
            <w:r>
              <w:rPr>
                <w:color w:val="auto"/>
                <w:sz w:val="24"/>
                <w:szCs w:val="24"/>
                <w:highlight w:val="none"/>
              </w:rPr>
              <w:t>℃</w:t>
            </w:r>
            <w:r>
              <w:rPr>
                <w:color w:val="auto"/>
                <w:sz w:val="24"/>
                <w:highlight w:val="none"/>
              </w:rPr>
              <w:t>。</w:t>
            </w:r>
          </w:p>
          <w:p w14:paraId="750C2B07">
            <w:pPr>
              <w:pStyle w:val="51"/>
              <w:rPr>
                <w:rFonts w:hint="default" w:ascii="Times New Roman" w:hAnsi="Times New Roman" w:cs="Times New Roman"/>
                <w:color w:val="auto"/>
              </w:rPr>
            </w:pPr>
            <w:r>
              <w:rPr>
                <w:rFonts w:hint="default" w:ascii="Times New Roman" w:hAnsi="Times New Roman" w:cs="Times New Roman"/>
                <w:color w:val="auto"/>
                <w:lang w:val="en-US" w:eastAsia="zh-CN"/>
              </w:rPr>
              <w:t>此过程会产生成型废气G2</w:t>
            </w:r>
            <w:r>
              <w:rPr>
                <w:rFonts w:hint="eastAsia" w:ascii="Times New Roman" w:hAnsi="Times New Roman" w:cs="Times New Roman"/>
                <w:color w:val="auto"/>
                <w:lang w:val="en-US" w:eastAsia="zh-CN"/>
              </w:rPr>
              <w:t>（</w:t>
            </w:r>
            <w:r>
              <w:rPr>
                <w:rFonts w:hint="eastAsia"/>
                <w:color w:val="auto"/>
                <w:sz w:val="24"/>
                <w:highlight w:val="none"/>
              </w:rPr>
              <w:t>非甲烷总烃</w:t>
            </w:r>
            <w:r>
              <w:rPr>
                <w:rFonts w:hint="eastAsia"/>
                <w:color w:val="auto"/>
                <w:sz w:val="24"/>
                <w:highlight w:val="none"/>
                <w:lang w:eastAsia="zh-CN"/>
              </w:rPr>
              <w:t>、</w:t>
            </w:r>
            <w:r>
              <w:rPr>
                <w:rFonts w:hint="eastAsia"/>
                <w:color w:val="auto"/>
                <w:sz w:val="24"/>
                <w:highlight w:val="none"/>
                <w:lang w:val="en-US" w:eastAsia="zh-CN"/>
              </w:rPr>
              <w:t>甲苯、</w:t>
            </w:r>
            <w:r>
              <w:rPr>
                <w:rFonts w:hint="eastAsia"/>
                <w:color w:val="auto"/>
                <w:sz w:val="24"/>
                <w:highlight w:val="none"/>
              </w:rPr>
              <w:t>苯乙烯</w:t>
            </w:r>
            <w:r>
              <w:rPr>
                <w:rFonts w:hint="eastAsia"/>
                <w:color w:val="auto"/>
                <w:sz w:val="24"/>
                <w:highlight w:val="none"/>
                <w:lang w:val="en-US" w:eastAsia="zh-CN"/>
              </w:rPr>
              <w:t>及乙苯</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和设备运行噪声。</w:t>
            </w:r>
          </w:p>
          <w:p w14:paraId="27BE82EF">
            <w:pPr>
              <w:adjustRightInd w:val="0"/>
              <w:snapToGrid w:val="0"/>
              <w:spacing w:line="360" w:lineRule="auto"/>
              <w:ind w:firstLine="454"/>
              <w:rPr>
                <w:color w:val="auto"/>
                <w:sz w:val="24"/>
                <w:highlight w:val="none"/>
              </w:rPr>
            </w:pPr>
            <w:r>
              <w:rPr>
                <w:rFonts w:hint="eastAsia"/>
                <w:color w:val="auto"/>
                <w:sz w:val="24"/>
                <w:highlight w:val="none"/>
              </w:rPr>
              <w:t>④</w:t>
            </w:r>
            <w:r>
              <w:rPr>
                <w:rFonts w:hint="eastAsia"/>
                <w:color w:val="auto"/>
                <w:sz w:val="24"/>
                <w:highlight w:val="none"/>
                <w:lang w:val="en-US" w:eastAsia="zh-CN"/>
              </w:rPr>
              <w:t>冷却</w:t>
            </w:r>
            <w:r>
              <w:rPr>
                <w:color w:val="auto"/>
                <w:sz w:val="24"/>
                <w:highlight w:val="none"/>
              </w:rPr>
              <w:t>脱模</w:t>
            </w:r>
          </w:p>
          <w:p w14:paraId="4F9515DE">
            <w:pPr>
              <w:adjustRightInd w:val="0"/>
              <w:snapToGrid w:val="0"/>
              <w:spacing w:line="360" w:lineRule="auto"/>
              <w:ind w:firstLine="454"/>
              <w:rPr>
                <w:color w:val="auto"/>
                <w:sz w:val="24"/>
                <w:highlight w:val="none"/>
              </w:rPr>
            </w:pPr>
            <w:r>
              <w:rPr>
                <w:rFonts w:hint="eastAsia"/>
                <w:color w:val="auto"/>
                <w:sz w:val="24"/>
                <w:highlight w:val="none"/>
                <w:lang w:val="en-US" w:eastAsia="zh-CN"/>
              </w:rPr>
              <w:t>产品成型后，通过冷却水直接冷却脱模，不需要添加脱模剂。</w:t>
            </w:r>
            <w:r>
              <w:rPr>
                <w:color w:val="auto"/>
                <w:sz w:val="24"/>
                <w:highlight w:val="none"/>
              </w:rPr>
              <w:t>将冷却定型后的EPS模块从模具中取出。</w:t>
            </w:r>
          </w:p>
          <w:p w14:paraId="00FF62DB">
            <w:pPr>
              <w:adjustRightInd w:val="0"/>
              <w:snapToGrid w:val="0"/>
              <w:spacing w:line="360" w:lineRule="auto"/>
              <w:ind w:firstLine="454"/>
              <w:rPr>
                <w:color w:val="auto"/>
                <w:sz w:val="24"/>
                <w:highlight w:val="none"/>
              </w:rPr>
            </w:pPr>
            <w:r>
              <w:rPr>
                <w:rFonts w:hint="eastAsia"/>
                <w:color w:val="auto"/>
                <w:sz w:val="24"/>
                <w:highlight w:val="none"/>
                <w:lang w:val="en-US" w:eastAsia="zh-CN"/>
              </w:rPr>
              <w:t>此过程会产生设备运行噪声N及循环冷却水排水W。</w:t>
            </w:r>
          </w:p>
          <w:p w14:paraId="1F5F10A4">
            <w:pPr>
              <w:adjustRightInd w:val="0"/>
              <w:snapToGrid w:val="0"/>
              <w:spacing w:line="360" w:lineRule="auto"/>
              <w:ind w:firstLine="454"/>
              <w:rPr>
                <w:rFonts w:hint="eastAsia"/>
                <w:color w:val="auto"/>
                <w:sz w:val="24"/>
                <w:szCs w:val="24"/>
                <w:lang w:val="en-US" w:eastAsia="zh-CN"/>
              </w:rPr>
            </w:pPr>
            <w:r>
              <w:rPr>
                <w:rFonts w:hint="eastAsia"/>
                <w:color w:val="auto"/>
                <w:sz w:val="24"/>
                <w:szCs w:val="24"/>
                <w:lang w:val="en-US" w:eastAsia="zh-CN"/>
              </w:rPr>
              <w:t>⑤烘干</w:t>
            </w:r>
          </w:p>
          <w:p w14:paraId="2BEC5BBF">
            <w:pPr>
              <w:pStyle w:val="51"/>
              <w:rPr>
                <w:rFonts w:hint="default"/>
                <w:color w:val="auto"/>
                <w:lang w:val="en-US" w:eastAsia="zh-CN"/>
              </w:rPr>
            </w:pPr>
            <w:r>
              <w:rPr>
                <w:rFonts w:hint="default" w:ascii="Times New Roman" w:hAnsi="Times New Roman" w:cs="Times New Roman"/>
                <w:color w:val="auto"/>
                <w:sz w:val="24"/>
                <w:szCs w:val="24"/>
                <w:lang w:val="en-US" w:eastAsia="zh-CN"/>
              </w:rPr>
              <w:t>刚脱模的泡沫制品表面及内部含一定水分，为保证产品质量，需要去除水分。将脱模后的成品使用蒸汽间接</w:t>
            </w:r>
            <w:r>
              <w:rPr>
                <w:rFonts w:hint="default" w:ascii="Times New Roman" w:hAnsi="Times New Roman" w:cs="Times New Roman"/>
                <w:color w:val="auto"/>
                <w:lang w:val="en-US" w:eastAsia="zh-CN"/>
              </w:rPr>
              <w:t>供热，烘干时间为4~8h，温度保持在55~60℃。</w:t>
            </w:r>
            <w:r>
              <w:rPr>
                <w:rFonts w:hint="default"/>
                <w:color w:val="auto"/>
                <w:lang w:val="en-US" w:eastAsia="zh-CN"/>
              </w:rPr>
              <w:t>烘干主要用去烘干水分，烘干温度低，苯乙烯、戊烷均属于易挥发物质，在发泡、成型工序已挥发出来，烘干工序不产生有机废气，主要排放水汽。</w:t>
            </w:r>
          </w:p>
          <w:p w14:paraId="6879D406">
            <w:pPr>
              <w:pStyle w:val="51"/>
              <w:rPr>
                <w:rFonts w:hint="eastAsia"/>
                <w:color w:val="auto"/>
                <w:lang w:val="en-US" w:eastAsia="zh-CN"/>
              </w:rPr>
            </w:pPr>
            <w:r>
              <w:rPr>
                <w:rFonts w:hint="eastAsia"/>
                <w:color w:val="auto"/>
                <w:lang w:val="en-US" w:eastAsia="zh-CN"/>
              </w:rPr>
              <w:t>⑥检验</w:t>
            </w:r>
          </w:p>
          <w:p w14:paraId="785B6676">
            <w:pPr>
              <w:pStyle w:val="51"/>
              <w:rPr>
                <w:rFonts w:hint="default" w:ascii="Times New Roman" w:hAnsi="Times New Roman" w:cs="Times New Roman"/>
                <w:color w:val="auto"/>
                <w:lang w:val="en-US" w:eastAsia="zh-CN"/>
              </w:rPr>
            </w:pPr>
            <w:r>
              <w:rPr>
                <w:rFonts w:hint="default"/>
                <w:color w:val="auto"/>
                <w:lang w:val="en-US" w:eastAsia="zh-CN"/>
              </w:rPr>
              <w:t>对产品进行外观检查，检查表面是否平整、有无气泡、裂纹等缺陷。质检合格的产品存放在干燥、通风的仓库中，等待出售。</w:t>
            </w:r>
          </w:p>
          <w:p w14:paraId="07456954">
            <w:pPr>
              <w:pStyle w:val="5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此过程会产生少量不合格品（S2）。</w:t>
            </w:r>
          </w:p>
          <w:p w14:paraId="6A92D1B4">
            <w:pPr>
              <w:autoSpaceDE w:val="0"/>
              <w:autoSpaceDN w:val="0"/>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3、运营期主要污染工序及源强分析</w:t>
            </w:r>
          </w:p>
          <w:p w14:paraId="5F4EA52C">
            <w:pPr>
              <w:adjustRightInd w:val="0"/>
              <w:snapToGrid w:val="0"/>
              <w:spacing w:line="360" w:lineRule="auto"/>
              <w:ind w:firstLine="480" w:firstLineChars="200"/>
              <w:rPr>
                <w:snapToGrid w:val="0"/>
                <w:color w:val="auto"/>
                <w:highlight w:val="none"/>
              </w:rPr>
            </w:pPr>
            <w:r>
              <w:rPr>
                <w:rFonts w:hint="eastAsia"/>
                <w:color w:val="auto"/>
                <w:sz w:val="24"/>
                <w:szCs w:val="24"/>
                <w:lang w:val="en-US" w:eastAsia="zh-CN"/>
              </w:rPr>
              <w:t>本项目一期、二期工艺流程一致，产污环节一致，</w:t>
            </w:r>
            <w:r>
              <w:rPr>
                <w:color w:val="auto"/>
                <w:sz w:val="24"/>
                <w:highlight w:val="none"/>
              </w:rPr>
              <w:t>本项目运营期</w:t>
            </w:r>
            <w:r>
              <w:rPr>
                <w:rFonts w:hint="eastAsia"/>
                <w:color w:val="auto"/>
                <w:sz w:val="24"/>
                <w:highlight w:val="none"/>
                <w:lang w:val="en-US" w:eastAsia="zh-CN"/>
              </w:rPr>
              <w:t>主要</w:t>
            </w:r>
            <w:r>
              <w:rPr>
                <w:color w:val="auto"/>
                <w:sz w:val="24"/>
                <w:highlight w:val="none"/>
              </w:rPr>
              <w:t>产污环节汇总见表2-1</w:t>
            </w:r>
            <w:r>
              <w:rPr>
                <w:rFonts w:hint="eastAsia"/>
                <w:color w:val="auto"/>
                <w:sz w:val="24"/>
                <w:highlight w:val="none"/>
                <w:lang w:val="en-US" w:eastAsia="zh-CN"/>
              </w:rPr>
              <w:t>3</w:t>
            </w:r>
            <w:r>
              <w:rPr>
                <w:color w:val="auto"/>
                <w:sz w:val="24"/>
                <w:highlight w:val="none"/>
              </w:rPr>
              <w:t>。</w:t>
            </w:r>
          </w:p>
          <w:p w14:paraId="538EED6A">
            <w:pPr>
              <w:adjustRightInd w:val="0"/>
              <w:snapToGrid w:val="0"/>
              <w:ind w:firstLine="420" w:firstLineChars="200"/>
              <w:jc w:val="left"/>
              <w:rPr>
                <w:snapToGrid w:val="0"/>
                <w:color w:val="auto"/>
                <w:szCs w:val="21"/>
                <w:highlight w:val="none"/>
              </w:rPr>
            </w:pPr>
          </w:p>
          <w:p w14:paraId="31A8DB22">
            <w:pPr>
              <w:adjustRightInd w:val="0"/>
              <w:snapToGrid w:val="0"/>
              <w:ind w:firstLine="420" w:firstLineChars="200"/>
              <w:jc w:val="left"/>
              <w:rPr>
                <w:b/>
                <w:snapToGrid w:val="0"/>
                <w:color w:val="auto"/>
                <w:sz w:val="24"/>
                <w:highlight w:val="none"/>
              </w:rPr>
            </w:pPr>
            <w:r>
              <w:rPr>
                <w:snapToGrid w:val="0"/>
                <w:color w:val="auto"/>
                <w:szCs w:val="21"/>
                <w:highlight w:val="none"/>
              </w:rPr>
              <w:t>表2-</w:t>
            </w:r>
            <w:r>
              <w:rPr>
                <w:rFonts w:hint="eastAsia"/>
                <w:snapToGrid w:val="0"/>
                <w:color w:val="auto"/>
                <w:szCs w:val="21"/>
                <w:highlight w:val="none"/>
              </w:rPr>
              <w:t>1</w:t>
            </w:r>
            <w:r>
              <w:rPr>
                <w:rFonts w:hint="eastAsia"/>
                <w:snapToGrid w:val="0"/>
                <w:color w:val="auto"/>
                <w:szCs w:val="21"/>
                <w:highlight w:val="none"/>
                <w:lang w:val="en-US" w:eastAsia="zh-CN"/>
              </w:rPr>
              <w:t xml:space="preserve">3 </w:t>
            </w:r>
            <w:r>
              <w:rPr>
                <w:b/>
                <w:snapToGrid w:val="0"/>
                <w:color w:val="auto"/>
                <w:szCs w:val="21"/>
                <w:highlight w:val="none"/>
              </w:rPr>
              <w:t xml:space="preserve">             </w:t>
            </w:r>
            <w:r>
              <w:rPr>
                <w:rFonts w:hint="eastAsia"/>
                <w:b/>
                <w:snapToGrid w:val="0"/>
                <w:color w:val="auto"/>
                <w:szCs w:val="21"/>
                <w:highlight w:val="none"/>
                <w:lang w:val="en-US" w:eastAsia="zh-CN"/>
              </w:rPr>
              <w:t>本项目</w:t>
            </w:r>
            <w:r>
              <w:rPr>
                <w:b/>
                <w:snapToGrid w:val="0"/>
                <w:color w:val="auto"/>
                <w:sz w:val="24"/>
                <w:highlight w:val="none"/>
              </w:rPr>
              <w:t>运营期</w:t>
            </w:r>
            <w:r>
              <w:rPr>
                <w:rFonts w:hint="eastAsia"/>
                <w:b/>
                <w:snapToGrid w:val="0"/>
                <w:color w:val="auto"/>
                <w:sz w:val="24"/>
                <w:highlight w:val="none"/>
                <w:lang w:val="en-US" w:eastAsia="zh-CN"/>
              </w:rPr>
              <w:t>主要</w:t>
            </w:r>
            <w:r>
              <w:rPr>
                <w:b/>
                <w:snapToGrid w:val="0"/>
                <w:color w:val="auto"/>
                <w:sz w:val="24"/>
                <w:highlight w:val="none"/>
              </w:rPr>
              <w:t>产污环节汇总表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793"/>
              <w:gridCol w:w="881"/>
              <w:gridCol w:w="1393"/>
              <w:gridCol w:w="1600"/>
              <w:gridCol w:w="3118"/>
            </w:tblGrid>
            <w:tr w14:paraId="59412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noWrap w:val="0"/>
                  <w:vAlign w:val="center"/>
                </w:tcPr>
                <w:p w14:paraId="3C3541CB">
                  <w:pPr>
                    <w:pStyle w:val="101"/>
                    <w:jc w:val="center"/>
                    <w:rPr>
                      <w:rFonts w:hint="eastAsia" w:cs="Times New Roman"/>
                      <w:b/>
                      <w:bCs/>
                      <w:color w:val="auto"/>
                      <w:szCs w:val="21"/>
                      <w:highlight w:val="none"/>
                    </w:rPr>
                  </w:pPr>
                  <w:r>
                    <w:rPr>
                      <w:rFonts w:hint="eastAsia" w:cs="Times New Roman"/>
                      <w:b/>
                      <w:bCs/>
                      <w:color w:val="auto"/>
                      <w:szCs w:val="21"/>
                      <w:highlight w:val="none"/>
                    </w:rPr>
                    <w:t>类型</w:t>
                  </w:r>
                </w:p>
              </w:tc>
              <w:tc>
                <w:tcPr>
                  <w:tcW w:w="474" w:type="pct"/>
                  <w:noWrap w:val="0"/>
                  <w:vAlign w:val="center"/>
                </w:tcPr>
                <w:p w14:paraId="0A43CA9A">
                  <w:pPr>
                    <w:pStyle w:val="101"/>
                    <w:jc w:val="center"/>
                    <w:rPr>
                      <w:rFonts w:hint="eastAsia" w:eastAsia="宋体" w:cs="Times New Roman"/>
                      <w:b/>
                      <w:bCs/>
                      <w:color w:val="auto"/>
                      <w:szCs w:val="21"/>
                      <w:highlight w:val="none"/>
                      <w:lang w:val="en-US" w:eastAsia="zh-CN"/>
                    </w:rPr>
                  </w:pPr>
                  <w:r>
                    <w:rPr>
                      <w:rFonts w:hint="eastAsia" w:cs="Times New Roman"/>
                      <w:b/>
                      <w:bCs/>
                      <w:color w:val="auto"/>
                      <w:szCs w:val="21"/>
                      <w:highlight w:val="none"/>
                      <w:lang w:val="en-US" w:eastAsia="zh-CN"/>
                    </w:rPr>
                    <w:t>编号</w:t>
                  </w:r>
                </w:p>
              </w:tc>
              <w:tc>
                <w:tcPr>
                  <w:tcW w:w="527" w:type="pct"/>
                  <w:noWrap w:val="0"/>
                  <w:vAlign w:val="center"/>
                </w:tcPr>
                <w:p w14:paraId="25AB4422">
                  <w:pPr>
                    <w:pStyle w:val="101"/>
                    <w:jc w:val="center"/>
                    <w:rPr>
                      <w:rFonts w:hint="eastAsia" w:eastAsia="宋体" w:cs="Times New Roman"/>
                      <w:b/>
                      <w:bCs/>
                      <w:color w:val="auto"/>
                      <w:szCs w:val="21"/>
                      <w:highlight w:val="none"/>
                      <w:lang w:eastAsia="zh-CN"/>
                    </w:rPr>
                  </w:pPr>
                  <w:r>
                    <w:rPr>
                      <w:rFonts w:hint="eastAsia" w:cs="Times New Roman"/>
                      <w:b/>
                      <w:bCs/>
                      <w:color w:val="auto"/>
                      <w:szCs w:val="21"/>
                      <w:highlight w:val="none"/>
                    </w:rPr>
                    <w:t>污染</w:t>
                  </w:r>
                  <w:r>
                    <w:rPr>
                      <w:rFonts w:hint="eastAsia" w:cs="Times New Roman"/>
                      <w:b/>
                      <w:bCs/>
                      <w:color w:val="auto"/>
                      <w:szCs w:val="21"/>
                      <w:highlight w:val="none"/>
                      <w:lang w:val="en-US" w:eastAsia="zh-CN"/>
                    </w:rPr>
                    <w:t>工序</w:t>
                  </w:r>
                </w:p>
              </w:tc>
              <w:tc>
                <w:tcPr>
                  <w:tcW w:w="833" w:type="pct"/>
                  <w:noWrap w:val="0"/>
                  <w:vAlign w:val="center"/>
                </w:tcPr>
                <w:p w14:paraId="5C5B9DFB">
                  <w:pPr>
                    <w:pStyle w:val="101"/>
                    <w:jc w:val="center"/>
                    <w:rPr>
                      <w:rFonts w:hint="eastAsia" w:eastAsia="宋体" w:cs="Times New Roman"/>
                      <w:b/>
                      <w:bCs/>
                      <w:color w:val="auto"/>
                      <w:szCs w:val="21"/>
                      <w:highlight w:val="none"/>
                      <w:lang w:val="en-US" w:eastAsia="zh-CN"/>
                    </w:rPr>
                  </w:pPr>
                  <w:r>
                    <w:rPr>
                      <w:rFonts w:hint="eastAsia" w:cs="Times New Roman"/>
                      <w:b/>
                      <w:bCs/>
                      <w:color w:val="auto"/>
                      <w:szCs w:val="21"/>
                      <w:highlight w:val="none"/>
                    </w:rPr>
                    <w:t>污染物</w:t>
                  </w:r>
                  <w:r>
                    <w:rPr>
                      <w:rFonts w:hint="eastAsia" w:cs="Times New Roman"/>
                      <w:b/>
                      <w:bCs/>
                      <w:color w:val="auto"/>
                      <w:szCs w:val="21"/>
                      <w:highlight w:val="none"/>
                      <w:lang w:val="en-US" w:eastAsia="zh-CN"/>
                    </w:rPr>
                    <w:t>名称</w:t>
                  </w:r>
                </w:p>
              </w:tc>
              <w:tc>
                <w:tcPr>
                  <w:tcW w:w="957" w:type="pct"/>
                  <w:noWrap w:val="0"/>
                  <w:vAlign w:val="center"/>
                </w:tcPr>
                <w:p w14:paraId="640297E4">
                  <w:pPr>
                    <w:pStyle w:val="101"/>
                    <w:jc w:val="center"/>
                    <w:rPr>
                      <w:rFonts w:hint="eastAsia" w:eastAsia="宋体" w:cs="Times New Roman"/>
                      <w:b/>
                      <w:bCs/>
                      <w:color w:val="auto"/>
                      <w:szCs w:val="21"/>
                      <w:highlight w:val="none"/>
                      <w:lang w:eastAsia="zh-CN"/>
                    </w:rPr>
                  </w:pPr>
                  <w:r>
                    <w:rPr>
                      <w:rFonts w:hint="eastAsia" w:cs="Times New Roman"/>
                      <w:b/>
                      <w:bCs/>
                      <w:color w:val="auto"/>
                      <w:szCs w:val="21"/>
                      <w:highlight w:val="none"/>
                      <w:lang w:val="en-US" w:eastAsia="zh-CN"/>
                    </w:rPr>
                    <w:t>主要污染物</w:t>
                  </w:r>
                </w:p>
              </w:tc>
              <w:tc>
                <w:tcPr>
                  <w:tcW w:w="1865" w:type="pct"/>
                  <w:noWrap w:val="0"/>
                  <w:vAlign w:val="center"/>
                </w:tcPr>
                <w:p w14:paraId="3FDA150F">
                  <w:pPr>
                    <w:pStyle w:val="101"/>
                    <w:jc w:val="center"/>
                    <w:rPr>
                      <w:rFonts w:hint="eastAsia" w:cs="Times New Roman"/>
                      <w:b/>
                      <w:bCs/>
                      <w:color w:val="auto"/>
                      <w:szCs w:val="21"/>
                      <w:highlight w:val="none"/>
                    </w:rPr>
                  </w:pPr>
                  <w:r>
                    <w:rPr>
                      <w:rFonts w:hint="eastAsia" w:cs="Times New Roman"/>
                      <w:b/>
                      <w:bCs/>
                      <w:color w:val="auto"/>
                      <w:szCs w:val="21"/>
                      <w:highlight w:val="none"/>
                    </w:rPr>
                    <w:t>治理措施</w:t>
                  </w:r>
                </w:p>
              </w:tc>
            </w:tr>
            <w:tr w14:paraId="37F37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restart"/>
                  <w:noWrap w:val="0"/>
                  <w:vAlign w:val="center"/>
                </w:tcPr>
                <w:p w14:paraId="6A73B204">
                  <w:pPr>
                    <w:pStyle w:val="101"/>
                    <w:jc w:val="center"/>
                    <w:rPr>
                      <w:rFonts w:hint="eastAsia" w:cs="Times New Roman"/>
                      <w:b/>
                      <w:bCs/>
                      <w:color w:val="auto"/>
                      <w:szCs w:val="21"/>
                      <w:highlight w:val="none"/>
                    </w:rPr>
                  </w:pPr>
                  <w:r>
                    <w:rPr>
                      <w:rFonts w:hint="eastAsia" w:cs="Times New Roman"/>
                      <w:color w:val="auto"/>
                      <w:szCs w:val="21"/>
                      <w:highlight w:val="none"/>
                    </w:rPr>
                    <w:t>废气</w:t>
                  </w:r>
                </w:p>
              </w:tc>
              <w:tc>
                <w:tcPr>
                  <w:tcW w:w="474" w:type="pct"/>
                  <w:noWrap w:val="0"/>
                  <w:vAlign w:val="center"/>
                </w:tcPr>
                <w:p w14:paraId="013F0AA6">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G1</w:t>
                  </w:r>
                </w:p>
              </w:tc>
              <w:tc>
                <w:tcPr>
                  <w:tcW w:w="527" w:type="pct"/>
                  <w:noWrap w:val="0"/>
                  <w:vAlign w:val="center"/>
                </w:tcPr>
                <w:p w14:paraId="36EC1F8A">
                  <w:pPr>
                    <w:pStyle w:val="101"/>
                    <w:jc w:val="center"/>
                    <w:rPr>
                      <w:rFonts w:hint="eastAsia"/>
                      <w:color w:val="auto"/>
                      <w:szCs w:val="21"/>
                      <w:highlight w:val="none"/>
                    </w:rPr>
                  </w:pPr>
                  <w:r>
                    <w:rPr>
                      <w:rFonts w:hint="eastAsia"/>
                      <w:color w:val="auto"/>
                      <w:szCs w:val="21"/>
                      <w:highlight w:val="none"/>
                    </w:rPr>
                    <w:t>发泡工序</w:t>
                  </w:r>
                </w:p>
              </w:tc>
              <w:tc>
                <w:tcPr>
                  <w:tcW w:w="833" w:type="pct"/>
                  <w:noWrap w:val="0"/>
                  <w:vAlign w:val="center"/>
                </w:tcPr>
                <w:p w14:paraId="3FC069A0">
                  <w:pPr>
                    <w:adjustRightInd w:val="0"/>
                    <w:snapToGrid w:val="0"/>
                    <w:jc w:val="center"/>
                    <w:rPr>
                      <w:rFonts w:hint="eastAsia" w:eastAsia="宋体" w:cs="Times New Roman"/>
                      <w:color w:val="auto"/>
                      <w:szCs w:val="21"/>
                      <w:highlight w:val="none"/>
                      <w:lang w:val="en-US" w:eastAsia="zh-CN"/>
                    </w:rPr>
                  </w:pPr>
                  <w:r>
                    <w:rPr>
                      <w:rFonts w:hint="eastAsia" w:cs="Times New Roman"/>
                      <w:color w:val="auto"/>
                      <w:szCs w:val="21"/>
                      <w:highlight w:val="none"/>
                      <w:lang w:val="en-US" w:eastAsia="zh-CN"/>
                    </w:rPr>
                    <w:t>有机废气</w:t>
                  </w:r>
                </w:p>
              </w:tc>
              <w:tc>
                <w:tcPr>
                  <w:tcW w:w="957" w:type="pct"/>
                  <w:noWrap w:val="0"/>
                  <w:vAlign w:val="center"/>
                </w:tcPr>
                <w:p w14:paraId="1E67E19A">
                  <w:pPr>
                    <w:pStyle w:val="101"/>
                    <w:jc w:val="center"/>
                    <w:rPr>
                      <w:rFonts w:hint="default" w:eastAsia="宋体" w:cs="Times New Roman"/>
                      <w:color w:val="auto"/>
                      <w:szCs w:val="21"/>
                      <w:highlight w:val="none"/>
                      <w:lang w:val="en-US" w:eastAsia="zh-CN"/>
                    </w:rPr>
                  </w:pPr>
                  <w:r>
                    <w:rPr>
                      <w:rFonts w:hint="eastAsia"/>
                      <w:color w:val="auto"/>
                      <w:szCs w:val="21"/>
                      <w:highlight w:val="none"/>
                    </w:rPr>
                    <w:t>非甲烷总烃</w:t>
                  </w:r>
                  <w:r>
                    <w:rPr>
                      <w:rFonts w:hint="eastAsia"/>
                      <w:color w:val="auto"/>
                      <w:szCs w:val="21"/>
                      <w:highlight w:val="none"/>
                      <w:lang w:eastAsia="zh-CN"/>
                    </w:rPr>
                    <w:t>、</w:t>
                  </w:r>
                  <w:r>
                    <w:rPr>
                      <w:rFonts w:hint="eastAsia"/>
                      <w:color w:val="auto"/>
                      <w:szCs w:val="21"/>
                      <w:highlight w:val="none"/>
                      <w:lang w:val="en-US" w:eastAsia="zh-CN"/>
                    </w:rPr>
                    <w:t>甲苯、苯乙烯、乙苯及臭气浓度</w:t>
                  </w:r>
                </w:p>
              </w:tc>
              <w:tc>
                <w:tcPr>
                  <w:tcW w:w="1865" w:type="pct"/>
                  <w:vMerge w:val="restart"/>
                  <w:noWrap w:val="0"/>
                  <w:vAlign w:val="center"/>
                </w:tcPr>
                <w:p w14:paraId="00C377DB">
                  <w:pPr>
                    <w:adjustRightInd w:val="0"/>
                    <w:snapToGrid w:val="0"/>
                    <w:jc w:val="center"/>
                    <w:rPr>
                      <w:rFonts w:hint="eastAsia"/>
                      <w:color w:val="auto"/>
                      <w:szCs w:val="21"/>
                      <w:highlight w:val="none"/>
                    </w:rPr>
                  </w:pPr>
                  <w:r>
                    <w:rPr>
                      <w:rFonts w:hint="eastAsia"/>
                      <w:color w:val="auto"/>
                      <w:kern w:val="0"/>
                      <w:szCs w:val="21"/>
                      <w:highlight w:val="none"/>
                    </w:rPr>
                    <w:t>通过集气罩（收集率90%）收集后经</w:t>
                  </w:r>
                  <w:r>
                    <w:rPr>
                      <w:rFonts w:hint="eastAsia"/>
                      <w:color w:val="auto"/>
                      <w:kern w:val="0"/>
                      <w:szCs w:val="21"/>
                      <w:highlight w:val="none"/>
                      <w:lang w:eastAsia="zh-CN"/>
                    </w:rPr>
                    <w:t>“</w:t>
                  </w:r>
                  <w:r>
                    <w:rPr>
                      <w:rFonts w:hint="eastAsia"/>
                      <w:color w:val="auto"/>
                      <w:kern w:val="0"/>
                      <w:szCs w:val="21"/>
                      <w:highlight w:val="none"/>
                    </w:rPr>
                    <w:t>二级活性炭吸附装置</w:t>
                  </w:r>
                  <w:r>
                    <w:rPr>
                      <w:rFonts w:hint="eastAsia"/>
                      <w:color w:val="auto"/>
                      <w:kern w:val="0"/>
                      <w:szCs w:val="21"/>
                      <w:highlight w:val="none"/>
                      <w:lang w:eastAsia="zh-CN"/>
                    </w:rPr>
                    <w:t>”</w:t>
                  </w:r>
                  <w:r>
                    <w:rPr>
                      <w:rFonts w:hint="eastAsia"/>
                      <w:color w:val="auto"/>
                      <w:kern w:val="0"/>
                      <w:szCs w:val="21"/>
                      <w:highlight w:val="none"/>
                    </w:rPr>
                    <w:t>（</w:t>
                  </w:r>
                  <w:r>
                    <w:rPr>
                      <w:rFonts w:hint="eastAsia"/>
                      <w:color w:val="auto"/>
                      <w:kern w:val="0"/>
                      <w:szCs w:val="21"/>
                      <w:highlight w:val="none"/>
                      <w:lang w:eastAsia="zh-CN"/>
                    </w:rPr>
                    <w:t>处理效率75</w:t>
                  </w:r>
                  <w:r>
                    <w:rPr>
                      <w:rFonts w:hint="eastAsia"/>
                      <w:color w:val="auto"/>
                      <w:kern w:val="0"/>
                      <w:szCs w:val="21"/>
                      <w:highlight w:val="none"/>
                    </w:rPr>
                    <w:t>%）处理，处理后的废气经1根15m高的排气筒（</w:t>
                  </w:r>
                  <w:r>
                    <w:rPr>
                      <w:rFonts w:hint="eastAsia"/>
                      <w:color w:val="auto"/>
                      <w:kern w:val="0"/>
                      <w:szCs w:val="21"/>
                      <w:highlight w:val="none"/>
                      <w:lang w:val="en-US" w:eastAsia="zh-CN"/>
                    </w:rPr>
                    <w:t>一期</w:t>
                  </w:r>
                  <w:r>
                    <w:rPr>
                      <w:rFonts w:hint="eastAsia"/>
                      <w:color w:val="auto"/>
                      <w:kern w:val="0"/>
                      <w:szCs w:val="21"/>
                      <w:highlight w:val="none"/>
                    </w:rPr>
                    <w:t>DA00</w:t>
                  </w:r>
                  <w:r>
                    <w:rPr>
                      <w:rFonts w:hint="eastAsia"/>
                      <w:color w:val="auto"/>
                      <w:kern w:val="0"/>
                      <w:szCs w:val="21"/>
                      <w:highlight w:val="none"/>
                      <w:lang w:val="en-US" w:eastAsia="zh-CN"/>
                    </w:rPr>
                    <w:t>1、二期DA002</w:t>
                  </w:r>
                  <w:r>
                    <w:rPr>
                      <w:rFonts w:hint="eastAsia"/>
                      <w:color w:val="auto"/>
                      <w:kern w:val="0"/>
                      <w:szCs w:val="21"/>
                      <w:highlight w:val="none"/>
                    </w:rPr>
                    <w:t>）排放</w:t>
                  </w:r>
                  <w:r>
                    <w:rPr>
                      <w:color w:val="auto"/>
                      <w:szCs w:val="21"/>
                      <w:highlight w:val="none"/>
                    </w:rPr>
                    <w:t>。</w:t>
                  </w:r>
                </w:p>
              </w:tc>
            </w:tr>
            <w:tr w14:paraId="7C36B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07C784A9">
                  <w:pPr>
                    <w:pStyle w:val="101"/>
                    <w:jc w:val="center"/>
                    <w:rPr>
                      <w:rFonts w:cs="Times New Roman"/>
                      <w:color w:val="auto"/>
                      <w:szCs w:val="21"/>
                      <w:highlight w:val="none"/>
                    </w:rPr>
                  </w:pPr>
                </w:p>
              </w:tc>
              <w:tc>
                <w:tcPr>
                  <w:tcW w:w="474" w:type="pct"/>
                  <w:noWrap w:val="0"/>
                  <w:vAlign w:val="center"/>
                </w:tcPr>
                <w:p w14:paraId="1FA35163">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G2</w:t>
                  </w:r>
                </w:p>
              </w:tc>
              <w:tc>
                <w:tcPr>
                  <w:tcW w:w="527" w:type="pct"/>
                  <w:noWrap w:val="0"/>
                  <w:vAlign w:val="center"/>
                </w:tcPr>
                <w:p w14:paraId="7E1481CB">
                  <w:pPr>
                    <w:pStyle w:val="101"/>
                    <w:jc w:val="center"/>
                    <w:rPr>
                      <w:rFonts w:hint="eastAsia"/>
                      <w:color w:val="auto"/>
                      <w:szCs w:val="21"/>
                      <w:highlight w:val="none"/>
                    </w:rPr>
                  </w:pPr>
                  <w:r>
                    <w:rPr>
                      <w:rFonts w:hint="eastAsia"/>
                      <w:color w:val="auto"/>
                      <w:szCs w:val="21"/>
                      <w:highlight w:val="none"/>
                    </w:rPr>
                    <w:t>成型工序</w:t>
                  </w:r>
                </w:p>
              </w:tc>
              <w:tc>
                <w:tcPr>
                  <w:tcW w:w="833" w:type="pct"/>
                  <w:noWrap w:val="0"/>
                  <w:vAlign w:val="center"/>
                </w:tcPr>
                <w:p w14:paraId="1718C1A1">
                  <w:pPr>
                    <w:pStyle w:val="101"/>
                    <w:jc w:val="center"/>
                    <w:rPr>
                      <w:rFonts w:cs="Times New Roman"/>
                      <w:color w:val="auto"/>
                      <w:szCs w:val="21"/>
                      <w:highlight w:val="none"/>
                    </w:rPr>
                  </w:pPr>
                  <w:r>
                    <w:rPr>
                      <w:rFonts w:hint="eastAsia" w:cs="Times New Roman"/>
                      <w:color w:val="auto"/>
                      <w:szCs w:val="21"/>
                      <w:highlight w:val="none"/>
                      <w:lang w:val="en-US" w:eastAsia="zh-CN"/>
                    </w:rPr>
                    <w:t>有机废气</w:t>
                  </w:r>
                </w:p>
              </w:tc>
              <w:tc>
                <w:tcPr>
                  <w:tcW w:w="957" w:type="pct"/>
                  <w:noWrap w:val="0"/>
                  <w:vAlign w:val="center"/>
                </w:tcPr>
                <w:p w14:paraId="00E49497">
                  <w:pPr>
                    <w:pStyle w:val="101"/>
                    <w:jc w:val="center"/>
                    <w:rPr>
                      <w:rFonts w:hint="eastAsia" w:cs="Times New Roman"/>
                      <w:color w:val="auto"/>
                      <w:szCs w:val="21"/>
                      <w:highlight w:val="none"/>
                    </w:rPr>
                  </w:pPr>
                  <w:r>
                    <w:rPr>
                      <w:rFonts w:hint="eastAsia"/>
                      <w:color w:val="auto"/>
                      <w:szCs w:val="21"/>
                      <w:highlight w:val="none"/>
                    </w:rPr>
                    <w:t>非甲烷总烃</w:t>
                  </w:r>
                  <w:r>
                    <w:rPr>
                      <w:rFonts w:hint="eastAsia"/>
                      <w:color w:val="auto"/>
                      <w:szCs w:val="21"/>
                      <w:highlight w:val="none"/>
                      <w:lang w:eastAsia="zh-CN"/>
                    </w:rPr>
                    <w:t>、</w:t>
                  </w:r>
                  <w:r>
                    <w:rPr>
                      <w:rFonts w:hint="eastAsia"/>
                      <w:color w:val="auto"/>
                      <w:szCs w:val="21"/>
                      <w:highlight w:val="none"/>
                      <w:lang w:val="en-US" w:eastAsia="zh-CN"/>
                    </w:rPr>
                    <w:t>苯乙烯、臭气浓度</w:t>
                  </w:r>
                </w:p>
              </w:tc>
              <w:tc>
                <w:tcPr>
                  <w:tcW w:w="1865" w:type="pct"/>
                  <w:vMerge w:val="continue"/>
                  <w:noWrap w:val="0"/>
                  <w:vAlign w:val="center"/>
                </w:tcPr>
                <w:p w14:paraId="15F330B9">
                  <w:pPr>
                    <w:pStyle w:val="101"/>
                    <w:jc w:val="center"/>
                    <w:rPr>
                      <w:rFonts w:cs="Times New Roman"/>
                      <w:color w:val="auto"/>
                      <w:szCs w:val="21"/>
                      <w:highlight w:val="none"/>
                    </w:rPr>
                  </w:pPr>
                </w:p>
              </w:tc>
            </w:tr>
            <w:tr w14:paraId="58F8B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restart"/>
                  <w:noWrap w:val="0"/>
                  <w:vAlign w:val="center"/>
                </w:tcPr>
                <w:p w14:paraId="3CAF672F">
                  <w:pPr>
                    <w:pStyle w:val="101"/>
                    <w:jc w:val="center"/>
                    <w:rPr>
                      <w:rFonts w:cs="Times New Roman"/>
                      <w:color w:val="auto"/>
                      <w:szCs w:val="21"/>
                      <w:highlight w:val="none"/>
                    </w:rPr>
                  </w:pPr>
                  <w:r>
                    <w:rPr>
                      <w:rFonts w:cs="Times New Roman"/>
                      <w:color w:val="auto"/>
                      <w:szCs w:val="21"/>
                      <w:highlight w:val="none"/>
                    </w:rPr>
                    <w:t>废水</w:t>
                  </w:r>
                </w:p>
              </w:tc>
              <w:tc>
                <w:tcPr>
                  <w:tcW w:w="474" w:type="pct"/>
                  <w:noWrap w:val="0"/>
                  <w:vAlign w:val="center"/>
                </w:tcPr>
                <w:p w14:paraId="1A5172A2">
                  <w:pPr>
                    <w:pStyle w:val="101"/>
                    <w:jc w:val="center"/>
                    <w:rPr>
                      <w:rFonts w:hint="eastAsia"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527" w:type="pct"/>
                  <w:noWrap w:val="0"/>
                  <w:vAlign w:val="center"/>
                </w:tcPr>
                <w:p w14:paraId="2EC16A50">
                  <w:pPr>
                    <w:pStyle w:val="101"/>
                    <w:jc w:val="center"/>
                    <w:rPr>
                      <w:rFonts w:hint="eastAsia" w:cs="Times New Roman"/>
                      <w:color w:val="auto"/>
                      <w:szCs w:val="21"/>
                      <w:highlight w:val="none"/>
                    </w:rPr>
                  </w:pPr>
                  <w:r>
                    <w:rPr>
                      <w:rFonts w:hint="eastAsia" w:cs="Times New Roman"/>
                      <w:color w:val="auto"/>
                      <w:szCs w:val="21"/>
                      <w:highlight w:val="none"/>
                    </w:rPr>
                    <w:t>生活污水</w:t>
                  </w:r>
                </w:p>
              </w:tc>
              <w:tc>
                <w:tcPr>
                  <w:tcW w:w="833" w:type="pct"/>
                  <w:noWrap w:val="0"/>
                  <w:vAlign w:val="center"/>
                </w:tcPr>
                <w:p w14:paraId="3AA652B4">
                  <w:pPr>
                    <w:pStyle w:val="101"/>
                    <w:jc w:val="center"/>
                    <w:rPr>
                      <w:rFonts w:cs="Times New Roman"/>
                      <w:color w:val="auto"/>
                      <w:szCs w:val="21"/>
                      <w:highlight w:val="none"/>
                    </w:rPr>
                  </w:pPr>
                  <w:r>
                    <w:rPr>
                      <w:rFonts w:hint="eastAsia" w:cs="Times New Roman"/>
                      <w:color w:val="auto"/>
                      <w:szCs w:val="21"/>
                      <w:highlight w:val="none"/>
                    </w:rPr>
                    <w:t>pH、COD、NH</w:t>
                  </w:r>
                  <w:r>
                    <w:rPr>
                      <w:rFonts w:hint="eastAsia" w:cs="Times New Roman"/>
                      <w:color w:val="auto"/>
                      <w:szCs w:val="21"/>
                      <w:highlight w:val="none"/>
                      <w:vertAlign w:val="subscript"/>
                    </w:rPr>
                    <w:t>3</w:t>
                  </w:r>
                  <w:r>
                    <w:rPr>
                      <w:rFonts w:hint="eastAsia" w:cs="Times New Roman"/>
                      <w:color w:val="auto"/>
                      <w:szCs w:val="21"/>
                      <w:highlight w:val="none"/>
                    </w:rPr>
                    <w:t>-N、BOD</w:t>
                  </w:r>
                  <w:r>
                    <w:rPr>
                      <w:rFonts w:hint="eastAsia" w:cs="Times New Roman"/>
                      <w:color w:val="auto"/>
                      <w:szCs w:val="21"/>
                      <w:highlight w:val="none"/>
                      <w:vertAlign w:val="subscript"/>
                    </w:rPr>
                    <w:t>5</w:t>
                  </w:r>
                  <w:r>
                    <w:rPr>
                      <w:rFonts w:hint="eastAsia" w:cs="Times New Roman"/>
                      <w:color w:val="auto"/>
                      <w:szCs w:val="21"/>
                      <w:highlight w:val="none"/>
                    </w:rPr>
                    <w:t>、SS</w:t>
                  </w:r>
                </w:p>
              </w:tc>
              <w:tc>
                <w:tcPr>
                  <w:tcW w:w="957" w:type="pct"/>
                  <w:noWrap w:val="0"/>
                  <w:vAlign w:val="center"/>
                </w:tcPr>
                <w:p w14:paraId="442312DE">
                  <w:pPr>
                    <w:pStyle w:val="101"/>
                    <w:jc w:val="center"/>
                    <w:rPr>
                      <w:rFonts w:cs="Times New Roman"/>
                      <w:color w:val="auto"/>
                      <w:szCs w:val="21"/>
                      <w:highlight w:val="none"/>
                    </w:rPr>
                  </w:pPr>
                  <w:r>
                    <w:rPr>
                      <w:rFonts w:hint="eastAsia" w:cs="Times New Roman"/>
                      <w:color w:val="auto"/>
                      <w:szCs w:val="21"/>
                      <w:highlight w:val="none"/>
                    </w:rPr>
                    <w:t>/</w:t>
                  </w:r>
                </w:p>
              </w:tc>
              <w:tc>
                <w:tcPr>
                  <w:tcW w:w="1865" w:type="pct"/>
                  <w:vMerge w:val="restart"/>
                  <w:noWrap w:val="0"/>
                  <w:vAlign w:val="center"/>
                </w:tcPr>
                <w:p w14:paraId="79D4047F">
                  <w:pPr>
                    <w:pStyle w:val="101"/>
                    <w:jc w:val="center"/>
                    <w:rPr>
                      <w:rFonts w:hint="eastAsia" w:cs="Times New Roman"/>
                      <w:color w:val="auto"/>
                      <w:szCs w:val="21"/>
                      <w:highlight w:val="none"/>
                    </w:rPr>
                  </w:pPr>
                  <w:r>
                    <w:rPr>
                      <w:rFonts w:hint="eastAsia" w:ascii="Times New Roman" w:hAnsi="Times New Roman" w:cs="Times New Roman"/>
                      <w:color w:val="auto"/>
                      <w:kern w:val="0"/>
                      <w:lang w:val="en-US" w:eastAsia="zh-CN"/>
                    </w:rPr>
                    <w:t>生活污水</w:t>
                  </w:r>
                  <w:r>
                    <w:rPr>
                      <w:rFonts w:hint="default" w:ascii="Times New Roman" w:hAnsi="Times New Roman" w:cs="Times New Roman"/>
                      <w:color w:val="auto"/>
                      <w:kern w:val="0"/>
                      <w:lang w:val="en-US" w:eastAsia="zh-CN"/>
                    </w:rPr>
                    <w:t>经</w:t>
                  </w:r>
                  <w:r>
                    <w:rPr>
                      <w:rFonts w:hint="eastAsia" w:ascii="Times New Roman" w:hAnsi="Times New Roman" w:cs="Times New Roman"/>
                      <w:color w:val="auto"/>
                      <w:kern w:val="0"/>
                      <w:lang w:val="en-US" w:eastAsia="zh-CN"/>
                    </w:rPr>
                    <w:t>厂区现有</w:t>
                  </w:r>
                  <w:r>
                    <w:rPr>
                      <w:rFonts w:hint="default" w:ascii="Times New Roman" w:hAnsi="Times New Roman" w:cs="Times New Roman"/>
                      <w:color w:val="auto"/>
                      <w:kern w:val="0"/>
                      <w:lang w:val="en-US" w:eastAsia="zh-CN"/>
                    </w:rPr>
                    <w:t>化粪池处理后</w:t>
                  </w:r>
                  <w:r>
                    <w:rPr>
                      <w:rFonts w:hint="eastAsia" w:ascii="Times New Roman" w:hAnsi="Times New Roman" w:cs="Times New Roman"/>
                      <w:color w:val="auto"/>
                      <w:kern w:val="0"/>
                      <w:lang w:val="en-US" w:eastAsia="zh-CN"/>
                    </w:rPr>
                    <w:t>汇同循环冷却系统排水排入园区污水管网，最终进入</w:t>
                  </w:r>
                  <w:r>
                    <w:rPr>
                      <w:rFonts w:hint="eastAsia" w:cs="Times New Roman"/>
                      <w:color w:val="auto"/>
                      <w:kern w:val="0"/>
                      <w:lang w:val="en-US" w:eastAsia="zh-CN"/>
                    </w:rPr>
                    <w:t>固原经济技术开发区新材料产业园污水处理厂</w:t>
                  </w:r>
                  <w:r>
                    <w:rPr>
                      <w:rFonts w:hint="eastAsia" w:eastAsia="宋体" w:cs="Times New Roman"/>
                      <w:color w:val="auto"/>
                      <w:sz w:val="21"/>
                      <w:szCs w:val="21"/>
                      <w:highlight w:val="none"/>
                      <w:lang w:val="en-US" w:eastAsia="zh-CN"/>
                    </w:rPr>
                    <w:t>进行处理</w:t>
                  </w:r>
                </w:p>
              </w:tc>
            </w:tr>
            <w:tr w14:paraId="7B79E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19698E4F">
                  <w:pPr>
                    <w:pStyle w:val="101"/>
                    <w:jc w:val="center"/>
                    <w:rPr>
                      <w:rFonts w:cs="Times New Roman"/>
                      <w:color w:val="auto"/>
                      <w:szCs w:val="21"/>
                      <w:highlight w:val="none"/>
                    </w:rPr>
                  </w:pPr>
                </w:p>
              </w:tc>
              <w:tc>
                <w:tcPr>
                  <w:tcW w:w="474" w:type="pct"/>
                  <w:noWrap w:val="0"/>
                  <w:vAlign w:val="center"/>
                </w:tcPr>
                <w:p w14:paraId="5D19E8E2">
                  <w:pPr>
                    <w:pStyle w:val="101"/>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W1</w:t>
                  </w:r>
                </w:p>
              </w:tc>
              <w:tc>
                <w:tcPr>
                  <w:tcW w:w="527" w:type="pct"/>
                  <w:noWrap w:val="0"/>
                  <w:vAlign w:val="center"/>
                </w:tcPr>
                <w:p w14:paraId="1B74456A">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循环冷却水排水</w:t>
                  </w:r>
                </w:p>
              </w:tc>
              <w:tc>
                <w:tcPr>
                  <w:tcW w:w="833" w:type="pct"/>
                  <w:noWrap w:val="0"/>
                  <w:vAlign w:val="center"/>
                </w:tcPr>
                <w:p w14:paraId="2B76EB20">
                  <w:pPr>
                    <w:pStyle w:val="101"/>
                    <w:jc w:val="center"/>
                    <w:rPr>
                      <w:rFonts w:hint="eastAsia" w:cs="Times New Roman"/>
                      <w:color w:val="auto"/>
                      <w:szCs w:val="21"/>
                      <w:highlight w:val="none"/>
                    </w:rPr>
                  </w:pPr>
                  <w:r>
                    <w:rPr>
                      <w:rFonts w:hint="eastAsia" w:cs="Times New Roman"/>
                      <w:color w:val="auto"/>
                      <w:szCs w:val="21"/>
                      <w:highlight w:val="none"/>
                      <w:lang w:val="en-US" w:eastAsia="zh-CN"/>
                    </w:rPr>
                    <w:t>TDS</w:t>
                  </w:r>
                </w:p>
              </w:tc>
              <w:tc>
                <w:tcPr>
                  <w:tcW w:w="957" w:type="pct"/>
                  <w:noWrap w:val="0"/>
                  <w:vAlign w:val="center"/>
                </w:tcPr>
                <w:p w14:paraId="2436D16F">
                  <w:pPr>
                    <w:pStyle w:val="101"/>
                    <w:jc w:val="center"/>
                    <w:rPr>
                      <w:rFonts w:hint="eastAsia"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1865" w:type="pct"/>
                  <w:vMerge w:val="continue"/>
                  <w:noWrap w:val="0"/>
                  <w:vAlign w:val="center"/>
                </w:tcPr>
                <w:p w14:paraId="29092740">
                  <w:pPr>
                    <w:pStyle w:val="101"/>
                    <w:jc w:val="center"/>
                    <w:rPr>
                      <w:rFonts w:hint="eastAsia" w:cs="Times New Roman"/>
                      <w:color w:val="auto"/>
                      <w:szCs w:val="21"/>
                      <w:highlight w:val="none"/>
                      <w:lang w:val="en-US" w:eastAsia="zh-CN"/>
                    </w:rPr>
                  </w:pPr>
                </w:p>
              </w:tc>
            </w:tr>
            <w:tr w14:paraId="69219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noWrap w:val="0"/>
                  <w:vAlign w:val="center"/>
                </w:tcPr>
                <w:p w14:paraId="7B0AC02B">
                  <w:pPr>
                    <w:pStyle w:val="101"/>
                    <w:jc w:val="center"/>
                    <w:rPr>
                      <w:rFonts w:cs="Times New Roman"/>
                      <w:color w:val="auto"/>
                      <w:szCs w:val="21"/>
                      <w:highlight w:val="none"/>
                    </w:rPr>
                  </w:pPr>
                  <w:r>
                    <w:rPr>
                      <w:rFonts w:cs="Times New Roman"/>
                      <w:color w:val="auto"/>
                      <w:szCs w:val="21"/>
                      <w:highlight w:val="none"/>
                    </w:rPr>
                    <w:t>噪声</w:t>
                  </w:r>
                </w:p>
              </w:tc>
              <w:tc>
                <w:tcPr>
                  <w:tcW w:w="474" w:type="pct"/>
                  <w:noWrap w:val="0"/>
                  <w:vAlign w:val="center"/>
                </w:tcPr>
                <w:p w14:paraId="5A58E34B">
                  <w:pPr>
                    <w:pStyle w:val="101"/>
                    <w:jc w:val="center"/>
                    <w:rPr>
                      <w:rFonts w:hint="eastAsia" w:eastAsia="宋体" w:cs="Times New Roman"/>
                      <w:color w:val="auto"/>
                      <w:szCs w:val="21"/>
                      <w:highlight w:val="none"/>
                      <w:lang w:val="en-US" w:eastAsia="zh-CN"/>
                    </w:rPr>
                  </w:pPr>
                  <w:r>
                    <w:rPr>
                      <w:rFonts w:hint="eastAsia" w:cs="Times New Roman"/>
                      <w:color w:val="auto"/>
                      <w:szCs w:val="21"/>
                      <w:highlight w:val="none"/>
                      <w:lang w:val="en-US" w:eastAsia="zh-CN"/>
                    </w:rPr>
                    <w:t>N</w:t>
                  </w:r>
                </w:p>
              </w:tc>
              <w:tc>
                <w:tcPr>
                  <w:tcW w:w="527" w:type="pct"/>
                  <w:noWrap w:val="0"/>
                  <w:vAlign w:val="center"/>
                </w:tcPr>
                <w:p w14:paraId="5D3FB0CB">
                  <w:pPr>
                    <w:pStyle w:val="101"/>
                    <w:jc w:val="center"/>
                    <w:rPr>
                      <w:rFonts w:hint="eastAsia" w:eastAsia="宋体" w:cs="Times New Roman"/>
                      <w:color w:val="auto"/>
                      <w:szCs w:val="21"/>
                      <w:highlight w:val="none"/>
                      <w:lang w:eastAsia="zh-CN"/>
                    </w:rPr>
                  </w:pPr>
                  <w:r>
                    <w:rPr>
                      <w:rFonts w:hint="eastAsia"/>
                      <w:color w:val="auto"/>
                      <w:szCs w:val="21"/>
                      <w:highlight w:val="none"/>
                      <w:lang w:val="en-US" w:eastAsia="zh-CN"/>
                    </w:rPr>
                    <w:t>设备运行</w:t>
                  </w:r>
                </w:p>
              </w:tc>
              <w:tc>
                <w:tcPr>
                  <w:tcW w:w="833" w:type="pct"/>
                  <w:noWrap w:val="0"/>
                  <w:vAlign w:val="center"/>
                </w:tcPr>
                <w:p w14:paraId="65FB6DEE">
                  <w:pPr>
                    <w:pStyle w:val="101"/>
                    <w:jc w:val="center"/>
                    <w:rPr>
                      <w:rFonts w:cs="Times New Roman"/>
                      <w:color w:val="auto"/>
                      <w:szCs w:val="21"/>
                      <w:highlight w:val="none"/>
                    </w:rPr>
                  </w:pPr>
                  <w:r>
                    <w:rPr>
                      <w:rFonts w:cs="Times New Roman"/>
                      <w:color w:val="auto"/>
                      <w:szCs w:val="21"/>
                      <w:highlight w:val="none"/>
                    </w:rPr>
                    <w:t>Leq（A）</w:t>
                  </w:r>
                </w:p>
              </w:tc>
              <w:tc>
                <w:tcPr>
                  <w:tcW w:w="957" w:type="pct"/>
                  <w:noWrap w:val="0"/>
                  <w:vAlign w:val="center"/>
                </w:tcPr>
                <w:p w14:paraId="6E3AA8E6">
                  <w:pPr>
                    <w:pStyle w:val="101"/>
                    <w:jc w:val="center"/>
                    <w:rPr>
                      <w:rFonts w:hint="eastAsia" w:eastAsia="宋体" w:cs="Times New Roman"/>
                      <w:color w:val="auto"/>
                      <w:szCs w:val="21"/>
                      <w:highlight w:val="none"/>
                      <w:lang w:eastAsia="zh-CN"/>
                    </w:rPr>
                  </w:pPr>
                  <w:r>
                    <w:rPr>
                      <w:rFonts w:hint="eastAsia" w:cs="Times New Roman"/>
                      <w:color w:val="auto"/>
                      <w:szCs w:val="21"/>
                      <w:highlight w:val="none"/>
                      <w:lang w:val="en-US" w:eastAsia="zh-CN"/>
                    </w:rPr>
                    <w:t>噪声</w:t>
                  </w:r>
                </w:p>
              </w:tc>
              <w:tc>
                <w:tcPr>
                  <w:tcW w:w="1865" w:type="pct"/>
                  <w:noWrap w:val="0"/>
                  <w:vAlign w:val="center"/>
                </w:tcPr>
                <w:p w14:paraId="4D1D5192">
                  <w:pPr>
                    <w:pStyle w:val="101"/>
                    <w:jc w:val="center"/>
                    <w:rPr>
                      <w:rFonts w:hint="eastAsia" w:cs="Times New Roman"/>
                      <w:color w:val="auto"/>
                      <w:szCs w:val="21"/>
                      <w:highlight w:val="none"/>
                    </w:rPr>
                  </w:pPr>
                  <w:r>
                    <w:rPr>
                      <w:color w:val="auto"/>
                      <w:szCs w:val="21"/>
                      <w:highlight w:val="none"/>
                    </w:rPr>
                    <w:t>选用低噪声设备，采取减振、隔声等降噪措施</w:t>
                  </w:r>
                  <w:r>
                    <w:rPr>
                      <w:rFonts w:hint="eastAsia"/>
                      <w:color w:val="auto"/>
                      <w:szCs w:val="21"/>
                      <w:highlight w:val="none"/>
                    </w:rPr>
                    <w:t>。</w:t>
                  </w:r>
                </w:p>
              </w:tc>
            </w:tr>
            <w:tr w14:paraId="7614F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restart"/>
                  <w:noWrap w:val="0"/>
                  <w:vAlign w:val="center"/>
                </w:tcPr>
                <w:p w14:paraId="1C9EC4B5">
                  <w:pPr>
                    <w:pStyle w:val="101"/>
                    <w:jc w:val="center"/>
                    <w:rPr>
                      <w:rFonts w:hint="eastAsia" w:cs="Times New Roman"/>
                      <w:color w:val="auto"/>
                      <w:szCs w:val="21"/>
                      <w:highlight w:val="none"/>
                    </w:rPr>
                  </w:pPr>
                  <w:r>
                    <w:rPr>
                      <w:rFonts w:hint="eastAsia" w:cs="Times New Roman"/>
                      <w:color w:val="auto"/>
                      <w:szCs w:val="21"/>
                      <w:highlight w:val="none"/>
                    </w:rPr>
                    <w:t>固体废物</w:t>
                  </w:r>
                </w:p>
              </w:tc>
              <w:tc>
                <w:tcPr>
                  <w:tcW w:w="474" w:type="pct"/>
                  <w:noWrap w:val="0"/>
                  <w:vAlign w:val="center"/>
                </w:tcPr>
                <w:p w14:paraId="7FE7F27B">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S1</w:t>
                  </w:r>
                </w:p>
              </w:tc>
              <w:tc>
                <w:tcPr>
                  <w:tcW w:w="527" w:type="pct"/>
                  <w:noWrap w:val="0"/>
                  <w:vAlign w:val="center"/>
                </w:tcPr>
                <w:p w14:paraId="3AE512EF">
                  <w:pPr>
                    <w:pStyle w:val="101"/>
                    <w:jc w:val="center"/>
                    <w:rPr>
                      <w:rFonts w:hint="default" w:eastAsia="宋体" w:cs="Times New Roman"/>
                      <w:color w:val="auto"/>
                      <w:szCs w:val="21"/>
                      <w:highlight w:val="none"/>
                      <w:lang w:val="en-US" w:eastAsia="zh-CN"/>
                    </w:rPr>
                  </w:pPr>
                  <w:r>
                    <w:rPr>
                      <w:rFonts w:hint="eastAsia"/>
                      <w:color w:val="auto"/>
                      <w:szCs w:val="21"/>
                      <w:highlight w:val="none"/>
                      <w:lang w:val="en-US" w:eastAsia="zh-CN"/>
                    </w:rPr>
                    <w:t>活性炭吸附</w:t>
                  </w:r>
                </w:p>
              </w:tc>
              <w:tc>
                <w:tcPr>
                  <w:tcW w:w="833" w:type="pct"/>
                  <w:noWrap w:val="0"/>
                  <w:vAlign w:val="center"/>
                </w:tcPr>
                <w:p w14:paraId="53D37260">
                  <w:pPr>
                    <w:adjustRightInd w:val="0"/>
                    <w:snapToGrid w:val="0"/>
                    <w:jc w:val="center"/>
                    <w:rPr>
                      <w:rFonts w:hint="eastAsia" w:eastAsia="宋体"/>
                      <w:color w:val="auto"/>
                      <w:szCs w:val="21"/>
                      <w:highlight w:val="none"/>
                      <w:lang w:eastAsia="zh-CN"/>
                    </w:rPr>
                  </w:pPr>
                  <w:r>
                    <w:rPr>
                      <w:rFonts w:hint="eastAsia"/>
                      <w:color w:val="auto"/>
                      <w:kern w:val="0"/>
                      <w:szCs w:val="21"/>
                      <w:highlight w:val="none"/>
                      <w:lang w:val="en-US" w:eastAsia="zh-CN"/>
                    </w:rPr>
                    <w:t>废活性炭</w:t>
                  </w:r>
                </w:p>
              </w:tc>
              <w:tc>
                <w:tcPr>
                  <w:tcW w:w="957" w:type="pct"/>
                  <w:noWrap w:val="0"/>
                  <w:vAlign w:val="center"/>
                </w:tcPr>
                <w:p w14:paraId="27A9A657">
                  <w:pPr>
                    <w:pStyle w:val="101"/>
                    <w:jc w:val="center"/>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危险废物HW49，</w:t>
                  </w:r>
                </w:p>
                <w:p w14:paraId="37B4DB4A">
                  <w:pPr>
                    <w:pStyle w:val="101"/>
                    <w:jc w:val="center"/>
                    <w:rPr>
                      <w:rFonts w:hint="default" w:eastAsia="宋体" w:cs="Times New Roman"/>
                      <w:color w:val="auto"/>
                      <w:szCs w:val="21"/>
                      <w:highlight w:val="none"/>
                      <w:lang w:val="en-US" w:eastAsia="zh-CN"/>
                    </w:rPr>
                  </w:pPr>
                  <w:r>
                    <w:rPr>
                      <w:rFonts w:hint="eastAsia" w:eastAsia="宋体" w:cs="Times New Roman"/>
                      <w:color w:val="auto"/>
                      <w:szCs w:val="21"/>
                      <w:highlight w:val="none"/>
                      <w:lang w:val="en-US" w:eastAsia="zh-CN"/>
                    </w:rPr>
                    <w:t>900-039-49</w:t>
                  </w:r>
                </w:p>
              </w:tc>
              <w:tc>
                <w:tcPr>
                  <w:tcW w:w="1865" w:type="pct"/>
                  <w:vMerge w:val="restart"/>
                  <w:noWrap w:val="0"/>
                  <w:vAlign w:val="center"/>
                </w:tcPr>
                <w:p w14:paraId="4323E89B">
                  <w:pPr>
                    <w:adjustRightInd w:val="0"/>
                    <w:snapToGrid w:val="0"/>
                    <w:jc w:val="center"/>
                    <w:rPr>
                      <w:rFonts w:hint="eastAsia"/>
                      <w:bCs/>
                      <w:snapToGrid w:val="0"/>
                      <w:color w:val="auto"/>
                      <w:kern w:val="0"/>
                      <w:szCs w:val="21"/>
                      <w:highlight w:val="none"/>
                    </w:rPr>
                  </w:pPr>
                  <w:r>
                    <w:rPr>
                      <w:rFonts w:hint="default" w:ascii="Times New Roman" w:hAnsi="Times New Roman" w:cs="Times New Roman"/>
                      <w:snapToGrid w:val="0"/>
                      <w:color w:val="auto"/>
                      <w:kern w:val="0"/>
                      <w:lang w:bidi="ar"/>
                    </w:rPr>
                    <w:t>废活性炭经密封包装后、废润滑油由密闭储油桶收集后与废润滑油桶均置于托盘上，分区暂存于</w:t>
                  </w:r>
                  <w:r>
                    <w:rPr>
                      <w:rFonts w:hint="eastAsia" w:ascii="Times New Roman" w:hAnsi="Times New Roman" w:cs="Times New Roman"/>
                      <w:snapToGrid w:val="0"/>
                      <w:color w:val="auto"/>
                      <w:kern w:val="0"/>
                      <w:lang w:eastAsia="zh-CN" w:bidi="ar"/>
                    </w:rPr>
                    <w:t>危废贮存点（</w:t>
                  </w:r>
                  <w:r>
                    <w:rPr>
                      <w:rFonts w:hint="eastAsia" w:ascii="Times New Roman" w:hAnsi="Times New Roman" w:cs="Times New Roman"/>
                      <w:snapToGrid w:val="0"/>
                      <w:color w:val="auto"/>
                      <w:kern w:val="0"/>
                      <w:lang w:val="en-US" w:eastAsia="zh-CN" w:bidi="ar"/>
                    </w:rPr>
                    <w:t>1座，</w:t>
                  </w:r>
                  <w:r>
                    <w:rPr>
                      <w:rFonts w:hint="eastAsia" w:ascii="Times New Roman" w:hAnsi="Times New Roman" w:cs="Times New Roman"/>
                      <w:bCs/>
                      <w:color w:val="auto"/>
                      <w:lang w:val="en-US" w:eastAsia="zh-CN"/>
                    </w:rPr>
                    <w:t>10m</w:t>
                  </w:r>
                  <w:r>
                    <w:rPr>
                      <w:rFonts w:hint="default" w:ascii="Times New Roman" w:hAnsi="Times New Roman" w:cs="Times New Roman"/>
                      <w:bCs/>
                      <w:color w:val="auto"/>
                      <w:vertAlign w:val="superscript"/>
                    </w:rPr>
                    <w:t>2</w:t>
                  </w:r>
                  <w:r>
                    <w:rPr>
                      <w:rFonts w:hint="eastAsia" w:ascii="Times New Roman" w:hAnsi="Times New Roman" w:cs="Times New Roman"/>
                      <w:snapToGrid w:val="0"/>
                      <w:color w:val="auto"/>
                      <w:kern w:val="0"/>
                      <w:lang w:eastAsia="zh-CN" w:bidi="ar"/>
                    </w:rPr>
                    <w:t>）</w:t>
                  </w:r>
                  <w:r>
                    <w:rPr>
                      <w:rFonts w:hint="default" w:ascii="Times New Roman" w:hAnsi="Times New Roman" w:cs="Times New Roman"/>
                      <w:snapToGrid w:val="0"/>
                      <w:color w:val="auto"/>
                      <w:kern w:val="0"/>
                      <w:lang w:bidi="ar"/>
                    </w:rPr>
                    <w:t>内，定期委托有资质的单位进行处置</w:t>
                  </w:r>
                </w:p>
              </w:tc>
            </w:tr>
            <w:tr w14:paraId="26FA7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49078293">
                  <w:pPr>
                    <w:pStyle w:val="101"/>
                    <w:jc w:val="center"/>
                    <w:rPr>
                      <w:rFonts w:hint="eastAsia" w:cs="Times New Roman"/>
                      <w:color w:val="auto"/>
                      <w:szCs w:val="21"/>
                      <w:highlight w:val="none"/>
                    </w:rPr>
                  </w:pPr>
                </w:p>
              </w:tc>
              <w:tc>
                <w:tcPr>
                  <w:tcW w:w="474" w:type="pct"/>
                  <w:vMerge w:val="restart"/>
                  <w:noWrap w:val="0"/>
                  <w:vAlign w:val="center"/>
                </w:tcPr>
                <w:p w14:paraId="321705F0">
                  <w:pPr>
                    <w:pStyle w:val="101"/>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w:t>
                  </w:r>
                </w:p>
              </w:tc>
              <w:tc>
                <w:tcPr>
                  <w:tcW w:w="527" w:type="pct"/>
                  <w:vMerge w:val="restart"/>
                  <w:noWrap w:val="0"/>
                  <w:vAlign w:val="center"/>
                </w:tcPr>
                <w:p w14:paraId="0A71BC29">
                  <w:pPr>
                    <w:pStyle w:val="101"/>
                    <w:jc w:val="center"/>
                    <w:rPr>
                      <w:rFonts w:hint="eastAsia"/>
                      <w:color w:val="auto"/>
                      <w:szCs w:val="21"/>
                      <w:highlight w:val="none"/>
                      <w:lang w:val="en-US" w:eastAsia="zh-CN"/>
                    </w:rPr>
                  </w:pPr>
                  <w:r>
                    <w:rPr>
                      <w:rFonts w:hint="eastAsia" w:cs="Times New Roman"/>
                      <w:color w:val="auto"/>
                      <w:szCs w:val="21"/>
                      <w:highlight w:val="none"/>
                    </w:rPr>
                    <w:t>维修工序</w:t>
                  </w:r>
                </w:p>
              </w:tc>
              <w:tc>
                <w:tcPr>
                  <w:tcW w:w="833" w:type="pct"/>
                  <w:shd w:val="clear" w:color="auto" w:fill="auto"/>
                  <w:noWrap w:val="0"/>
                  <w:vAlign w:val="center"/>
                </w:tcPr>
                <w:p w14:paraId="6DEBFE52">
                  <w:pPr>
                    <w:adjustRightInd w:val="0"/>
                    <w:snapToGrid w:val="0"/>
                    <w:jc w:val="center"/>
                    <w:rPr>
                      <w:rFonts w:hint="eastAsia" w:ascii="Times New Roman" w:hAnsi="Times New Roman" w:eastAsia="宋体" w:cs="Times New Roman"/>
                      <w:bCs/>
                      <w:snapToGrid w:val="0"/>
                      <w:color w:val="auto"/>
                      <w:kern w:val="0"/>
                      <w:sz w:val="21"/>
                      <w:szCs w:val="21"/>
                      <w:highlight w:val="none"/>
                      <w:lang w:val="en-US" w:eastAsia="zh-CN" w:bidi="ar-SA"/>
                    </w:rPr>
                  </w:pPr>
                  <w:r>
                    <w:rPr>
                      <w:bCs/>
                      <w:snapToGrid w:val="0"/>
                      <w:color w:val="auto"/>
                      <w:kern w:val="0"/>
                      <w:szCs w:val="21"/>
                      <w:highlight w:val="none"/>
                    </w:rPr>
                    <w:t>废润滑油</w:t>
                  </w:r>
                </w:p>
              </w:tc>
              <w:tc>
                <w:tcPr>
                  <w:tcW w:w="957" w:type="pct"/>
                  <w:shd w:val="clear" w:color="auto" w:fill="auto"/>
                  <w:noWrap w:val="0"/>
                  <w:vAlign w:val="center"/>
                </w:tcPr>
                <w:p w14:paraId="07F50F86">
                  <w:pPr>
                    <w:pStyle w:val="102"/>
                    <w:overflowPunct w:val="0"/>
                    <w:rPr>
                      <w:rFonts w:hint="eastAsia"/>
                      <w:color w:val="auto"/>
                      <w:szCs w:val="21"/>
                      <w:highlight w:val="none"/>
                    </w:rPr>
                  </w:pPr>
                  <w:r>
                    <w:rPr>
                      <w:rFonts w:hint="eastAsia"/>
                      <w:color w:val="auto"/>
                      <w:szCs w:val="21"/>
                      <w:highlight w:val="none"/>
                    </w:rPr>
                    <w:t>危险废物</w:t>
                  </w:r>
                  <w:r>
                    <w:rPr>
                      <w:color w:val="auto"/>
                      <w:szCs w:val="21"/>
                      <w:highlight w:val="none"/>
                    </w:rPr>
                    <w:t>HW08</w:t>
                  </w:r>
                  <w:r>
                    <w:rPr>
                      <w:rFonts w:hint="eastAsia"/>
                      <w:color w:val="auto"/>
                      <w:szCs w:val="21"/>
                      <w:highlight w:val="none"/>
                    </w:rPr>
                    <w:t>，</w:t>
                  </w:r>
                </w:p>
                <w:p w14:paraId="0D5AE975">
                  <w:pPr>
                    <w:pStyle w:val="101"/>
                    <w:jc w:val="center"/>
                    <w:rPr>
                      <w:rFonts w:hint="eastAsia" w:ascii="Times New Roman" w:hAnsi="Times New Roman" w:eastAsia="宋体" w:cs="Times New Roman"/>
                      <w:snapToGrid w:val="0"/>
                      <w:color w:val="auto"/>
                      <w:kern w:val="0"/>
                      <w:sz w:val="21"/>
                      <w:szCs w:val="21"/>
                      <w:highlight w:val="none"/>
                      <w:lang w:val="en-US" w:eastAsia="zh-CN" w:bidi="ar-SA"/>
                    </w:rPr>
                  </w:pPr>
                  <w:r>
                    <w:rPr>
                      <w:color w:val="auto"/>
                      <w:szCs w:val="21"/>
                      <w:highlight w:val="none"/>
                    </w:rPr>
                    <w:t>900-214-08</w:t>
                  </w:r>
                </w:p>
              </w:tc>
              <w:tc>
                <w:tcPr>
                  <w:tcW w:w="1865" w:type="pct"/>
                  <w:vMerge w:val="continue"/>
                  <w:noWrap w:val="0"/>
                  <w:vAlign w:val="center"/>
                </w:tcPr>
                <w:p w14:paraId="176AA859">
                  <w:pPr>
                    <w:adjustRightInd w:val="0"/>
                    <w:snapToGrid w:val="0"/>
                    <w:jc w:val="center"/>
                    <w:rPr>
                      <w:rFonts w:hint="eastAsia" w:cs="Times New Roman"/>
                      <w:color w:val="auto"/>
                      <w:szCs w:val="21"/>
                      <w:highlight w:val="none"/>
                    </w:rPr>
                  </w:pPr>
                </w:p>
              </w:tc>
            </w:tr>
            <w:tr w14:paraId="5CBDA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6D896FAD">
                  <w:pPr>
                    <w:pStyle w:val="101"/>
                    <w:jc w:val="center"/>
                    <w:rPr>
                      <w:rFonts w:hint="eastAsia" w:cs="Times New Roman"/>
                      <w:color w:val="auto"/>
                      <w:szCs w:val="21"/>
                      <w:highlight w:val="none"/>
                    </w:rPr>
                  </w:pPr>
                </w:p>
              </w:tc>
              <w:tc>
                <w:tcPr>
                  <w:tcW w:w="474" w:type="pct"/>
                  <w:vMerge w:val="continue"/>
                  <w:noWrap w:val="0"/>
                  <w:vAlign w:val="center"/>
                </w:tcPr>
                <w:p w14:paraId="5CBDDE1A">
                  <w:pPr>
                    <w:pStyle w:val="101"/>
                    <w:jc w:val="center"/>
                    <w:rPr>
                      <w:rFonts w:hint="eastAsia" w:cs="Times New Roman"/>
                      <w:color w:val="auto"/>
                      <w:szCs w:val="21"/>
                      <w:highlight w:val="none"/>
                      <w:lang w:val="en-US" w:eastAsia="zh-CN"/>
                    </w:rPr>
                  </w:pPr>
                </w:p>
              </w:tc>
              <w:tc>
                <w:tcPr>
                  <w:tcW w:w="527" w:type="pct"/>
                  <w:vMerge w:val="continue"/>
                  <w:noWrap w:val="0"/>
                  <w:vAlign w:val="center"/>
                </w:tcPr>
                <w:p w14:paraId="0D9E0D6D">
                  <w:pPr>
                    <w:pStyle w:val="101"/>
                    <w:jc w:val="center"/>
                    <w:rPr>
                      <w:rFonts w:hint="eastAsia" w:cs="Times New Roman"/>
                      <w:color w:val="auto"/>
                      <w:szCs w:val="21"/>
                      <w:highlight w:val="none"/>
                    </w:rPr>
                  </w:pPr>
                </w:p>
              </w:tc>
              <w:tc>
                <w:tcPr>
                  <w:tcW w:w="833" w:type="pct"/>
                  <w:shd w:val="clear" w:color="auto" w:fill="auto"/>
                  <w:noWrap w:val="0"/>
                  <w:vAlign w:val="center"/>
                </w:tcPr>
                <w:p w14:paraId="5B91554A">
                  <w:pPr>
                    <w:adjustRightInd w:val="0"/>
                    <w:snapToGrid w:val="0"/>
                    <w:jc w:val="center"/>
                    <w:rPr>
                      <w:rFonts w:ascii="Times New Roman" w:hAnsi="Times New Roman" w:eastAsia="宋体" w:cs="Times New Roman"/>
                      <w:bCs/>
                      <w:snapToGrid w:val="0"/>
                      <w:color w:val="auto"/>
                      <w:kern w:val="0"/>
                      <w:sz w:val="21"/>
                      <w:szCs w:val="21"/>
                      <w:highlight w:val="none"/>
                      <w:lang w:val="en-US" w:eastAsia="zh-CN" w:bidi="ar-SA"/>
                    </w:rPr>
                  </w:pPr>
                  <w:r>
                    <w:rPr>
                      <w:bCs/>
                      <w:snapToGrid w:val="0"/>
                      <w:color w:val="auto"/>
                      <w:kern w:val="0"/>
                      <w:szCs w:val="21"/>
                      <w:highlight w:val="none"/>
                    </w:rPr>
                    <w:t>废润滑油桶</w:t>
                  </w:r>
                </w:p>
              </w:tc>
              <w:tc>
                <w:tcPr>
                  <w:tcW w:w="957" w:type="pct"/>
                  <w:shd w:val="clear" w:color="auto" w:fill="auto"/>
                  <w:noWrap w:val="0"/>
                  <w:vAlign w:val="center"/>
                </w:tcPr>
                <w:p w14:paraId="4FC40398">
                  <w:pPr>
                    <w:pStyle w:val="102"/>
                    <w:overflowPunct w:val="0"/>
                    <w:rPr>
                      <w:color w:val="auto"/>
                      <w:szCs w:val="21"/>
                      <w:highlight w:val="none"/>
                    </w:rPr>
                  </w:pPr>
                  <w:r>
                    <w:rPr>
                      <w:rFonts w:hint="eastAsia"/>
                      <w:color w:val="auto"/>
                      <w:szCs w:val="21"/>
                      <w:highlight w:val="none"/>
                    </w:rPr>
                    <w:t>危险废物</w:t>
                  </w:r>
                  <w:r>
                    <w:rPr>
                      <w:color w:val="auto"/>
                      <w:szCs w:val="21"/>
                      <w:highlight w:val="none"/>
                    </w:rPr>
                    <w:t>HW08</w:t>
                  </w:r>
                </w:p>
                <w:p w14:paraId="7CCB8D89">
                  <w:pPr>
                    <w:pStyle w:val="101"/>
                    <w:jc w:val="center"/>
                    <w:rPr>
                      <w:rFonts w:hint="eastAsia" w:ascii="Times New Roman" w:hAnsi="Times New Roman" w:eastAsia="宋体" w:cs="Times New Roman"/>
                      <w:snapToGrid w:val="0"/>
                      <w:color w:val="auto"/>
                      <w:kern w:val="0"/>
                      <w:sz w:val="21"/>
                      <w:szCs w:val="21"/>
                      <w:highlight w:val="none"/>
                      <w:lang w:val="en-US" w:eastAsia="zh-CN" w:bidi="ar-SA"/>
                    </w:rPr>
                  </w:pPr>
                  <w:r>
                    <w:rPr>
                      <w:color w:val="auto"/>
                      <w:szCs w:val="21"/>
                      <w:highlight w:val="none"/>
                    </w:rPr>
                    <w:t>900-249-08</w:t>
                  </w:r>
                </w:p>
              </w:tc>
              <w:tc>
                <w:tcPr>
                  <w:tcW w:w="1865" w:type="pct"/>
                  <w:vMerge w:val="continue"/>
                  <w:noWrap w:val="0"/>
                  <w:vAlign w:val="center"/>
                </w:tcPr>
                <w:p w14:paraId="3633C27A">
                  <w:pPr>
                    <w:adjustRightInd w:val="0"/>
                    <w:snapToGrid w:val="0"/>
                    <w:jc w:val="center"/>
                    <w:rPr>
                      <w:rFonts w:hint="eastAsia" w:cs="Times New Roman"/>
                      <w:color w:val="auto"/>
                      <w:szCs w:val="21"/>
                      <w:highlight w:val="none"/>
                    </w:rPr>
                  </w:pPr>
                </w:p>
              </w:tc>
            </w:tr>
            <w:tr w14:paraId="3513E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71D6E5EE">
                  <w:pPr>
                    <w:pStyle w:val="101"/>
                    <w:jc w:val="center"/>
                    <w:rPr>
                      <w:rFonts w:cs="Times New Roman"/>
                      <w:color w:val="auto"/>
                      <w:szCs w:val="21"/>
                      <w:highlight w:val="none"/>
                    </w:rPr>
                  </w:pPr>
                </w:p>
              </w:tc>
              <w:tc>
                <w:tcPr>
                  <w:tcW w:w="474" w:type="pct"/>
                  <w:noWrap w:val="0"/>
                  <w:vAlign w:val="center"/>
                </w:tcPr>
                <w:p w14:paraId="4E112336">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S2</w:t>
                  </w:r>
                </w:p>
              </w:tc>
              <w:tc>
                <w:tcPr>
                  <w:tcW w:w="527" w:type="pct"/>
                  <w:noWrap w:val="0"/>
                  <w:vAlign w:val="center"/>
                </w:tcPr>
                <w:p w14:paraId="05E01E62">
                  <w:pPr>
                    <w:pStyle w:val="101"/>
                    <w:jc w:val="center"/>
                    <w:rPr>
                      <w:rFonts w:hint="default" w:eastAsia="宋体" w:cs="Times New Roman"/>
                      <w:color w:val="auto"/>
                      <w:szCs w:val="21"/>
                      <w:highlight w:val="none"/>
                      <w:lang w:val="en-US" w:eastAsia="zh-CN"/>
                    </w:rPr>
                  </w:pPr>
                  <w:r>
                    <w:rPr>
                      <w:rFonts w:hint="eastAsia"/>
                      <w:color w:val="auto"/>
                      <w:szCs w:val="21"/>
                      <w:highlight w:val="none"/>
                      <w:lang w:val="en-US" w:eastAsia="zh-CN"/>
                    </w:rPr>
                    <w:t>产品检验</w:t>
                  </w:r>
                </w:p>
              </w:tc>
              <w:tc>
                <w:tcPr>
                  <w:tcW w:w="833" w:type="pct"/>
                  <w:noWrap w:val="0"/>
                  <w:vAlign w:val="center"/>
                </w:tcPr>
                <w:p w14:paraId="2176204F">
                  <w:pPr>
                    <w:adjustRightInd w:val="0"/>
                    <w:snapToGrid w:val="0"/>
                    <w:jc w:val="center"/>
                    <w:rPr>
                      <w:color w:val="auto"/>
                      <w:szCs w:val="21"/>
                      <w:highlight w:val="none"/>
                    </w:rPr>
                  </w:pPr>
                  <w:r>
                    <w:rPr>
                      <w:color w:val="auto"/>
                      <w:kern w:val="0"/>
                      <w:szCs w:val="21"/>
                      <w:highlight w:val="none"/>
                    </w:rPr>
                    <w:t>不合格品</w:t>
                  </w:r>
                </w:p>
              </w:tc>
              <w:tc>
                <w:tcPr>
                  <w:tcW w:w="957" w:type="pct"/>
                  <w:noWrap w:val="0"/>
                  <w:vAlign w:val="center"/>
                </w:tcPr>
                <w:p w14:paraId="5A20C2B1">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泡沫包装产品</w:t>
                  </w:r>
                </w:p>
              </w:tc>
              <w:tc>
                <w:tcPr>
                  <w:tcW w:w="1865" w:type="pct"/>
                  <w:vMerge w:val="restart"/>
                  <w:noWrap w:val="0"/>
                  <w:vAlign w:val="center"/>
                </w:tcPr>
                <w:p w14:paraId="2D71B9DE">
                  <w:pPr>
                    <w:pStyle w:val="101"/>
                    <w:jc w:val="center"/>
                    <w:rPr>
                      <w:rFonts w:cs="Times New Roman"/>
                      <w:color w:val="auto"/>
                      <w:szCs w:val="21"/>
                      <w:highlight w:val="none"/>
                    </w:rPr>
                  </w:pPr>
                  <w:r>
                    <w:rPr>
                      <w:rFonts w:hint="eastAsia" w:cs="Times New Roman"/>
                      <w:color w:val="auto"/>
                      <w:szCs w:val="21"/>
                      <w:highlight w:val="none"/>
                    </w:rPr>
                    <w:t>集中收集后定期由废品回收单位回收</w:t>
                  </w:r>
                </w:p>
              </w:tc>
            </w:tr>
            <w:tr w14:paraId="746A2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7D09B21E">
                  <w:pPr>
                    <w:pStyle w:val="101"/>
                    <w:jc w:val="center"/>
                    <w:rPr>
                      <w:rFonts w:cs="Times New Roman"/>
                      <w:color w:val="auto"/>
                      <w:szCs w:val="21"/>
                      <w:highlight w:val="none"/>
                    </w:rPr>
                  </w:pPr>
                </w:p>
              </w:tc>
              <w:tc>
                <w:tcPr>
                  <w:tcW w:w="474" w:type="pct"/>
                  <w:noWrap w:val="0"/>
                  <w:vAlign w:val="center"/>
                </w:tcPr>
                <w:p w14:paraId="3952EC7C">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S3</w:t>
                  </w:r>
                </w:p>
              </w:tc>
              <w:tc>
                <w:tcPr>
                  <w:tcW w:w="527" w:type="pct"/>
                  <w:noWrap w:val="0"/>
                  <w:vAlign w:val="center"/>
                </w:tcPr>
                <w:p w14:paraId="1BE37FC9">
                  <w:pPr>
                    <w:pStyle w:val="101"/>
                    <w:jc w:val="center"/>
                    <w:rPr>
                      <w:rFonts w:hint="eastAsia" w:eastAsia="宋体" w:cs="Times New Roman"/>
                      <w:color w:val="auto"/>
                      <w:szCs w:val="21"/>
                      <w:highlight w:val="none"/>
                      <w:lang w:eastAsia="zh-CN"/>
                    </w:rPr>
                  </w:pPr>
                  <w:r>
                    <w:rPr>
                      <w:rFonts w:hint="eastAsia" w:cs="Times New Roman"/>
                      <w:color w:val="auto"/>
                      <w:szCs w:val="21"/>
                      <w:highlight w:val="none"/>
                      <w:lang w:val="en-US" w:eastAsia="zh-CN"/>
                    </w:rPr>
                    <w:t>生产过程</w:t>
                  </w:r>
                </w:p>
              </w:tc>
              <w:tc>
                <w:tcPr>
                  <w:tcW w:w="833" w:type="pct"/>
                  <w:noWrap w:val="0"/>
                  <w:vAlign w:val="center"/>
                </w:tcPr>
                <w:p w14:paraId="2D81A695">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废弃包装物</w:t>
                  </w:r>
                </w:p>
              </w:tc>
              <w:tc>
                <w:tcPr>
                  <w:tcW w:w="957" w:type="pct"/>
                  <w:noWrap w:val="0"/>
                  <w:vAlign w:val="center"/>
                </w:tcPr>
                <w:p w14:paraId="13367180">
                  <w:pPr>
                    <w:pStyle w:val="101"/>
                    <w:jc w:val="center"/>
                    <w:rPr>
                      <w:rFonts w:hint="eastAsia" w:eastAsia="宋体" w:cs="Times New Roman"/>
                      <w:color w:val="auto"/>
                      <w:szCs w:val="21"/>
                      <w:highlight w:val="none"/>
                      <w:lang w:eastAsia="zh-CN"/>
                    </w:rPr>
                  </w:pPr>
                  <w:r>
                    <w:rPr>
                      <w:rFonts w:hint="eastAsia" w:cs="Times New Roman"/>
                      <w:color w:val="auto"/>
                      <w:szCs w:val="21"/>
                      <w:highlight w:val="none"/>
                      <w:lang w:val="en-US" w:eastAsia="zh-CN"/>
                    </w:rPr>
                    <w:t>废包装袋</w:t>
                  </w:r>
                </w:p>
              </w:tc>
              <w:tc>
                <w:tcPr>
                  <w:tcW w:w="1865" w:type="pct"/>
                  <w:vMerge w:val="continue"/>
                  <w:noWrap w:val="0"/>
                  <w:vAlign w:val="center"/>
                </w:tcPr>
                <w:p w14:paraId="31CA3B03">
                  <w:pPr>
                    <w:pStyle w:val="101"/>
                    <w:jc w:val="center"/>
                    <w:rPr>
                      <w:rFonts w:cs="Times New Roman"/>
                      <w:color w:val="auto"/>
                      <w:szCs w:val="21"/>
                      <w:highlight w:val="none"/>
                    </w:rPr>
                  </w:pPr>
                </w:p>
              </w:tc>
            </w:tr>
            <w:tr w14:paraId="60C53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1601E44E">
                  <w:pPr>
                    <w:pStyle w:val="101"/>
                    <w:jc w:val="center"/>
                    <w:rPr>
                      <w:rFonts w:cs="Times New Roman"/>
                      <w:color w:val="auto"/>
                      <w:szCs w:val="21"/>
                      <w:highlight w:val="none"/>
                    </w:rPr>
                  </w:pPr>
                </w:p>
              </w:tc>
              <w:tc>
                <w:tcPr>
                  <w:tcW w:w="474" w:type="pct"/>
                  <w:noWrap w:val="0"/>
                  <w:vAlign w:val="center"/>
                </w:tcPr>
                <w:p w14:paraId="318865E7">
                  <w:pPr>
                    <w:pStyle w:val="101"/>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S4</w:t>
                  </w:r>
                </w:p>
              </w:tc>
              <w:tc>
                <w:tcPr>
                  <w:tcW w:w="527" w:type="pct"/>
                  <w:noWrap w:val="0"/>
                  <w:vAlign w:val="center"/>
                </w:tcPr>
                <w:p w14:paraId="3821E4EF">
                  <w:pPr>
                    <w:pStyle w:val="101"/>
                    <w:jc w:val="center"/>
                    <w:rPr>
                      <w:rFonts w:hint="eastAsia" w:cs="Times New Roman"/>
                      <w:color w:val="auto"/>
                      <w:szCs w:val="21"/>
                      <w:highlight w:val="none"/>
                      <w:lang w:val="en-US" w:eastAsia="zh-CN"/>
                    </w:rPr>
                  </w:pPr>
                  <w:r>
                    <w:rPr>
                      <w:rFonts w:hint="eastAsia" w:cs="Times New Roman"/>
                      <w:color w:val="auto"/>
                      <w:szCs w:val="21"/>
                      <w:highlight w:val="none"/>
                      <w:lang w:val="en-US" w:eastAsia="zh-CN"/>
                    </w:rPr>
                    <w:t>生产过程</w:t>
                  </w:r>
                </w:p>
              </w:tc>
              <w:tc>
                <w:tcPr>
                  <w:tcW w:w="833" w:type="pct"/>
                  <w:noWrap w:val="0"/>
                  <w:vAlign w:val="center"/>
                </w:tcPr>
                <w:p w14:paraId="5FE8C3CD">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废边角料</w:t>
                  </w:r>
                </w:p>
              </w:tc>
              <w:tc>
                <w:tcPr>
                  <w:tcW w:w="957" w:type="pct"/>
                  <w:noWrap w:val="0"/>
                  <w:vAlign w:val="center"/>
                </w:tcPr>
                <w:p w14:paraId="13A57719">
                  <w:pPr>
                    <w:pStyle w:val="101"/>
                    <w:jc w:val="center"/>
                    <w:rPr>
                      <w:rFonts w:hint="eastAsia" w:cs="Times New Roman"/>
                      <w:color w:val="auto"/>
                      <w:szCs w:val="21"/>
                      <w:highlight w:val="none"/>
                      <w:lang w:val="en-US" w:eastAsia="zh-CN"/>
                    </w:rPr>
                  </w:pPr>
                  <w:r>
                    <w:rPr>
                      <w:rFonts w:hint="eastAsia"/>
                      <w:color w:val="auto"/>
                      <w:szCs w:val="21"/>
                      <w:highlight w:val="none"/>
                      <w:lang w:val="en-US" w:eastAsia="zh-CN"/>
                    </w:rPr>
                    <w:t>废边角料</w:t>
                  </w:r>
                </w:p>
              </w:tc>
              <w:tc>
                <w:tcPr>
                  <w:tcW w:w="1865" w:type="pct"/>
                  <w:vMerge w:val="continue"/>
                  <w:noWrap w:val="0"/>
                  <w:vAlign w:val="center"/>
                </w:tcPr>
                <w:p w14:paraId="7C889CA4">
                  <w:pPr>
                    <w:pStyle w:val="101"/>
                    <w:jc w:val="center"/>
                    <w:rPr>
                      <w:rFonts w:cs="Times New Roman"/>
                      <w:color w:val="auto"/>
                      <w:szCs w:val="21"/>
                      <w:highlight w:val="none"/>
                    </w:rPr>
                  </w:pPr>
                </w:p>
              </w:tc>
            </w:tr>
            <w:tr w14:paraId="01EF0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2" w:type="pct"/>
                  <w:vMerge w:val="continue"/>
                  <w:noWrap w:val="0"/>
                  <w:vAlign w:val="center"/>
                </w:tcPr>
                <w:p w14:paraId="3072F785">
                  <w:pPr>
                    <w:pStyle w:val="101"/>
                    <w:jc w:val="center"/>
                    <w:rPr>
                      <w:rFonts w:cs="Times New Roman"/>
                      <w:color w:val="auto"/>
                      <w:szCs w:val="21"/>
                      <w:highlight w:val="none"/>
                    </w:rPr>
                  </w:pPr>
                </w:p>
              </w:tc>
              <w:tc>
                <w:tcPr>
                  <w:tcW w:w="474" w:type="pct"/>
                  <w:noWrap w:val="0"/>
                  <w:vAlign w:val="center"/>
                </w:tcPr>
                <w:p w14:paraId="30609915">
                  <w:pPr>
                    <w:pStyle w:val="101"/>
                    <w:jc w:val="center"/>
                    <w:rPr>
                      <w:rFonts w:hint="eastAsia"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527" w:type="pct"/>
                  <w:noWrap w:val="0"/>
                  <w:vAlign w:val="center"/>
                </w:tcPr>
                <w:p w14:paraId="44358B52">
                  <w:pPr>
                    <w:pStyle w:val="101"/>
                    <w:jc w:val="center"/>
                    <w:rPr>
                      <w:rFonts w:hint="eastAsia" w:cs="Times New Roman"/>
                      <w:color w:val="auto"/>
                      <w:szCs w:val="21"/>
                      <w:highlight w:val="none"/>
                    </w:rPr>
                  </w:pPr>
                  <w:r>
                    <w:rPr>
                      <w:rFonts w:hint="eastAsia" w:cs="Times New Roman"/>
                      <w:color w:val="auto"/>
                      <w:szCs w:val="21"/>
                      <w:highlight w:val="none"/>
                    </w:rPr>
                    <w:t>员工办公生活</w:t>
                  </w:r>
                </w:p>
              </w:tc>
              <w:tc>
                <w:tcPr>
                  <w:tcW w:w="833" w:type="pct"/>
                  <w:noWrap w:val="0"/>
                  <w:vAlign w:val="center"/>
                </w:tcPr>
                <w:p w14:paraId="7F33D492">
                  <w:pPr>
                    <w:adjustRightInd w:val="0"/>
                    <w:snapToGrid w:val="0"/>
                    <w:jc w:val="center"/>
                    <w:rPr>
                      <w:rFonts w:hint="eastAsia"/>
                      <w:color w:val="auto"/>
                      <w:szCs w:val="21"/>
                      <w:highlight w:val="none"/>
                    </w:rPr>
                  </w:pPr>
                  <w:r>
                    <w:rPr>
                      <w:bCs/>
                      <w:snapToGrid w:val="0"/>
                      <w:color w:val="auto"/>
                      <w:kern w:val="0"/>
                      <w:szCs w:val="21"/>
                      <w:highlight w:val="none"/>
                    </w:rPr>
                    <w:t>生活垃圾</w:t>
                  </w:r>
                </w:p>
              </w:tc>
              <w:tc>
                <w:tcPr>
                  <w:tcW w:w="957" w:type="pct"/>
                  <w:noWrap w:val="0"/>
                  <w:vAlign w:val="center"/>
                </w:tcPr>
                <w:p w14:paraId="33F72880">
                  <w:pPr>
                    <w:pStyle w:val="101"/>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生活垃圾</w:t>
                  </w:r>
                </w:p>
              </w:tc>
              <w:tc>
                <w:tcPr>
                  <w:tcW w:w="1865" w:type="pct"/>
                  <w:noWrap w:val="0"/>
                  <w:vAlign w:val="center"/>
                </w:tcPr>
                <w:p w14:paraId="51D48571">
                  <w:pPr>
                    <w:adjustRightInd w:val="0"/>
                    <w:snapToGrid w:val="0"/>
                    <w:jc w:val="center"/>
                    <w:rPr>
                      <w:rFonts w:hint="eastAsia"/>
                      <w:color w:val="auto"/>
                      <w:szCs w:val="21"/>
                      <w:highlight w:val="none"/>
                    </w:rPr>
                  </w:pPr>
                  <w:r>
                    <w:rPr>
                      <w:rFonts w:hint="eastAsia"/>
                      <w:color w:val="auto"/>
                      <w:kern w:val="0"/>
                      <w:szCs w:val="21"/>
                      <w:highlight w:val="none"/>
                      <w:lang w:val="en-US" w:eastAsia="zh-CN" w:bidi="ar"/>
                    </w:rPr>
                    <w:t>经生活垃圾收集设施</w:t>
                  </w:r>
                  <w:r>
                    <w:rPr>
                      <w:rFonts w:hint="eastAsia"/>
                      <w:color w:val="auto"/>
                      <w:kern w:val="0"/>
                      <w:szCs w:val="21"/>
                      <w:highlight w:val="none"/>
                      <w:lang w:bidi="ar"/>
                    </w:rPr>
                    <w:t>分类收集后交由园区环卫部门统一清运处置</w:t>
                  </w:r>
                </w:p>
              </w:tc>
            </w:tr>
          </w:tbl>
          <w:p w14:paraId="4242DE1E">
            <w:pPr>
              <w:adjustRightInd w:val="0"/>
              <w:snapToGrid w:val="0"/>
              <w:rPr>
                <w:rFonts w:hint="default" w:ascii="Times New Roman" w:hAnsi="Times New Roman" w:eastAsia="宋体" w:cs="Times New Roman"/>
                <w:bCs/>
                <w:color w:val="auto"/>
              </w:rPr>
            </w:pPr>
          </w:p>
        </w:tc>
      </w:tr>
      <w:tr w14:paraId="06F33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3" w:hRule="atLeast"/>
          <w:jc w:val="center"/>
        </w:trPr>
        <w:tc>
          <w:tcPr>
            <w:tcW w:w="767" w:type="dxa"/>
            <w:gridSpan w:val="2"/>
            <w:noWrap w:val="0"/>
            <w:vAlign w:val="center"/>
          </w:tcPr>
          <w:p w14:paraId="00929F1A">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与项目有关的原有环境污染问题</w:t>
            </w:r>
          </w:p>
        </w:tc>
        <w:tc>
          <w:tcPr>
            <w:tcW w:w="8294" w:type="dxa"/>
            <w:noWrap w:val="0"/>
            <w:vAlign w:val="center"/>
          </w:tcPr>
          <w:p w14:paraId="7CE46490">
            <w:pPr>
              <w:autoSpaceDE w:val="0"/>
              <w:autoSpaceDN w:val="0"/>
              <w:adjustRightInd w:val="0"/>
              <w:snapToGrid w:val="0"/>
              <w:spacing w:line="360" w:lineRule="auto"/>
              <w:ind w:firstLine="480" w:firstLineChars="200"/>
              <w:jc w:val="both"/>
              <w:rPr>
                <w:rFonts w:hint="eastAsia" w:ascii="Times New Roman" w:hAnsi="Times New Roman" w:eastAsia="宋体" w:cs="Times New Roman"/>
                <w:bCs/>
                <w:color w:val="auto"/>
                <w:lang w:eastAsia="zh-CN"/>
              </w:rPr>
            </w:pPr>
            <w:r>
              <w:rPr>
                <w:rFonts w:hint="default" w:ascii="Times New Roman" w:hAnsi="Times New Roman" w:eastAsia="宋体" w:cs="Times New Roman"/>
                <w:color w:val="auto"/>
                <w:sz w:val="24"/>
                <w:szCs w:val="24"/>
              </w:rPr>
              <w:t>本项目为</w:t>
            </w:r>
            <w:r>
              <w:rPr>
                <w:rFonts w:hint="eastAsia" w:ascii="Times New Roman" w:hAnsi="Times New Roman" w:eastAsia="宋体" w:cs="Times New Roman"/>
                <w:color w:val="auto"/>
                <w:sz w:val="24"/>
                <w:szCs w:val="24"/>
                <w:lang w:val="en-US" w:eastAsia="zh-CN"/>
              </w:rPr>
              <w:t>新建</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租赁宁夏天楹环保能源有限公司</w:t>
            </w:r>
            <w:r>
              <w:rPr>
                <w:rFonts w:hint="eastAsia" w:ascii="Times New Roman" w:hAnsi="Times New Roman" w:eastAsia="宋体" w:cs="Times New Roman"/>
                <w:color w:val="auto"/>
                <w:sz w:val="24"/>
                <w:szCs w:val="24"/>
                <w:lang w:val="en-US" w:eastAsia="zh-CN"/>
              </w:rPr>
              <w:t>现有</w:t>
            </w:r>
            <w:r>
              <w:rPr>
                <w:rFonts w:hint="default" w:ascii="Times New Roman" w:hAnsi="Times New Roman" w:eastAsia="宋体" w:cs="Times New Roman"/>
                <w:color w:val="auto"/>
                <w:sz w:val="24"/>
                <w:szCs w:val="24"/>
                <w:lang w:val="en-US" w:eastAsia="zh-CN"/>
              </w:rPr>
              <w:t>空地进行建设，具体位于宁夏天楹环保能源有限公司围墙内东北侧</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根据现场调查，</w:t>
            </w:r>
            <w:r>
              <w:rPr>
                <w:rFonts w:hint="eastAsia" w:ascii="Times New Roman" w:hAnsi="Times New Roman" w:eastAsia="宋体" w:cs="Times New Roman"/>
                <w:color w:val="auto"/>
                <w:sz w:val="24"/>
                <w:szCs w:val="24"/>
                <w:lang w:val="en-US" w:eastAsia="zh-CN"/>
              </w:rPr>
              <w:t>本地块</w:t>
            </w:r>
            <w:r>
              <w:rPr>
                <w:rFonts w:hint="default" w:ascii="Times New Roman" w:hAnsi="Times New Roman" w:eastAsia="宋体" w:cs="Times New Roman"/>
                <w:color w:val="auto"/>
                <w:sz w:val="24"/>
                <w:szCs w:val="24"/>
                <w:lang w:val="en-US" w:eastAsia="zh-CN"/>
              </w:rPr>
              <w:t>目前</w:t>
            </w:r>
            <w:r>
              <w:rPr>
                <w:rFonts w:hint="eastAsia" w:ascii="Times New Roman" w:hAnsi="Times New Roman" w:eastAsia="宋体" w:cs="Times New Roman"/>
                <w:color w:val="auto"/>
                <w:sz w:val="24"/>
                <w:szCs w:val="24"/>
                <w:lang w:val="en-US" w:eastAsia="zh-CN"/>
              </w:rPr>
              <w:t>为</w:t>
            </w:r>
            <w:r>
              <w:rPr>
                <w:rFonts w:hint="eastAsia" w:cs="Times New Roman"/>
                <w:color w:val="auto"/>
                <w:sz w:val="24"/>
                <w:szCs w:val="24"/>
                <w:lang w:val="en-US" w:eastAsia="zh-CN"/>
              </w:rPr>
              <w:t>未利用地</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无历史</w:t>
            </w:r>
            <w:r>
              <w:rPr>
                <w:rFonts w:hint="default" w:ascii="Times New Roman" w:hAnsi="Times New Roman" w:eastAsia="宋体" w:cs="Times New Roman"/>
                <w:color w:val="auto"/>
                <w:sz w:val="24"/>
                <w:szCs w:val="24"/>
                <w:lang w:val="en-US" w:eastAsia="zh-CN"/>
              </w:rPr>
              <w:t>遗留的污染问题</w:t>
            </w:r>
            <w:r>
              <w:rPr>
                <w:rFonts w:hint="eastAsia" w:ascii="Times New Roman" w:hAnsi="Times New Roman" w:eastAsia="宋体" w:cs="Times New Roman"/>
                <w:i w:val="0"/>
                <w:iCs w:val="0"/>
                <w:caps w:val="0"/>
                <w:color w:val="auto"/>
                <w:spacing w:val="0"/>
                <w:sz w:val="24"/>
                <w:szCs w:val="24"/>
                <w:shd w:val="clear" w:color="auto" w:fill="FFFFFF"/>
                <w:lang w:val="en-US" w:eastAsia="zh-CN"/>
              </w:rPr>
              <w:t>。厂区供电、供排水、化粪池等辅助设施配套齐全，无与本项目有关的原有污染及环境问题。</w:t>
            </w:r>
          </w:p>
        </w:tc>
      </w:tr>
    </w:tbl>
    <w:p w14:paraId="17A097C6">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15" w:lineRule="auto"/>
        <w:jc w:val="center"/>
        <w:textAlignment w:val="auto"/>
        <w:outlineLvl w:val="9"/>
        <w:rPr>
          <w:rFonts w:hint="default" w:ascii="Times New Roman" w:hAnsi="Times New Roman" w:eastAsia="宋体" w:cs="Times New Roman"/>
          <w:snapToGrid w:val="0"/>
          <w:color w:val="auto"/>
          <w:sz w:val="30"/>
          <w:szCs w:val="30"/>
        </w:rPr>
      </w:pPr>
    </w:p>
    <w:p w14:paraId="5BEBC7DA">
      <w:pPr>
        <w:pStyle w:val="27"/>
        <w:adjustRightInd w:val="0"/>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br w:type="page"/>
      </w:r>
      <w:r>
        <w:rPr>
          <w:rFonts w:hint="default" w:ascii="Times New Roman" w:hAnsi="Times New Roman" w:eastAsia="黑体" w:cs="Times New Roman"/>
          <w:snapToGrid w:val="0"/>
          <w:color w:val="auto"/>
          <w:sz w:val="30"/>
          <w:szCs w:val="30"/>
        </w:rPr>
        <w:t>三、区域环境质量现状、环境保护目标及评价标准</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8523"/>
      </w:tblGrid>
      <w:tr w14:paraId="2732C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2" w:type="dxa"/>
            <w:noWrap w:val="0"/>
            <w:vAlign w:val="center"/>
          </w:tcPr>
          <w:p w14:paraId="5D24B363">
            <w:pPr>
              <w:adjustRightInd w:val="0"/>
              <w:snapToGrid w:val="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4"/>
              </w:rPr>
              <w:t>区域环境质量现状</w:t>
            </w:r>
          </w:p>
        </w:tc>
        <w:tc>
          <w:tcPr>
            <w:tcW w:w="8419" w:type="dxa"/>
            <w:noWrap w:val="0"/>
            <w:vAlign w:val="center"/>
          </w:tcPr>
          <w:p w14:paraId="01624212">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1、环境空气质量现状</w:t>
            </w:r>
          </w:p>
          <w:p w14:paraId="2A706575">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⑴达标区判定</w:t>
            </w:r>
          </w:p>
          <w:p w14:paraId="3772609B">
            <w:pPr>
              <w:spacing w:line="360" w:lineRule="auto"/>
              <w:ind w:firstLine="480" w:firstLineChars="200"/>
              <w:rPr>
                <w:color w:val="auto"/>
                <w:sz w:val="24"/>
              </w:rPr>
            </w:pPr>
            <w:r>
              <w:rPr>
                <w:color w:val="auto"/>
                <w:sz w:val="24"/>
              </w:rPr>
              <w:t>本项目所在区域环境空气质量引用《</w:t>
            </w:r>
            <w:r>
              <w:rPr>
                <w:rFonts w:hint="eastAsia"/>
                <w:color w:val="auto"/>
                <w:sz w:val="24"/>
                <w:lang w:val="en-US" w:eastAsia="zh-CN"/>
              </w:rPr>
              <w:t>固原市生态环境质量报告书（2024年）</w:t>
            </w:r>
            <w:r>
              <w:rPr>
                <w:color w:val="auto"/>
                <w:sz w:val="24"/>
              </w:rPr>
              <w:t>》中公布的数据。202</w:t>
            </w:r>
            <w:r>
              <w:rPr>
                <w:rFonts w:hint="eastAsia"/>
                <w:color w:val="auto"/>
                <w:sz w:val="24"/>
                <w:lang w:val="en-US" w:eastAsia="zh-CN"/>
              </w:rPr>
              <w:t>4</w:t>
            </w:r>
            <w:r>
              <w:rPr>
                <w:color w:val="auto"/>
                <w:sz w:val="24"/>
              </w:rPr>
              <w:t>年</w:t>
            </w:r>
            <w:r>
              <w:rPr>
                <w:rFonts w:hint="eastAsia"/>
                <w:color w:val="auto"/>
                <w:sz w:val="24"/>
                <w:lang w:val="en-US" w:eastAsia="zh-CN"/>
              </w:rPr>
              <w:t>固原市（原州区）市区</w:t>
            </w:r>
            <w:r>
              <w:rPr>
                <w:color w:val="auto"/>
                <w:sz w:val="24"/>
              </w:rPr>
              <w:t>环境空气质量评价见下表。</w:t>
            </w:r>
          </w:p>
          <w:p w14:paraId="2CF99769">
            <w:pPr>
              <w:pStyle w:val="5"/>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1"/>
                <w:szCs w:val="21"/>
              </w:rPr>
              <w:t>表3-1</w:t>
            </w:r>
            <w:r>
              <w:rPr>
                <w:rFonts w:hint="default" w:ascii="Times New Roman" w:hAnsi="Times New Roman" w:eastAsia="宋体" w:cs="Times New Roman"/>
                <w:color w:val="auto"/>
                <w:sz w:val="24"/>
              </w:rPr>
              <w:t xml:space="preserve">        </w:t>
            </w:r>
            <w:r>
              <w:rPr>
                <w:rFonts w:hint="default" w:ascii="Times New Roman" w:hAnsi="Times New Roman" w:eastAsia="宋体" w:cs="Times New Roman"/>
                <w:b/>
                <w:color w:val="auto"/>
                <w:sz w:val="24"/>
              </w:rPr>
              <w:t>202</w:t>
            </w:r>
            <w:r>
              <w:rPr>
                <w:rFonts w:hint="default" w:ascii="Times New Roman" w:hAnsi="Times New Roman" w:eastAsia="宋体" w:cs="Times New Roman"/>
                <w:b/>
                <w:color w:val="auto"/>
                <w:sz w:val="24"/>
                <w:lang w:val="en-US" w:eastAsia="zh-CN"/>
              </w:rPr>
              <w:t>4</w:t>
            </w:r>
            <w:r>
              <w:rPr>
                <w:rFonts w:hint="default" w:ascii="Times New Roman" w:hAnsi="Times New Roman" w:eastAsia="宋体" w:cs="Times New Roman"/>
                <w:b/>
                <w:color w:val="auto"/>
                <w:sz w:val="24"/>
              </w:rPr>
              <w:t>年</w:t>
            </w:r>
            <w:r>
              <w:rPr>
                <w:rFonts w:hint="default" w:ascii="Times New Roman" w:hAnsi="Times New Roman" w:eastAsia="宋体" w:cs="Times New Roman"/>
                <w:b/>
                <w:bCs/>
                <w:color w:val="auto"/>
                <w:sz w:val="24"/>
                <w:lang w:val="en-US" w:eastAsia="zh-CN"/>
              </w:rPr>
              <w:t>固原市</w:t>
            </w:r>
            <w:r>
              <w:rPr>
                <w:rFonts w:hint="default" w:ascii="Times New Roman" w:hAnsi="Times New Roman" w:eastAsia="宋体" w:cs="Times New Roman"/>
                <w:b/>
                <w:color w:val="auto"/>
                <w:sz w:val="24"/>
              </w:rPr>
              <w:t>区域环境空气质量现状评价表</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4"/>
              <w:gridCol w:w="2457"/>
              <w:gridCol w:w="1165"/>
              <w:gridCol w:w="1234"/>
              <w:gridCol w:w="830"/>
              <w:gridCol w:w="728"/>
              <w:gridCol w:w="939"/>
            </w:tblGrid>
            <w:tr w14:paraId="4C999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8" w:type="dxa"/>
                  <w:noWrap w:val="0"/>
                  <w:vAlign w:val="center"/>
                </w:tcPr>
                <w:p w14:paraId="2FECDF0D">
                  <w:pPr>
                    <w:adjustRightInd w:val="0"/>
                    <w:snapToGrid w:val="0"/>
                    <w:jc w:val="center"/>
                    <w:rPr>
                      <w:b/>
                      <w:bCs/>
                      <w:color w:val="auto"/>
                      <w:szCs w:val="21"/>
                    </w:rPr>
                  </w:pPr>
                  <w:r>
                    <w:rPr>
                      <w:b/>
                      <w:bCs/>
                      <w:color w:val="auto"/>
                      <w:szCs w:val="21"/>
                    </w:rPr>
                    <w:t>污染物名称</w:t>
                  </w:r>
                </w:p>
              </w:tc>
              <w:tc>
                <w:tcPr>
                  <w:tcW w:w="2489" w:type="dxa"/>
                  <w:noWrap w:val="0"/>
                  <w:vAlign w:val="center"/>
                </w:tcPr>
                <w:p w14:paraId="2F9716BB">
                  <w:pPr>
                    <w:adjustRightInd w:val="0"/>
                    <w:snapToGrid w:val="0"/>
                    <w:jc w:val="center"/>
                    <w:rPr>
                      <w:b/>
                      <w:bCs/>
                      <w:color w:val="auto"/>
                      <w:szCs w:val="21"/>
                    </w:rPr>
                  </w:pPr>
                  <w:r>
                    <w:rPr>
                      <w:b/>
                      <w:bCs/>
                      <w:color w:val="auto"/>
                      <w:szCs w:val="21"/>
                    </w:rPr>
                    <w:t>年评价指标</w:t>
                  </w:r>
                </w:p>
              </w:tc>
              <w:tc>
                <w:tcPr>
                  <w:tcW w:w="1110" w:type="dxa"/>
                  <w:noWrap w:val="0"/>
                  <w:vAlign w:val="center"/>
                </w:tcPr>
                <w:p w14:paraId="52C5D89F">
                  <w:pPr>
                    <w:adjustRightInd w:val="0"/>
                    <w:snapToGrid w:val="0"/>
                    <w:jc w:val="center"/>
                    <w:rPr>
                      <w:b/>
                      <w:bCs/>
                      <w:color w:val="auto"/>
                      <w:szCs w:val="21"/>
                    </w:rPr>
                  </w:pPr>
                  <w:r>
                    <w:rPr>
                      <w:b/>
                      <w:bCs/>
                      <w:color w:val="auto"/>
                      <w:szCs w:val="21"/>
                    </w:rPr>
                    <w:t>标准值/（µg/m</w:t>
                  </w:r>
                  <w:r>
                    <w:rPr>
                      <w:b/>
                      <w:bCs/>
                      <w:color w:val="auto"/>
                      <w:szCs w:val="21"/>
                      <w:vertAlign w:val="superscript"/>
                    </w:rPr>
                    <w:t>3</w:t>
                  </w:r>
                  <w:r>
                    <w:rPr>
                      <w:b/>
                      <w:bCs/>
                      <w:color w:val="auto"/>
                      <w:szCs w:val="21"/>
                    </w:rPr>
                    <w:t>）</w:t>
                  </w:r>
                </w:p>
              </w:tc>
              <w:tc>
                <w:tcPr>
                  <w:tcW w:w="1235" w:type="dxa"/>
                  <w:noWrap w:val="0"/>
                  <w:vAlign w:val="center"/>
                </w:tcPr>
                <w:p w14:paraId="2FD22FB9">
                  <w:pPr>
                    <w:adjustRightInd w:val="0"/>
                    <w:snapToGrid w:val="0"/>
                    <w:jc w:val="center"/>
                    <w:rPr>
                      <w:b/>
                      <w:bCs/>
                      <w:color w:val="auto"/>
                      <w:szCs w:val="21"/>
                    </w:rPr>
                  </w:pPr>
                  <w:r>
                    <w:rPr>
                      <w:b/>
                      <w:bCs/>
                      <w:color w:val="auto"/>
                      <w:szCs w:val="21"/>
                    </w:rPr>
                    <w:t>现状浓度/（µg/m</w:t>
                  </w:r>
                  <w:r>
                    <w:rPr>
                      <w:b/>
                      <w:bCs/>
                      <w:color w:val="auto"/>
                      <w:szCs w:val="21"/>
                      <w:vertAlign w:val="superscript"/>
                    </w:rPr>
                    <w:t>3</w:t>
                  </w:r>
                  <w:r>
                    <w:rPr>
                      <w:b/>
                      <w:bCs/>
                      <w:color w:val="auto"/>
                      <w:szCs w:val="21"/>
                    </w:rPr>
                    <w:t>）</w:t>
                  </w:r>
                </w:p>
              </w:tc>
              <w:tc>
                <w:tcPr>
                  <w:tcW w:w="834" w:type="dxa"/>
                  <w:noWrap w:val="0"/>
                  <w:vAlign w:val="center"/>
                </w:tcPr>
                <w:p w14:paraId="4F01857E">
                  <w:pPr>
                    <w:adjustRightInd w:val="0"/>
                    <w:snapToGrid w:val="0"/>
                    <w:jc w:val="center"/>
                    <w:rPr>
                      <w:b/>
                      <w:bCs/>
                      <w:color w:val="auto"/>
                      <w:szCs w:val="21"/>
                    </w:rPr>
                  </w:pPr>
                  <w:r>
                    <w:rPr>
                      <w:b/>
                      <w:bCs/>
                      <w:color w:val="auto"/>
                      <w:szCs w:val="21"/>
                    </w:rPr>
                    <w:t>占标率/%</w:t>
                  </w:r>
                </w:p>
              </w:tc>
              <w:tc>
                <w:tcPr>
                  <w:tcW w:w="733" w:type="dxa"/>
                  <w:noWrap w:val="0"/>
                  <w:vAlign w:val="center"/>
                </w:tcPr>
                <w:p w14:paraId="212C5A18">
                  <w:pPr>
                    <w:adjustRightInd w:val="0"/>
                    <w:snapToGrid w:val="0"/>
                    <w:jc w:val="center"/>
                    <w:rPr>
                      <w:b/>
                      <w:bCs/>
                      <w:color w:val="auto"/>
                      <w:szCs w:val="21"/>
                    </w:rPr>
                  </w:pPr>
                  <w:r>
                    <w:rPr>
                      <w:b/>
                      <w:bCs/>
                      <w:color w:val="auto"/>
                      <w:szCs w:val="21"/>
                    </w:rPr>
                    <w:t>超标</w:t>
                  </w:r>
                </w:p>
                <w:p w14:paraId="2AADD955">
                  <w:pPr>
                    <w:adjustRightInd w:val="0"/>
                    <w:snapToGrid w:val="0"/>
                    <w:jc w:val="center"/>
                    <w:rPr>
                      <w:b/>
                      <w:bCs/>
                      <w:color w:val="auto"/>
                      <w:szCs w:val="21"/>
                    </w:rPr>
                  </w:pPr>
                  <w:r>
                    <w:rPr>
                      <w:b/>
                      <w:bCs/>
                      <w:color w:val="auto"/>
                      <w:szCs w:val="21"/>
                    </w:rPr>
                    <w:t>倍数</w:t>
                  </w:r>
                </w:p>
              </w:tc>
              <w:tc>
                <w:tcPr>
                  <w:tcW w:w="948" w:type="dxa"/>
                  <w:noWrap w:val="0"/>
                  <w:vAlign w:val="center"/>
                </w:tcPr>
                <w:p w14:paraId="2D495133">
                  <w:pPr>
                    <w:adjustRightInd w:val="0"/>
                    <w:snapToGrid w:val="0"/>
                    <w:jc w:val="center"/>
                    <w:rPr>
                      <w:b/>
                      <w:bCs/>
                      <w:color w:val="auto"/>
                      <w:szCs w:val="21"/>
                    </w:rPr>
                  </w:pPr>
                  <w:r>
                    <w:rPr>
                      <w:b/>
                      <w:bCs/>
                      <w:color w:val="auto"/>
                      <w:szCs w:val="21"/>
                    </w:rPr>
                    <w:t>达标</w:t>
                  </w:r>
                </w:p>
                <w:p w14:paraId="053B2CE0">
                  <w:pPr>
                    <w:adjustRightInd w:val="0"/>
                    <w:snapToGrid w:val="0"/>
                    <w:jc w:val="center"/>
                    <w:rPr>
                      <w:b/>
                      <w:bCs/>
                      <w:color w:val="auto"/>
                      <w:szCs w:val="21"/>
                    </w:rPr>
                  </w:pPr>
                  <w:r>
                    <w:rPr>
                      <w:b/>
                      <w:bCs/>
                      <w:color w:val="auto"/>
                      <w:szCs w:val="21"/>
                    </w:rPr>
                    <w:t>情况</w:t>
                  </w:r>
                </w:p>
              </w:tc>
            </w:tr>
            <w:tr w14:paraId="6B945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8" w:type="dxa"/>
                  <w:noWrap w:val="0"/>
                  <w:vAlign w:val="center"/>
                </w:tcPr>
                <w:p w14:paraId="28BB9B77">
                  <w:pPr>
                    <w:adjustRightInd w:val="0"/>
                    <w:snapToGrid w:val="0"/>
                    <w:jc w:val="center"/>
                    <w:rPr>
                      <w:color w:val="auto"/>
                      <w:szCs w:val="21"/>
                    </w:rPr>
                  </w:pPr>
                  <w:r>
                    <w:rPr>
                      <w:color w:val="auto"/>
                      <w:szCs w:val="21"/>
                    </w:rPr>
                    <w:t>SO</w:t>
                  </w:r>
                  <w:r>
                    <w:rPr>
                      <w:color w:val="auto"/>
                      <w:szCs w:val="21"/>
                      <w:vertAlign w:val="subscript"/>
                    </w:rPr>
                    <w:t>2</w:t>
                  </w:r>
                </w:p>
              </w:tc>
              <w:tc>
                <w:tcPr>
                  <w:tcW w:w="2489" w:type="dxa"/>
                  <w:noWrap w:val="0"/>
                  <w:vAlign w:val="center"/>
                </w:tcPr>
                <w:p w14:paraId="3435E2D0">
                  <w:pPr>
                    <w:adjustRightInd w:val="0"/>
                    <w:snapToGrid w:val="0"/>
                    <w:jc w:val="center"/>
                    <w:rPr>
                      <w:color w:val="auto"/>
                      <w:szCs w:val="21"/>
                    </w:rPr>
                  </w:pPr>
                  <w:r>
                    <w:rPr>
                      <w:color w:val="auto"/>
                      <w:szCs w:val="21"/>
                    </w:rPr>
                    <w:t>年平均</w:t>
                  </w:r>
                </w:p>
              </w:tc>
              <w:tc>
                <w:tcPr>
                  <w:tcW w:w="1110" w:type="dxa"/>
                  <w:noWrap w:val="0"/>
                  <w:vAlign w:val="center"/>
                </w:tcPr>
                <w:p w14:paraId="26675911">
                  <w:pPr>
                    <w:adjustRightInd w:val="0"/>
                    <w:snapToGrid w:val="0"/>
                    <w:jc w:val="center"/>
                    <w:rPr>
                      <w:rFonts w:hint="default" w:eastAsia="宋体"/>
                      <w:color w:val="auto"/>
                      <w:szCs w:val="21"/>
                      <w:lang w:val="en-US" w:eastAsia="zh-CN"/>
                    </w:rPr>
                  </w:pPr>
                  <w:r>
                    <w:rPr>
                      <w:rFonts w:hint="eastAsia"/>
                      <w:color w:val="auto"/>
                      <w:szCs w:val="21"/>
                      <w:lang w:val="en-US" w:eastAsia="zh-CN"/>
                    </w:rPr>
                    <w:t>60</w:t>
                  </w:r>
                </w:p>
              </w:tc>
              <w:tc>
                <w:tcPr>
                  <w:tcW w:w="1235" w:type="dxa"/>
                  <w:noWrap w:val="0"/>
                  <w:vAlign w:val="center"/>
                </w:tcPr>
                <w:p w14:paraId="12E08CCA">
                  <w:pPr>
                    <w:adjustRightInd w:val="0"/>
                    <w:snapToGrid w:val="0"/>
                    <w:jc w:val="center"/>
                    <w:rPr>
                      <w:rFonts w:hint="default" w:eastAsia="宋体"/>
                      <w:color w:val="auto"/>
                      <w:szCs w:val="21"/>
                      <w:lang w:val="en-US" w:eastAsia="zh-CN"/>
                    </w:rPr>
                  </w:pPr>
                  <w:r>
                    <w:rPr>
                      <w:rFonts w:hint="eastAsia"/>
                      <w:color w:val="auto"/>
                      <w:szCs w:val="21"/>
                      <w:lang w:val="en-US" w:eastAsia="zh-CN"/>
                    </w:rPr>
                    <w:t>6</w:t>
                  </w:r>
                </w:p>
              </w:tc>
              <w:tc>
                <w:tcPr>
                  <w:tcW w:w="834" w:type="dxa"/>
                  <w:noWrap w:val="0"/>
                  <w:vAlign w:val="center"/>
                </w:tcPr>
                <w:p w14:paraId="01A88BD8">
                  <w:pPr>
                    <w:widowControl/>
                    <w:adjustRightInd w:val="0"/>
                    <w:snapToGrid w:val="0"/>
                    <w:jc w:val="center"/>
                    <w:textAlignment w:val="center"/>
                    <w:rPr>
                      <w:rFonts w:hint="default" w:eastAsia="宋体"/>
                      <w:color w:val="auto"/>
                      <w:szCs w:val="21"/>
                      <w:lang w:val="en-US" w:eastAsia="zh-CN"/>
                    </w:rPr>
                  </w:pPr>
                  <w:r>
                    <w:rPr>
                      <w:rFonts w:hint="eastAsia"/>
                      <w:color w:val="auto"/>
                      <w:szCs w:val="21"/>
                      <w:lang w:val="en-US" w:eastAsia="zh-CN"/>
                    </w:rPr>
                    <w:t>10.0</w:t>
                  </w:r>
                </w:p>
              </w:tc>
              <w:tc>
                <w:tcPr>
                  <w:tcW w:w="733" w:type="dxa"/>
                  <w:noWrap w:val="0"/>
                  <w:vAlign w:val="center"/>
                </w:tcPr>
                <w:p w14:paraId="50062835">
                  <w:pPr>
                    <w:adjustRightInd w:val="0"/>
                    <w:snapToGrid w:val="0"/>
                    <w:jc w:val="center"/>
                    <w:rPr>
                      <w:color w:val="auto"/>
                      <w:szCs w:val="21"/>
                    </w:rPr>
                  </w:pPr>
                  <w:r>
                    <w:rPr>
                      <w:color w:val="auto"/>
                      <w:szCs w:val="21"/>
                    </w:rPr>
                    <w:t>/</w:t>
                  </w:r>
                </w:p>
              </w:tc>
              <w:tc>
                <w:tcPr>
                  <w:tcW w:w="948" w:type="dxa"/>
                  <w:noWrap w:val="0"/>
                  <w:vAlign w:val="center"/>
                </w:tcPr>
                <w:p w14:paraId="6DB4172C">
                  <w:pPr>
                    <w:adjustRightInd w:val="0"/>
                    <w:snapToGrid w:val="0"/>
                    <w:jc w:val="center"/>
                    <w:rPr>
                      <w:color w:val="auto"/>
                      <w:szCs w:val="21"/>
                    </w:rPr>
                  </w:pPr>
                  <w:r>
                    <w:rPr>
                      <w:color w:val="auto"/>
                      <w:szCs w:val="21"/>
                    </w:rPr>
                    <w:t>达标</w:t>
                  </w:r>
                </w:p>
              </w:tc>
            </w:tr>
            <w:tr w14:paraId="77216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8" w:type="dxa"/>
                  <w:noWrap w:val="0"/>
                  <w:vAlign w:val="center"/>
                </w:tcPr>
                <w:p w14:paraId="0D6B026B">
                  <w:pPr>
                    <w:adjustRightInd w:val="0"/>
                    <w:snapToGrid w:val="0"/>
                    <w:jc w:val="center"/>
                    <w:rPr>
                      <w:color w:val="auto"/>
                      <w:szCs w:val="21"/>
                    </w:rPr>
                  </w:pPr>
                  <w:r>
                    <w:rPr>
                      <w:color w:val="auto"/>
                      <w:szCs w:val="21"/>
                    </w:rPr>
                    <w:t>NO</w:t>
                  </w:r>
                  <w:r>
                    <w:rPr>
                      <w:color w:val="auto"/>
                      <w:szCs w:val="21"/>
                      <w:vertAlign w:val="subscript"/>
                    </w:rPr>
                    <w:t>2</w:t>
                  </w:r>
                </w:p>
              </w:tc>
              <w:tc>
                <w:tcPr>
                  <w:tcW w:w="2489" w:type="dxa"/>
                  <w:noWrap w:val="0"/>
                  <w:vAlign w:val="center"/>
                </w:tcPr>
                <w:p w14:paraId="1E0979FD">
                  <w:pPr>
                    <w:adjustRightInd w:val="0"/>
                    <w:snapToGrid w:val="0"/>
                    <w:jc w:val="center"/>
                    <w:rPr>
                      <w:color w:val="auto"/>
                      <w:szCs w:val="21"/>
                    </w:rPr>
                  </w:pPr>
                  <w:r>
                    <w:rPr>
                      <w:color w:val="auto"/>
                      <w:szCs w:val="21"/>
                    </w:rPr>
                    <w:t>年平均</w:t>
                  </w:r>
                </w:p>
              </w:tc>
              <w:tc>
                <w:tcPr>
                  <w:tcW w:w="1110" w:type="dxa"/>
                  <w:noWrap w:val="0"/>
                  <w:vAlign w:val="center"/>
                </w:tcPr>
                <w:p w14:paraId="2EA1A3AC">
                  <w:pPr>
                    <w:adjustRightInd w:val="0"/>
                    <w:snapToGrid w:val="0"/>
                    <w:jc w:val="center"/>
                    <w:rPr>
                      <w:rFonts w:hint="default" w:eastAsia="宋体"/>
                      <w:color w:val="auto"/>
                      <w:szCs w:val="21"/>
                      <w:lang w:val="en-US" w:eastAsia="zh-CN"/>
                    </w:rPr>
                  </w:pPr>
                  <w:r>
                    <w:rPr>
                      <w:rFonts w:hint="eastAsia"/>
                      <w:color w:val="auto"/>
                      <w:szCs w:val="21"/>
                      <w:lang w:val="en-US" w:eastAsia="zh-CN"/>
                    </w:rPr>
                    <w:t>40</w:t>
                  </w:r>
                </w:p>
              </w:tc>
              <w:tc>
                <w:tcPr>
                  <w:tcW w:w="1235" w:type="dxa"/>
                  <w:noWrap w:val="0"/>
                  <w:vAlign w:val="center"/>
                </w:tcPr>
                <w:p w14:paraId="4A0A7F39">
                  <w:pPr>
                    <w:adjustRightInd w:val="0"/>
                    <w:snapToGrid w:val="0"/>
                    <w:jc w:val="center"/>
                    <w:rPr>
                      <w:rFonts w:hint="default" w:eastAsia="宋体"/>
                      <w:color w:val="auto"/>
                      <w:szCs w:val="21"/>
                      <w:lang w:val="en-US" w:eastAsia="zh-CN"/>
                    </w:rPr>
                  </w:pPr>
                  <w:r>
                    <w:rPr>
                      <w:rFonts w:hint="eastAsia" w:eastAsia="宋体"/>
                      <w:color w:val="auto"/>
                      <w:szCs w:val="21"/>
                      <w:lang w:val="en-US" w:eastAsia="zh-CN"/>
                    </w:rPr>
                    <w:t>17</w:t>
                  </w:r>
                </w:p>
              </w:tc>
              <w:tc>
                <w:tcPr>
                  <w:tcW w:w="834" w:type="dxa"/>
                  <w:noWrap w:val="0"/>
                  <w:vAlign w:val="center"/>
                </w:tcPr>
                <w:p w14:paraId="77AB2AB2">
                  <w:pPr>
                    <w:widowControl/>
                    <w:adjustRightInd w:val="0"/>
                    <w:snapToGrid w:val="0"/>
                    <w:jc w:val="center"/>
                    <w:textAlignment w:val="center"/>
                    <w:rPr>
                      <w:rFonts w:hint="default" w:eastAsia="宋体"/>
                      <w:color w:val="auto"/>
                      <w:szCs w:val="21"/>
                      <w:lang w:val="en-US" w:eastAsia="zh-CN"/>
                    </w:rPr>
                  </w:pPr>
                  <w:r>
                    <w:rPr>
                      <w:rFonts w:hint="eastAsia"/>
                      <w:color w:val="auto"/>
                      <w:szCs w:val="21"/>
                      <w:lang w:val="en-US" w:eastAsia="zh-CN"/>
                    </w:rPr>
                    <w:t>42.5</w:t>
                  </w:r>
                </w:p>
              </w:tc>
              <w:tc>
                <w:tcPr>
                  <w:tcW w:w="733" w:type="dxa"/>
                  <w:noWrap w:val="0"/>
                  <w:vAlign w:val="center"/>
                </w:tcPr>
                <w:p w14:paraId="1C08D3EB">
                  <w:pPr>
                    <w:adjustRightInd w:val="0"/>
                    <w:snapToGrid w:val="0"/>
                    <w:jc w:val="center"/>
                    <w:rPr>
                      <w:color w:val="auto"/>
                      <w:szCs w:val="21"/>
                    </w:rPr>
                  </w:pPr>
                  <w:r>
                    <w:rPr>
                      <w:color w:val="auto"/>
                      <w:szCs w:val="21"/>
                    </w:rPr>
                    <w:t>/</w:t>
                  </w:r>
                </w:p>
              </w:tc>
              <w:tc>
                <w:tcPr>
                  <w:tcW w:w="948" w:type="dxa"/>
                  <w:noWrap w:val="0"/>
                  <w:vAlign w:val="center"/>
                </w:tcPr>
                <w:p w14:paraId="37BBC58A">
                  <w:pPr>
                    <w:adjustRightInd w:val="0"/>
                    <w:snapToGrid w:val="0"/>
                    <w:jc w:val="center"/>
                    <w:rPr>
                      <w:color w:val="auto"/>
                      <w:szCs w:val="21"/>
                    </w:rPr>
                  </w:pPr>
                  <w:r>
                    <w:rPr>
                      <w:color w:val="auto"/>
                      <w:szCs w:val="21"/>
                    </w:rPr>
                    <w:t>达标</w:t>
                  </w:r>
                </w:p>
              </w:tc>
            </w:tr>
            <w:tr w14:paraId="47FD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8" w:type="dxa"/>
                  <w:noWrap w:val="0"/>
                  <w:vAlign w:val="center"/>
                </w:tcPr>
                <w:p w14:paraId="73906785">
                  <w:pPr>
                    <w:adjustRightInd w:val="0"/>
                    <w:snapToGrid w:val="0"/>
                    <w:jc w:val="center"/>
                    <w:rPr>
                      <w:color w:val="auto"/>
                      <w:szCs w:val="21"/>
                    </w:rPr>
                  </w:pPr>
                  <w:r>
                    <w:rPr>
                      <w:color w:val="auto"/>
                      <w:szCs w:val="21"/>
                    </w:rPr>
                    <w:t>PM</w:t>
                  </w:r>
                  <w:r>
                    <w:rPr>
                      <w:color w:val="auto"/>
                      <w:szCs w:val="21"/>
                      <w:vertAlign w:val="subscript"/>
                    </w:rPr>
                    <w:t>10</w:t>
                  </w:r>
                </w:p>
              </w:tc>
              <w:tc>
                <w:tcPr>
                  <w:tcW w:w="2489" w:type="dxa"/>
                  <w:noWrap w:val="0"/>
                  <w:vAlign w:val="center"/>
                </w:tcPr>
                <w:p w14:paraId="2FED6AD0">
                  <w:pPr>
                    <w:adjustRightInd w:val="0"/>
                    <w:snapToGrid w:val="0"/>
                    <w:jc w:val="center"/>
                    <w:rPr>
                      <w:color w:val="auto"/>
                      <w:szCs w:val="21"/>
                    </w:rPr>
                  </w:pPr>
                  <w:r>
                    <w:rPr>
                      <w:color w:val="auto"/>
                      <w:szCs w:val="21"/>
                    </w:rPr>
                    <w:t>年平均</w:t>
                  </w:r>
                </w:p>
              </w:tc>
              <w:tc>
                <w:tcPr>
                  <w:tcW w:w="1110" w:type="dxa"/>
                  <w:noWrap w:val="0"/>
                  <w:vAlign w:val="center"/>
                </w:tcPr>
                <w:p w14:paraId="2A74848F">
                  <w:pPr>
                    <w:adjustRightInd w:val="0"/>
                    <w:snapToGrid w:val="0"/>
                    <w:jc w:val="center"/>
                    <w:rPr>
                      <w:rFonts w:hint="default"/>
                      <w:color w:val="auto"/>
                      <w:szCs w:val="21"/>
                      <w:lang w:val="en-US"/>
                    </w:rPr>
                  </w:pPr>
                  <w:r>
                    <w:rPr>
                      <w:rFonts w:hint="eastAsia"/>
                      <w:color w:val="auto"/>
                      <w:szCs w:val="21"/>
                      <w:lang w:val="en-US" w:eastAsia="zh-CN"/>
                    </w:rPr>
                    <w:t>70</w:t>
                  </w:r>
                </w:p>
              </w:tc>
              <w:tc>
                <w:tcPr>
                  <w:tcW w:w="1235" w:type="dxa"/>
                  <w:noWrap w:val="0"/>
                  <w:vAlign w:val="center"/>
                </w:tcPr>
                <w:p w14:paraId="484CE898">
                  <w:pPr>
                    <w:adjustRightInd w:val="0"/>
                    <w:snapToGrid w:val="0"/>
                    <w:jc w:val="center"/>
                    <w:rPr>
                      <w:rFonts w:hint="default" w:eastAsia="宋体"/>
                      <w:color w:val="auto"/>
                      <w:szCs w:val="21"/>
                      <w:lang w:val="en-US" w:eastAsia="zh-CN"/>
                    </w:rPr>
                  </w:pPr>
                  <w:r>
                    <w:rPr>
                      <w:rFonts w:hint="eastAsia"/>
                      <w:color w:val="auto"/>
                      <w:szCs w:val="21"/>
                      <w:lang w:val="en-US" w:eastAsia="zh-CN"/>
                    </w:rPr>
                    <w:t>43</w:t>
                  </w:r>
                </w:p>
              </w:tc>
              <w:tc>
                <w:tcPr>
                  <w:tcW w:w="834" w:type="dxa"/>
                  <w:noWrap w:val="0"/>
                  <w:vAlign w:val="center"/>
                </w:tcPr>
                <w:p w14:paraId="00AA1044">
                  <w:pPr>
                    <w:widowControl/>
                    <w:adjustRightInd w:val="0"/>
                    <w:snapToGrid w:val="0"/>
                    <w:jc w:val="center"/>
                    <w:textAlignment w:val="center"/>
                    <w:rPr>
                      <w:rFonts w:hint="default" w:eastAsia="宋体"/>
                      <w:color w:val="auto"/>
                      <w:szCs w:val="21"/>
                      <w:lang w:val="en-US" w:eastAsia="zh-CN"/>
                    </w:rPr>
                  </w:pPr>
                  <w:r>
                    <w:rPr>
                      <w:rFonts w:hint="eastAsia" w:eastAsia="宋体"/>
                      <w:color w:val="auto"/>
                      <w:szCs w:val="21"/>
                      <w:lang w:val="en-US" w:eastAsia="zh-CN"/>
                    </w:rPr>
                    <w:t>61.4</w:t>
                  </w:r>
                </w:p>
              </w:tc>
              <w:tc>
                <w:tcPr>
                  <w:tcW w:w="733" w:type="dxa"/>
                  <w:noWrap w:val="0"/>
                  <w:vAlign w:val="center"/>
                </w:tcPr>
                <w:p w14:paraId="736E86C4">
                  <w:pPr>
                    <w:adjustRightInd w:val="0"/>
                    <w:snapToGrid w:val="0"/>
                    <w:jc w:val="center"/>
                    <w:rPr>
                      <w:color w:val="auto"/>
                      <w:szCs w:val="21"/>
                    </w:rPr>
                  </w:pPr>
                  <w:r>
                    <w:rPr>
                      <w:color w:val="auto"/>
                      <w:szCs w:val="21"/>
                    </w:rPr>
                    <w:t>/</w:t>
                  </w:r>
                </w:p>
              </w:tc>
              <w:tc>
                <w:tcPr>
                  <w:tcW w:w="948" w:type="dxa"/>
                  <w:noWrap w:val="0"/>
                  <w:vAlign w:val="center"/>
                </w:tcPr>
                <w:p w14:paraId="1439F5A2">
                  <w:pPr>
                    <w:adjustRightInd w:val="0"/>
                    <w:snapToGrid w:val="0"/>
                    <w:jc w:val="center"/>
                    <w:rPr>
                      <w:color w:val="auto"/>
                      <w:szCs w:val="21"/>
                    </w:rPr>
                  </w:pPr>
                  <w:r>
                    <w:rPr>
                      <w:color w:val="auto"/>
                      <w:szCs w:val="21"/>
                    </w:rPr>
                    <w:t>达标</w:t>
                  </w:r>
                </w:p>
              </w:tc>
            </w:tr>
            <w:tr w14:paraId="7EDD7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8" w:type="dxa"/>
                  <w:noWrap w:val="0"/>
                  <w:vAlign w:val="center"/>
                </w:tcPr>
                <w:p w14:paraId="1603EF4F">
                  <w:pPr>
                    <w:adjustRightInd w:val="0"/>
                    <w:snapToGrid w:val="0"/>
                    <w:jc w:val="center"/>
                    <w:rPr>
                      <w:color w:val="auto"/>
                      <w:szCs w:val="21"/>
                    </w:rPr>
                  </w:pPr>
                  <w:r>
                    <w:rPr>
                      <w:color w:val="auto"/>
                      <w:szCs w:val="21"/>
                    </w:rPr>
                    <w:t>PM</w:t>
                  </w:r>
                  <w:r>
                    <w:rPr>
                      <w:color w:val="auto"/>
                      <w:szCs w:val="21"/>
                      <w:vertAlign w:val="subscript"/>
                    </w:rPr>
                    <w:t>2.5</w:t>
                  </w:r>
                </w:p>
              </w:tc>
              <w:tc>
                <w:tcPr>
                  <w:tcW w:w="2489" w:type="dxa"/>
                  <w:noWrap w:val="0"/>
                  <w:vAlign w:val="center"/>
                </w:tcPr>
                <w:p w14:paraId="450A5B12">
                  <w:pPr>
                    <w:adjustRightInd w:val="0"/>
                    <w:snapToGrid w:val="0"/>
                    <w:jc w:val="center"/>
                    <w:rPr>
                      <w:color w:val="auto"/>
                      <w:szCs w:val="21"/>
                    </w:rPr>
                  </w:pPr>
                  <w:r>
                    <w:rPr>
                      <w:color w:val="auto"/>
                      <w:szCs w:val="21"/>
                    </w:rPr>
                    <w:t>年平均</w:t>
                  </w:r>
                </w:p>
              </w:tc>
              <w:tc>
                <w:tcPr>
                  <w:tcW w:w="1110" w:type="dxa"/>
                  <w:noWrap w:val="0"/>
                  <w:vAlign w:val="center"/>
                </w:tcPr>
                <w:p w14:paraId="20ADD171">
                  <w:pPr>
                    <w:adjustRightInd w:val="0"/>
                    <w:snapToGrid w:val="0"/>
                    <w:jc w:val="center"/>
                    <w:rPr>
                      <w:rFonts w:hint="default" w:eastAsia="宋体"/>
                      <w:color w:val="auto"/>
                      <w:szCs w:val="21"/>
                      <w:lang w:val="en-US" w:eastAsia="zh-CN"/>
                    </w:rPr>
                  </w:pPr>
                  <w:r>
                    <w:rPr>
                      <w:rFonts w:hint="eastAsia" w:eastAsia="宋体"/>
                      <w:color w:val="auto"/>
                      <w:szCs w:val="21"/>
                      <w:lang w:val="en-US" w:eastAsia="zh-CN"/>
                    </w:rPr>
                    <w:t>35</w:t>
                  </w:r>
                </w:p>
              </w:tc>
              <w:tc>
                <w:tcPr>
                  <w:tcW w:w="1235" w:type="dxa"/>
                  <w:noWrap w:val="0"/>
                  <w:vAlign w:val="center"/>
                </w:tcPr>
                <w:p w14:paraId="3FFFFFF5">
                  <w:pPr>
                    <w:adjustRightInd w:val="0"/>
                    <w:snapToGrid w:val="0"/>
                    <w:jc w:val="center"/>
                    <w:rPr>
                      <w:rFonts w:hint="default" w:eastAsia="宋体"/>
                      <w:color w:val="auto"/>
                      <w:szCs w:val="21"/>
                      <w:lang w:val="en-US" w:eastAsia="zh-CN"/>
                    </w:rPr>
                  </w:pPr>
                  <w:r>
                    <w:rPr>
                      <w:rFonts w:hint="eastAsia"/>
                      <w:color w:val="auto"/>
                      <w:szCs w:val="21"/>
                      <w:lang w:val="en-US" w:eastAsia="zh-CN"/>
                    </w:rPr>
                    <w:t>22</w:t>
                  </w:r>
                </w:p>
              </w:tc>
              <w:tc>
                <w:tcPr>
                  <w:tcW w:w="834" w:type="dxa"/>
                  <w:noWrap w:val="0"/>
                  <w:vAlign w:val="center"/>
                </w:tcPr>
                <w:p w14:paraId="410E940E">
                  <w:pPr>
                    <w:widowControl/>
                    <w:adjustRightInd w:val="0"/>
                    <w:snapToGrid w:val="0"/>
                    <w:jc w:val="center"/>
                    <w:textAlignment w:val="center"/>
                    <w:rPr>
                      <w:rFonts w:hint="default" w:eastAsia="宋体"/>
                      <w:color w:val="auto"/>
                      <w:szCs w:val="21"/>
                      <w:lang w:val="en-US" w:eastAsia="zh-CN"/>
                    </w:rPr>
                  </w:pPr>
                  <w:r>
                    <w:rPr>
                      <w:rFonts w:hint="eastAsia" w:eastAsia="宋体"/>
                      <w:color w:val="auto"/>
                      <w:szCs w:val="21"/>
                      <w:lang w:val="en-US" w:eastAsia="zh-CN"/>
                    </w:rPr>
                    <w:t>62.9</w:t>
                  </w:r>
                </w:p>
              </w:tc>
              <w:tc>
                <w:tcPr>
                  <w:tcW w:w="733" w:type="dxa"/>
                  <w:noWrap w:val="0"/>
                  <w:vAlign w:val="center"/>
                </w:tcPr>
                <w:p w14:paraId="7FF1424E">
                  <w:pPr>
                    <w:adjustRightInd w:val="0"/>
                    <w:snapToGrid w:val="0"/>
                    <w:jc w:val="center"/>
                    <w:rPr>
                      <w:color w:val="auto"/>
                      <w:szCs w:val="21"/>
                    </w:rPr>
                  </w:pPr>
                  <w:r>
                    <w:rPr>
                      <w:color w:val="auto"/>
                      <w:szCs w:val="21"/>
                    </w:rPr>
                    <w:t>/</w:t>
                  </w:r>
                </w:p>
              </w:tc>
              <w:tc>
                <w:tcPr>
                  <w:tcW w:w="948" w:type="dxa"/>
                  <w:noWrap w:val="0"/>
                  <w:vAlign w:val="center"/>
                </w:tcPr>
                <w:p w14:paraId="469B3AE8">
                  <w:pPr>
                    <w:adjustRightInd w:val="0"/>
                    <w:snapToGrid w:val="0"/>
                    <w:jc w:val="center"/>
                    <w:rPr>
                      <w:color w:val="auto"/>
                      <w:szCs w:val="21"/>
                    </w:rPr>
                  </w:pPr>
                  <w:r>
                    <w:rPr>
                      <w:color w:val="auto"/>
                      <w:szCs w:val="21"/>
                    </w:rPr>
                    <w:t>达标</w:t>
                  </w:r>
                </w:p>
              </w:tc>
            </w:tr>
            <w:tr w14:paraId="62F26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8" w:type="dxa"/>
                  <w:noWrap w:val="0"/>
                  <w:vAlign w:val="center"/>
                </w:tcPr>
                <w:p w14:paraId="42295164">
                  <w:pPr>
                    <w:adjustRightInd w:val="0"/>
                    <w:snapToGrid w:val="0"/>
                    <w:jc w:val="center"/>
                    <w:rPr>
                      <w:color w:val="auto"/>
                      <w:szCs w:val="21"/>
                    </w:rPr>
                  </w:pPr>
                  <w:r>
                    <w:rPr>
                      <w:color w:val="auto"/>
                      <w:szCs w:val="21"/>
                    </w:rPr>
                    <w:t>CO</w:t>
                  </w:r>
                </w:p>
              </w:tc>
              <w:tc>
                <w:tcPr>
                  <w:tcW w:w="2489" w:type="dxa"/>
                  <w:noWrap w:val="0"/>
                  <w:vAlign w:val="center"/>
                </w:tcPr>
                <w:p w14:paraId="672FE3F1">
                  <w:pPr>
                    <w:adjustRightInd w:val="0"/>
                    <w:snapToGrid w:val="0"/>
                    <w:jc w:val="center"/>
                    <w:rPr>
                      <w:color w:val="auto"/>
                      <w:szCs w:val="21"/>
                    </w:rPr>
                  </w:pPr>
                  <w:r>
                    <w:rPr>
                      <w:color w:val="auto"/>
                      <w:szCs w:val="21"/>
                    </w:rPr>
                    <w:t>24h平均第95百分位数</w:t>
                  </w:r>
                </w:p>
              </w:tc>
              <w:tc>
                <w:tcPr>
                  <w:tcW w:w="1110" w:type="dxa"/>
                  <w:noWrap w:val="0"/>
                  <w:vAlign w:val="center"/>
                </w:tcPr>
                <w:p w14:paraId="19CEADF3">
                  <w:pPr>
                    <w:adjustRightInd w:val="0"/>
                    <w:snapToGrid w:val="0"/>
                    <w:jc w:val="center"/>
                    <w:rPr>
                      <w:color w:val="auto"/>
                      <w:szCs w:val="21"/>
                    </w:rPr>
                  </w:pPr>
                  <w:r>
                    <w:rPr>
                      <w:color w:val="auto"/>
                      <w:szCs w:val="21"/>
                    </w:rPr>
                    <w:t>4mg/m</w:t>
                  </w:r>
                  <w:r>
                    <w:rPr>
                      <w:color w:val="auto"/>
                      <w:szCs w:val="21"/>
                      <w:vertAlign w:val="superscript"/>
                    </w:rPr>
                    <w:t>3</w:t>
                  </w:r>
                </w:p>
              </w:tc>
              <w:tc>
                <w:tcPr>
                  <w:tcW w:w="1235" w:type="dxa"/>
                  <w:noWrap w:val="0"/>
                  <w:vAlign w:val="center"/>
                </w:tcPr>
                <w:p w14:paraId="7DF6CD06">
                  <w:pPr>
                    <w:adjustRightInd w:val="0"/>
                    <w:snapToGrid w:val="0"/>
                    <w:jc w:val="center"/>
                    <w:rPr>
                      <w:color w:val="auto"/>
                      <w:szCs w:val="21"/>
                    </w:rPr>
                  </w:pPr>
                  <w:r>
                    <w:rPr>
                      <w:rFonts w:hint="eastAsia"/>
                      <w:color w:val="auto"/>
                      <w:szCs w:val="21"/>
                      <w:lang w:val="en-US" w:eastAsia="zh-CN"/>
                    </w:rPr>
                    <w:t>1.0</w:t>
                  </w:r>
                  <w:r>
                    <w:rPr>
                      <w:color w:val="auto"/>
                      <w:szCs w:val="21"/>
                    </w:rPr>
                    <w:t>mg/m</w:t>
                  </w:r>
                  <w:r>
                    <w:rPr>
                      <w:color w:val="auto"/>
                      <w:szCs w:val="21"/>
                      <w:vertAlign w:val="superscript"/>
                    </w:rPr>
                    <w:t>3</w:t>
                  </w:r>
                </w:p>
              </w:tc>
              <w:tc>
                <w:tcPr>
                  <w:tcW w:w="834" w:type="dxa"/>
                  <w:noWrap w:val="0"/>
                  <w:vAlign w:val="center"/>
                </w:tcPr>
                <w:p w14:paraId="21B446D3">
                  <w:pPr>
                    <w:widowControl/>
                    <w:adjustRightInd w:val="0"/>
                    <w:snapToGrid w:val="0"/>
                    <w:jc w:val="center"/>
                    <w:textAlignment w:val="center"/>
                    <w:rPr>
                      <w:rFonts w:hint="default" w:eastAsia="宋体"/>
                      <w:color w:val="auto"/>
                      <w:szCs w:val="21"/>
                      <w:lang w:val="en-US" w:eastAsia="zh-CN"/>
                    </w:rPr>
                  </w:pPr>
                  <w:r>
                    <w:rPr>
                      <w:rFonts w:hint="eastAsia" w:eastAsia="宋体"/>
                      <w:color w:val="auto"/>
                      <w:szCs w:val="21"/>
                      <w:lang w:val="en-US" w:eastAsia="zh-CN"/>
                    </w:rPr>
                    <w:t>25.0</w:t>
                  </w:r>
                </w:p>
              </w:tc>
              <w:tc>
                <w:tcPr>
                  <w:tcW w:w="733" w:type="dxa"/>
                  <w:noWrap w:val="0"/>
                  <w:vAlign w:val="center"/>
                </w:tcPr>
                <w:p w14:paraId="6DDC69A1">
                  <w:pPr>
                    <w:adjustRightInd w:val="0"/>
                    <w:snapToGrid w:val="0"/>
                    <w:jc w:val="center"/>
                    <w:rPr>
                      <w:color w:val="auto"/>
                      <w:szCs w:val="21"/>
                    </w:rPr>
                  </w:pPr>
                  <w:r>
                    <w:rPr>
                      <w:color w:val="auto"/>
                      <w:szCs w:val="21"/>
                    </w:rPr>
                    <w:t>/</w:t>
                  </w:r>
                </w:p>
              </w:tc>
              <w:tc>
                <w:tcPr>
                  <w:tcW w:w="948" w:type="dxa"/>
                  <w:noWrap w:val="0"/>
                  <w:vAlign w:val="center"/>
                </w:tcPr>
                <w:p w14:paraId="2A1F8FBC">
                  <w:pPr>
                    <w:adjustRightInd w:val="0"/>
                    <w:snapToGrid w:val="0"/>
                    <w:jc w:val="center"/>
                    <w:rPr>
                      <w:color w:val="auto"/>
                      <w:szCs w:val="21"/>
                    </w:rPr>
                  </w:pPr>
                  <w:r>
                    <w:rPr>
                      <w:color w:val="auto"/>
                      <w:szCs w:val="21"/>
                    </w:rPr>
                    <w:t>达标</w:t>
                  </w:r>
                </w:p>
              </w:tc>
            </w:tr>
            <w:tr w14:paraId="2813C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28" w:type="dxa"/>
                  <w:noWrap w:val="0"/>
                  <w:vAlign w:val="center"/>
                </w:tcPr>
                <w:p w14:paraId="6DD82651">
                  <w:pPr>
                    <w:adjustRightInd w:val="0"/>
                    <w:snapToGrid w:val="0"/>
                    <w:jc w:val="center"/>
                    <w:rPr>
                      <w:color w:val="auto"/>
                      <w:szCs w:val="21"/>
                    </w:rPr>
                  </w:pPr>
                  <w:r>
                    <w:rPr>
                      <w:color w:val="auto"/>
                      <w:szCs w:val="21"/>
                    </w:rPr>
                    <w:t>O</w:t>
                  </w:r>
                  <w:r>
                    <w:rPr>
                      <w:color w:val="auto"/>
                      <w:szCs w:val="21"/>
                      <w:vertAlign w:val="subscript"/>
                    </w:rPr>
                    <w:t>3</w:t>
                  </w:r>
                </w:p>
              </w:tc>
              <w:tc>
                <w:tcPr>
                  <w:tcW w:w="2489" w:type="dxa"/>
                  <w:noWrap w:val="0"/>
                  <w:vAlign w:val="center"/>
                </w:tcPr>
                <w:p w14:paraId="640A505A">
                  <w:pPr>
                    <w:adjustRightInd w:val="0"/>
                    <w:snapToGrid w:val="0"/>
                    <w:jc w:val="center"/>
                    <w:rPr>
                      <w:color w:val="auto"/>
                      <w:szCs w:val="21"/>
                    </w:rPr>
                  </w:pPr>
                  <w:r>
                    <w:rPr>
                      <w:color w:val="auto"/>
                      <w:szCs w:val="21"/>
                    </w:rPr>
                    <w:t>日最大8h滑动平均值的第90百分位数</w:t>
                  </w:r>
                </w:p>
              </w:tc>
              <w:tc>
                <w:tcPr>
                  <w:tcW w:w="1110" w:type="dxa"/>
                  <w:noWrap w:val="0"/>
                  <w:vAlign w:val="center"/>
                </w:tcPr>
                <w:p w14:paraId="3FECDA0A">
                  <w:pPr>
                    <w:adjustRightInd w:val="0"/>
                    <w:snapToGrid w:val="0"/>
                    <w:jc w:val="center"/>
                    <w:rPr>
                      <w:color w:val="auto"/>
                      <w:szCs w:val="21"/>
                    </w:rPr>
                  </w:pPr>
                  <w:r>
                    <w:rPr>
                      <w:color w:val="auto"/>
                      <w:szCs w:val="21"/>
                    </w:rPr>
                    <w:t>160</w:t>
                  </w:r>
                </w:p>
              </w:tc>
              <w:tc>
                <w:tcPr>
                  <w:tcW w:w="1235" w:type="dxa"/>
                  <w:noWrap w:val="0"/>
                  <w:vAlign w:val="center"/>
                </w:tcPr>
                <w:p w14:paraId="42A99815">
                  <w:pPr>
                    <w:adjustRightInd w:val="0"/>
                    <w:snapToGrid w:val="0"/>
                    <w:jc w:val="center"/>
                    <w:rPr>
                      <w:rFonts w:hint="default" w:eastAsia="宋体"/>
                      <w:color w:val="auto"/>
                      <w:szCs w:val="21"/>
                      <w:lang w:val="en-US" w:eastAsia="zh-CN"/>
                    </w:rPr>
                  </w:pPr>
                  <w:r>
                    <w:rPr>
                      <w:rFonts w:hint="eastAsia" w:eastAsia="宋体"/>
                      <w:color w:val="auto"/>
                      <w:szCs w:val="21"/>
                      <w:lang w:val="en-US" w:eastAsia="zh-CN"/>
                    </w:rPr>
                    <w:t>136</w:t>
                  </w:r>
                </w:p>
              </w:tc>
              <w:tc>
                <w:tcPr>
                  <w:tcW w:w="834" w:type="dxa"/>
                  <w:noWrap w:val="0"/>
                  <w:vAlign w:val="center"/>
                </w:tcPr>
                <w:p w14:paraId="74404B2F">
                  <w:pPr>
                    <w:widowControl/>
                    <w:adjustRightInd w:val="0"/>
                    <w:snapToGrid w:val="0"/>
                    <w:jc w:val="center"/>
                    <w:textAlignment w:val="center"/>
                    <w:rPr>
                      <w:rFonts w:hint="default" w:eastAsia="宋体"/>
                      <w:color w:val="auto"/>
                      <w:szCs w:val="21"/>
                      <w:lang w:val="en-US" w:eastAsia="zh-CN"/>
                    </w:rPr>
                  </w:pPr>
                  <w:r>
                    <w:rPr>
                      <w:rFonts w:hint="eastAsia"/>
                      <w:color w:val="auto"/>
                      <w:szCs w:val="21"/>
                      <w:lang w:val="en-US" w:eastAsia="zh-CN"/>
                    </w:rPr>
                    <w:t>85.0</w:t>
                  </w:r>
                </w:p>
              </w:tc>
              <w:tc>
                <w:tcPr>
                  <w:tcW w:w="733" w:type="dxa"/>
                  <w:noWrap w:val="0"/>
                  <w:vAlign w:val="center"/>
                </w:tcPr>
                <w:p w14:paraId="335AE870">
                  <w:pPr>
                    <w:adjustRightInd w:val="0"/>
                    <w:snapToGrid w:val="0"/>
                    <w:jc w:val="center"/>
                    <w:rPr>
                      <w:color w:val="auto"/>
                      <w:szCs w:val="21"/>
                    </w:rPr>
                  </w:pPr>
                  <w:r>
                    <w:rPr>
                      <w:color w:val="auto"/>
                      <w:szCs w:val="21"/>
                    </w:rPr>
                    <w:t>/</w:t>
                  </w:r>
                </w:p>
              </w:tc>
              <w:tc>
                <w:tcPr>
                  <w:tcW w:w="948" w:type="dxa"/>
                  <w:noWrap w:val="0"/>
                  <w:vAlign w:val="center"/>
                </w:tcPr>
                <w:p w14:paraId="5F569357">
                  <w:pPr>
                    <w:adjustRightInd w:val="0"/>
                    <w:snapToGrid w:val="0"/>
                    <w:jc w:val="center"/>
                    <w:rPr>
                      <w:color w:val="auto"/>
                      <w:szCs w:val="21"/>
                    </w:rPr>
                  </w:pPr>
                  <w:r>
                    <w:rPr>
                      <w:color w:val="auto"/>
                      <w:szCs w:val="21"/>
                    </w:rPr>
                    <w:t>达标</w:t>
                  </w:r>
                </w:p>
              </w:tc>
            </w:tr>
            <w:tr w14:paraId="240B2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77" w:type="dxa"/>
                  <w:gridSpan w:val="7"/>
                  <w:noWrap w:val="0"/>
                  <w:vAlign w:val="center"/>
                </w:tcPr>
                <w:p w14:paraId="033AA308">
                  <w:pPr>
                    <w:adjustRightInd w:val="0"/>
                    <w:snapToGrid w:val="0"/>
                    <w:rPr>
                      <w:color w:val="auto"/>
                      <w:szCs w:val="21"/>
                    </w:rPr>
                  </w:pPr>
                  <w:r>
                    <w:rPr>
                      <w:color w:val="auto"/>
                      <w:szCs w:val="21"/>
                    </w:rPr>
                    <w:t>注：现状浓度中PM</w:t>
                  </w:r>
                  <w:r>
                    <w:rPr>
                      <w:color w:val="auto"/>
                      <w:szCs w:val="21"/>
                      <w:vertAlign w:val="subscript"/>
                    </w:rPr>
                    <w:t>10</w:t>
                  </w:r>
                  <w:r>
                    <w:rPr>
                      <w:color w:val="auto"/>
                      <w:szCs w:val="21"/>
                    </w:rPr>
                    <w:t>、PM</w:t>
                  </w:r>
                  <w:r>
                    <w:rPr>
                      <w:color w:val="auto"/>
                      <w:szCs w:val="21"/>
                      <w:vertAlign w:val="subscript"/>
                    </w:rPr>
                    <w:t>2.5</w:t>
                  </w:r>
                  <w:r>
                    <w:rPr>
                      <w:color w:val="auto"/>
                      <w:szCs w:val="21"/>
                    </w:rPr>
                    <w:t>为</w:t>
                  </w:r>
                  <w:r>
                    <w:rPr>
                      <w:rFonts w:hint="eastAsia"/>
                      <w:color w:val="auto"/>
                      <w:szCs w:val="21"/>
                      <w:lang w:eastAsia="zh-CN"/>
                    </w:rPr>
                    <w:t>未</w:t>
                  </w:r>
                  <w:r>
                    <w:rPr>
                      <w:color w:val="auto"/>
                      <w:szCs w:val="21"/>
                    </w:rPr>
                    <w:t>剔除沙尘天气后的数值。</w:t>
                  </w:r>
                </w:p>
              </w:tc>
            </w:tr>
          </w:tbl>
          <w:p w14:paraId="7E8249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根据表3-1可知，</w:t>
            </w:r>
            <w:r>
              <w:rPr>
                <w:rFonts w:hint="eastAsia"/>
                <w:color w:val="auto"/>
                <w:sz w:val="24"/>
                <w:lang w:val="en-US" w:eastAsia="zh-CN"/>
              </w:rPr>
              <w:t>原州区</w:t>
            </w:r>
            <w:r>
              <w:rPr>
                <w:color w:val="auto"/>
                <w:sz w:val="24"/>
              </w:rPr>
              <w:t>202</w:t>
            </w:r>
            <w:r>
              <w:rPr>
                <w:rFonts w:hint="eastAsia"/>
                <w:color w:val="auto"/>
                <w:sz w:val="24"/>
                <w:lang w:val="en-US" w:eastAsia="zh-CN"/>
              </w:rPr>
              <w:t>4</w:t>
            </w:r>
            <w:r>
              <w:rPr>
                <w:color w:val="auto"/>
                <w:sz w:val="24"/>
              </w:rPr>
              <w:t>年SO</w:t>
            </w:r>
            <w:r>
              <w:rPr>
                <w:color w:val="auto"/>
                <w:sz w:val="24"/>
                <w:vertAlign w:val="subscript"/>
              </w:rPr>
              <w:t>2</w:t>
            </w:r>
            <w:r>
              <w:rPr>
                <w:color w:val="auto"/>
                <w:sz w:val="24"/>
              </w:rPr>
              <w:t>、NO</w:t>
            </w:r>
            <w:r>
              <w:rPr>
                <w:color w:val="auto"/>
                <w:sz w:val="24"/>
                <w:vertAlign w:val="subscript"/>
              </w:rPr>
              <w:t>2</w:t>
            </w:r>
            <w:r>
              <w:rPr>
                <w:rFonts w:hint="eastAsia"/>
                <w:color w:val="auto"/>
                <w:sz w:val="24"/>
                <w:vertAlign w:val="baseline"/>
                <w:lang w:eastAsia="zh-CN"/>
              </w:rPr>
              <w:t>、</w:t>
            </w:r>
            <w:r>
              <w:rPr>
                <w:color w:val="auto"/>
                <w:sz w:val="24"/>
              </w:rPr>
              <w:t>PM</w:t>
            </w:r>
            <w:r>
              <w:rPr>
                <w:color w:val="auto"/>
                <w:sz w:val="24"/>
                <w:vertAlign w:val="subscript"/>
              </w:rPr>
              <w:t>10</w:t>
            </w:r>
            <w:r>
              <w:rPr>
                <w:color w:val="auto"/>
                <w:sz w:val="24"/>
              </w:rPr>
              <w:t>、PM</w:t>
            </w:r>
            <w:r>
              <w:rPr>
                <w:color w:val="auto"/>
                <w:sz w:val="24"/>
                <w:vertAlign w:val="subscript"/>
              </w:rPr>
              <w:t>2.5</w:t>
            </w:r>
            <w:r>
              <w:rPr>
                <w:color w:val="auto"/>
                <w:sz w:val="24"/>
              </w:rPr>
              <w:t>年平均质量浓度和CO24h平均第95百分位数、O</w:t>
            </w:r>
            <w:r>
              <w:rPr>
                <w:color w:val="auto"/>
                <w:sz w:val="24"/>
                <w:vertAlign w:val="subscript"/>
              </w:rPr>
              <w:t>3</w:t>
            </w:r>
            <w:r>
              <w:rPr>
                <w:color w:val="auto"/>
                <w:sz w:val="24"/>
              </w:rPr>
              <w:t>日最大8h滑动平均值的第90百分位数均满足</w:t>
            </w:r>
            <w:r>
              <w:rPr>
                <w:rFonts w:hint="eastAsia"/>
                <w:color w:val="auto"/>
                <w:sz w:val="24"/>
                <w:lang w:eastAsia="zh-CN"/>
              </w:rPr>
              <w:t>《环境空气质量标准》（GB3095-20</w:t>
            </w:r>
            <w:r>
              <w:rPr>
                <w:rFonts w:hint="eastAsia"/>
                <w:color w:val="auto"/>
                <w:sz w:val="24"/>
                <w:lang w:val="en-US" w:eastAsia="zh-CN"/>
              </w:rPr>
              <w:t>12及2018年修改单</w:t>
            </w:r>
            <w:r>
              <w:rPr>
                <w:rFonts w:hint="eastAsia"/>
                <w:color w:val="auto"/>
                <w:sz w:val="24"/>
                <w:lang w:eastAsia="zh-CN"/>
              </w:rPr>
              <w:t>）</w:t>
            </w:r>
            <w:r>
              <w:rPr>
                <w:color w:val="auto"/>
                <w:sz w:val="24"/>
              </w:rPr>
              <w:t>中的二级标准要求。综上所述，202</w:t>
            </w:r>
            <w:r>
              <w:rPr>
                <w:rFonts w:hint="eastAsia"/>
                <w:color w:val="auto"/>
                <w:sz w:val="24"/>
                <w:lang w:val="en-US" w:eastAsia="zh-CN"/>
              </w:rPr>
              <w:t>4年原州区剔除沙尘天气后</w:t>
            </w:r>
            <w:r>
              <w:rPr>
                <w:color w:val="auto"/>
                <w:sz w:val="24"/>
              </w:rPr>
              <w:t>属于达标区。</w:t>
            </w:r>
          </w:p>
          <w:p w14:paraId="507D9E7E">
            <w:pPr>
              <w:spacing w:line="360" w:lineRule="auto"/>
              <w:ind w:firstLine="482" w:firstLineChars="200"/>
              <w:rPr>
                <w:b/>
                <w:bCs/>
                <w:color w:val="auto"/>
                <w:sz w:val="24"/>
              </w:rPr>
            </w:pPr>
            <w:r>
              <w:rPr>
                <w:b/>
                <w:bCs/>
                <w:color w:val="auto"/>
                <w:sz w:val="24"/>
              </w:rPr>
              <w:t>2</w:t>
            </w:r>
            <w:r>
              <w:rPr>
                <w:rFonts w:hint="eastAsia"/>
                <w:b/>
                <w:bCs/>
                <w:color w:val="auto"/>
                <w:sz w:val="24"/>
                <w:lang w:val="en-US" w:eastAsia="zh-CN"/>
              </w:rPr>
              <w:t>.</w:t>
            </w:r>
            <w:r>
              <w:rPr>
                <w:b/>
                <w:bCs/>
                <w:color w:val="auto"/>
                <w:sz w:val="24"/>
              </w:rPr>
              <w:t>地表水环境质量现状</w:t>
            </w:r>
          </w:p>
          <w:p w14:paraId="09E05613">
            <w:pPr>
              <w:adjustRightInd w:val="0"/>
              <w:snapToGrid w:val="0"/>
              <w:spacing w:line="360" w:lineRule="auto"/>
              <w:ind w:firstLine="480" w:firstLineChars="200"/>
              <w:jc w:val="both"/>
              <w:rPr>
                <w:rFonts w:hint="default" w:eastAsia="宋体" w:cs="Times New Roman"/>
                <w:color w:val="auto"/>
                <w:sz w:val="24"/>
                <w:szCs w:val="24"/>
                <w:lang w:val="en-US" w:eastAsia="zh-CN"/>
              </w:rPr>
            </w:pPr>
            <w:r>
              <w:rPr>
                <w:rFonts w:cs="Times New Roman"/>
                <w:color w:val="auto"/>
                <w:sz w:val="24"/>
                <w:szCs w:val="24"/>
              </w:rPr>
              <w:t>本项目区域主要地表水体为</w:t>
            </w:r>
            <w:r>
              <w:rPr>
                <w:rFonts w:hint="eastAsia" w:cs="Times New Roman"/>
                <w:color w:val="auto"/>
                <w:sz w:val="24"/>
                <w:szCs w:val="24"/>
                <w:lang w:val="en-US" w:eastAsia="zh-CN"/>
              </w:rPr>
              <w:t>冬至河</w:t>
            </w:r>
            <w:r>
              <w:rPr>
                <w:rFonts w:cs="Times New Roman"/>
                <w:color w:val="auto"/>
                <w:sz w:val="24"/>
                <w:szCs w:val="24"/>
              </w:rPr>
              <w:t>，位于本项目</w:t>
            </w:r>
            <w:r>
              <w:rPr>
                <w:rFonts w:hint="eastAsia" w:cs="Times New Roman"/>
                <w:color w:val="auto"/>
                <w:sz w:val="24"/>
                <w:szCs w:val="24"/>
                <w:lang w:val="en-US" w:eastAsia="zh-CN"/>
              </w:rPr>
              <w:t>东侧1.62k</w:t>
            </w:r>
            <w:r>
              <w:rPr>
                <w:rFonts w:cs="Times New Roman"/>
                <w:color w:val="auto"/>
                <w:sz w:val="24"/>
                <w:szCs w:val="24"/>
              </w:rPr>
              <w:t>m处，冬至河是清水河固原段下游的一级支流</w:t>
            </w:r>
            <w:r>
              <w:rPr>
                <w:rFonts w:hint="eastAsia" w:cs="Times New Roman"/>
                <w:color w:val="auto"/>
                <w:sz w:val="24"/>
                <w:szCs w:val="24"/>
                <w:lang w:eastAsia="zh-CN"/>
              </w:rPr>
              <w:t>，</w:t>
            </w:r>
            <w:r>
              <w:rPr>
                <w:rFonts w:hint="eastAsia" w:cs="Times New Roman"/>
                <w:color w:val="auto"/>
                <w:sz w:val="24"/>
                <w:szCs w:val="24"/>
                <w:lang w:val="en-US" w:eastAsia="zh-CN"/>
              </w:rPr>
              <w:t>但冬至河入清水河断面受上游施工影响，全年断流。</w:t>
            </w:r>
            <w:r>
              <w:rPr>
                <w:rFonts w:cs="Times New Roman"/>
                <w:color w:val="auto"/>
                <w:sz w:val="24"/>
                <w:szCs w:val="24"/>
              </w:rPr>
              <w:t>故本次评价地表水现状资料引用《</w:t>
            </w:r>
            <w:r>
              <w:rPr>
                <w:rFonts w:hint="eastAsia"/>
                <w:color w:val="auto"/>
                <w:sz w:val="24"/>
                <w:lang w:val="en-US" w:eastAsia="zh-CN"/>
              </w:rPr>
              <w:t>固原市生态环境质量报告书（2024年）</w:t>
            </w:r>
            <w:r>
              <w:rPr>
                <w:rFonts w:cs="Times New Roman"/>
                <w:color w:val="auto"/>
                <w:sz w:val="24"/>
                <w:szCs w:val="24"/>
              </w:rPr>
              <w:t>》中</w:t>
            </w:r>
            <w:r>
              <w:rPr>
                <w:rFonts w:hint="eastAsia" w:cs="Times New Roman"/>
                <w:color w:val="auto"/>
                <w:sz w:val="24"/>
                <w:szCs w:val="24"/>
                <w:lang w:val="en-US" w:eastAsia="zh-CN"/>
              </w:rPr>
              <w:t>清水河（三营）断面</w:t>
            </w:r>
            <w:r>
              <w:rPr>
                <w:rFonts w:cs="Times New Roman"/>
                <w:color w:val="auto"/>
                <w:sz w:val="24"/>
                <w:szCs w:val="24"/>
              </w:rPr>
              <w:t>的监测结果进行地表水环境质量现状评价。</w:t>
            </w:r>
            <w:r>
              <w:rPr>
                <w:rFonts w:cs="Times New Roman"/>
                <w:color w:val="auto"/>
                <w:sz w:val="24"/>
                <w:szCs w:val="24"/>
                <w:highlight w:val="none"/>
              </w:rPr>
              <w:t>202</w:t>
            </w:r>
            <w:r>
              <w:rPr>
                <w:rFonts w:hint="eastAsia" w:cs="Times New Roman"/>
                <w:color w:val="auto"/>
                <w:sz w:val="24"/>
                <w:szCs w:val="24"/>
                <w:highlight w:val="none"/>
                <w:lang w:val="en-US" w:eastAsia="zh-CN"/>
              </w:rPr>
              <w:t>4</w:t>
            </w:r>
            <w:r>
              <w:rPr>
                <w:rFonts w:cs="Times New Roman"/>
                <w:color w:val="auto"/>
                <w:sz w:val="24"/>
                <w:szCs w:val="24"/>
              </w:rPr>
              <w:t>年</w:t>
            </w:r>
            <w:r>
              <w:rPr>
                <w:rFonts w:hint="eastAsia" w:cs="Times New Roman"/>
                <w:color w:val="auto"/>
                <w:sz w:val="24"/>
                <w:szCs w:val="24"/>
                <w:lang w:val="en-US" w:eastAsia="zh-CN"/>
              </w:rPr>
              <w:t>清水河（三营）断面</w:t>
            </w:r>
            <w:r>
              <w:rPr>
                <w:rFonts w:cs="Times New Roman"/>
                <w:color w:val="auto"/>
                <w:sz w:val="24"/>
                <w:szCs w:val="24"/>
              </w:rPr>
              <w:t>的水质状况见下表</w:t>
            </w:r>
            <w:r>
              <w:rPr>
                <w:rFonts w:hint="eastAsia" w:cs="Times New Roman"/>
                <w:color w:val="auto"/>
                <w:sz w:val="24"/>
                <w:szCs w:val="24"/>
                <w:lang w:val="en-US" w:eastAsia="zh-CN"/>
              </w:rPr>
              <w:t>3-2。</w:t>
            </w:r>
          </w:p>
          <w:p w14:paraId="53776AE3">
            <w:pPr>
              <w:adjustRightInd w:val="0"/>
              <w:snapToGrid w:val="0"/>
              <w:ind w:firstLine="420" w:firstLineChars="200"/>
              <w:rPr>
                <w:rFonts w:cs="Times New Roman"/>
                <w:color w:val="auto"/>
                <w:sz w:val="24"/>
                <w:szCs w:val="24"/>
              </w:rPr>
            </w:pPr>
            <w:r>
              <w:rPr>
                <w:rFonts w:cs="Times New Roman"/>
                <w:color w:val="auto"/>
                <w:sz w:val="21"/>
                <w:szCs w:val="21"/>
              </w:rPr>
              <w:t>表</w:t>
            </w:r>
            <w:r>
              <w:rPr>
                <w:rFonts w:hint="eastAsia" w:cs="Times New Roman"/>
                <w:color w:val="auto"/>
                <w:sz w:val="21"/>
                <w:szCs w:val="21"/>
                <w:lang w:val="en-US" w:eastAsia="zh-CN"/>
              </w:rPr>
              <w:t>3-2</w:t>
            </w:r>
            <w:r>
              <w:rPr>
                <w:rFonts w:cs="Times New Roman"/>
                <w:color w:val="auto"/>
                <w:sz w:val="21"/>
                <w:szCs w:val="21"/>
              </w:rPr>
              <w:t xml:space="preserve"> </w:t>
            </w:r>
            <w:r>
              <w:rPr>
                <w:rFonts w:cs="Times New Roman"/>
                <w:color w:val="auto"/>
                <w:sz w:val="21"/>
                <w:szCs w:val="21"/>
                <w:lang w:val="en-US"/>
              </w:rPr>
              <w:t xml:space="preserve">  </w:t>
            </w:r>
            <w:r>
              <w:rPr>
                <w:rFonts w:hint="eastAsia" w:cs="Times New Roman"/>
                <w:color w:val="auto"/>
                <w:sz w:val="21"/>
                <w:szCs w:val="21"/>
                <w:lang w:val="en-US" w:eastAsia="zh-CN"/>
              </w:rPr>
              <w:t xml:space="preserve">  </w:t>
            </w:r>
            <w:r>
              <w:rPr>
                <w:rFonts w:cs="Times New Roman"/>
                <w:color w:val="auto"/>
                <w:sz w:val="21"/>
                <w:szCs w:val="21"/>
                <w:lang w:val="en-US"/>
              </w:rPr>
              <w:t xml:space="preserve"> </w:t>
            </w:r>
            <w:r>
              <w:rPr>
                <w:rFonts w:hint="eastAsia" w:cs="Times New Roman"/>
                <w:color w:val="auto"/>
                <w:sz w:val="21"/>
                <w:szCs w:val="21"/>
                <w:lang w:val="en-US" w:eastAsia="zh-CN"/>
              </w:rPr>
              <w:t xml:space="preserve">   </w:t>
            </w:r>
            <w:r>
              <w:rPr>
                <w:rFonts w:cs="Times New Roman"/>
                <w:color w:val="auto"/>
                <w:sz w:val="21"/>
                <w:szCs w:val="21"/>
                <w:lang w:val="en-US"/>
              </w:rPr>
              <w:t xml:space="preserve"> </w:t>
            </w:r>
            <w:r>
              <w:rPr>
                <w:rFonts w:cs="Times New Roman"/>
                <w:color w:val="auto"/>
                <w:sz w:val="24"/>
                <w:szCs w:val="24"/>
              </w:rPr>
              <w:t xml:space="preserve"> </w:t>
            </w:r>
            <w:r>
              <w:rPr>
                <w:rFonts w:cs="Times New Roman"/>
                <w:b/>
                <w:bCs/>
                <w:color w:val="auto"/>
                <w:sz w:val="24"/>
                <w:szCs w:val="24"/>
              </w:rPr>
              <w:t>202</w:t>
            </w:r>
            <w:r>
              <w:rPr>
                <w:rFonts w:hint="eastAsia" w:cs="Times New Roman"/>
                <w:b/>
                <w:bCs/>
                <w:color w:val="auto"/>
                <w:sz w:val="24"/>
                <w:szCs w:val="24"/>
                <w:lang w:val="en-US" w:eastAsia="zh-CN"/>
              </w:rPr>
              <w:t>4</w:t>
            </w:r>
            <w:r>
              <w:rPr>
                <w:rFonts w:cs="Times New Roman"/>
                <w:b/>
                <w:bCs/>
                <w:color w:val="auto"/>
                <w:sz w:val="24"/>
                <w:szCs w:val="24"/>
              </w:rPr>
              <w:t>年</w:t>
            </w:r>
            <w:r>
              <w:rPr>
                <w:rFonts w:hint="eastAsia" w:cs="Times New Roman"/>
                <w:b/>
                <w:bCs/>
                <w:color w:val="auto"/>
                <w:sz w:val="24"/>
                <w:szCs w:val="24"/>
                <w:lang w:val="en-US" w:eastAsia="zh-CN"/>
              </w:rPr>
              <w:t>清水河（三营）</w:t>
            </w:r>
            <w:r>
              <w:rPr>
                <w:rFonts w:cs="Times New Roman"/>
                <w:b/>
                <w:bCs/>
                <w:color w:val="auto"/>
                <w:sz w:val="24"/>
                <w:szCs w:val="24"/>
              </w:rPr>
              <w:t>断面水质状况</w:t>
            </w:r>
          </w:p>
          <w:tbl>
            <w:tblPr>
              <w:tblStyle w:val="30"/>
              <w:tblW w:w="827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8"/>
              <w:gridCol w:w="1035"/>
              <w:gridCol w:w="1531"/>
              <w:gridCol w:w="1097"/>
              <w:gridCol w:w="1157"/>
              <w:gridCol w:w="2739"/>
            </w:tblGrid>
            <w:tr w14:paraId="69FC0F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724" w:type="dxa"/>
                  <w:noWrap w:val="0"/>
                  <w:vAlign w:val="center"/>
                </w:tcPr>
                <w:p w14:paraId="0B6C028B">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城市</w:t>
                  </w:r>
                </w:p>
              </w:tc>
              <w:tc>
                <w:tcPr>
                  <w:tcW w:w="2601" w:type="dxa"/>
                  <w:gridSpan w:val="2"/>
                  <w:noWrap w:val="0"/>
                  <w:vAlign w:val="center"/>
                </w:tcPr>
                <w:p w14:paraId="4A55FA20">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断面名称</w:t>
                  </w:r>
                </w:p>
              </w:tc>
              <w:tc>
                <w:tcPr>
                  <w:tcW w:w="1111" w:type="dxa"/>
                  <w:noWrap w:val="0"/>
                  <w:vAlign w:val="center"/>
                </w:tcPr>
                <w:p w14:paraId="46669936">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考核目标</w:t>
                  </w:r>
                </w:p>
              </w:tc>
              <w:tc>
                <w:tcPr>
                  <w:tcW w:w="1172" w:type="dxa"/>
                  <w:noWrap w:val="0"/>
                  <w:vAlign w:val="center"/>
                </w:tcPr>
                <w:p w14:paraId="0D2908FD">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水质类别</w:t>
                  </w:r>
                </w:p>
              </w:tc>
              <w:tc>
                <w:tcPr>
                  <w:tcW w:w="2782" w:type="dxa"/>
                  <w:noWrap w:val="0"/>
                  <w:vAlign w:val="center"/>
                </w:tcPr>
                <w:p w14:paraId="09AD4DE0">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主要污染指标浓度（超过考核目标的倍数）</w:t>
                  </w:r>
                </w:p>
              </w:tc>
            </w:tr>
            <w:tr w14:paraId="7165A4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724" w:type="dxa"/>
                  <w:noWrap w:val="0"/>
                  <w:vAlign w:val="center"/>
                </w:tcPr>
                <w:p w14:paraId="4420964B">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固原</w:t>
                  </w:r>
                </w:p>
              </w:tc>
              <w:tc>
                <w:tcPr>
                  <w:tcW w:w="1047" w:type="dxa"/>
                  <w:noWrap w:val="0"/>
                  <w:vAlign w:val="center"/>
                </w:tcPr>
                <w:p w14:paraId="10A5E862">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清水河</w:t>
                  </w:r>
                </w:p>
              </w:tc>
              <w:tc>
                <w:tcPr>
                  <w:tcW w:w="1554" w:type="dxa"/>
                  <w:noWrap w:val="0"/>
                  <w:vAlign w:val="center"/>
                </w:tcPr>
                <w:p w14:paraId="426BF07A">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三营断面</w:t>
                  </w:r>
                </w:p>
              </w:tc>
              <w:tc>
                <w:tcPr>
                  <w:tcW w:w="1111" w:type="dxa"/>
                  <w:noWrap w:val="0"/>
                  <w:vAlign w:val="center"/>
                </w:tcPr>
                <w:p w14:paraId="237D53DD">
                  <w:pPr>
                    <w:spacing w:line="220" w:lineRule="exact"/>
                    <w:jc w:val="center"/>
                    <w:rPr>
                      <w:rFonts w:hint="default" w:ascii="Times New Roman" w:hAnsi="Times New Roman" w:cs="Times New Roman"/>
                      <w:color w:val="auto"/>
                      <w:sz w:val="21"/>
                      <w:szCs w:val="21"/>
                    </w:rPr>
                  </w:pPr>
                  <w:r>
                    <w:rPr>
                      <w:rFonts w:hint="default" w:ascii="Times New Roman" w:hAnsi="Times New Roman" w:eastAsia="宋体" w:cs="Times New Roman"/>
                      <w:b w:val="0"/>
                      <w:bCs/>
                      <w:color w:val="auto"/>
                      <w:sz w:val="21"/>
                      <w:szCs w:val="21"/>
                      <w:lang w:val="en-US" w:eastAsia="zh-CN"/>
                    </w:rPr>
                    <w:t>Ⅳ</w:t>
                  </w:r>
                  <w:r>
                    <w:rPr>
                      <w:rFonts w:hint="default" w:ascii="Times New Roman" w:hAnsi="Times New Roman" w:eastAsia="宋体" w:cs="Times New Roman"/>
                      <w:b w:val="0"/>
                      <w:bCs/>
                      <w:color w:val="auto"/>
                      <w:sz w:val="21"/>
                      <w:szCs w:val="21"/>
                    </w:rPr>
                    <w:t>类</w:t>
                  </w:r>
                </w:p>
              </w:tc>
              <w:tc>
                <w:tcPr>
                  <w:tcW w:w="1172" w:type="dxa"/>
                  <w:noWrap w:val="0"/>
                  <w:vAlign w:val="center"/>
                </w:tcPr>
                <w:p w14:paraId="57627901">
                  <w:pPr>
                    <w:spacing w:line="260" w:lineRule="exact"/>
                    <w:jc w:val="center"/>
                    <w:rPr>
                      <w:rFonts w:hint="default" w:ascii="Times New Roman" w:hAnsi="Times New Roman" w:cs="Times New Roman"/>
                      <w:color w:val="auto"/>
                      <w:sz w:val="21"/>
                      <w:szCs w:val="21"/>
                    </w:rPr>
                  </w:pPr>
                  <w:r>
                    <w:rPr>
                      <w:rFonts w:hint="default" w:ascii="Times New Roman" w:hAnsi="Times New Roman" w:eastAsia="宋体" w:cs="Times New Roman"/>
                      <w:b w:val="0"/>
                      <w:bCs/>
                      <w:color w:val="auto"/>
                      <w:sz w:val="21"/>
                      <w:szCs w:val="21"/>
                      <w:lang w:val="en-US" w:eastAsia="zh-CN"/>
                    </w:rPr>
                    <w:t>Ⅲ</w:t>
                  </w:r>
                  <w:r>
                    <w:rPr>
                      <w:rFonts w:hint="default" w:ascii="Times New Roman" w:hAnsi="Times New Roman" w:eastAsia="宋体" w:cs="Times New Roman"/>
                      <w:b w:val="0"/>
                      <w:bCs/>
                      <w:color w:val="auto"/>
                      <w:sz w:val="21"/>
                      <w:szCs w:val="21"/>
                    </w:rPr>
                    <w:t>类</w:t>
                  </w:r>
                </w:p>
              </w:tc>
              <w:tc>
                <w:tcPr>
                  <w:tcW w:w="2782" w:type="dxa"/>
                  <w:noWrap w:val="0"/>
                  <w:vAlign w:val="center"/>
                </w:tcPr>
                <w:p w14:paraId="33682A82">
                  <w:pPr>
                    <w:spacing w:line="260" w:lineRule="exact"/>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rPr>
                    <w:t>/</w:t>
                  </w:r>
                </w:p>
              </w:tc>
            </w:tr>
          </w:tbl>
          <w:p w14:paraId="2EC0A3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w:t>
            </w:r>
            <w:r>
              <w:rPr>
                <w:rFonts w:hint="eastAsia" w:ascii="Times New Roman" w:hAnsi="Times New Roman" w:cs="Times New Roman"/>
                <w:color w:val="auto"/>
                <w:sz w:val="24"/>
                <w:szCs w:val="24"/>
                <w:lang w:eastAsia="zh-CN"/>
              </w:rPr>
              <w:t>固原市生态环境质量报告书（2024年）</w:t>
            </w:r>
            <w:r>
              <w:rPr>
                <w:rFonts w:hint="default" w:ascii="Times New Roman" w:hAnsi="Times New Roman" w:cs="Times New Roman"/>
                <w:color w:val="auto"/>
                <w:sz w:val="24"/>
                <w:szCs w:val="24"/>
              </w:rPr>
              <w:t>》中</w:t>
            </w:r>
            <w:r>
              <w:rPr>
                <w:rFonts w:hint="eastAsia" w:ascii="Times New Roman" w:hAnsi="Times New Roman" w:cs="Times New Roman"/>
                <w:color w:val="auto"/>
                <w:sz w:val="24"/>
                <w:szCs w:val="24"/>
                <w:lang w:val="en-US" w:eastAsia="zh-CN"/>
              </w:rPr>
              <w:t>清水河（三营）断面</w:t>
            </w:r>
            <w:r>
              <w:rPr>
                <w:rFonts w:hint="default" w:ascii="Times New Roman" w:hAnsi="Times New Roman" w:cs="Times New Roman"/>
                <w:color w:val="auto"/>
                <w:sz w:val="24"/>
                <w:szCs w:val="24"/>
              </w:rPr>
              <w:t>水质评价结论，202</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清水河（三营）断面</w:t>
            </w:r>
            <w:r>
              <w:rPr>
                <w:rFonts w:hint="default" w:ascii="Times New Roman" w:hAnsi="Times New Roman" w:cs="Times New Roman"/>
                <w:color w:val="auto"/>
                <w:sz w:val="24"/>
                <w:szCs w:val="24"/>
              </w:rPr>
              <w:t>水质达到《地表水环境质量标准》（GB3838-2002）</w:t>
            </w:r>
            <w:r>
              <w:rPr>
                <w:rFonts w:hint="default" w:ascii="Times New Roman" w:hAnsi="Times New Roman" w:cs="Times New Roman"/>
                <w:color w:val="auto"/>
                <w:sz w:val="24"/>
                <w:szCs w:val="24"/>
                <w:lang w:val="en-US" w:eastAsia="zh-CN"/>
              </w:rPr>
              <w:t>Ⅲ</w:t>
            </w:r>
            <w:r>
              <w:rPr>
                <w:rFonts w:hint="default" w:ascii="Times New Roman" w:hAnsi="Times New Roman" w:cs="Times New Roman"/>
                <w:color w:val="auto"/>
                <w:sz w:val="24"/>
                <w:szCs w:val="24"/>
              </w:rPr>
              <w:t>类，满足考核</w:t>
            </w:r>
            <w:r>
              <w:rPr>
                <w:rFonts w:hint="default" w:ascii="Times New Roman" w:hAnsi="Times New Roman" w:cs="Times New Roman"/>
                <w:color w:val="auto"/>
                <w:sz w:val="24"/>
                <w:szCs w:val="24"/>
                <w:lang w:val="en-US" w:eastAsia="zh-CN"/>
              </w:rPr>
              <w:t>Ⅳ水质</w:t>
            </w:r>
            <w:r>
              <w:rPr>
                <w:rFonts w:hint="default" w:ascii="Times New Roman" w:hAnsi="Times New Roman" w:cs="Times New Roman"/>
                <w:color w:val="auto"/>
                <w:sz w:val="24"/>
                <w:szCs w:val="24"/>
              </w:rPr>
              <w:t>目标</w:t>
            </w:r>
            <w:r>
              <w:rPr>
                <w:rFonts w:hint="default" w:ascii="Times New Roman" w:hAnsi="Times New Roman" w:cs="Times New Roman"/>
                <w:color w:val="auto"/>
                <w:sz w:val="24"/>
                <w:szCs w:val="24"/>
                <w:lang w:val="en-US" w:eastAsia="zh-CN"/>
              </w:rPr>
              <w:t>要求</w:t>
            </w:r>
            <w:r>
              <w:rPr>
                <w:rFonts w:hint="default" w:ascii="Times New Roman" w:hAnsi="Times New Roman" w:cs="Times New Roman"/>
                <w:color w:val="auto"/>
                <w:sz w:val="24"/>
                <w:szCs w:val="24"/>
              </w:rPr>
              <w:t>。</w:t>
            </w:r>
          </w:p>
          <w:p w14:paraId="3CCD2B90">
            <w:pPr>
              <w:spacing w:line="360" w:lineRule="auto"/>
              <w:ind w:firstLine="482" w:firstLineChars="200"/>
              <w:rPr>
                <w:b/>
                <w:bCs/>
                <w:color w:val="auto"/>
                <w:sz w:val="24"/>
              </w:rPr>
            </w:pPr>
            <w:r>
              <w:rPr>
                <w:b/>
                <w:bCs/>
                <w:color w:val="auto"/>
                <w:sz w:val="24"/>
              </w:rPr>
              <w:t>3</w:t>
            </w:r>
            <w:r>
              <w:rPr>
                <w:rFonts w:hint="eastAsia"/>
                <w:b/>
                <w:bCs/>
                <w:color w:val="auto"/>
                <w:sz w:val="24"/>
                <w:lang w:val="en-US" w:eastAsia="zh-CN"/>
              </w:rPr>
              <w:t>.</w:t>
            </w:r>
            <w:r>
              <w:rPr>
                <w:b/>
                <w:bCs/>
                <w:color w:val="auto"/>
                <w:sz w:val="24"/>
              </w:rPr>
              <w:t>声环境质量现状</w:t>
            </w:r>
          </w:p>
          <w:p w14:paraId="632CEA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根据《建设项目环境影响报告表编制技术指南》（污染影响类）（试行），</w:t>
            </w:r>
            <w:r>
              <w:rPr>
                <w:rFonts w:hint="eastAsia"/>
                <w:color w:val="auto"/>
                <w:sz w:val="24"/>
                <w:lang w:eastAsia="zh-CN"/>
              </w:rPr>
              <w:t>“</w:t>
            </w:r>
            <w:r>
              <w:rPr>
                <w:color w:val="auto"/>
                <w:sz w:val="24"/>
              </w:rPr>
              <w:t>厂界外周边50m范围内存在声环境保护目标的建设项目，应监测保护目标声环境质量现状并评价达标情况</w:t>
            </w:r>
            <w:r>
              <w:rPr>
                <w:rFonts w:hint="eastAsia"/>
                <w:color w:val="auto"/>
                <w:sz w:val="24"/>
                <w:lang w:eastAsia="zh-CN"/>
              </w:rPr>
              <w:t>”</w:t>
            </w:r>
            <w:r>
              <w:rPr>
                <w:color w:val="auto"/>
                <w:sz w:val="24"/>
              </w:rPr>
              <w:t>。本项目厂区周边50m范围内无声环境保护目标。</w:t>
            </w:r>
          </w:p>
          <w:p w14:paraId="00AB2749">
            <w:pPr>
              <w:spacing w:line="360" w:lineRule="auto"/>
              <w:ind w:firstLine="482" w:firstLineChars="200"/>
              <w:rPr>
                <w:b/>
                <w:bCs/>
                <w:color w:val="auto"/>
                <w:sz w:val="24"/>
              </w:rPr>
            </w:pPr>
            <w:r>
              <w:rPr>
                <w:b/>
                <w:bCs/>
                <w:color w:val="auto"/>
                <w:sz w:val="24"/>
              </w:rPr>
              <w:t>4</w:t>
            </w:r>
            <w:r>
              <w:rPr>
                <w:rFonts w:hint="eastAsia"/>
                <w:b/>
                <w:bCs/>
                <w:color w:val="auto"/>
                <w:sz w:val="24"/>
                <w:lang w:val="en-US" w:eastAsia="zh-CN"/>
              </w:rPr>
              <w:t>.</w:t>
            </w:r>
            <w:r>
              <w:rPr>
                <w:b/>
                <w:bCs/>
                <w:color w:val="auto"/>
                <w:sz w:val="24"/>
              </w:rPr>
              <w:t>生态环境现状</w:t>
            </w:r>
          </w:p>
          <w:p w14:paraId="5D63DF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根据《建设项目环境影响报告表编制技术指南》（污染影响类）（试行），</w:t>
            </w:r>
            <w:r>
              <w:rPr>
                <w:rFonts w:hint="eastAsia"/>
                <w:color w:val="auto"/>
                <w:sz w:val="24"/>
                <w:szCs w:val="24"/>
                <w:highlight w:val="none"/>
                <w:lang w:eastAsia="zh-CN"/>
              </w:rPr>
              <w:t>“</w:t>
            </w:r>
            <w:r>
              <w:rPr>
                <w:color w:val="auto"/>
                <w:sz w:val="24"/>
                <w:szCs w:val="24"/>
                <w:highlight w:val="none"/>
              </w:rPr>
              <w:t>产业园区外建设项目新增用地且用地范围内含有生态环境保护目标时，应进行生态现状调查</w:t>
            </w:r>
            <w:r>
              <w:rPr>
                <w:rFonts w:hint="eastAsia"/>
                <w:color w:val="auto"/>
                <w:sz w:val="24"/>
                <w:szCs w:val="24"/>
                <w:highlight w:val="none"/>
                <w:lang w:eastAsia="zh-CN"/>
              </w:rPr>
              <w:t>”</w:t>
            </w:r>
            <w:r>
              <w:rPr>
                <w:color w:val="auto"/>
                <w:sz w:val="24"/>
                <w:szCs w:val="24"/>
                <w:highlight w:val="none"/>
              </w:rPr>
              <w:t>。本项目位于</w:t>
            </w:r>
            <w:r>
              <w:rPr>
                <w:rFonts w:hint="eastAsia"/>
                <w:color w:val="auto"/>
                <w:sz w:val="24"/>
                <w:szCs w:val="24"/>
                <w:highlight w:val="none"/>
                <w:lang w:val="en-US" w:eastAsia="zh-CN"/>
              </w:rPr>
              <w:t>固原市经济开发区新材料园区</w:t>
            </w:r>
            <w:r>
              <w:rPr>
                <w:rFonts w:hint="eastAsia"/>
                <w:color w:val="auto"/>
                <w:sz w:val="24"/>
                <w:szCs w:val="24"/>
                <w:highlight w:val="none"/>
              </w:rPr>
              <w:t>，</w:t>
            </w:r>
            <w:r>
              <w:rPr>
                <w:rFonts w:hint="eastAsia"/>
                <w:color w:val="auto"/>
                <w:sz w:val="24"/>
                <w:szCs w:val="24"/>
                <w:highlight w:val="none"/>
                <w:lang w:eastAsia="zh-CN"/>
              </w:rPr>
              <w:t>属于产业园区内项目，本次不进行生态现状调查。同时，评价区生态环境以人工种植绿化树木为主，无珍稀或濒危动、植物。</w:t>
            </w:r>
          </w:p>
          <w:p w14:paraId="63EEF86C">
            <w:pPr>
              <w:autoSpaceDE w:val="0"/>
              <w:autoSpaceDN w:val="0"/>
              <w:adjustRightInd w:val="0"/>
              <w:snapToGrid w:val="0"/>
              <w:spacing w:line="360" w:lineRule="auto"/>
              <w:ind w:firstLine="482" w:firstLineChars="200"/>
              <w:rPr>
                <w:b/>
                <w:color w:val="auto"/>
                <w:kern w:val="0"/>
                <w:sz w:val="24"/>
              </w:rPr>
            </w:pPr>
            <w:r>
              <w:rPr>
                <w:b/>
                <w:color w:val="auto"/>
                <w:kern w:val="0"/>
                <w:sz w:val="24"/>
              </w:rPr>
              <w:t>5</w:t>
            </w:r>
            <w:r>
              <w:rPr>
                <w:rFonts w:hint="eastAsia"/>
                <w:b/>
                <w:color w:val="auto"/>
                <w:kern w:val="0"/>
                <w:sz w:val="24"/>
                <w:lang w:val="en-US" w:eastAsia="zh-CN"/>
              </w:rPr>
              <w:t>.</w:t>
            </w:r>
            <w:r>
              <w:rPr>
                <w:b/>
                <w:color w:val="auto"/>
                <w:kern w:val="0"/>
                <w:sz w:val="24"/>
              </w:rPr>
              <w:t>地下水、土壤环境</w:t>
            </w:r>
          </w:p>
          <w:p w14:paraId="6BDE36A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color w:val="auto"/>
              </w:rPr>
            </w:pPr>
            <w:r>
              <w:rPr>
                <w:color w:val="auto"/>
                <w:sz w:val="24"/>
                <w:szCs w:val="24"/>
                <w:highlight w:val="none"/>
              </w:rPr>
              <w:t>根据《建设项目环境影响报告表编制技术指南》（污染影响类）（试行），</w:t>
            </w:r>
            <w:r>
              <w:rPr>
                <w:rFonts w:hint="eastAsia"/>
                <w:color w:val="auto"/>
                <w:sz w:val="24"/>
                <w:szCs w:val="24"/>
                <w:highlight w:val="none"/>
                <w:lang w:eastAsia="zh-CN"/>
              </w:rPr>
              <w:t>“</w:t>
            </w:r>
            <w:r>
              <w:rPr>
                <w:color w:val="auto"/>
                <w:sz w:val="24"/>
                <w:szCs w:val="24"/>
                <w:highlight w:val="none"/>
              </w:rPr>
              <w:t>原则上不开展环境质量现状调查，建设项目存在土壤、地下水环境污染途径的，应结合污染源、保护目标分布情况开展现状调查以留作背景值</w:t>
            </w:r>
            <w:r>
              <w:rPr>
                <w:rFonts w:hint="eastAsia"/>
                <w:color w:val="auto"/>
                <w:sz w:val="24"/>
                <w:szCs w:val="24"/>
                <w:highlight w:val="none"/>
                <w:lang w:eastAsia="zh-CN"/>
              </w:rPr>
              <w:t>”</w:t>
            </w:r>
            <w:r>
              <w:rPr>
                <w:color w:val="auto"/>
                <w:sz w:val="24"/>
                <w:szCs w:val="24"/>
                <w:highlight w:val="none"/>
              </w:rPr>
              <w:t>。</w:t>
            </w: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val="en-US" w:eastAsia="zh-CN"/>
              </w:rPr>
              <w:t>产生的废气污染物主要涉及非甲烷总烃、甲苯、苯乙烯及乙苯，经采取密闭生产车间、二级活性炭吸附装置等环保措施进行治理，可达标排放，不涉及大气沉降影响</w:t>
            </w:r>
            <w:r>
              <w:rPr>
                <w:rFonts w:hint="default" w:ascii="Times New Roman" w:hAnsi="Times New Roman" w:eastAsia="宋体" w:cs="Times New Roman"/>
                <w:color w:val="auto"/>
                <w:sz w:val="24"/>
                <w:szCs w:val="24"/>
              </w:rPr>
              <w:t>；生活污水</w:t>
            </w:r>
            <w:r>
              <w:rPr>
                <w:rFonts w:hint="eastAsia" w:ascii="Times New Roman" w:hAnsi="Times New Roman" w:eastAsia="宋体" w:cs="Times New Roman"/>
                <w:color w:val="auto"/>
                <w:sz w:val="24"/>
                <w:szCs w:val="24"/>
                <w:lang w:val="en-US" w:eastAsia="zh-CN"/>
              </w:rPr>
              <w:t>依托厂区现有</w:t>
            </w:r>
            <w:r>
              <w:rPr>
                <w:rFonts w:hint="default" w:ascii="Times New Roman" w:hAnsi="Times New Roman" w:eastAsia="宋体" w:cs="Times New Roman"/>
                <w:color w:val="auto"/>
                <w:sz w:val="24"/>
                <w:szCs w:val="24"/>
              </w:rPr>
              <w:t>化粪池处理后排入园区排水管网，最终进入</w:t>
            </w:r>
            <w:r>
              <w:rPr>
                <w:rFonts w:hint="eastAsia" w:cs="Times New Roman"/>
                <w:color w:val="auto"/>
                <w:sz w:val="24"/>
                <w:szCs w:val="24"/>
                <w:lang w:val="en-US" w:eastAsia="zh-CN"/>
              </w:rPr>
              <w:t>固原经济技术开发区新材料产业园污水处理厂进行处理</w:t>
            </w:r>
            <w:r>
              <w:rPr>
                <w:rFonts w:hint="eastAsia" w:ascii="Times New Roman" w:hAnsi="Times New Roman" w:eastAsia="宋体" w:cs="Times New Roman"/>
                <w:color w:val="auto"/>
                <w:sz w:val="24"/>
                <w:szCs w:val="24"/>
                <w:lang w:val="en-US" w:eastAsia="zh-CN"/>
              </w:rPr>
              <w:t>；厂区采取分区防渗措施，其中，危废贮存点（1座，10m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为重点防渗区，废活性炭经密封包装后、废润滑油由密闭储油桶收集后与废润滑油桶均置于托盘上，危险废物不与地面直接接触。危废贮存点的地面与裙脚应采取表面防渗措施；表面防渗材料应与所接触的物料或污染物相容，可采用抗渗混凝土、高密度聚乙烯膜、钠基膨润土防水毯或其他防渗性能等效的材料；其余区域为简单防渗区，采取一般水泥硬化措施，对土壤、地下水的影响较小。因此，建设项目不存在土壤、地下水环境污染途径，本次不开展地下水、土壤环境质量现状调查。</w:t>
            </w:r>
          </w:p>
        </w:tc>
      </w:tr>
      <w:tr w14:paraId="679EA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noWrap w:val="0"/>
            <w:vAlign w:val="center"/>
          </w:tcPr>
          <w:p w14:paraId="76EACD89">
            <w:pPr>
              <w:adjustRightInd w:val="0"/>
              <w:snapToGrid w:val="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4"/>
              </w:rPr>
              <w:t>环境保护目标</w:t>
            </w:r>
          </w:p>
        </w:tc>
        <w:tc>
          <w:tcPr>
            <w:tcW w:w="8419" w:type="dxa"/>
            <w:noWrap w:val="0"/>
            <w:vAlign w:val="center"/>
          </w:tcPr>
          <w:p w14:paraId="679F624C">
            <w:pPr>
              <w:adjustRightInd w:val="0"/>
              <w:snapToGrid w:val="0"/>
              <w:spacing w:line="360" w:lineRule="auto"/>
              <w:ind w:firstLine="482" w:firstLineChars="200"/>
              <w:rPr>
                <w:rFonts w:hint="eastAsia" w:ascii="Times New Roman" w:hAnsi="Times New Roman" w:eastAsia="宋体" w:cs="Times New Roman"/>
                <w:b/>
                <w:color w:val="auto"/>
                <w:kern w:val="0"/>
                <w:sz w:val="24"/>
                <w:lang w:eastAsia="zh-CN"/>
              </w:rPr>
            </w:pPr>
            <w:r>
              <w:rPr>
                <w:rFonts w:hint="default" w:ascii="Times New Roman" w:hAnsi="Times New Roman" w:eastAsia="宋体" w:cs="Times New Roman"/>
                <w:b/>
                <w:color w:val="auto"/>
                <w:kern w:val="0"/>
                <w:sz w:val="24"/>
              </w:rPr>
              <w:t>1、大气环境</w:t>
            </w:r>
          </w:p>
          <w:p w14:paraId="6A94AC6A">
            <w:pPr>
              <w:adjustRightInd w:val="0"/>
              <w:snapToGrid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szCs w:val="24"/>
              </w:rPr>
              <w:t>根据现场勘查，本项目厂界外500m范围内无</w:t>
            </w:r>
            <w:r>
              <w:rPr>
                <w:rFonts w:hint="eastAsia" w:ascii="Times New Roman" w:hAnsi="Times New Roman" w:eastAsia="宋体" w:cs="Times New Roman"/>
                <w:color w:val="auto"/>
                <w:sz w:val="24"/>
                <w:szCs w:val="24"/>
                <w:lang w:val="en-US" w:eastAsia="zh-CN"/>
              </w:rPr>
              <w:t>自然保护区、</w:t>
            </w:r>
            <w:r>
              <w:rPr>
                <w:rFonts w:hint="default" w:ascii="Times New Roman" w:hAnsi="Times New Roman" w:eastAsia="宋体" w:cs="Times New Roman"/>
                <w:color w:val="auto"/>
                <w:sz w:val="24"/>
                <w:szCs w:val="24"/>
              </w:rPr>
              <w:t>风景名胜区</w:t>
            </w:r>
            <w:r>
              <w:rPr>
                <w:rFonts w:hint="eastAsia" w:ascii="Times New Roman" w:hAnsi="Times New Roman" w:eastAsia="宋体" w:cs="Times New Roman"/>
                <w:color w:val="auto"/>
                <w:sz w:val="24"/>
                <w:szCs w:val="24"/>
                <w:lang w:val="en-US" w:eastAsia="zh-CN"/>
              </w:rPr>
              <w:t>及</w:t>
            </w:r>
            <w:r>
              <w:rPr>
                <w:rFonts w:hint="default" w:ascii="Times New Roman" w:hAnsi="Times New Roman" w:eastAsia="宋体" w:cs="Times New Roman"/>
                <w:color w:val="auto"/>
                <w:sz w:val="24"/>
                <w:szCs w:val="24"/>
              </w:rPr>
              <w:t>农村地区中人群较集中的区域等保护目标，大气环境保护目标主要为</w:t>
            </w:r>
            <w:r>
              <w:rPr>
                <w:rFonts w:hint="eastAsia" w:ascii="Times New Roman" w:hAnsi="Times New Roman" w:eastAsia="宋体" w:cs="Times New Roman"/>
                <w:color w:val="auto"/>
                <w:sz w:val="24"/>
                <w:szCs w:val="24"/>
                <w:lang w:val="en-US" w:eastAsia="zh-CN"/>
              </w:rPr>
              <w:t>南屯村</w:t>
            </w:r>
            <w:r>
              <w:rPr>
                <w:rFonts w:hint="default" w:ascii="Times New Roman" w:hAnsi="Times New Roman" w:eastAsia="宋体" w:cs="Times New Roman"/>
                <w:color w:val="auto"/>
                <w:sz w:val="24"/>
                <w:szCs w:val="24"/>
              </w:rPr>
              <w:t>，其环境保护要求为符合环境空气质量符合《环境空气质量标准》（GB3095-</w:t>
            </w:r>
            <w:r>
              <w:rPr>
                <w:rFonts w:hint="eastAsia" w:ascii="Times New Roman" w:hAnsi="Times New Roman" w:eastAsia="宋体" w:cs="Times New Roman"/>
                <w:color w:val="auto"/>
                <w:sz w:val="24"/>
                <w:szCs w:val="24"/>
                <w:lang w:val="en-US" w:eastAsia="zh-CN"/>
              </w:rPr>
              <w:t>2026</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二</w:t>
            </w:r>
            <w:r>
              <w:rPr>
                <w:rFonts w:hint="default" w:ascii="Times New Roman" w:hAnsi="Times New Roman" w:eastAsia="宋体" w:cs="Times New Roman"/>
                <w:color w:val="auto"/>
                <w:sz w:val="24"/>
                <w:szCs w:val="24"/>
              </w:rPr>
              <w:t>级</w:t>
            </w:r>
            <w:r>
              <w:rPr>
                <w:rFonts w:hint="eastAsia" w:ascii="Times New Roman" w:hAnsi="Times New Roman" w:eastAsia="宋体" w:cs="Times New Roman"/>
                <w:color w:val="auto"/>
                <w:sz w:val="24"/>
                <w:szCs w:val="24"/>
                <w:lang w:val="en-US" w:eastAsia="zh-CN"/>
              </w:rPr>
              <w:t>浓度限值</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0"/>
                <w:sz w:val="24"/>
              </w:rPr>
              <w:t>具体见下表，本项目环境保护目标见图</w:t>
            </w:r>
            <w:r>
              <w:rPr>
                <w:rFonts w:hint="eastAsia" w:ascii="Times New Roman" w:hAnsi="Times New Roman" w:eastAsia="宋体" w:cs="Times New Roman"/>
                <w:color w:val="auto"/>
                <w:kern w:val="0"/>
                <w:sz w:val="24"/>
                <w:lang w:val="en-US" w:eastAsia="zh-CN"/>
              </w:rPr>
              <w:t>3-1</w:t>
            </w:r>
            <w:r>
              <w:rPr>
                <w:rFonts w:hint="default" w:ascii="Times New Roman" w:hAnsi="Times New Roman" w:eastAsia="宋体" w:cs="Times New Roman"/>
                <w:color w:val="auto"/>
                <w:kern w:val="0"/>
                <w:sz w:val="24"/>
              </w:rPr>
              <w:t>。</w:t>
            </w:r>
          </w:p>
          <w:p w14:paraId="356D0C56">
            <w:pPr>
              <w:pStyle w:val="51"/>
              <w:spacing w:line="240" w:lineRule="auto"/>
              <w:ind w:firstLine="420"/>
              <w:rPr>
                <w:rFonts w:hint="default" w:ascii="Times New Roman" w:hAnsi="Times New Roman" w:eastAsia="宋体" w:cs="Times New Roman"/>
                <w:b/>
                <w:color w:val="auto"/>
                <w:lang w:eastAsia="zh-CN"/>
              </w:rPr>
            </w:pPr>
            <w:r>
              <w:rPr>
                <w:rFonts w:hint="default" w:ascii="Times New Roman" w:hAnsi="Times New Roman" w:eastAsia="宋体" w:cs="Times New Roman"/>
                <w:color w:val="auto"/>
                <w:sz w:val="21"/>
                <w:szCs w:val="21"/>
                <w:lang w:eastAsia="zh-CN"/>
              </w:rPr>
              <w:t>表</w:t>
            </w:r>
            <w:r>
              <w:rPr>
                <w:rFonts w:hint="eastAsia" w:ascii="Times New Roman" w:hAnsi="Times New Roman" w:eastAsia="宋体" w:cs="Times New Roman"/>
                <w:color w:val="auto"/>
                <w:sz w:val="21"/>
                <w:szCs w:val="21"/>
                <w:lang w:val="en-US" w:eastAsia="zh-CN"/>
              </w:rPr>
              <w:t>3-3</w:t>
            </w:r>
            <w:r>
              <w:rPr>
                <w:rFonts w:hint="default" w:ascii="Times New Roman" w:hAnsi="Times New Roman" w:eastAsia="宋体" w:cs="Times New Roman"/>
                <w:color w:val="auto"/>
                <w:szCs w:val="21"/>
                <w:lang w:eastAsia="zh-CN"/>
              </w:rPr>
              <w:t xml:space="preserve">               </w:t>
            </w:r>
            <w:r>
              <w:rPr>
                <w:rFonts w:hint="default" w:ascii="Times New Roman" w:hAnsi="Times New Roman" w:eastAsia="宋体" w:cs="Times New Roman"/>
                <w:b/>
                <w:color w:val="auto"/>
                <w:lang w:eastAsia="zh-CN"/>
              </w:rPr>
              <w:t>本项目环境保护目标一览表</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66"/>
              <w:gridCol w:w="1054"/>
              <w:gridCol w:w="1151"/>
              <w:gridCol w:w="1014"/>
              <w:gridCol w:w="981"/>
              <w:gridCol w:w="1678"/>
              <w:gridCol w:w="727"/>
              <w:gridCol w:w="749"/>
            </w:tblGrid>
            <w:tr w14:paraId="591CA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66" w:type="dxa"/>
                  <w:vMerge w:val="restart"/>
                  <w:noWrap w:val="0"/>
                  <w:vAlign w:val="center"/>
                </w:tcPr>
                <w:p w14:paraId="6242662E">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名称</w:t>
                  </w:r>
                </w:p>
              </w:tc>
              <w:tc>
                <w:tcPr>
                  <w:tcW w:w="2205" w:type="dxa"/>
                  <w:gridSpan w:val="2"/>
                  <w:noWrap w:val="0"/>
                  <w:vAlign w:val="center"/>
                </w:tcPr>
                <w:p w14:paraId="161C649F">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坐标</w:t>
                  </w:r>
                </w:p>
              </w:tc>
              <w:tc>
                <w:tcPr>
                  <w:tcW w:w="1014" w:type="dxa"/>
                  <w:vMerge w:val="restart"/>
                  <w:noWrap w:val="0"/>
                  <w:vAlign w:val="center"/>
                </w:tcPr>
                <w:p w14:paraId="3D4A4F6D">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保护对象</w:t>
                  </w:r>
                </w:p>
              </w:tc>
              <w:tc>
                <w:tcPr>
                  <w:tcW w:w="981" w:type="dxa"/>
                  <w:vMerge w:val="restart"/>
                  <w:noWrap w:val="0"/>
                  <w:vAlign w:val="center"/>
                </w:tcPr>
                <w:p w14:paraId="24A179FB">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保护内容</w:t>
                  </w:r>
                </w:p>
              </w:tc>
              <w:tc>
                <w:tcPr>
                  <w:tcW w:w="1678" w:type="dxa"/>
                  <w:vMerge w:val="restart"/>
                  <w:noWrap w:val="0"/>
                  <w:vAlign w:val="center"/>
                </w:tcPr>
                <w:p w14:paraId="085E08B9">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环境功能区</w:t>
                  </w:r>
                </w:p>
              </w:tc>
              <w:tc>
                <w:tcPr>
                  <w:tcW w:w="727" w:type="dxa"/>
                  <w:vMerge w:val="restart"/>
                  <w:noWrap w:val="0"/>
                  <w:vAlign w:val="center"/>
                </w:tcPr>
                <w:p w14:paraId="5742A7EF">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相对厂址</w:t>
                  </w:r>
                  <w:r>
                    <w:rPr>
                      <w:rFonts w:hint="default" w:ascii="Times New Roman" w:hAnsi="Times New Roman" w:eastAsia="宋体" w:cs="Times New Roman"/>
                      <w:b/>
                      <w:color w:val="auto"/>
                    </w:rPr>
                    <w:cr/>
                  </w:r>
                  <w:r>
                    <w:rPr>
                      <w:rFonts w:hint="default" w:ascii="Times New Roman" w:hAnsi="Times New Roman" w:eastAsia="宋体" w:cs="Times New Roman"/>
                      <w:b/>
                      <w:color w:val="auto"/>
                    </w:rPr>
                    <w:t>方位</w:t>
                  </w:r>
                </w:p>
              </w:tc>
              <w:tc>
                <w:tcPr>
                  <w:tcW w:w="749" w:type="dxa"/>
                  <w:vMerge w:val="restart"/>
                  <w:noWrap w:val="0"/>
                  <w:vAlign w:val="center"/>
                </w:tcPr>
                <w:p w14:paraId="3A8E8ECD">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相对厂界距离/m</w:t>
                  </w:r>
                </w:p>
              </w:tc>
            </w:tr>
            <w:tr w14:paraId="0CD15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09" w:hRule="atLeast"/>
                <w:jc w:val="center"/>
              </w:trPr>
              <w:tc>
                <w:tcPr>
                  <w:tcW w:w="866" w:type="dxa"/>
                  <w:vMerge w:val="continue"/>
                  <w:noWrap w:val="0"/>
                  <w:vAlign w:val="center"/>
                </w:tcPr>
                <w:p w14:paraId="441DFBB9">
                  <w:pPr>
                    <w:snapToGrid w:val="0"/>
                    <w:jc w:val="center"/>
                    <w:rPr>
                      <w:rFonts w:hint="default" w:ascii="Times New Roman" w:hAnsi="Times New Roman" w:eastAsia="宋体" w:cs="Times New Roman"/>
                      <w:b/>
                      <w:color w:val="auto"/>
                    </w:rPr>
                  </w:pPr>
                </w:p>
              </w:tc>
              <w:tc>
                <w:tcPr>
                  <w:tcW w:w="1054" w:type="dxa"/>
                  <w:noWrap w:val="0"/>
                  <w:vAlign w:val="center"/>
                </w:tcPr>
                <w:p w14:paraId="55255962">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X</w:t>
                  </w:r>
                </w:p>
              </w:tc>
              <w:tc>
                <w:tcPr>
                  <w:tcW w:w="1151" w:type="dxa"/>
                  <w:noWrap w:val="0"/>
                  <w:vAlign w:val="center"/>
                </w:tcPr>
                <w:p w14:paraId="56D2D659">
                  <w:pPr>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Y</w:t>
                  </w:r>
                </w:p>
              </w:tc>
              <w:tc>
                <w:tcPr>
                  <w:tcW w:w="1014" w:type="dxa"/>
                  <w:vMerge w:val="continue"/>
                  <w:noWrap w:val="0"/>
                  <w:vAlign w:val="center"/>
                </w:tcPr>
                <w:p w14:paraId="22DC2F77">
                  <w:pPr>
                    <w:snapToGrid w:val="0"/>
                    <w:jc w:val="center"/>
                    <w:rPr>
                      <w:rFonts w:hint="default" w:ascii="Times New Roman" w:hAnsi="Times New Roman" w:eastAsia="宋体" w:cs="Times New Roman"/>
                      <w:b/>
                      <w:color w:val="auto"/>
                    </w:rPr>
                  </w:pPr>
                </w:p>
              </w:tc>
              <w:tc>
                <w:tcPr>
                  <w:tcW w:w="981" w:type="dxa"/>
                  <w:vMerge w:val="continue"/>
                  <w:noWrap w:val="0"/>
                  <w:vAlign w:val="center"/>
                </w:tcPr>
                <w:p w14:paraId="05F2F6F0">
                  <w:pPr>
                    <w:snapToGrid w:val="0"/>
                    <w:jc w:val="center"/>
                    <w:rPr>
                      <w:rFonts w:hint="default" w:ascii="Times New Roman" w:hAnsi="Times New Roman" w:eastAsia="宋体" w:cs="Times New Roman"/>
                      <w:b/>
                      <w:color w:val="auto"/>
                    </w:rPr>
                  </w:pPr>
                </w:p>
              </w:tc>
              <w:tc>
                <w:tcPr>
                  <w:tcW w:w="1678" w:type="dxa"/>
                  <w:vMerge w:val="continue"/>
                  <w:noWrap w:val="0"/>
                  <w:vAlign w:val="center"/>
                </w:tcPr>
                <w:p w14:paraId="33470086">
                  <w:pPr>
                    <w:snapToGrid w:val="0"/>
                    <w:jc w:val="center"/>
                    <w:rPr>
                      <w:rFonts w:hint="default" w:ascii="Times New Roman" w:hAnsi="Times New Roman" w:eastAsia="宋体" w:cs="Times New Roman"/>
                      <w:b/>
                      <w:color w:val="auto"/>
                    </w:rPr>
                  </w:pPr>
                </w:p>
              </w:tc>
              <w:tc>
                <w:tcPr>
                  <w:tcW w:w="727" w:type="dxa"/>
                  <w:vMerge w:val="continue"/>
                  <w:noWrap w:val="0"/>
                  <w:vAlign w:val="center"/>
                </w:tcPr>
                <w:p w14:paraId="48FE272C">
                  <w:pPr>
                    <w:snapToGrid w:val="0"/>
                    <w:jc w:val="center"/>
                    <w:rPr>
                      <w:rFonts w:hint="default" w:ascii="Times New Roman" w:hAnsi="Times New Roman" w:eastAsia="宋体" w:cs="Times New Roman"/>
                      <w:b/>
                      <w:color w:val="auto"/>
                    </w:rPr>
                  </w:pPr>
                </w:p>
              </w:tc>
              <w:tc>
                <w:tcPr>
                  <w:tcW w:w="749" w:type="dxa"/>
                  <w:vMerge w:val="continue"/>
                  <w:noWrap w:val="0"/>
                  <w:vAlign w:val="center"/>
                </w:tcPr>
                <w:p w14:paraId="10F70A03">
                  <w:pPr>
                    <w:snapToGrid w:val="0"/>
                    <w:jc w:val="center"/>
                    <w:rPr>
                      <w:rFonts w:hint="default" w:ascii="Times New Roman" w:hAnsi="Times New Roman" w:eastAsia="宋体" w:cs="Times New Roman"/>
                      <w:b/>
                      <w:color w:val="auto"/>
                    </w:rPr>
                  </w:pPr>
                </w:p>
              </w:tc>
            </w:tr>
            <w:tr w14:paraId="077E1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866" w:type="dxa"/>
                  <w:noWrap w:val="0"/>
                  <w:vAlign w:val="center"/>
                </w:tcPr>
                <w:p w14:paraId="023C6423">
                  <w:pPr>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南屯村</w:t>
                  </w:r>
                </w:p>
              </w:tc>
              <w:tc>
                <w:tcPr>
                  <w:tcW w:w="1054" w:type="dxa"/>
                  <w:noWrap w:val="0"/>
                  <w:vAlign w:val="center"/>
                </w:tcPr>
                <w:p w14:paraId="4F8A51CB">
                  <w:pPr>
                    <w:widowControl/>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604537.253</w:t>
                  </w:r>
                </w:p>
              </w:tc>
              <w:tc>
                <w:tcPr>
                  <w:tcW w:w="1151" w:type="dxa"/>
                  <w:noWrap w:val="0"/>
                  <w:vAlign w:val="center"/>
                </w:tcPr>
                <w:p w14:paraId="00B67130">
                  <w:pPr>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4004093.113</w:t>
                  </w:r>
                </w:p>
              </w:tc>
              <w:tc>
                <w:tcPr>
                  <w:tcW w:w="1014" w:type="dxa"/>
                  <w:noWrap w:val="0"/>
                  <w:vAlign w:val="center"/>
                </w:tcPr>
                <w:p w14:paraId="08B9450F">
                  <w:pPr>
                    <w:adjustRightInd w:val="0"/>
                    <w:snapToGrid w:val="0"/>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居民区</w:t>
                  </w:r>
                </w:p>
              </w:tc>
              <w:tc>
                <w:tcPr>
                  <w:tcW w:w="981" w:type="dxa"/>
                  <w:noWrap w:val="0"/>
                  <w:vAlign w:val="center"/>
                </w:tcPr>
                <w:p w14:paraId="531B8DF8">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6户/20人</w:t>
                  </w:r>
                </w:p>
              </w:tc>
              <w:tc>
                <w:tcPr>
                  <w:tcW w:w="1678" w:type="dxa"/>
                  <w:noWrap w:val="0"/>
                  <w:vAlign w:val="center"/>
                </w:tcPr>
                <w:p w14:paraId="7138B49B">
                  <w:pPr>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《环境空气质量标准》（GB3095-20</w:t>
                  </w:r>
                  <w:r>
                    <w:rPr>
                      <w:rFonts w:hint="eastAsia" w:ascii="Times New Roman" w:hAnsi="Times New Roman" w:eastAsia="宋体" w:cs="Times New Roman"/>
                      <w:color w:val="auto"/>
                      <w:lang w:val="en-US" w:eastAsia="zh-CN"/>
                    </w:rPr>
                    <w:t>26）</w:t>
                  </w:r>
                  <w:r>
                    <w:rPr>
                      <w:rFonts w:hint="default" w:ascii="Times New Roman" w:hAnsi="Times New Roman" w:eastAsia="宋体" w:cs="Times New Roman"/>
                      <w:color w:val="auto"/>
                    </w:rPr>
                    <w:t>中的</w:t>
                  </w:r>
                  <w:r>
                    <w:rPr>
                      <w:rFonts w:hint="eastAsia" w:ascii="Times New Roman" w:hAnsi="Times New Roman" w:eastAsia="宋体" w:cs="Times New Roman"/>
                      <w:color w:val="auto"/>
                      <w:lang w:val="en-US" w:eastAsia="zh-CN"/>
                    </w:rPr>
                    <w:t>二</w:t>
                  </w:r>
                  <w:r>
                    <w:rPr>
                      <w:rFonts w:hint="default" w:ascii="Times New Roman" w:hAnsi="Times New Roman" w:eastAsia="宋体" w:cs="Times New Roman"/>
                      <w:color w:val="auto"/>
                    </w:rPr>
                    <w:t>类区</w:t>
                  </w:r>
                </w:p>
              </w:tc>
              <w:tc>
                <w:tcPr>
                  <w:tcW w:w="727" w:type="dxa"/>
                  <w:noWrap w:val="0"/>
                  <w:vAlign w:val="center"/>
                </w:tcPr>
                <w:p w14:paraId="49B89AAE">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SE</w:t>
                  </w:r>
                </w:p>
              </w:tc>
              <w:tc>
                <w:tcPr>
                  <w:tcW w:w="749" w:type="dxa"/>
                  <w:noWrap w:val="0"/>
                  <w:vAlign w:val="center"/>
                </w:tcPr>
                <w:p w14:paraId="69565AEA">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410</w:t>
                  </w:r>
                </w:p>
              </w:tc>
            </w:tr>
            <w:tr w14:paraId="141C2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6" w:hRule="atLeast"/>
                <w:jc w:val="center"/>
              </w:trPr>
              <w:tc>
                <w:tcPr>
                  <w:tcW w:w="8220" w:type="dxa"/>
                  <w:gridSpan w:val="8"/>
                  <w:noWrap w:val="0"/>
                  <w:vAlign w:val="center"/>
                </w:tcPr>
                <w:p w14:paraId="273BC063">
                  <w:pPr>
                    <w:adjustRightInd w:val="0"/>
                    <w:snapToGrid w:val="0"/>
                    <w:rPr>
                      <w:rFonts w:hint="default" w:ascii="Times New Roman" w:hAnsi="Times New Roman" w:eastAsia="宋体" w:cs="Times New Roman"/>
                      <w:color w:val="auto"/>
                    </w:rPr>
                  </w:pPr>
                  <w:r>
                    <w:rPr>
                      <w:rFonts w:hint="default" w:ascii="Times New Roman" w:hAnsi="Times New Roman" w:eastAsia="宋体" w:cs="Times New Roman"/>
                      <w:color w:val="auto"/>
                    </w:rPr>
                    <w:t>备注：①表中距离为敏感点与各环境要素评价中心的距离；②坐标采用WGS84坐标UTM投影。</w:t>
                  </w:r>
                </w:p>
              </w:tc>
            </w:tr>
          </w:tbl>
          <w:p w14:paraId="5162D8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kern w:val="0"/>
                <w:sz w:val="24"/>
                <w:lang w:eastAsia="zh-CN"/>
              </w:rPr>
            </w:pPr>
            <w:r>
              <w:rPr>
                <w:rFonts w:hint="eastAsia" w:ascii="Times New Roman" w:hAnsi="Times New Roman" w:eastAsia="宋体" w:cs="Times New Roman"/>
                <w:b/>
                <w:color w:val="auto"/>
                <w:kern w:val="0"/>
                <w:sz w:val="24"/>
                <w:lang w:eastAsia="zh-CN"/>
              </w:rPr>
              <w:drawing>
                <wp:inline distT="0" distB="0" distL="114300" distR="114300">
                  <wp:extent cx="5076190" cy="3682365"/>
                  <wp:effectExtent l="0" t="0" r="10160" b="13335"/>
                  <wp:docPr id="8" name="图片 8" descr="敏感目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敏感目标"/>
                          <pic:cNvPicPr>
                            <a:picLocks noChangeAspect="1"/>
                          </pic:cNvPicPr>
                        </pic:nvPicPr>
                        <pic:blipFill>
                          <a:blip r:embed="rId20"/>
                          <a:srcRect l="3891" t="4890" r="14119" b="10990"/>
                          <a:stretch>
                            <a:fillRect/>
                          </a:stretch>
                        </pic:blipFill>
                        <pic:spPr>
                          <a:xfrm>
                            <a:off x="0" y="0"/>
                            <a:ext cx="5076190" cy="3682365"/>
                          </a:xfrm>
                          <a:prstGeom prst="rect">
                            <a:avLst/>
                          </a:prstGeom>
                        </pic:spPr>
                      </pic:pic>
                    </a:graphicData>
                  </a:graphic>
                </wp:inline>
              </w:drawing>
            </w:r>
          </w:p>
          <w:p w14:paraId="0C399239">
            <w:pPr>
              <w:spacing w:after="120" w:afterLines="50"/>
              <w:jc w:val="center"/>
              <w:rPr>
                <w:rFonts w:hint="default" w:ascii="Times New Roman" w:hAnsi="Times New Roman" w:eastAsia="宋体" w:cs="Times New Roman"/>
                <w:b/>
                <w:bCs/>
                <w:color w:val="auto"/>
                <w:sz w:val="24"/>
              </w:rPr>
            </w:pPr>
            <w:r>
              <w:rPr>
                <w:rFonts w:hint="default" w:ascii="Times New Roman" w:hAnsi="Times New Roman" w:eastAsia="宋体" w:cs="Times New Roman"/>
                <w:color w:val="auto"/>
              </w:rPr>
              <w:t>图</w:t>
            </w:r>
            <w:r>
              <w:rPr>
                <w:rFonts w:hint="eastAsia" w:ascii="Times New Roman" w:hAnsi="Times New Roman" w:eastAsia="宋体" w:cs="Times New Roman"/>
                <w:color w:val="auto"/>
                <w:lang w:val="en-US" w:eastAsia="zh-CN"/>
              </w:rPr>
              <w:t>3-1</w:t>
            </w:r>
            <w:r>
              <w:rPr>
                <w:rFonts w:hint="default" w:ascii="Times New Roman" w:hAnsi="Times New Roman" w:eastAsia="宋体" w:cs="Times New Roman"/>
                <w:color w:val="auto"/>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本项目500m范围内环境保护目标图</w:t>
            </w:r>
          </w:p>
          <w:p w14:paraId="7B3C9C96">
            <w:pPr>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2、声环境</w:t>
            </w:r>
          </w:p>
          <w:p w14:paraId="6D47BD3D">
            <w:pPr>
              <w:adjustRightInd w:val="0"/>
              <w:snapToGrid w:val="0"/>
              <w:spacing w:line="360" w:lineRule="auto"/>
              <w:ind w:firstLine="480" w:firstLineChars="200"/>
              <w:jc w:val="left"/>
              <w:rPr>
                <w:rFonts w:hint="default" w:ascii="Times New Roman" w:hAnsi="Times New Roman" w:eastAsia="宋体" w:cs="Times New Roman"/>
                <w:b/>
                <w:bCs/>
                <w:color w:val="auto"/>
                <w:kern w:val="0"/>
                <w:sz w:val="24"/>
              </w:rPr>
            </w:pPr>
            <w:r>
              <w:rPr>
                <w:rFonts w:hint="default" w:ascii="Times New Roman" w:hAnsi="Times New Roman" w:eastAsia="宋体" w:cs="Times New Roman"/>
                <w:color w:val="auto"/>
                <w:kern w:val="0"/>
                <w:sz w:val="24"/>
              </w:rPr>
              <w:t>根据现场勘查，本项目厂界外50m范围内无声环境保护目标。</w:t>
            </w:r>
          </w:p>
          <w:p w14:paraId="08D25D2B">
            <w:pPr>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3、地表水环境</w:t>
            </w:r>
          </w:p>
          <w:p w14:paraId="67788CFB">
            <w:pPr>
              <w:adjustRightInd w:val="0"/>
              <w:snapToGrid w:val="0"/>
              <w:spacing w:line="360" w:lineRule="auto"/>
              <w:ind w:firstLine="480" w:firstLineChars="200"/>
              <w:jc w:val="both"/>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现场勘查，本项目评价范围内无饮用水水源保护区、饮用水取水口，无涉水的自然保护区、风景名胜区，无重要湿地、重点保护与珍稀水生生物的栖息地、重要水生生物的自然产卵场及索饵场、越冬场和洄游通道，无天然渔场等渔业水体以及水产种质资源保护区等。因此，本项目无地表水环境保护目标。</w:t>
            </w:r>
          </w:p>
          <w:p w14:paraId="4339C497">
            <w:pPr>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4、地下水环境</w:t>
            </w:r>
          </w:p>
          <w:p w14:paraId="0567BA28">
            <w:pPr>
              <w:adjustRightInd w:val="0"/>
              <w:snapToGrid w:val="0"/>
              <w:spacing w:line="360" w:lineRule="auto"/>
              <w:ind w:firstLine="480" w:firstLineChars="200"/>
              <w:jc w:val="both"/>
              <w:rPr>
                <w:rFonts w:hint="default" w:ascii="Times New Roman" w:hAnsi="Times New Roman" w:eastAsia="宋体" w:cs="Times New Roman"/>
                <w:b/>
                <w:bCs/>
                <w:color w:val="auto"/>
                <w:kern w:val="0"/>
                <w:sz w:val="24"/>
              </w:rPr>
            </w:pPr>
            <w:r>
              <w:rPr>
                <w:rFonts w:hint="default" w:ascii="Times New Roman" w:hAnsi="Times New Roman" w:eastAsia="宋体" w:cs="Times New Roman"/>
                <w:color w:val="auto"/>
                <w:kern w:val="0"/>
                <w:sz w:val="24"/>
              </w:rPr>
              <w:t>根据现场勘查，本项目厂界外500m范围内无地下水集中式饮用水水源或热水、矿泉水、温泉等特殊地下水资源。</w:t>
            </w:r>
            <w:r>
              <w:rPr>
                <w:rFonts w:hint="default" w:ascii="Times New Roman" w:hAnsi="Times New Roman" w:eastAsia="宋体" w:cs="Times New Roman"/>
                <w:color w:val="auto"/>
                <w:sz w:val="24"/>
                <w:szCs w:val="24"/>
              </w:rPr>
              <w:t>因此，本项目无地下水环境保护目标。</w:t>
            </w:r>
          </w:p>
          <w:p w14:paraId="3D2B2088">
            <w:pPr>
              <w:adjustRightInd w:val="0"/>
              <w:snapToGrid w:val="0"/>
              <w:spacing w:line="360" w:lineRule="auto"/>
              <w:ind w:firstLine="482"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5、生态环境</w:t>
            </w:r>
          </w:p>
          <w:p w14:paraId="31BE5AE9">
            <w:pPr>
              <w:adjustRightInd w:val="0"/>
              <w:snapToGrid w:val="0"/>
              <w:spacing w:line="360" w:lineRule="auto"/>
              <w:ind w:firstLine="480" w:firstLineChars="200"/>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sz w:val="24"/>
              </w:rPr>
              <w:t>本项目位于</w:t>
            </w:r>
            <w:r>
              <w:rPr>
                <w:rFonts w:hint="eastAsia"/>
                <w:color w:val="auto"/>
                <w:sz w:val="24"/>
                <w:highlight w:val="none"/>
                <w:lang w:val="en-US" w:eastAsia="zh-CN"/>
              </w:rPr>
              <w:t>固原市经济开发区新材料园区，租赁宁夏天楹环保能源有限公司现有空地进行建设，具体位于宁夏天楹环保能源有限公司围墙内东北侧。</w:t>
            </w:r>
            <w:r>
              <w:rPr>
                <w:rFonts w:hint="default" w:ascii="Times New Roman" w:hAnsi="Times New Roman" w:eastAsia="宋体" w:cs="Times New Roman"/>
                <w:color w:val="auto"/>
                <w:sz w:val="24"/>
                <w:szCs w:val="24"/>
              </w:rPr>
              <w:t>项目占地范围内生态环境以人工种植绿化树木为主，无珍稀或濒危动、植物。因此，本项目不涉及生态环境保护目标。</w:t>
            </w:r>
          </w:p>
        </w:tc>
      </w:tr>
      <w:tr w14:paraId="5214B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2" w:type="dxa"/>
            <w:noWrap w:val="0"/>
            <w:tcMar>
              <w:left w:w="28" w:type="dxa"/>
              <w:right w:w="28" w:type="dxa"/>
            </w:tcMar>
            <w:vAlign w:val="center"/>
          </w:tcPr>
          <w:p w14:paraId="4BD59186">
            <w:pPr>
              <w:adjustRightInd w:val="0"/>
              <w:snapToGrid w:val="0"/>
              <w:spacing w:line="400" w:lineRule="exact"/>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4"/>
              </w:rPr>
              <w:t>污染物排放控制标准</w:t>
            </w:r>
          </w:p>
        </w:tc>
        <w:tc>
          <w:tcPr>
            <w:tcW w:w="8419" w:type="dxa"/>
            <w:noWrap w:val="0"/>
            <w:vAlign w:val="top"/>
          </w:tcPr>
          <w:p w14:paraId="3AB0CF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firstLine="482" w:firstLineChars="200"/>
              <w:jc w:val="both"/>
              <w:textAlignment w:val="auto"/>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szCs w:val="21"/>
                <w:lang w:val="en-US" w:eastAsia="zh-CN" w:bidi="ar-SA"/>
              </w:rPr>
              <w:t>1、</w:t>
            </w:r>
            <w:r>
              <w:rPr>
                <w:rFonts w:hint="eastAsia" w:ascii="Times New Roman" w:hAnsi="Times New Roman" w:eastAsia="宋体" w:cs="Times New Roman"/>
                <w:b/>
                <w:bCs/>
                <w:color w:val="auto"/>
                <w:kern w:val="0"/>
                <w:sz w:val="24"/>
                <w:lang w:val="en-US" w:eastAsia="zh-CN"/>
              </w:rPr>
              <w:t>废气</w:t>
            </w:r>
          </w:p>
          <w:p w14:paraId="7118E8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fldChar w:fldCharType="begin"/>
            </w:r>
            <w:r>
              <w:rPr>
                <w:rFonts w:hint="default" w:ascii="Times New Roman" w:hAnsi="Times New Roman" w:eastAsia="宋体" w:cs="Times New Roman"/>
                <w:color w:val="auto"/>
                <w:kern w:val="0"/>
                <w:sz w:val="24"/>
                <w:szCs w:val="24"/>
                <w:lang w:val="en-US" w:eastAsia="zh-CN"/>
              </w:rPr>
              <w:instrText xml:space="preserve"> = 1 \* GB2 \* MERGEFORMAT </w:instrText>
            </w:r>
            <w:r>
              <w:rPr>
                <w:rFonts w:hint="default" w:ascii="Times New Roman" w:hAnsi="Times New Roman" w:eastAsia="宋体" w:cs="Times New Roman"/>
                <w:color w:val="auto"/>
                <w:kern w:val="0"/>
                <w:sz w:val="24"/>
                <w:szCs w:val="24"/>
                <w:lang w:val="en-US" w:eastAsia="zh-CN"/>
              </w:rPr>
              <w:fldChar w:fldCharType="separate"/>
            </w:r>
            <w:r>
              <w:rPr>
                <w:rFonts w:hint="default" w:ascii="Times New Roman" w:hAnsi="Times New Roman" w:cs="Times New Roman"/>
                <w:color w:val="auto"/>
                <w:sz w:val="24"/>
                <w:szCs w:val="24"/>
              </w:rPr>
              <w:t>⑴</w:t>
            </w:r>
            <w:r>
              <w:rPr>
                <w:rFonts w:hint="default" w:ascii="Times New Roman" w:hAnsi="Times New Roman" w:eastAsia="宋体" w:cs="Times New Roman"/>
                <w:color w:val="auto"/>
                <w:kern w:val="0"/>
                <w:sz w:val="24"/>
                <w:szCs w:val="24"/>
                <w:lang w:val="en-US" w:eastAsia="zh-CN"/>
              </w:rPr>
              <w:fldChar w:fldCharType="end"/>
            </w:r>
            <w:r>
              <w:rPr>
                <w:rFonts w:hint="default" w:ascii="Times New Roman" w:hAnsi="Times New Roman" w:eastAsia="宋体" w:cs="Times New Roman"/>
                <w:color w:val="auto"/>
                <w:kern w:val="0"/>
                <w:sz w:val="24"/>
                <w:szCs w:val="24"/>
                <w:lang w:val="en-US" w:eastAsia="zh-CN"/>
              </w:rPr>
              <w:t>施工扬尘</w:t>
            </w:r>
          </w:p>
          <w:p w14:paraId="71BFA7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项目施工期扬尘执行《大气污染物综合排放标准》（GB16297-1996）中的无组织排放监控浓度限值</w:t>
            </w:r>
            <w:r>
              <w:rPr>
                <w:rFonts w:hint="eastAsia" w:ascii="Times New Roman" w:hAnsi="Times New Roman" w:eastAsia="宋体" w:cs="Times New Roman"/>
                <w:color w:val="auto"/>
                <w:kern w:val="0"/>
                <w:sz w:val="24"/>
                <w:szCs w:val="24"/>
                <w:lang w:val="en-US" w:eastAsia="zh-CN"/>
              </w:rPr>
              <w:t>。</w:t>
            </w:r>
          </w:p>
          <w:p w14:paraId="217FCC80">
            <w:pPr>
              <w:pStyle w:val="16"/>
              <w:adjustRightInd w:val="0"/>
              <w:snapToGrid w:val="0"/>
              <w:ind w:firstLine="431"/>
              <w:rPr>
                <w:rFonts w:ascii="Times New Roman" w:hAnsi="Times New Roman"/>
                <w:b/>
                <w:color w:val="auto"/>
                <w:highlight w:val="none"/>
              </w:rPr>
            </w:pPr>
            <w:r>
              <w:rPr>
                <w:rFonts w:ascii="Times New Roman" w:hAnsi="Times New Roman"/>
                <w:bCs/>
                <w:color w:val="auto"/>
                <w:szCs w:val="21"/>
                <w:highlight w:val="none"/>
              </w:rPr>
              <w:t>表</w:t>
            </w:r>
            <w:r>
              <w:rPr>
                <w:rFonts w:hint="eastAsia" w:ascii="Times New Roman" w:hAnsi="Times New Roman"/>
                <w:bCs/>
                <w:color w:val="auto"/>
                <w:szCs w:val="21"/>
                <w:highlight w:val="none"/>
              </w:rPr>
              <w:t>3-</w:t>
            </w:r>
            <w:r>
              <w:rPr>
                <w:rFonts w:hint="eastAsia" w:ascii="Times New Roman" w:hAnsi="Times New Roman"/>
                <w:bCs/>
                <w:color w:val="auto"/>
                <w:szCs w:val="21"/>
                <w:highlight w:val="none"/>
                <w:lang w:val="en-US" w:eastAsia="zh-CN"/>
              </w:rPr>
              <w:t>4</w:t>
            </w:r>
            <w:r>
              <w:rPr>
                <w:rFonts w:hint="eastAsia" w:ascii="Times New Roman" w:hAnsi="Times New Roman"/>
                <w:bCs/>
                <w:color w:val="auto"/>
                <w:szCs w:val="21"/>
                <w:highlight w:val="none"/>
              </w:rPr>
              <w:t xml:space="preserve">            </w:t>
            </w:r>
            <w:r>
              <w:rPr>
                <w:rFonts w:hint="eastAsia" w:ascii="Times New Roman" w:hAnsi="Times New Roman" w:eastAsia="宋体" w:cs="Times New Roman"/>
                <w:b/>
                <w:color w:val="auto"/>
                <w:sz w:val="24"/>
                <w:highlight w:val="none"/>
                <w:lang w:val="en-US" w:eastAsia="zh-CN"/>
              </w:rPr>
              <w:t>施工期扬尘无组织排放监控浓度限值</w:t>
            </w:r>
          </w:p>
          <w:tbl>
            <w:tblPr>
              <w:tblStyle w:val="30"/>
              <w:tblW w:w="0" w:type="auto"/>
              <w:jc w:val="center"/>
              <w:tblLayout w:type="autofit"/>
              <w:tblCellMar>
                <w:top w:w="28" w:type="dxa"/>
                <w:left w:w="108" w:type="dxa"/>
                <w:bottom w:w="28" w:type="dxa"/>
                <w:right w:w="108" w:type="dxa"/>
              </w:tblCellMar>
            </w:tblPr>
            <w:tblGrid>
              <w:gridCol w:w="4149"/>
              <w:gridCol w:w="4071"/>
            </w:tblGrid>
            <w:tr w14:paraId="69CB5E1A">
              <w:tblPrEx>
                <w:tblCellMar>
                  <w:top w:w="28" w:type="dxa"/>
                  <w:left w:w="108" w:type="dxa"/>
                  <w:bottom w:w="28" w:type="dxa"/>
                  <w:right w:w="108" w:type="dxa"/>
                </w:tblCellMar>
              </w:tblPrEx>
              <w:trPr>
                <w:trHeight w:val="277" w:hRule="atLeast"/>
                <w:jc w:val="center"/>
              </w:trPr>
              <w:tc>
                <w:tcPr>
                  <w:tcW w:w="4149" w:type="dxa"/>
                  <w:tcBorders>
                    <w:top w:val="single" w:color="auto" w:sz="12" w:space="0"/>
                    <w:left w:val="single" w:color="auto" w:sz="12" w:space="0"/>
                    <w:bottom w:val="single" w:color="auto" w:sz="6" w:space="0"/>
                    <w:right w:val="single" w:color="auto" w:sz="6" w:space="0"/>
                  </w:tcBorders>
                  <w:noWrap w:val="0"/>
                  <w:vAlign w:val="center"/>
                </w:tcPr>
                <w:p w14:paraId="78F9A1E8">
                  <w:pPr>
                    <w:adjustRightInd w:val="0"/>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污染物</w:t>
                  </w:r>
                </w:p>
              </w:tc>
              <w:tc>
                <w:tcPr>
                  <w:tcW w:w="4071" w:type="dxa"/>
                  <w:tcBorders>
                    <w:top w:val="single" w:color="auto" w:sz="12" w:space="0"/>
                    <w:left w:val="single" w:color="auto" w:sz="6" w:space="0"/>
                    <w:bottom w:val="single" w:color="auto" w:sz="6" w:space="0"/>
                    <w:right w:val="single" w:color="auto" w:sz="12" w:space="0"/>
                  </w:tcBorders>
                  <w:noWrap w:val="0"/>
                  <w:vAlign w:val="center"/>
                </w:tcPr>
                <w:p w14:paraId="4FF1526F">
                  <w:pPr>
                    <w:adjustRightInd w:val="0"/>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限值（</w:t>
                  </w:r>
                  <w:r>
                    <w:rPr>
                      <w:rFonts w:hint="default" w:ascii="Times New Roman" w:hAnsi="Times New Roman" w:eastAsia="宋体" w:cs="Times New Roman"/>
                      <w:b/>
                      <w:bCs/>
                      <w:color w:val="auto"/>
                    </w:rPr>
                    <w:t>mg/m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color w:val="auto"/>
                    </w:rPr>
                    <w:t>）</w:t>
                  </w:r>
                </w:p>
              </w:tc>
            </w:tr>
            <w:tr w14:paraId="29B45E66">
              <w:tblPrEx>
                <w:tblCellMar>
                  <w:top w:w="28" w:type="dxa"/>
                  <w:left w:w="108" w:type="dxa"/>
                  <w:bottom w:w="28" w:type="dxa"/>
                  <w:right w:w="108" w:type="dxa"/>
                </w:tblCellMar>
              </w:tblPrEx>
              <w:trPr>
                <w:trHeight w:val="260" w:hRule="atLeast"/>
                <w:jc w:val="center"/>
              </w:trPr>
              <w:tc>
                <w:tcPr>
                  <w:tcW w:w="4149" w:type="dxa"/>
                  <w:tcBorders>
                    <w:top w:val="single" w:color="auto" w:sz="6" w:space="0"/>
                    <w:left w:val="single" w:color="auto" w:sz="12" w:space="0"/>
                    <w:bottom w:val="single" w:color="auto" w:sz="12" w:space="0"/>
                    <w:right w:val="single" w:color="auto" w:sz="6" w:space="0"/>
                  </w:tcBorders>
                  <w:noWrap w:val="0"/>
                  <w:vAlign w:val="center"/>
                </w:tcPr>
                <w:p w14:paraId="6606E7A2">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颗粒物</w:t>
                  </w:r>
                </w:p>
              </w:tc>
              <w:tc>
                <w:tcPr>
                  <w:tcW w:w="4071" w:type="dxa"/>
                  <w:tcBorders>
                    <w:top w:val="single" w:color="auto" w:sz="6" w:space="0"/>
                    <w:left w:val="single" w:color="auto" w:sz="6" w:space="0"/>
                    <w:bottom w:val="single" w:color="auto" w:sz="12" w:space="0"/>
                    <w:right w:val="single" w:color="auto" w:sz="12" w:space="0"/>
                  </w:tcBorders>
                  <w:noWrap w:val="0"/>
                  <w:vAlign w:val="center"/>
                </w:tcPr>
                <w:p w14:paraId="28DB4A5B">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1.0</w:t>
                  </w:r>
                </w:p>
              </w:tc>
            </w:tr>
          </w:tbl>
          <w:p w14:paraId="72D3BA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fldChar w:fldCharType="begin"/>
            </w:r>
            <w:r>
              <w:rPr>
                <w:rFonts w:hint="eastAsia" w:ascii="Times New Roman" w:hAnsi="Times New Roman" w:eastAsia="宋体" w:cs="Times New Roman"/>
                <w:color w:val="auto"/>
                <w:kern w:val="0"/>
                <w:sz w:val="24"/>
                <w:szCs w:val="24"/>
                <w:lang w:val="en-US" w:eastAsia="zh-CN"/>
              </w:rPr>
              <w:instrText xml:space="preserve"> = 2 \* GB2 \* MERGEFORMAT </w:instrText>
            </w:r>
            <w:r>
              <w:rPr>
                <w:rFonts w:hint="eastAsia" w:ascii="Times New Roman" w:hAnsi="Times New Roman" w:eastAsia="宋体" w:cs="Times New Roman"/>
                <w:color w:val="auto"/>
                <w:kern w:val="0"/>
                <w:sz w:val="24"/>
                <w:szCs w:val="24"/>
                <w:lang w:val="en-US" w:eastAsia="zh-CN"/>
              </w:rPr>
              <w:fldChar w:fldCharType="separate"/>
            </w:r>
            <w:r>
              <w:rPr>
                <w:rFonts w:hint="default" w:ascii="Times New Roman" w:hAnsi="Times New Roman" w:eastAsia="宋体" w:cs="Times New Roman"/>
                <w:color w:val="auto"/>
                <w:kern w:val="0"/>
                <w:sz w:val="24"/>
                <w:szCs w:val="24"/>
                <w:lang w:val="en-US" w:eastAsia="zh-CN"/>
              </w:rPr>
              <w:t>⑵</w:t>
            </w:r>
            <w:r>
              <w:rPr>
                <w:rFonts w:hint="eastAsia" w:ascii="Times New Roman" w:hAnsi="Times New Roman" w:eastAsia="宋体" w:cs="Times New Roman"/>
                <w:color w:val="auto"/>
                <w:kern w:val="0"/>
                <w:sz w:val="24"/>
                <w:szCs w:val="24"/>
                <w:lang w:val="en-US" w:eastAsia="zh-CN"/>
              </w:rPr>
              <w:fldChar w:fldCharType="end"/>
            </w:r>
            <w:r>
              <w:rPr>
                <w:rFonts w:hint="eastAsia" w:ascii="Times New Roman" w:hAnsi="Times New Roman" w:eastAsia="宋体" w:cs="Times New Roman"/>
                <w:color w:val="auto"/>
                <w:kern w:val="0"/>
                <w:sz w:val="24"/>
                <w:szCs w:val="24"/>
                <w:lang w:val="en-US" w:eastAsia="zh-CN"/>
              </w:rPr>
              <w:t>营期大气污染物排放执行</w:t>
            </w:r>
          </w:p>
          <w:p w14:paraId="5F5546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0"/>
                <w:sz w:val="24"/>
                <w:highlight w:val="none"/>
              </w:rPr>
            </w:pPr>
            <w:r>
              <w:rPr>
                <w:rFonts w:hint="eastAsia" w:ascii="Times New Roman" w:hAnsi="Times New Roman" w:eastAsia="宋体" w:cs="Times New Roman"/>
                <w:color w:val="auto"/>
                <w:kern w:val="0"/>
                <w:sz w:val="24"/>
                <w:szCs w:val="24"/>
                <w:lang w:val="en-US" w:eastAsia="zh-CN"/>
              </w:rPr>
              <w:t>本</w:t>
            </w:r>
            <w:r>
              <w:rPr>
                <w:color w:val="auto"/>
                <w:kern w:val="0"/>
                <w:sz w:val="24"/>
                <w:highlight w:val="none"/>
              </w:rPr>
              <w:t>项目</w:t>
            </w:r>
            <w:r>
              <w:rPr>
                <w:rFonts w:hint="eastAsia"/>
                <w:color w:val="auto"/>
                <w:kern w:val="0"/>
                <w:sz w:val="24"/>
                <w:highlight w:val="none"/>
              </w:rPr>
              <w:t>运营期产生的</w:t>
            </w:r>
            <w:r>
              <w:rPr>
                <w:rFonts w:hint="eastAsia"/>
                <w:color w:val="auto"/>
                <w:kern w:val="0"/>
                <w:sz w:val="24"/>
                <w:highlight w:val="none"/>
                <w:lang w:val="en-US" w:eastAsia="zh-CN"/>
              </w:rPr>
              <w:t>有组织</w:t>
            </w:r>
            <w:r>
              <w:rPr>
                <w:rFonts w:hint="eastAsia"/>
                <w:color w:val="auto"/>
                <w:kern w:val="0"/>
                <w:sz w:val="24"/>
                <w:highlight w:val="none"/>
              </w:rPr>
              <w:t>废气主要污染物为非甲烷总烃、甲苯</w:t>
            </w:r>
            <w:r>
              <w:rPr>
                <w:rFonts w:hint="eastAsia"/>
                <w:color w:val="auto"/>
                <w:kern w:val="0"/>
                <w:sz w:val="24"/>
                <w:highlight w:val="none"/>
                <w:lang w:eastAsia="zh-CN"/>
              </w:rPr>
              <w:t>、</w:t>
            </w:r>
            <w:r>
              <w:rPr>
                <w:rFonts w:hint="eastAsia"/>
                <w:color w:val="auto"/>
                <w:kern w:val="0"/>
                <w:sz w:val="24"/>
                <w:highlight w:val="none"/>
                <w:lang w:val="en-US" w:eastAsia="zh-CN"/>
              </w:rPr>
              <w:t>苯乙烯、乙苯</w:t>
            </w:r>
            <w:r>
              <w:rPr>
                <w:rFonts w:hint="eastAsia"/>
                <w:color w:val="auto"/>
                <w:kern w:val="0"/>
                <w:sz w:val="24"/>
                <w:highlight w:val="none"/>
              </w:rPr>
              <w:t>及臭气浓度，其中非甲烷总烃、甲苯</w:t>
            </w:r>
            <w:r>
              <w:rPr>
                <w:rFonts w:hint="eastAsia"/>
                <w:color w:val="auto"/>
                <w:kern w:val="0"/>
                <w:sz w:val="24"/>
                <w:highlight w:val="none"/>
                <w:lang w:eastAsia="zh-CN"/>
              </w:rPr>
              <w:t>、</w:t>
            </w:r>
            <w:r>
              <w:rPr>
                <w:rFonts w:hint="eastAsia"/>
                <w:color w:val="auto"/>
                <w:kern w:val="0"/>
                <w:sz w:val="24"/>
                <w:highlight w:val="none"/>
                <w:lang w:val="en-US" w:eastAsia="zh-CN"/>
              </w:rPr>
              <w:t>苯乙烯、乙苯</w:t>
            </w:r>
            <w:r>
              <w:rPr>
                <w:rFonts w:hint="eastAsia"/>
                <w:color w:val="auto"/>
                <w:kern w:val="0"/>
                <w:sz w:val="24"/>
                <w:highlight w:val="none"/>
              </w:rPr>
              <w:t>的有组织排放浓度以及非甲烷总烃、甲苯厂界无组织排放浓度执行</w:t>
            </w:r>
            <w:r>
              <w:rPr>
                <w:color w:val="auto"/>
                <w:kern w:val="0"/>
                <w:sz w:val="24"/>
                <w:highlight w:val="none"/>
              </w:rPr>
              <w:t>《</w:t>
            </w:r>
            <w:r>
              <w:rPr>
                <w:rFonts w:hint="eastAsia"/>
                <w:color w:val="auto"/>
                <w:kern w:val="0"/>
                <w:sz w:val="24"/>
                <w:highlight w:val="none"/>
              </w:rPr>
              <w:t>合成树脂工业</w:t>
            </w:r>
            <w:r>
              <w:rPr>
                <w:color w:val="auto"/>
                <w:kern w:val="0"/>
                <w:sz w:val="24"/>
                <w:highlight w:val="none"/>
              </w:rPr>
              <w:t>污染物排放标准》（GB</w:t>
            </w:r>
            <w:r>
              <w:rPr>
                <w:rFonts w:hint="eastAsia"/>
                <w:color w:val="auto"/>
                <w:kern w:val="0"/>
                <w:sz w:val="24"/>
                <w:highlight w:val="none"/>
              </w:rPr>
              <w:t>31572</w:t>
            </w:r>
            <w:r>
              <w:rPr>
                <w:color w:val="auto"/>
                <w:kern w:val="0"/>
                <w:sz w:val="24"/>
                <w:highlight w:val="none"/>
              </w:rPr>
              <w:t>-</w:t>
            </w:r>
            <w:r>
              <w:rPr>
                <w:rFonts w:hint="eastAsia"/>
                <w:color w:val="auto"/>
                <w:kern w:val="0"/>
                <w:sz w:val="24"/>
                <w:highlight w:val="none"/>
              </w:rPr>
              <w:t>2015及2024年修改单</w:t>
            </w:r>
            <w:r>
              <w:rPr>
                <w:color w:val="auto"/>
                <w:kern w:val="0"/>
                <w:sz w:val="24"/>
                <w:highlight w:val="none"/>
              </w:rPr>
              <w:t>）中表</w:t>
            </w:r>
            <w:r>
              <w:rPr>
                <w:rFonts w:hint="eastAsia"/>
                <w:color w:val="auto"/>
                <w:kern w:val="0"/>
                <w:sz w:val="24"/>
                <w:highlight w:val="none"/>
              </w:rPr>
              <w:t>4和表9的标准限值要求；有组织排放臭气浓度标准值及厂界无组织排放臭气浓度</w:t>
            </w:r>
            <w:r>
              <w:rPr>
                <w:rFonts w:hint="eastAsia"/>
                <w:color w:val="auto"/>
                <w:kern w:val="0"/>
                <w:sz w:val="24"/>
                <w:highlight w:val="none"/>
                <w:lang w:eastAsia="zh-CN"/>
              </w:rPr>
              <w:t>、</w:t>
            </w:r>
            <w:r>
              <w:rPr>
                <w:rFonts w:hint="eastAsia"/>
                <w:color w:val="auto"/>
                <w:kern w:val="0"/>
                <w:sz w:val="24"/>
                <w:highlight w:val="none"/>
                <w:lang w:val="en-US" w:eastAsia="zh-CN"/>
              </w:rPr>
              <w:t>苯乙烯</w:t>
            </w:r>
            <w:r>
              <w:rPr>
                <w:rFonts w:hint="eastAsia"/>
                <w:color w:val="auto"/>
                <w:kern w:val="0"/>
                <w:sz w:val="24"/>
                <w:highlight w:val="none"/>
              </w:rPr>
              <w:t>排放标准执行《恶臭污染物排放标准》（GB14554-93）表1中恶臭污染物厂界标准限值要求及表2排放标准限值要求；厂区内非甲烷总烃无组织排放浓度执行《挥发性有机物无组织排放控制标准》（GB37822-2019）中附录A表A.1规定的排放限值要求，具体见</w:t>
            </w:r>
            <w:r>
              <w:rPr>
                <w:rFonts w:hint="eastAsia"/>
                <w:color w:val="auto"/>
                <w:kern w:val="0"/>
                <w:sz w:val="24"/>
                <w:highlight w:val="none"/>
                <w:lang w:val="en-US" w:eastAsia="zh-CN"/>
              </w:rPr>
              <w:t>下</w:t>
            </w:r>
            <w:r>
              <w:rPr>
                <w:rFonts w:hint="eastAsia"/>
                <w:color w:val="auto"/>
                <w:kern w:val="0"/>
                <w:sz w:val="24"/>
                <w:highlight w:val="none"/>
              </w:rPr>
              <w:t>表。</w:t>
            </w:r>
          </w:p>
          <w:p w14:paraId="1BD74FA3">
            <w:pPr>
              <w:pStyle w:val="16"/>
              <w:adjustRightInd w:val="0"/>
              <w:snapToGrid w:val="0"/>
              <w:ind w:firstLine="431"/>
              <w:rPr>
                <w:rFonts w:ascii="Times New Roman" w:hAnsi="Times New Roman"/>
                <w:b/>
                <w:color w:val="auto"/>
                <w:highlight w:val="none"/>
              </w:rPr>
            </w:pPr>
            <w:r>
              <w:rPr>
                <w:rFonts w:ascii="Times New Roman" w:hAnsi="Times New Roman"/>
                <w:bCs/>
                <w:color w:val="auto"/>
                <w:szCs w:val="21"/>
                <w:highlight w:val="none"/>
              </w:rPr>
              <w:t>表</w:t>
            </w:r>
            <w:r>
              <w:rPr>
                <w:rFonts w:hint="eastAsia" w:ascii="Times New Roman" w:hAnsi="Times New Roman"/>
                <w:bCs/>
                <w:color w:val="auto"/>
                <w:szCs w:val="21"/>
                <w:highlight w:val="none"/>
              </w:rPr>
              <w:t>3-</w:t>
            </w:r>
            <w:r>
              <w:rPr>
                <w:rFonts w:hint="eastAsia" w:ascii="Times New Roman" w:hAnsi="Times New Roman"/>
                <w:bCs/>
                <w:color w:val="auto"/>
                <w:szCs w:val="21"/>
                <w:highlight w:val="none"/>
                <w:lang w:val="en-US" w:eastAsia="zh-CN"/>
              </w:rPr>
              <w:t xml:space="preserve">5 </w:t>
            </w:r>
            <w:r>
              <w:rPr>
                <w:rFonts w:hint="eastAsia" w:ascii="Times New Roman" w:hAnsi="Times New Roman"/>
                <w:bCs/>
                <w:color w:val="auto"/>
                <w:szCs w:val="21"/>
                <w:highlight w:val="none"/>
              </w:rPr>
              <w:t xml:space="preserve">              </w:t>
            </w:r>
            <w:r>
              <w:rPr>
                <w:rFonts w:hint="eastAsia" w:ascii="Times New Roman" w:hAnsi="Times New Roman"/>
                <w:b/>
                <w:color w:val="auto"/>
                <w:sz w:val="24"/>
                <w:highlight w:val="none"/>
              </w:rPr>
              <w:t>合成树脂工业污染物排放标准</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108" w:type="dxa"/>
                <w:bottom w:w="28" w:type="dxa"/>
                <w:right w:w="108" w:type="dxa"/>
              </w:tblCellMar>
            </w:tblPr>
            <w:tblGrid>
              <w:gridCol w:w="793"/>
              <w:gridCol w:w="1386"/>
              <w:gridCol w:w="2555"/>
              <w:gridCol w:w="3543"/>
            </w:tblGrid>
            <w:tr w14:paraId="658B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479" w:type="pct"/>
                  <w:noWrap w:val="0"/>
                  <w:vAlign w:val="center"/>
                </w:tcPr>
                <w:p w14:paraId="5B874011">
                  <w:pPr>
                    <w:adjustRightInd w:val="0"/>
                    <w:snapToGrid w:val="0"/>
                    <w:jc w:val="center"/>
                    <w:rPr>
                      <w:rFonts w:hint="eastAsia"/>
                      <w:b/>
                      <w:bCs/>
                      <w:color w:val="auto"/>
                      <w:sz w:val="21"/>
                      <w:szCs w:val="21"/>
                      <w:highlight w:val="none"/>
                    </w:rPr>
                  </w:pPr>
                  <w:r>
                    <w:rPr>
                      <w:rFonts w:hint="eastAsia"/>
                      <w:b/>
                      <w:bCs/>
                      <w:color w:val="auto"/>
                      <w:sz w:val="21"/>
                      <w:szCs w:val="21"/>
                      <w:highlight w:val="none"/>
                    </w:rPr>
                    <w:t>序号</w:t>
                  </w:r>
                </w:p>
              </w:tc>
              <w:tc>
                <w:tcPr>
                  <w:tcW w:w="837" w:type="pct"/>
                  <w:noWrap w:val="0"/>
                  <w:vAlign w:val="center"/>
                </w:tcPr>
                <w:p w14:paraId="3E883F92">
                  <w:pPr>
                    <w:adjustRightInd w:val="0"/>
                    <w:snapToGrid w:val="0"/>
                    <w:jc w:val="center"/>
                    <w:rPr>
                      <w:b/>
                      <w:bCs/>
                      <w:color w:val="auto"/>
                      <w:sz w:val="21"/>
                      <w:szCs w:val="21"/>
                      <w:highlight w:val="none"/>
                    </w:rPr>
                  </w:pPr>
                  <w:r>
                    <w:rPr>
                      <w:rFonts w:hint="eastAsia"/>
                      <w:b/>
                      <w:bCs/>
                      <w:color w:val="auto"/>
                      <w:sz w:val="21"/>
                      <w:szCs w:val="21"/>
                      <w:highlight w:val="none"/>
                    </w:rPr>
                    <w:t>污染物</w:t>
                  </w:r>
                </w:p>
              </w:tc>
              <w:tc>
                <w:tcPr>
                  <w:tcW w:w="1543" w:type="pct"/>
                  <w:noWrap w:val="0"/>
                  <w:vAlign w:val="center"/>
                </w:tcPr>
                <w:p w14:paraId="6E4C6489">
                  <w:pPr>
                    <w:adjustRightInd w:val="0"/>
                    <w:snapToGrid w:val="0"/>
                    <w:jc w:val="center"/>
                    <w:rPr>
                      <w:b/>
                      <w:bCs/>
                      <w:color w:val="auto"/>
                      <w:sz w:val="21"/>
                      <w:szCs w:val="21"/>
                      <w:highlight w:val="none"/>
                    </w:rPr>
                  </w:pPr>
                  <w:r>
                    <w:rPr>
                      <w:rFonts w:hint="eastAsia"/>
                      <w:b/>
                      <w:bCs/>
                      <w:color w:val="auto"/>
                      <w:sz w:val="21"/>
                      <w:szCs w:val="21"/>
                      <w:highlight w:val="none"/>
                    </w:rPr>
                    <w:t>有组织排放限值（</w:t>
                  </w:r>
                  <w:r>
                    <w:rPr>
                      <w:b/>
                      <w:color w:val="auto"/>
                      <w:kern w:val="0"/>
                      <w:sz w:val="21"/>
                      <w:szCs w:val="21"/>
                      <w:highlight w:val="none"/>
                    </w:rPr>
                    <w:t>mg/m</w:t>
                  </w:r>
                  <w:r>
                    <w:rPr>
                      <w:b/>
                      <w:color w:val="auto"/>
                      <w:kern w:val="0"/>
                      <w:sz w:val="21"/>
                      <w:szCs w:val="21"/>
                      <w:highlight w:val="none"/>
                      <w:vertAlign w:val="superscript"/>
                    </w:rPr>
                    <w:t>3</w:t>
                  </w:r>
                  <w:r>
                    <w:rPr>
                      <w:rFonts w:hint="eastAsia"/>
                      <w:b/>
                      <w:bCs/>
                      <w:color w:val="auto"/>
                      <w:sz w:val="21"/>
                      <w:szCs w:val="21"/>
                      <w:highlight w:val="none"/>
                    </w:rPr>
                    <w:t>）</w:t>
                  </w:r>
                </w:p>
              </w:tc>
              <w:tc>
                <w:tcPr>
                  <w:tcW w:w="2139" w:type="pct"/>
                  <w:noWrap w:val="0"/>
                  <w:vAlign w:val="center"/>
                </w:tcPr>
                <w:p w14:paraId="7C9452C0">
                  <w:pPr>
                    <w:adjustRightInd w:val="0"/>
                    <w:snapToGrid w:val="0"/>
                    <w:jc w:val="center"/>
                    <w:rPr>
                      <w:b/>
                      <w:bCs/>
                      <w:color w:val="auto"/>
                      <w:sz w:val="21"/>
                      <w:szCs w:val="21"/>
                      <w:highlight w:val="none"/>
                    </w:rPr>
                  </w:pPr>
                  <w:r>
                    <w:rPr>
                      <w:rFonts w:hint="eastAsia"/>
                      <w:b/>
                      <w:bCs/>
                      <w:color w:val="auto"/>
                      <w:sz w:val="21"/>
                      <w:szCs w:val="21"/>
                      <w:highlight w:val="none"/>
                    </w:rPr>
                    <w:t>企业边界</w:t>
                  </w:r>
                  <w:r>
                    <w:rPr>
                      <w:b/>
                      <w:bCs/>
                      <w:color w:val="auto"/>
                      <w:sz w:val="21"/>
                      <w:szCs w:val="21"/>
                      <w:highlight w:val="none"/>
                    </w:rPr>
                    <w:t>无组织排放</w:t>
                  </w:r>
                  <w:r>
                    <w:rPr>
                      <w:rFonts w:hint="eastAsia"/>
                      <w:b/>
                      <w:bCs/>
                      <w:color w:val="auto"/>
                      <w:sz w:val="21"/>
                      <w:szCs w:val="21"/>
                      <w:highlight w:val="none"/>
                    </w:rPr>
                    <w:t>限值（</w:t>
                  </w:r>
                  <w:r>
                    <w:rPr>
                      <w:b/>
                      <w:color w:val="auto"/>
                      <w:kern w:val="0"/>
                      <w:sz w:val="21"/>
                      <w:szCs w:val="21"/>
                      <w:highlight w:val="none"/>
                    </w:rPr>
                    <w:t>mg/m</w:t>
                  </w:r>
                  <w:r>
                    <w:rPr>
                      <w:b/>
                      <w:color w:val="auto"/>
                      <w:kern w:val="0"/>
                      <w:sz w:val="21"/>
                      <w:szCs w:val="21"/>
                      <w:highlight w:val="none"/>
                      <w:vertAlign w:val="superscript"/>
                    </w:rPr>
                    <w:t>3</w:t>
                  </w:r>
                  <w:r>
                    <w:rPr>
                      <w:rFonts w:hint="eastAsia"/>
                      <w:b/>
                      <w:bCs/>
                      <w:color w:val="auto"/>
                      <w:sz w:val="21"/>
                      <w:szCs w:val="21"/>
                      <w:highlight w:val="none"/>
                    </w:rPr>
                    <w:t>）</w:t>
                  </w:r>
                </w:p>
              </w:tc>
            </w:tr>
            <w:tr w14:paraId="2E2C6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479" w:type="pct"/>
                  <w:noWrap w:val="0"/>
                  <w:vAlign w:val="center"/>
                </w:tcPr>
                <w:p w14:paraId="6910A4A6">
                  <w:pPr>
                    <w:adjustRightInd w:val="0"/>
                    <w:snapToGrid w:val="0"/>
                    <w:jc w:val="center"/>
                    <w:rPr>
                      <w:rFonts w:hint="eastAsia"/>
                      <w:bCs/>
                      <w:color w:val="auto"/>
                      <w:sz w:val="21"/>
                      <w:szCs w:val="21"/>
                      <w:highlight w:val="none"/>
                    </w:rPr>
                  </w:pPr>
                  <w:r>
                    <w:rPr>
                      <w:rFonts w:hint="eastAsia"/>
                      <w:bCs/>
                      <w:color w:val="auto"/>
                      <w:sz w:val="21"/>
                      <w:szCs w:val="21"/>
                      <w:highlight w:val="none"/>
                    </w:rPr>
                    <w:t>1</w:t>
                  </w:r>
                </w:p>
              </w:tc>
              <w:tc>
                <w:tcPr>
                  <w:tcW w:w="837" w:type="pct"/>
                  <w:noWrap w:val="0"/>
                  <w:vAlign w:val="center"/>
                </w:tcPr>
                <w:p w14:paraId="08838F87">
                  <w:pPr>
                    <w:adjustRightInd w:val="0"/>
                    <w:snapToGrid w:val="0"/>
                    <w:jc w:val="center"/>
                    <w:rPr>
                      <w:bCs/>
                      <w:color w:val="auto"/>
                      <w:sz w:val="21"/>
                      <w:szCs w:val="21"/>
                      <w:highlight w:val="none"/>
                    </w:rPr>
                  </w:pPr>
                  <w:r>
                    <w:rPr>
                      <w:rFonts w:hint="eastAsia"/>
                      <w:bCs/>
                      <w:color w:val="auto"/>
                      <w:sz w:val="21"/>
                      <w:szCs w:val="21"/>
                      <w:highlight w:val="none"/>
                    </w:rPr>
                    <w:t>非甲烷总烃</w:t>
                  </w:r>
                </w:p>
              </w:tc>
              <w:tc>
                <w:tcPr>
                  <w:tcW w:w="1543" w:type="pct"/>
                  <w:noWrap w:val="0"/>
                  <w:vAlign w:val="center"/>
                </w:tcPr>
                <w:p w14:paraId="6DB3A1C6">
                  <w:pPr>
                    <w:adjustRightInd w:val="0"/>
                    <w:snapToGrid w:val="0"/>
                    <w:jc w:val="center"/>
                    <w:rPr>
                      <w:bCs/>
                      <w:color w:val="auto"/>
                      <w:sz w:val="21"/>
                      <w:szCs w:val="21"/>
                      <w:highlight w:val="none"/>
                    </w:rPr>
                  </w:pPr>
                  <w:r>
                    <w:rPr>
                      <w:rFonts w:hint="eastAsia"/>
                      <w:bCs/>
                      <w:color w:val="auto"/>
                      <w:sz w:val="21"/>
                      <w:szCs w:val="21"/>
                      <w:highlight w:val="none"/>
                    </w:rPr>
                    <w:t>10</w:t>
                  </w:r>
                  <w:r>
                    <w:rPr>
                      <w:bCs/>
                      <w:color w:val="auto"/>
                      <w:sz w:val="21"/>
                      <w:szCs w:val="21"/>
                      <w:highlight w:val="none"/>
                    </w:rPr>
                    <w:t>0</w:t>
                  </w:r>
                </w:p>
              </w:tc>
              <w:tc>
                <w:tcPr>
                  <w:tcW w:w="2139" w:type="pct"/>
                  <w:noWrap w:val="0"/>
                  <w:vAlign w:val="center"/>
                </w:tcPr>
                <w:p w14:paraId="2D755282">
                  <w:pPr>
                    <w:adjustRightInd w:val="0"/>
                    <w:snapToGrid w:val="0"/>
                    <w:jc w:val="center"/>
                    <w:rPr>
                      <w:bCs/>
                      <w:color w:val="auto"/>
                      <w:sz w:val="21"/>
                      <w:szCs w:val="21"/>
                      <w:highlight w:val="none"/>
                    </w:rPr>
                  </w:pPr>
                  <w:r>
                    <w:rPr>
                      <w:rFonts w:hint="eastAsia"/>
                      <w:bCs/>
                      <w:color w:val="auto"/>
                      <w:sz w:val="21"/>
                      <w:szCs w:val="21"/>
                      <w:highlight w:val="none"/>
                    </w:rPr>
                    <w:t>4.0</w:t>
                  </w:r>
                </w:p>
              </w:tc>
            </w:tr>
            <w:tr w14:paraId="6F990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479" w:type="pct"/>
                  <w:noWrap w:val="0"/>
                  <w:vAlign w:val="center"/>
                </w:tcPr>
                <w:p w14:paraId="2D616C8C">
                  <w:pPr>
                    <w:adjustRightInd w:val="0"/>
                    <w:snapToGrid w:val="0"/>
                    <w:jc w:val="center"/>
                    <w:rPr>
                      <w:rFonts w:hint="eastAsia"/>
                      <w:bCs/>
                      <w:color w:val="auto"/>
                      <w:sz w:val="21"/>
                      <w:szCs w:val="21"/>
                      <w:highlight w:val="none"/>
                    </w:rPr>
                  </w:pPr>
                  <w:r>
                    <w:rPr>
                      <w:rFonts w:hint="eastAsia"/>
                      <w:bCs/>
                      <w:color w:val="auto"/>
                      <w:sz w:val="21"/>
                      <w:szCs w:val="21"/>
                      <w:highlight w:val="none"/>
                    </w:rPr>
                    <w:t>2</w:t>
                  </w:r>
                </w:p>
              </w:tc>
              <w:tc>
                <w:tcPr>
                  <w:tcW w:w="837" w:type="pct"/>
                  <w:noWrap w:val="0"/>
                  <w:vAlign w:val="center"/>
                </w:tcPr>
                <w:p w14:paraId="367DD1B7">
                  <w:pPr>
                    <w:adjustRightInd w:val="0"/>
                    <w:snapToGrid w:val="0"/>
                    <w:jc w:val="center"/>
                    <w:rPr>
                      <w:rFonts w:hint="eastAsia"/>
                      <w:bCs/>
                      <w:color w:val="auto"/>
                      <w:sz w:val="21"/>
                      <w:szCs w:val="21"/>
                      <w:highlight w:val="none"/>
                    </w:rPr>
                  </w:pPr>
                  <w:r>
                    <w:rPr>
                      <w:rFonts w:hint="eastAsia"/>
                      <w:bCs/>
                      <w:color w:val="auto"/>
                      <w:sz w:val="21"/>
                      <w:szCs w:val="21"/>
                      <w:highlight w:val="none"/>
                    </w:rPr>
                    <w:t>甲苯</w:t>
                  </w:r>
                </w:p>
              </w:tc>
              <w:tc>
                <w:tcPr>
                  <w:tcW w:w="1543" w:type="pct"/>
                  <w:noWrap w:val="0"/>
                  <w:vAlign w:val="center"/>
                </w:tcPr>
                <w:p w14:paraId="6C81AD09">
                  <w:pPr>
                    <w:adjustRightInd w:val="0"/>
                    <w:snapToGrid w:val="0"/>
                    <w:jc w:val="center"/>
                    <w:rPr>
                      <w:bCs/>
                      <w:color w:val="auto"/>
                      <w:sz w:val="21"/>
                      <w:szCs w:val="21"/>
                      <w:highlight w:val="none"/>
                    </w:rPr>
                  </w:pPr>
                  <w:r>
                    <w:rPr>
                      <w:rFonts w:hint="eastAsia"/>
                      <w:bCs/>
                      <w:color w:val="auto"/>
                      <w:sz w:val="21"/>
                      <w:szCs w:val="21"/>
                      <w:highlight w:val="none"/>
                    </w:rPr>
                    <w:t>15</w:t>
                  </w:r>
                </w:p>
              </w:tc>
              <w:tc>
                <w:tcPr>
                  <w:tcW w:w="2139" w:type="pct"/>
                  <w:noWrap w:val="0"/>
                  <w:vAlign w:val="center"/>
                </w:tcPr>
                <w:p w14:paraId="1DF6579F">
                  <w:pPr>
                    <w:adjustRightInd w:val="0"/>
                    <w:snapToGrid w:val="0"/>
                    <w:jc w:val="center"/>
                    <w:rPr>
                      <w:bCs/>
                      <w:color w:val="auto"/>
                      <w:sz w:val="21"/>
                      <w:szCs w:val="21"/>
                      <w:highlight w:val="none"/>
                    </w:rPr>
                  </w:pPr>
                  <w:r>
                    <w:rPr>
                      <w:rFonts w:hint="eastAsia"/>
                      <w:bCs/>
                      <w:color w:val="auto"/>
                      <w:sz w:val="21"/>
                      <w:szCs w:val="21"/>
                      <w:highlight w:val="none"/>
                    </w:rPr>
                    <w:t>0.8</w:t>
                  </w:r>
                </w:p>
              </w:tc>
            </w:tr>
            <w:tr w14:paraId="55B93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479" w:type="pct"/>
                  <w:noWrap w:val="0"/>
                  <w:vAlign w:val="center"/>
                </w:tcPr>
                <w:p w14:paraId="031DC113">
                  <w:pPr>
                    <w:adjustRightInd w:val="0"/>
                    <w:snapToGrid w:val="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3</w:t>
                  </w:r>
                </w:p>
              </w:tc>
              <w:tc>
                <w:tcPr>
                  <w:tcW w:w="837" w:type="pct"/>
                  <w:noWrap w:val="0"/>
                  <w:vAlign w:val="center"/>
                </w:tcPr>
                <w:p w14:paraId="307D0C01">
                  <w:pPr>
                    <w:adjustRightInd w:val="0"/>
                    <w:snapToGrid w:val="0"/>
                    <w:jc w:val="center"/>
                    <w:rPr>
                      <w:rFonts w:hint="eastAsia"/>
                      <w:bCs/>
                      <w:color w:val="auto"/>
                      <w:sz w:val="21"/>
                      <w:szCs w:val="21"/>
                      <w:highlight w:val="none"/>
                    </w:rPr>
                  </w:pPr>
                  <w:r>
                    <w:rPr>
                      <w:rFonts w:hint="eastAsia"/>
                      <w:bCs/>
                      <w:color w:val="auto"/>
                      <w:sz w:val="21"/>
                      <w:szCs w:val="21"/>
                      <w:highlight w:val="none"/>
                    </w:rPr>
                    <w:t>苯乙烯</w:t>
                  </w:r>
                </w:p>
              </w:tc>
              <w:tc>
                <w:tcPr>
                  <w:tcW w:w="1543" w:type="pct"/>
                  <w:noWrap w:val="0"/>
                  <w:vAlign w:val="center"/>
                </w:tcPr>
                <w:p w14:paraId="28F79B86">
                  <w:pPr>
                    <w:adjustRightInd w:val="0"/>
                    <w:snapToGrid w:val="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50</w:t>
                  </w:r>
                </w:p>
              </w:tc>
              <w:tc>
                <w:tcPr>
                  <w:tcW w:w="2139" w:type="pct"/>
                  <w:noWrap w:val="0"/>
                  <w:vAlign w:val="center"/>
                </w:tcPr>
                <w:p w14:paraId="0009ADA4">
                  <w:pPr>
                    <w:adjustRightInd w:val="0"/>
                    <w:snapToGrid w:val="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r>
            <w:tr w14:paraId="46DC3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479" w:type="pct"/>
                  <w:noWrap w:val="0"/>
                  <w:vAlign w:val="center"/>
                </w:tcPr>
                <w:p w14:paraId="70EB028D">
                  <w:pPr>
                    <w:adjustRightInd w:val="0"/>
                    <w:snapToGrid w:val="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4</w:t>
                  </w:r>
                </w:p>
              </w:tc>
              <w:tc>
                <w:tcPr>
                  <w:tcW w:w="837" w:type="pct"/>
                  <w:noWrap w:val="0"/>
                  <w:vAlign w:val="center"/>
                </w:tcPr>
                <w:p w14:paraId="63847818">
                  <w:pPr>
                    <w:adjustRightInd w:val="0"/>
                    <w:snapToGrid w:val="0"/>
                    <w:jc w:val="center"/>
                    <w:rPr>
                      <w:rFonts w:hint="eastAsia"/>
                      <w:bCs/>
                      <w:color w:val="auto"/>
                      <w:sz w:val="21"/>
                      <w:szCs w:val="21"/>
                      <w:highlight w:val="none"/>
                    </w:rPr>
                  </w:pPr>
                  <w:r>
                    <w:rPr>
                      <w:rFonts w:hint="eastAsia"/>
                      <w:bCs/>
                      <w:color w:val="auto"/>
                      <w:sz w:val="21"/>
                      <w:szCs w:val="21"/>
                      <w:highlight w:val="none"/>
                    </w:rPr>
                    <w:t>乙苯</w:t>
                  </w:r>
                </w:p>
              </w:tc>
              <w:tc>
                <w:tcPr>
                  <w:tcW w:w="1543" w:type="pct"/>
                  <w:noWrap w:val="0"/>
                  <w:vAlign w:val="center"/>
                </w:tcPr>
                <w:p w14:paraId="7B5D0251">
                  <w:pPr>
                    <w:adjustRightInd w:val="0"/>
                    <w:snapToGrid w:val="0"/>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100</w:t>
                  </w:r>
                </w:p>
              </w:tc>
              <w:tc>
                <w:tcPr>
                  <w:tcW w:w="2139" w:type="pct"/>
                  <w:noWrap w:val="0"/>
                  <w:vAlign w:val="center"/>
                </w:tcPr>
                <w:p w14:paraId="7443BE67">
                  <w:pPr>
                    <w:adjustRightInd w:val="0"/>
                    <w:snapToGrid w:val="0"/>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r>
            <w:tr w14:paraId="3FC7F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1316" w:type="pct"/>
                  <w:gridSpan w:val="2"/>
                  <w:noWrap w:val="0"/>
                  <w:vAlign w:val="center"/>
                </w:tcPr>
                <w:p w14:paraId="13D187FE">
                  <w:pPr>
                    <w:adjustRightInd w:val="0"/>
                    <w:snapToGrid w:val="0"/>
                    <w:jc w:val="center"/>
                    <w:rPr>
                      <w:rFonts w:hint="eastAsia"/>
                      <w:bCs/>
                      <w:color w:val="auto"/>
                      <w:sz w:val="21"/>
                      <w:szCs w:val="21"/>
                      <w:highlight w:val="none"/>
                    </w:rPr>
                  </w:pPr>
                  <w:r>
                    <w:rPr>
                      <w:rFonts w:hint="eastAsia"/>
                      <w:bCs/>
                      <w:color w:val="auto"/>
                      <w:sz w:val="21"/>
                      <w:szCs w:val="21"/>
                      <w:highlight w:val="none"/>
                    </w:rPr>
                    <w:t>单位产品非甲烷总烃排放量（kg/t产品）</w:t>
                  </w:r>
                </w:p>
              </w:tc>
              <w:tc>
                <w:tcPr>
                  <w:tcW w:w="1543" w:type="pct"/>
                  <w:noWrap w:val="0"/>
                  <w:vAlign w:val="center"/>
                </w:tcPr>
                <w:p w14:paraId="575981FD">
                  <w:pPr>
                    <w:adjustRightInd w:val="0"/>
                    <w:snapToGrid w:val="0"/>
                    <w:jc w:val="center"/>
                    <w:rPr>
                      <w:bCs/>
                      <w:color w:val="auto"/>
                      <w:sz w:val="21"/>
                      <w:szCs w:val="21"/>
                      <w:highlight w:val="none"/>
                    </w:rPr>
                  </w:pPr>
                  <w:r>
                    <w:rPr>
                      <w:rFonts w:hint="eastAsia"/>
                      <w:bCs/>
                      <w:color w:val="auto"/>
                      <w:sz w:val="21"/>
                      <w:szCs w:val="21"/>
                      <w:highlight w:val="none"/>
                    </w:rPr>
                    <w:t>0.5</w:t>
                  </w:r>
                </w:p>
              </w:tc>
              <w:tc>
                <w:tcPr>
                  <w:tcW w:w="2139" w:type="pct"/>
                  <w:noWrap w:val="0"/>
                  <w:vAlign w:val="center"/>
                </w:tcPr>
                <w:p w14:paraId="41F94269">
                  <w:pPr>
                    <w:adjustRightInd w:val="0"/>
                    <w:snapToGrid w:val="0"/>
                    <w:jc w:val="center"/>
                    <w:rPr>
                      <w:bCs/>
                      <w:color w:val="auto"/>
                      <w:sz w:val="21"/>
                      <w:szCs w:val="21"/>
                      <w:highlight w:val="none"/>
                    </w:rPr>
                  </w:pPr>
                  <w:r>
                    <w:rPr>
                      <w:rFonts w:hint="eastAsia"/>
                      <w:bCs/>
                      <w:color w:val="auto"/>
                      <w:sz w:val="21"/>
                      <w:szCs w:val="21"/>
                      <w:highlight w:val="none"/>
                    </w:rPr>
                    <w:t>/</w:t>
                  </w:r>
                </w:p>
              </w:tc>
            </w:tr>
          </w:tbl>
          <w:p w14:paraId="59296F84">
            <w:pPr>
              <w:pStyle w:val="51"/>
              <w:keepNext w:val="0"/>
              <w:keepLines w:val="0"/>
              <w:pageBreakBefore w:val="0"/>
              <w:widowControl/>
              <w:kinsoku/>
              <w:wordWrap/>
              <w:overflowPunct/>
              <w:topLinePunct w:val="0"/>
              <w:autoSpaceDE/>
              <w:autoSpaceDN/>
              <w:bidi w:val="0"/>
              <w:adjustRightInd w:val="0"/>
              <w:snapToGrid w:val="0"/>
              <w:spacing w:line="240" w:lineRule="auto"/>
              <w:ind w:firstLine="420"/>
              <w:jc w:val="both"/>
              <w:textAlignment w:val="auto"/>
              <w:rPr>
                <w:rFonts w:ascii="Times New Roman" w:hAnsi="Times New Roman"/>
                <w:color w:val="auto"/>
                <w:szCs w:val="24"/>
                <w:highlight w:val="none"/>
                <w:lang w:eastAsia="zh-CN"/>
              </w:rPr>
            </w:pPr>
            <w:r>
              <w:rPr>
                <w:rFonts w:ascii="Times New Roman" w:hAnsi="Times New Roman"/>
                <w:color w:val="auto"/>
                <w:sz w:val="21"/>
                <w:szCs w:val="21"/>
                <w:highlight w:val="none"/>
                <w:lang w:eastAsia="zh-CN"/>
              </w:rPr>
              <w:t>表3-</w:t>
            </w:r>
            <w:r>
              <w:rPr>
                <w:rFonts w:hint="eastAsia" w:ascii="Times New Roman" w:hAnsi="Times New Roman"/>
                <w:color w:val="auto"/>
                <w:sz w:val="21"/>
                <w:szCs w:val="21"/>
                <w:highlight w:val="none"/>
                <w:lang w:val="en-US" w:eastAsia="zh-CN"/>
              </w:rPr>
              <w:t>6</w:t>
            </w:r>
            <w:r>
              <w:rPr>
                <w:rFonts w:hint="eastAsia" w:ascii="Times New Roman" w:hAnsi="Times New Roman"/>
                <w:color w:val="auto"/>
                <w:sz w:val="21"/>
                <w:szCs w:val="21"/>
                <w:highlight w:val="none"/>
                <w:lang w:eastAsia="zh-CN"/>
              </w:rPr>
              <w:t xml:space="preserve">                   </w:t>
            </w:r>
            <w:r>
              <w:rPr>
                <w:rFonts w:ascii="Times New Roman" w:hAnsi="Times New Roman"/>
                <w:b/>
                <w:bCs/>
                <w:color w:val="auto"/>
                <w:szCs w:val="24"/>
                <w:highlight w:val="none"/>
              </w:rPr>
              <w:t>恶臭污染物排放标准</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35"/>
              <w:gridCol w:w="2039"/>
              <w:gridCol w:w="2097"/>
              <w:gridCol w:w="2006"/>
            </w:tblGrid>
            <w:tr w14:paraId="056D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06" w:type="dxa"/>
                  <w:vMerge w:val="restart"/>
                  <w:noWrap w:val="0"/>
                  <w:vAlign w:val="center"/>
                </w:tcPr>
                <w:p w14:paraId="4C428379">
                  <w:pPr>
                    <w:adjustRightInd w:val="0"/>
                    <w:snapToGrid w:val="0"/>
                    <w:jc w:val="center"/>
                    <w:rPr>
                      <w:rFonts w:hint="eastAsia"/>
                      <w:b/>
                      <w:color w:val="auto"/>
                      <w:sz w:val="21"/>
                      <w:szCs w:val="21"/>
                      <w:highlight w:val="none"/>
                    </w:rPr>
                  </w:pPr>
                  <w:r>
                    <w:rPr>
                      <w:rFonts w:hint="eastAsia"/>
                      <w:b/>
                      <w:color w:val="auto"/>
                      <w:sz w:val="21"/>
                      <w:szCs w:val="21"/>
                      <w:highlight w:val="none"/>
                    </w:rPr>
                    <w:t>污染物</w:t>
                  </w:r>
                  <w:r>
                    <w:rPr>
                      <w:b/>
                      <w:color w:val="auto"/>
                      <w:sz w:val="21"/>
                      <w:szCs w:val="21"/>
                      <w:highlight w:val="none"/>
                    </w:rPr>
                    <w:t>项目</w:t>
                  </w:r>
                </w:p>
              </w:tc>
              <w:tc>
                <w:tcPr>
                  <w:tcW w:w="4079" w:type="dxa"/>
                  <w:gridSpan w:val="2"/>
                  <w:noWrap w:val="0"/>
                  <w:vAlign w:val="center"/>
                </w:tcPr>
                <w:p w14:paraId="7A72AB0A">
                  <w:pPr>
                    <w:widowControl/>
                    <w:adjustRightInd w:val="0"/>
                    <w:snapToGrid w:val="0"/>
                    <w:jc w:val="center"/>
                    <w:rPr>
                      <w:rFonts w:hint="eastAsia"/>
                      <w:b/>
                      <w:color w:val="auto"/>
                      <w:kern w:val="0"/>
                      <w:sz w:val="21"/>
                      <w:szCs w:val="21"/>
                      <w:highlight w:val="none"/>
                    </w:rPr>
                  </w:pPr>
                  <w:r>
                    <w:rPr>
                      <w:rFonts w:hint="eastAsia"/>
                      <w:b/>
                      <w:color w:val="auto"/>
                      <w:kern w:val="0"/>
                      <w:sz w:val="21"/>
                      <w:szCs w:val="21"/>
                      <w:highlight w:val="none"/>
                    </w:rPr>
                    <w:t>恶臭污染物排放标准限值</w:t>
                  </w:r>
                </w:p>
              </w:tc>
              <w:tc>
                <w:tcPr>
                  <w:tcW w:w="1979" w:type="dxa"/>
                  <w:vMerge w:val="restart"/>
                  <w:noWrap w:val="0"/>
                  <w:vAlign w:val="center"/>
                </w:tcPr>
                <w:p w14:paraId="27A010CD">
                  <w:pPr>
                    <w:widowControl/>
                    <w:adjustRightInd w:val="0"/>
                    <w:snapToGrid w:val="0"/>
                    <w:jc w:val="center"/>
                    <w:rPr>
                      <w:rFonts w:hint="eastAsia"/>
                      <w:b/>
                      <w:color w:val="auto"/>
                      <w:kern w:val="0"/>
                      <w:sz w:val="21"/>
                      <w:szCs w:val="21"/>
                      <w:highlight w:val="none"/>
                    </w:rPr>
                  </w:pPr>
                  <w:r>
                    <w:rPr>
                      <w:rFonts w:hint="eastAsia"/>
                      <w:b/>
                      <w:color w:val="auto"/>
                      <w:kern w:val="0"/>
                      <w:sz w:val="21"/>
                      <w:szCs w:val="21"/>
                      <w:highlight w:val="none"/>
                    </w:rPr>
                    <w:t>恶臭污染物厂界标准值</w:t>
                  </w:r>
                </w:p>
              </w:tc>
            </w:tr>
            <w:tr w14:paraId="52618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06" w:type="dxa"/>
                  <w:vMerge w:val="continue"/>
                  <w:noWrap w:val="0"/>
                  <w:vAlign w:val="center"/>
                </w:tcPr>
                <w:p w14:paraId="724274E8">
                  <w:pPr>
                    <w:adjustRightInd w:val="0"/>
                    <w:snapToGrid w:val="0"/>
                    <w:jc w:val="center"/>
                    <w:rPr>
                      <w:rFonts w:hint="eastAsia"/>
                      <w:b/>
                      <w:color w:val="auto"/>
                      <w:sz w:val="21"/>
                      <w:szCs w:val="21"/>
                      <w:highlight w:val="none"/>
                    </w:rPr>
                  </w:pPr>
                </w:p>
              </w:tc>
              <w:tc>
                <w:tcPr>
                  <w:tcW w:w="2011" w:type="dxa"/>
                  <w:noWrap w:val="0"/>
                  <w:vAlign w:val="center"/>
                </w:tcPr>
                <w:p w14:paraId="245086C2">
                  <w:pPr>
                    <w:widowControl/>
                    <w:adjustRightInd w:val="0"/>
                    <w:snapToGrid w:val="0"/>
                    <w:jc w:val="center"/>
                    <w:rPr>
                      <w:rFonts w:hint="eastAsia"/>
                      <w:b/>
                      <w:color w:val="auto"/>
                      <w:kern w:val="0"/>
                      <w:sz w:val="21"/>
                      <w:szCs w:val="21"/>
                      <w:highlight w:val="none"/>
                    </w:rPr>
                  </w:pPr>
                  <w:r>
                    <w:rPr>
                      <w:rFonts w:hint="eastAsia"/>
                      <w:b/>
                      <w:color w:val="auto"/>
                      <w:kern w:val="0"/>
                      <w:sz w:val="21"/>
                      <w:szCs w:val="21"/>
                      <w:highlight w:val="none"/>
                    </w:rPr>
                    <w:t>排气筒高度（m）</w:t>
                  </w:r>
                </w:p>
              </w:tc>
              <w:tc>
                <w:tcPr>
                  <w:tcW w:w="2068" w:type="dxa"/>
                  <w:noWrap w:val="0"/>
                  <w:vAlign w:val="center"/>
                </w:tcPr>
                <w:p w14:paraId="6D6AD1E3">
                  <w:pPr>
                    <w:widowControl/>
                    <w:adjustRightInd w:val="0"/>
                    <w:snapToGrid w:val="0"/>
                    <w:jc w:val="center"/>
                    <w:rPr>
                      <w:rFonts w:hint="eastAsia"/>
                      <w:b/>
                      <w:color w:val="auto"/>
                      <w:kern w:val="0"/>
                      <w:sz w:val="21"/>
                      <w:szCs w:val="21"/>
                      <w:highlight w:val="none"/>
                    </w:rPr>
                  </w:pPr>
                  <w:r>
                    <w:rPr>
                      <w:rFonts w:hint="eastAsia"/>
                      <w:b/>
                      <w:color w:val="auto"/>
                      <w:kern w:val="0"/>
                      <w:sz w:val="21"/>
                      <w:szCs w:val="21"/>
                      <w:highlight w:val="none"/>
                    </w:rPr>
                    <w:t>标准值</w:t>
                  </w:r>
                </w:p>
              </w:tc>
              <w:tc>
                <w:tcPr>
                  <w:tcW w:w="1979" w:type="dxa"/>
                  <w:vMerge w:val="continue"/>
                  <w:noWrap w:val="0"/>
                  <w:vAlign w:val="center"/>
                </w:tcPr>
                <w:p w14:paraId="6D801222">
                  <w:pPr>
                    <w:widowControl/>
                    <w:adjustRightInd w:val="0"/>
                    <w:snapToGrid w:val="0"/>
                    <w:jc w:val="center"/>
                    <w:rPr>
                      <w:rFonts w:hint="eastAsia"/>
                      <w:b/>
                      <w:color w:val="auto"/>
                      <w:kern w:val="0"/>
                      <w:sz w:val="21"/>
                      <w:szCs w:val="21"/>
                      <w:highlight w:val="none"/>
                    </w:rPr>
                  </w:pPr>
                </w:p>
              </w:tc>
            </w:tr>
            <w:tr w14:paraId="3CEF1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06" w:type="dxa"/>
                  <w:noWrap w:val="0"/>
                  <w:vAlign w:val="center"/>
                </w:tcPr>
                <w:p w14:paraId="552B4474">
                  <w:pPr>
                    <w:adjustRightInd w:val="0"/>
                    <w:snapToGrid w:val="0"/>
                    <w:jc w:val="center"/>
                    <w:rPr>
                      <w:rFonts w:hint="eastAsia"/>
                      <w:color w:val="auto"/>
                      <w:sz w:val="21"/>
                      <w:szCs w:val="21"/>
                      <w:highlight w:val="none"/>
                    </w:rPr>
                  </w:pPr>
                  <w:r>
                    <w:rPr>
                      <w:rFonts w:hint="eastAsia"/>
                      <w:color w:val="auto"/>
                      <w:sz w:val="21"/>
                      <w:szCs w:val="21"/>
                      <w:highlight w:val="none"/>
                    </w:rPr>
                    <w:t>臭气浓度（无量纲）</w:t>
                  </w:r>
                </w:p>
              </w:tc>
              <w:tc>
                <w:tcPr>
                  <w:tcW w:w="2011" w:type="dxa"/>
                  <w:noWrap w:val="0"/>
                  <w:vAlign w:val="center"/>
                </w:tcPr>
                <w:p w14:paraId="67516E74">
                  <w:pPr>
                    <w:widowControl/>
                    <w:adjustRightInd w:val="0"/>
                    <w:snapToGrid w:val="0"/>
                    <w:jc w:val="center"/>
                    <w:rPr>
                      <w:color w:val="auto"/>
                      <w:kern w:val="0"/>
                      <w:sz w:val="21"/>
                      <w:szCs w:val="21"/>
                      <w:highlight w:val="none"/>
                    </w:rPr>
                  </w:pPr>
                  <w:r>
                    <w:rPr>
                      <w:rFonts w:hint="eastAsia"/>
                      <w:color w:val="auto"/>
                      <w:kern w:val="0"/>
                      <w:sz w:val="21"/>
                      <w:szCs w:val="21"/>
                      <w:highlight w:val="none"/>
                    </w:rPr>
                    <w:t>15</w:t>
                  </w:r>
                </w:p>
              </w:tc>
              <w:tc>
                <w:tcPr>
                  <w:tcW w:w="2068" w:type="dxa"/>
                  <w:noWrap w:val="0"/>
                  <w:vAlign w:val="center"/>
                </w:tcPr>
                <w:p w14:paraId="09543F26">
                  <w:pPr>
                    <w:widowControl/>
                    <w:adjustRightInd w:val="0"/>
                    <w:snapToGrid w:val="0"/>
                    <w:jc w:val="center"/>
                    <w:rPr>
                      <w:rFonts w:hint="eastAsia"/>
                      <w:color w:val="auto"/>
                      <w:kern w:val="0"/>
                      <w:sz w:val="21"/>
                      <w:szCs w:val="21"/>
                      <w:highlight w:val="none"/>
                    </w:rPr>
                  </w:pPr>
                  <w:r>
                    <w:rPr>
                      <w:rFonts w:hint="eastAsia"/>
                      <w:color w:val="auto"/>
                      <w:kern w:val="0"/>
                      <w:sz w:val="21"/>
                      <w:szCs w:val="21"/>
                      <w:highlight w:val="none"/>
                    </w:rPr>
                    <w:t>2000</w:t>
                  </w:r>
                </w:p>
              </w:tc>
              <w:tc>
                <w:tcPr>
                  <w:tcW w:w="1979" w:type="dxa"/>
                  <w:noWrap w:val="0"/>
                  <w:vAlign w:val="center"/>
                </w:tcPr>
                <w:p w14:paraId="5F6F4ED7">
                  <w:pPr>
                    <w:widowControl/>
                    <w:adjustRightInd w:val="0"/>
                    <w:snapToGrid w:val="0"/>
                    <w:jc w:val="center"/>
                    <w:rPr>
                      <w:color w:val="auto"/>
                      <w:kern w:val="0"/>
                      <w:sz w:val="21"/>
                      <w:szCs w:val="21"/>
                      <w:highlight w:val="none"/>
                    </w:rPr>
                  </w:pPr>
                  <w:r>
                    <w:rPr>
                      <w:rFonts w:hint="eastAsia"/>
                      <w:color w:val="auto"/>
                      <w:kern w:val="0"/>
                      <w:sz w:val="21"/>
                      <w:szCs w:val="21"/>
                      <w:highlight w:val="none"/>
                    </w:rPr>
                    <w:t>20</w:t>
                  </w:r>
                </w:p>
              </w:tc>
            </w:tr>
            <w:tr w14:paraId="70CC5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06" w:type="dxa"/>
                  <w:noWrap w:val="0"/>
                  <w:vAlign w:val="center"/>
                </w:tcPr>
                <w:p w14:paraId="4E91735B">
                  <w:pPr>
                    <w:adjustRightInd w:val="0"/>
                    <w:snapToGrid w:val="0"/>
                    <w:jc w:val="center"/>
                    <w:rPr>
                      <w:rFonts w:hint="eastAsia"/>
                      <w:color w:val="auto"/>
                      <w:sz w:val="21"/>
                      <w:szCs w:val="21"/>
                      <w:highlight w:val="none"/>
                    </w:rPr>
                  </w:pPr>
                  <w:r>
                    <w:rPr>
                      <w:rFonts w:hint="eastAsia"/>
                      <w:bCs/>
                      <w:color w:val="auto"/>
                      <w:sz w:val="21"/>
                      <w:szCs w:val="21"/>
                      <w:highlight w:val="none"/>
                    </w:rPr>
                    <w:t>苯乙烯</w:t>
                  </w:r>
                </w:p>
              </w:tc>
              <w:tc>
                <w:tcPr>
                  <w:tcW w:w="2011" w:type="dxa"/>
                  <w:noWrap w:val="0"/>
                  <w:vAlign w:val="center"/>
                </w:tcPr>
                <w:p w14:paraId="7AFEB14C">
                  <w:pPr>
                    <w:widowControl/>
                    <w:adjustRightInd w:val="0"/>
                    <w:snapToGrid w:val="0"/>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w:t>
                  </w:r>
                </w:p>
              </w:tc>
              <w:tc>
                <w:tcPr>
                  <w:tcW w:w="2068" w:type="dxa"/>
                  <w:noWrap w:val="0"/>
                  <w:vAlign w:val="center"/>
                </w:tcPr>
                <w:p w14:paraId="37E53D7E">
                  <w:pPr>
                    <w:widowControl/>
                    <w:adjustRightInd w:val="0"/>
                    <w:snapToGrid w:val="0"/>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w:t>
                  </w:r>
                </w:p>
              </w:tc>
              <w:tc>
                <w:tcPr>
                  <w:tcW w:w="1979" w:type="dxa"/>
                  <w:noWrap w:val="0"/>
                  <w:vAlign w:val="center"/>
                </w:tcPr>
                <w:p w14:paraId="6E35B365">
                  <w:pPr>
                    <w:widowControl/>
                    <w:adjustRightInd w:val="0"/>
                    <w:snapToGrid w:val="0"/>
                    <w:jc w:val="center"/>
                    <w:rPr>
                      <w:rFonts w:hint="default" w:eastAsia="宋体"/>
                      <w:color w:val="auto"/>
                      <w:kern w:val="0"/>
                      <w:sz w:val="21"/>
                      <w:szCs w:val="21"/>
                      <w:highlight w:val="none"/>
                      <w:lang w:val="en-US" w:eastAsia="zh-CN"/>
                    </w:rPr>
                  </w:pPr>
                  <w:r>
                    <w:rPr>
                      <w:rFonts w:hint="eastAsia"/>
                      <w:b w:val="0"/>
                      <w:bCs w:val="0"/>
                      <w:color w:val="auto"/>
                      <w:kern w:val="0"/>
                      <w:sz w:val="21"/>
                      <w:szCs w:val="21"/>
                      <w:highlight w:val="none"/>
                      <w:lang w:val="en-US" w:eastAsia="zh-CN"/>
                    </w:rPr>
                    <w:t>5.0</w:t>
                  </w:r>
                  <w:r>
                    <w:rPr>
                      <w:b w:val="0"/>
                      <w:bCs w:val="0"/>
                      <w:color w:val="auto"/>
                      <w:kern w:val="0"/>
                      <w:sz w:val="21"/>
                      <w:szCs w:val="21"/>
                      <w:highlight w:val="none"/>
                    </w:rPr>
                    <w:t>mg/m</w:t>
                  </w:r>
                  <w:r>
                    <w:rPr>
                      <w:b w:val="0"/>
                      <w:bCs w:val="0"/>
                      <w:color w:val="auto"/>
                      <w:kern w:val="0"/>
                      <w:sz w:val="21"/>
                      <w:szCs w:val="21"/>
                      <w:highlight w:val="none"/>
                      <w:vertAlign w:val="superscript"/>
                    </w:rPr>
                    <w:t>3</w:t>
                  </w:r>
                </w:p>
              </w:tc>
            </w:tr>
          </w:tbl>
          <w:p w14:paraId="7215E438">
            <w:pPr>
              <w:pStyle w:val="16"/>
              <w:keepNext w:val="0"/>
              <w:keepLines w:val="0"/>
              <w:pageBreakBefore w:val="0"/>
              <w:widowControl w:val="0"/>
              <w:kinsoku/>
              <w:wordWrap/>
              <w:overflowPunct/>
              <w:topLinePunct w:val="0"/>
              <w:autoSpaceDE/>
              <w:autoSpaceDN/>
              <w:bidi w:val="0"/>
              <w:adjustRightInd w:val="0"/>
              <w:snapToGrid w:val="0"/>
              <w:ind w:firstLine="431"/>
              <w:textAlignment w:val="auto"/>
              <w:rPr>
                <w:rFonts w:ascii="Times New Roman" w:hAnsi="Times New Roman"/>
                <w:b/>
                <w:color w:val="auto"/>
                <w:sz w:val="24"/>
                <w:highlight w:val="none"/>
              </w:rPr>
            </w:pPr>
            <w:r>
              <w:rPr>
                <w:rFonts w:ascii="Times New Roman" w:hAnsi="Times New Roman"/>
                <w:bCs/>
                <w:color w:val="auto"/>
                <w:szCs w:val="21"/>
                <w:highlight w:val="none"/>
              </w:rPr>
              <w:t>表</w:t>
            </w:r>
            <w:r>
              <w:rPr>
                <w:rFonts w:hint="eastAsia" w:ascii="Times New Roman" w:hAnsi="Times New Roman"/>
                <w:bCs/>
                <w:color w:val="auto"/>
                <w:szCs w:val="21"/>
                <w:highlight w:val="none"/>
              </w:rPr>
              <w:t>3-</w:t>
            </w:r>
            <w:r>
              <w:rPr>
                <w:rFonts w:hint="eastAsia" w:ascii="Times New Roman" w:hAnsi="Times New Roman"/>
                <w:bCs/>
                <w:color w:val="auto"/>
                <w:szCs w:val="21"/>
                <w:highlight w:val="none"/>
                <w:lang w:val="en-US" w:eastAsia="zh-CN"/>
              </w:rPr>
              <w:t>7</w:t>
            </w:r>
            <w:r>
              <w:rPr>
                <w:rFonts w:hint="eastAsia" w:ascii="Times New Roman" w:hAnsi="Times New Roman"/>
                <w:bCs/>
                <w:color w:val="auto"/>
                <w:szCs w:val="21"/>
                <w:highlight w:val="none"/>
              </w:rPr>
              <w:t xml:space="preserve">           </w:t>
            </w:r>
            <w:r>
              <w:rPr>
                <w:rFonts w:hint="eastAsia" w:ascii="Times New Roman" w:hAnsi="Times New Roman"/>
                <w:b/>
                <w:color w:val="auto"/>
                <w:sz w:val="24"/>
                <w:highlight w:val="none"/>
              </w:rPr>
              <w:t>挥发性有机物无组织排放控制标准</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6"/>
              <w:gridCol w:w="1857"/>
              <w:gridCol w:w="2762"/>
              <w:gridCol w:w="2252"/>
            </w:tblGrid>
            <w:tr w14:paraId="2D173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68" w:type="dxa"/>
                  <w:noWrap w:val="0"/>
                  <w:vAlign w:val="center"/>
                </w:tcPr>
                <w:p w14:paraId="3B387ABB">
                  <w:pPr>
                    <w:adjustRightInd w:val="0"/>
                    <w:snapToGrid w:val="0"/>
                    <w:jc w:val="center"/>
                    <w:rPr>
                      <w:b/>
                      <w:color w:val="auto"/>
                      <w:szCs w:val="21"/>
                      <w:highlight w:val="none"/>
                    </w:rPr>
                  </w:pPr>
                  <w:r>
                    <w:rPr>
                      <w:rFonts w:hint="eastAsia"/>
                      <w:b/>
                      <w:color w:val="auto"/>
                      <w:szCs w:val="21"/>
                      <w:highlight w:val="none"/>
                    </w:rPr>
                    <w:t>污染物</w:t>
                  </w:r>
                  <w:r>
                    <w:rPr>
                      <w:b/>
                      <w:color w:val="auto"/>
                      <w:szCs w:val="21"/>
                      <w:highlight w:val="none"/>
                    </w:rPr>
                    <w:t>项目</w:t>
                  </w:r>
                </w:p>
              </w:tc>
              <w:tc>
                <w:tcPr>
                  <w:tcW w:w="1806" w:type="dxa"/>
                  <w:noWrap w:val="0"/>
                  <w:vAlign w:val="center"/>
                </w:tcPr>
                <w:p w14:paraId="1B965970">
                  <w:pPr>
                    <w:adjustRightInd w:val="0"/>
                    <w:snapToGrid w:val="0"/>
                    <w:jc w:val="center"/>
                    <w:rPr>
                      <w:b/>
                      <w:color w:val="auto"/>
                      <w:szCs w:val="21"/>
                      <w:highlight w:val="none"/>
                    </w:rPr>
                  </w:pPr>
                  <w:r>
                    <w:rPr>
                      <w:rFonts w:hint="eastAsia"/>
                      <w:b/>
                      <w:color w:val="auto"/>
                      <w:kern w:val="0"/>
                      <w:szCs w:val="21"/>
                      <w:highlight w:val="none"/>
                    </w:rPr>
                    <w:t>排放限值</w:t>
                  </w:r>
                </w:p>
              </w:tc>
              <w:tc>
                <w:tcPr>
                  <w:tcW w:w="2686" w:type="dxa"/>
                  <w:noWrap w:val="0"/>
                  <w:vAlign w:val="center"/>
                </w:tcPr>
                <w:p w14:paraId="7247521A">
                  <w:pPr>
                    <w:widowControl/>
                    <w:adjustRightInd w:val="0"/>
                    <w:snapToGrid w:val="0"/>
                    <w:jc w:val="center"/>
                    <w:rPr>
                      <w:rFonts w:hint="eastAsia"/>
                      <w:b/>
                      <w:color w:val="auto"/>
                      <w:kern w:val="0"/>
                      <w:szCs w:val="21"/>
                      <w:highlight w:val="none"/>
                    </w:rPr>
                  </w:pPr>
                  <w:r>
                    <w:rPr>
                      <w:rFonts w:hint="eastAsia"/>
                      <w:b/>
                      <w:color w:val="auto"/>
                      <w:kern w:val="0"/>
                      <w:szCs w:val="21"/>
                      <w:highlight w:val="none"/>
                    </w:rPr>
                    <w:t>限值含义</w:t>
                  </w:r>
                </w:p>
              </w:tc>
              <w:tc>
                <w:tcPr>
                  <w:tcW w:w="2190" w:type="dxa"/>
                  <w:noWrap w:val="0"/>
                  <w:vAlign w:val="center"/>
                </w:tcPr>
                <w:p w14:paraId="1AF1B067">
                  <w:pPr>
                    <w:widowControl/>
                    <w:adjustRightInd w:val="0"/>
                    <w:snapToGrid w:val="0"/>
                    <w:jc w:val="center"/>
                    <w:rPr>
                      <w:rFonts w:hint="eastAsia"/>
                      <w:b/>
                      <w:color w:val="auto"/>
                      <w:kern w:val="0"/>
                      <w:szCs w:val="21"/>
                      <w:highlight w:val="none"/>
                    </w:rPr>
                  </w:pPr>
                  <w:r>
                    <w:rPr>
                      <w:rFonts w:hint="eastAsia"/>
                      <w:b/>
                      <w:color w:val="auto"/>
                      <w:kern w:val="0"/>
                      <w:szCs w:val="21"/>
                      <w:highlight w:val="none"/>
                    </w:rPr>
                    <w:t>无组织排放监控位置</w:t>
                  </w:r>
                </w:p>
              </w:tc>
            </w:tr>
            <w:tr w14:paraId="74F94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68" w:type="dxa"/>
                  <w:vMerge w:val="restart"/>
                  <w:noWrap w:val="0"/>
                  <w:vAlign w:val="center"/>
                </w:tcPr>
                <w:p w14:paraId="3BA2FEE7">
                  <w:pPr>
                    <w:adjustRightInd w:val="0"/>
                    <w:snapToGrid w:val="0"/>
                    <w:jc w:val="center"/>
                    <w:rPr>
                      <w:color w:val="auto"/>
                      <w:szCs w:val="21"/>
                      <w:highlight w:val="none"/>
                    </w:rPr>
                  </w:pPr>
                  <w:r>
                    <w:rPr>
                      <w:rFonts w:hint="eastAsia"/>
                      <w:color w:val="auto"/>
                      <w:szCs w:val="21"/>
                      <w:highlight w:val="none"/>
                    </w:rPr>
                    <w:t>NMHC</w:t>
                  </w:r>
                </w:p>
              </w:tc>
              <w:tc>
                <w:tcPr>
                  <w:tcW w:w="1806" w:type="dxa"/>
                  <w:noWrap w:val="0"/>
                  <w:vAlign w:val="center"/>
                </w:tcPr>
                <w:p w14:paraId="2149C788">
                  <w:pPr>
                    <w:widowControl/>
                    <w:adjustRightInd w:val="0"/>
                    <w:snapToGrid w:val="0"/>
                    <w:jc w:val="center"/>
                    <w:rPr>
                      <w:color w:val="auto"/>
                      <w:kern w:val="0"/>
                      <w:szCs w:val="21"/>
                      <w:highlight w:val="none"/>
                    </w:rPr>
                  </w:pPr>
                  <w:r>
                    <w:rPr>
                      <w:rFonts w:hint="eastAsia"/>
                      <w:color w:val="auto"/>
                      <w:kern w:val="0"/>
                      <w:szCs w:val="21"/>
                      <w:highlight w:val="none"/>
                    </w:rPr>
                    <w:t>10</w:t>
                  </w:r>
                  <w:r>
                    <w:rPr>
                      <w:color w:val="auto"/>
                      <w:kern w:val="0"/>
                      <w:szCs w:val="21"/>
                      <w:highlight w:val="none"/>
                    </w:rPr>
                    <w:t>mg/m</w:t>
                  </w:r>
                  <w:r>
                    <w:rPr>
                      <w:color w:val="auto"/>
                      <w:kern w:val="0"/>
                      <w:szCs w:val="21"/>
                      <w:highlight w:val="none"/>
                      <w:vertAlign w:val="superscript"/>
                    </w:rPr>
                    <w:t>3</w:t>
                  </w:r>
                </w:p>
              </w:tc>
              <w:tc>
                <w:tcPr>
                  <w:tcW w:w="2686" w:type="dxa"/>
                  <w:noWrap w:val="0"/>
                  <w:vAlign w:val="center"/>
                </w:tcPr>
                <w:p w14:paraId="31FD9BA4">
                  <w:pPr>
                    <w:widowControl/>
                    <w:adjustRightInd w:val="0"/>
                    <w:snapToGrid w:val="0"/>
                    <w:jc w:val="center"/>
                    <w:rPr>
                      <w:color w:val="auto"/>
                      <w:kern w:val="0"/>
                      <w:szCs w:val="21"/>
                      <w:highlight w:val="none"/>
                    </w:rPr>
                  </w:pPr>
                  <w:r>
                    <w:rPr>
                      <w:rFonts w:hint="eastAsia"/>
                      <w:color w:val="auto"/>
                      <w:kern w:val="0"/>
                      <w:szCs w:val="21"/>
                      <w:highlight w:val="none"/>
                    </w:rPr>
                    <w:t>监控点处1h平均浓度值</w:t>
                  </w:r>
                </w:p>
              </w:tc>
              <w:tc>
                <w:tcPr>
                  <w:tcW w:w="2190" w:type="dxa"/>
                  <w:vMerge w:val="restart"/>
                  <w:noWrap w:val="0"/>
                  <w:vAlign w:val="center"/>
                </w:tcPr>
                <w:p w14:paraId="502660EC">
                  <w:pPr>
                    <w:widowControl/>
                    <w:adjustRightInd w:val="0"/>
                    <w:snapToGrid w:val="0"/>
                    <w:jc w:val="center"/>
                    <w:rPr>
                      <w:rFonts w:hint="eastAsia"/>
                      <w:color w:val="auto"/>
                      <w:kern w:val="0"/>
                      <w:szCs w:val="21"/>
                      <w:highlight w:val="none"/>
                    </w:rPr>
                  </w:pPr>
                  <w:r>
                    <w:rPr>
                      <w:rFonts w:hint="eastAsia"/>
                      <w:color w:val="auto"/>
                      <w:kern w:val="0"/>
                      <w:szCs w:val="21"/>
                      <w:highlight w:val="none"/>
                    </w:rPr>
                    <w:t>在厂房外设置监控点</w:t>
                  </w:r>
                </w:p>
              </w:tc>
            </w:tr>
            <w:tr w14:paraId="6202D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368" w:type="dxa"/>
                  <w:vMerge w:val="continue"/>
                  <w:noWrap w:val="0"/>
                  <w:vAlign w:val="center"/>
                </w:tcPr>
                <w:p w14:paraId="2FC6B5CF">
                  <w:pPr>
                    <w:adjustRightInd w:val="0"/>
                    <w:snapToGrid w:val="0"/>
                    <w:jc w:val="center"/>
                    <w:rPr>
                      <w:color w:val="auto"/>
                      <w:szCs w:val="21"/>
                      <w:highlight w:val="none"/>
                    </w:rPr>
                  </w:pPr>
                </w:p>
              </w:tc>
              <w:tc>
                <w:tcPr>
                  <w:tcW w:w="1806" w:type="dxa"/>
                  <w:noWrap w:val="0"/>
                  <w:vAlign w:val="center"/>
                </w:tcPr>
                <w:p w14:paraId="46064F17">
                  <w:pPr>
                    <w:widowControl/>
                    <w:adjustRightInd w:val="0"/>
                    <w:snapToGrid w:val="0"/>
                    <w:jc w:val="center"/>
                    <w:rPr>
                      <w:color w:val="auto"/>
                      <w:kern w:val="0"/>
                      <w:szCs w:val="21"/>
                      <w:highlight w:val="none"/>
                    </w:rPr>
                  </w:pPr>
                  <w:r>
                    <w:rPr>
                      <w:rFonts w:hint="eastAsia"/>
                      <w:color w:val="auto"/>
                      <w:kern w:val="0"/>
                      <w:szCs w:val="21"/>
                      <w:highlight w:val="none"/>
                    </w:rPr>
                    <w:t>30</w:t>
                  </w:r>
                  <w:r>
                    <w:rPr>
                      <w:color w:val="auto"/>
                      <w:kern w:val="0"/>
                      <w:szCs w:val="21"/>
                      <w:highlight w:val="none"/>
                    </w:rPr>
                    <w:t>mg/m</w:t>
                  </w:r>
                  <w:r>
                    <w:rPr>
                      <w:color w:val="auto"/>
                      <w:kern w:val="0"/>
                      <w:szCs w:val="21"/>
                      <w:highlight w:val="none"/>
                      <w:vertAlign w:val="superscript"/>
                    </w:rPr>
                    <w:t>3</w:t>
                  </w:r>
                </w:p>
              </w:tc>
              <w:tc>
                <w:tcPr>
                  <w:tcW w:w="2686" w:type="dxa"/>
                  <w:noWrap w:val="0"/>
                  <w:vAlign w:val="center"/>
                </w:tcPr>
                <w:p w14:paraId="79269721">
                  <w:pPr>
                    <w:widowControl/>
                    <w:adjustRightInd w:val="0"/>
                    <w:snapToGrid w:val="0"/>
                    <w:jc w:val="center"/>
                    <w:rPr>
                      <w:rFonts w:hint="eastAsia"/>
                      <w:color w:val="auto"/>
                      <w:kern w:val="0"/>
                      <w:szCs w:val="21"/>
                      <w:highlight w:val="none"/>
                    </w:rPr>
                  </w:pPr>
                  <w:r>
                    <w:rPr>
                      <w:rFonts w:hint="eastAsia"/>
                      <w:color w:val="auto"/>
                      <w:kern w:val="0"/>
                      <w:szCs w:val="21"/>
                      <w:highlight w:val="none"/>
                    </w:rPr>
                    <w:t>监控点处任意一次浓度值</w:t>
                  </w:r>
                </w:p>
              </w:tc>
              <w:tc>
                <w:tcPr>
                  <w:tcW w:w="2190" w:type="dxa"/>
                  <w:vMerge w:val="continue"/>
                  <w:noWrap w:val="0"/>
                  <w:vAlign w:val="center"/>
                </w:tcPr>
                <w:p w14:paraId="34628BA7">
                  <w:pPr>
                    <w:widowControl/>
                    <w:adjustRightInd w:val="0"/>
                    <w:snapToGrid w:val="0"/>
                    <w:jc w:val="center"/>
                    <w:rPr>
                      <w:rFonts w:hint="eastAsia"/>
                      <w:color w:val="auto"/>
                      <w:kern w:val="0"/>
                      <w:szCs w:val="21"/>
                      <w:highlight w:val="none"/>
                    </w:rPr>
                  </w:pPr>
                </w:p>
              </w:tc>
            </w:tr>
          </w:tbl>
          <w:p w14:paraId="2D3302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82" w:firstLineChars="200"/>
              <w:jc w:val="both"/>
              <w:textAlignment w:val="auto"/>
              <w:rPr>
                <w:b/>
                <w:bCs/>
                <w:color w:val="auto"/>
                <w:sz w:val="24"/>
                <w:highlight w:val="none"/>
              </w:rPr>
            </w:pPr>
            <w:r>
              <w:rPr>
                <w:rFonts w:hint="eastAsia"/>
                <w:b/>
                <w:bCs/>
                <w:color w:val="auto"/>
                <w:kern w:val="2"/>
                <w:sz w:val="24"/>
                <w:szCs w:val="21"/>
                <w:lang w:val="en-US" w:eastAsia="zh-CN" w:bidi="ar-SA"/>
              </w:rPr>
              <w:t>2</w:t>
            </w:r>
            <w:r>
              <w:rPr>
                <w:rFonts w:hint="default"/>
                <w:b/>
                <w:bCs/>
                <w:color w:val="auto"/>
                <w:kern w:val="2"/>
                <w:sz w:val="24"/>
                <w:szCs w:val="21"/>
                <w:lang w:val="en-US" w:eastAsia="zh-CN" w:bidi="ar-SA"/>
              </w:rPr>
              <w:t>、</w:t>
            </w:r>
            <w:r>
              <w:rPr>
                <w:rFonts w:hint="eastAsia" w:ascii="Times New Roman" w:hAnsi="Times New Roman" w:eastAsia="宋体" w:cs="Times New Roman"/>
                <w:b/>
                <w:bCs/>
                <w:color w:val="auto"/>
                <w:kern w:val="0"/>
                <w:sz w:val="24"/>
                <w:lang w:val="en-US" w:eastAsia="zh-CN"/>
              </w:rPr>
              <w:t>噪声</w:t>
            </w:r>
          </w:p>
          <w:p w14:paraId="4944817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both"/>
              <w:textAlignment w:val="auto"/>
              <w:rPr>
                <w:color w:val="auto"/>
                <w:sz w:val="24"/>
                <w:highlight w:val="none"/>
              </w:rPr>
            </w:pPr>
            <w:r>
              <w:rPr>
                <w:rFonts w:hint="default" w:ascii="Times New Roman" w:hAnsi="Times New Roman" w:eastAsia="宋体" w:cs="Times New Roman"/>
                <w:color w:val="auto"/>
                <w:kern w:val="0"/>
                <w:sz w:val="24"/>
                <w:szCs w:val="24"/>
                <w:lang w:val="en-US" w:eastAsia="zh-CN"/>
              </w:rPr>
              <w:fldChar w:fldCharType="begin"/>
            </w:r>
            <w:r>
              <w:rPr>
                <w:rFonts w:hint="default" w:ascii="Times New Roman" w:hAnsi="Times New Roman" w:eastAsia="宋体" w:cs="Times New Roman"/>
                <w:color w:val="auto"/>
                <w:kern w:val="0"/>
                <w:sz w:val="24"/>
                <w:szCs w:val="24"/>
                <w:lang w:val="en-US" w:eastAsia="zh-CN"/>
              </w:rPr>
              <w:instrText xml:space="preserve"> = 1 \* GB2 \* MERGEFORMAT </w:instrText>
            </w:r>
            <w:r>
              <w:rPr>
                <w:rFonts w:hint="default" w:ascii="Times New Roman" w:hAnsi="Times New Roman" w:eastAsia="宋体" w:cs="Times New Roman"/>
                <w:color w:val="auto"/>
                <w:kern w:val="0"/>
                <w:sz w:val="24"/>
                <w:szCs w:val="24"/>
                <w:lang w:val="en-US" w:eastAsia="zh-CN"/>
              </w:rPr>
              <w:fldChar w:fldCharType="separate"/>
            </w:r>
            <w:r>
              <w:rPr>
                <w:rFonts w:hint="default" w:ascii="Times New Roman" w:hAnsi="Times New Roman" w:cs="Times New Roman"/>
                <w:color w:val="auto"/>
                <w:sz w:val="24"/>
                <w:szCs w:val="24"/>
              </w:rPr>
              <w:t>⑴</w:t>
            </w:r>
            <w:r>
              <w:rPr>
                <w:rFonts w:hint="default" w:ascii="Times New Roman" w:hAnsi="Times New Roman" w:eastAsia="宋体" w:cs="Times New Roman"/>
                <w:color w:val="auto"/>
                <w:kern w:val="0"/>
                <w:sz w:val="24"/>
                <w:szCs w:val="24"/>
                <w:lang w:val="en-US" w:eastAsia="zh-CN"/>
              </w:rPr>
              <w:fldChar w:fldCharType="end"/>
            </w:r>
            <w:r>
              <w:rPr>
                <w:rFonts w:hint="default" w:ascii="Times New Roman" w:hAnsi="Times New Roman" w:eastAsia="宋体" w:cs="Times New Roman"/>
                <w:color w:val="auto"/>
                <w:kern w:val="0"/>
                <w:sz w:val="24"/>
              </w:rPr>
              <w:t>施工期噪声执行</w:t>
            </w:r>
            <w:r>
              <w:rPr>
                <w:color w:val="auto"/>
                <w:sz w:val="24"/>
                <w:highlight w:val="none"/>
              </w:rPr>
              <w:t>《建筑施工噪声排放标准》（GB12523-20</w:t>
            </w:r>
            <w:r>
              <w:rPr>
                <w:rFonts w:hint="eastAsia"/>
                <w:color w:val="auto"/>
                <w:sz w:val="24"/>
                <w:highlight w:val="none"/>
                <w:lang w:val="en-US" w:eastAsia="zh-CN"/>
              </w:rPr>
              <w:t>25</w:t>
            </w:r>
            <w:r>
              <w:rPr>
                <w:color w:val="auto"/>
                <w:sz w:val="24"/>
                <w:highlight w:val="none"/>
              </w:rPr>
              <w:t>）。</w:t>
            </w:r>
          </w:p>
          <w:p w14:paraId="7F0811AE">
            <w:pPr>
              <w:pStyle w:val="16"/>
              <w:adjustRightInd w:val="0"/>
              <w:snapToGrid w:val="0"/>
              <w:ind w:firstLine="431"/>
              <w:rPr>
                <w:rFonts w:hint="eastAsia" w:ascii="Times New Roman" w:hAnsi="Times New Roman"/>
                <w:b/>
                <w:color w:val="auto"/>
                <w:sz w:val="24"/>
                <w:highlight w:val="none"/>
              </w:rPr>
            </w:pPr>
            <w:r>
              <w:rPr>
                <w:rFonts w:ascii="Times New Roman" w:hAnsi="Times New Roman"/>
                <w:bCs/>
                <w:color w:val="auto"/>
                <w:szCs w:val="21"/>
                <w:highlight w:val="none"/>
              </w:rPr>
              <w:t>表</w:t>
            </w:r>
            <w:r>
              <w:rPr>
                <w:rFonts w:hint="eastAsia" w:ascii="Times New Roman" w:hAnsi="Times New Roman"/>
                <w:bCs/>
                <w:color w:val="auto"/>
                <w:szCs w:val="21"/>
                <w:highlight w:val="none"/>
              </w:rPr>
              <w:t>3-</w:t>
            </w:r>
            <w:r>
              <w:rPr>
                <w:rFonts w:hint="eastAsia" w:ascii="Times New Roman" w:hAnsi="Times New Roman"/>
                <w:bCs/>
                <w:color w:val="auto"/>
                <w:szCs w:val="21"/>
                <w:highlight w:val="none"/>
                <w:lang w:val="en-US" w:eastAsia="zh-CN"/>
              </w:rPr>
              <w:t xml:space="preserve">8 </w:t>
            </w:r>
            <w:r>
              <w:rPr>
                <w:rFonts w:hint="eastAsia" w:ascii="Times New Roman" w:hAnsi="Times New Roman"/>
                <w:bCs/>
                <w:color w:val="auto"/>
                <w:szCs w:val="21"/>
                <w:highlight w:val="none"/>
              </w:rPr>
              <w:t xml:space="preserve">             </w:t>
            </w:r>
            <w:r>
              <w:rPr>
                <w:rFonts w:hint="eastAsia" w:ascii="Times New Roman" w:hAnsi="Times New Roman"/>
                <w:b/>
                <w:color w:val="auto"/>
                <w:szCs w:val="21"/>
                <w:highlight w:val="none"/>
              </w:rPr>
              <w:t xml:space="preserve">  </w:t>
            </w:r>
            <w:r>
              <w:rPr>
                <w:rFonts w:hint="eastAsia" w:ascii="Times New Roman" w:hAnsi="Times New Roman"/>
                <w:b/>
                <w:color w:val="auto"/>
                <w:sz w:val="24"/>
                <w:highlight w:val="none"/>
              </w:rPr>
              <w:t>施工期噪声排放控制标准</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35"/>
              <w:gridCol w:w="4140"/>
            </w:tblGrid>
            <w:tr w14:paraId="3BD2A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8" w:type="pct"/>
                  <w:noWrap w:val="0"/>
                  <w:vAlign w:val="center"/>
                </w:tcPr>
                <w:p w14:paraId="44FFE4D8">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昼间</w:t>
                  </w:r>
                </w:p>
              </w:tc>
              <w:tc>
                <w:tcPr>
                  <w:tcW w:w="2501" w:type="pct"/>
                  <w:noWrap w:val="0"/>
                  <w:vAlign w:val="center"/>
                </w:tcPr>
                <w:p w14:paraId="1F81CA7E">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夜间</w:t>
                  </w:r>
                </w:p>
              </w:tc>
            </w:tr>
            <w:tr w14:paraId="14FC8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98" w:type="pct"/>
                  <w:noWrap w:val="0"/>
                  <w:vAlign w:val="center"/>
                </w:tcPr>
                <w:p w14:paraId="4D38D57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70dB（A）</w:t>
                  </w:r>
                </w:p>
              </w:tc>
              <w:tc>
                <w:tcPr>
                  <w:tcW w:w="2501" w:type="pct"/>
                  <w:noWrap w:val="0"/>
                  <w:vAlign w:val="center"/>
                </w:tcPr>
                <w:p w14:paraId="525AD856">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55dB（A）</w:t>
                  </w:r>
                </w:p>
              </w:tc>
            </w:tr>
          </w:tbl>
          <w:p w14:paraId="76524A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rFonts w:hint="eastAsia" w:ascii="Times New Roman" w:hAnsi="Times New Roman" w:eastAsia="宋体" w:cs="Times New Roman"/>
                <w:color w:val="auto"/>
                <w:kern w:val="0"/>
                <w:sz w:val="24"/>
                <w:szCs w:val="24"/>
                <w:lang w:val="en-US" w:eastAsia="zh-CN"/>
              </w:rPr>
              <w:fldChar w:fldCharType="begin"/>
            </w:r>
            <w:r>
              <w:rPr>
                <w:rFonts w:hint="eastAsia" w:ascii="Times New Roman" w:hAnsi="Times New Roman" w:eastAsia="宋体" w:cs="Times New Roman"/>
                <w:color w:val="auto"/>
                <w:kern w:val="0"/>
                <w:sz w:val="24"/>
                <w:szCs w:val="24"/>
                <w:lang w:val="en-US" w:eastAsia="zh-CN"/>
              </w:rPr>
              <w:instrText xml:space="preserve"> = 2 \* GB2 \* MERGEFORMAT </w:instrText>
            </w:r>
            <w:r>
              <w:rPr>
                <w:rFonts w:hint="eastAsia" w:ascii="Times New Roman" w:hAnsi="Times New Roman" w:eastAsia="宋体" w:cs="Times New Roman"/>
                <w:color w:val="auto"/>
                <w:kern w:val="0"/>
                <w:sz w:val="24"/>
                <w:szCs w:val="24"/>
                <w:lang w:val="en-US" w:eastAsia="zh-CN"/>
              </w:rPr>
              <w:fldChar w:fldCharType="separate"/>
            </w:r>
            <w:r>
              <w:rPr>
                <w:rFonts w:hint="default" w:ascii="Times New Roman" w:hAnsi="Times New Roman" w:eastAsia="宋体" w:cs="Times New Roman"/>
                <w:color w:val="auto"/>
                <w:kern w:val="0"/>
                <w:sz w:val="24"/>
                <w:szCs w:val="24"/>
                <w:lang w:val="en-US" w:eastAsia="zh-CN"/>
              </w:rPr>
              <w:t>⑵</w:t>
            </w:r>
            <w:r>
              <w:rPr>
                <w:rFonts w:hint="eastAsia" w:ascii="Times New Roman" w:hAnsi="Times New Roman" w:eastAsia="宋体" w:cs="Times New Roman"/>
                <w:color w:val="auto"/>
                <w:kern w:val="0"/>
                <w:sz w:val="24"/>
                <w:szCs w:val="24"/>
                <w:lang w:val="en-US" w:eastAsia="zh-CN"/>
              </w:rPr>
              <w:fldChar w:fldCharType="end"/>
            </w:r>
            <w:r>
              <w:rPr>
                <w:color w:val="auto"/>
                <w:spacing w:val="2"/>
                <w:sz w:val="24"/>
                <w:highlight w:val="none"/>
              </w:rPr>
              <w:t>本项目</w:t>
            </w:r>
            <w:r>
              <w:rPr>
                <w:color w:val="auto"/>
                <w:sz w:val="24"/>
                <w:highlight w:val="none"/>
              </w:rPr>
              <w:t>运营期噪声执行《工业企业厂界环境噪声排放标准》（GB12348-2008）中的</w:t>
            </w:r>
            <w:r>
              <w:rPr>
                <w:rFonts w:hint="eastAsia"/>
                <w:color w:val="auto"/>
                <w:sz w:val="24"/>
                <w:highlight w:val="none"/>
              </w:rPr>
              <w:t>3</w:t>
            </w:r>
            <w:r>
              <w:rPr>
                <w:color w:val="auto"/>
                <w:sz w:val="24"/>
                <w:highlight w:val="none"/>
              </w:rPr>
              <w:t>类昼间标准限值。</w:t>
            </w:r>
          </w:p>
          <w:p w14:paraId="578C9FC1">
            <w:pPr>
              <w:pStyle w:val="16"/>
              <w:adjustRightInd w:val="0"/>
              <w:snapToGrid w:val="0"/>
              <w:ind w:firstLine="431"/>
              <w:rPr>
                <w:color w:val="auto"/>
                <w:sz w:val="24"/>
                <w:highlight w:val="none"/>
              </w:rPr>
            </w:pPr>
            <w:r>
              <w:rPr>
                <w:rFonts w:ascii="Times New Roman" w:hAnsi="Times New Roman"/>
                <w:bCs/>
                <w:color w:val="auto"/>
                <w:szCs w:val="21"/>
                <w:highlight w:val="none"/>
              </w:rPr>
              <w:t>表</w:t>
            </w:r>
            <w:r>
              <w:rPr>
                <w:rFonts w:hint="eastAsia" w:ascii="Times New Roman" w:hAnsi="Times New Roman"/>
                <w:bCs/>
                <w:color w:val="auto"/>
                <w:szCs w:val="21"/>
                <w:highlight w:val="none"/>
              </w:rPr>
              <w:t>3-</w:t>
            </w:r>
            <w:r>
              <w:rPr>
                <w:rFonts w:hint="eastAsia" w:ascii="Times New Roman" w:hAnsi="Times New Roman"/>
                <w:bCs/>
                <w:color w:val="auto"/>
                <w:szCs w:val="21"/>
                <w:highlight w:val="none"/>
                <w:lang w:val="en-US" w:eastAsia="zh-CN"/>
              </w:rPr>
              <w:t>9</w:t>
            </w:r>
            <w:r>
              <w:rPr>
                <w:rFonts w:hint="eastAsia" w:ascii="Times New Roman" w:hAnsi="Times New Roman"/>
                <w:bCs/>
                <w:color w:val="auto"/>
                <w:szCs w:val="21"/>
                <w:highlight w:val="none"/>
              </w:rPr>
              <w:t xml:space="preserve">              </w:t>
            </w:r>
            <w:r>
              <w:rPr>
                <w:rFonts w:hint="eastAsia" w:ascii="Times New Roman" w:hAnsi="Times New Roman"/>
                <w:b/>
                <w:color w:val="auto"/>
                <w:szCs w:val="21"/>
                <w:highlight w:val="none"/>
              </w:rPr>
              <w:t xml:space="preserve">  </w:t>
            </w:r>
            <w:r>
              <w:rPr>
                <w:rFonts w:hint="eastAsia" w:ascii="Times New Roman" w:hAnsi="Times New Roman"/>
                <w:b/>
                <w:color w:val="auto"/>
                <w:sz w:val="24"/>
                <w:highlight w:val="none"/>
              </w:rPr>
              <w:t>运营期噪声排放控制标准</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22"/>
              <w:gridCol w:w="5155"/>
            </w:tblGrid>
            <w:tr w14:paraId="14F91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122" w:type="dxa"/>
                  <w:noWrap w:val="0"/>
                  <w:vAlign w:val="center"/>
                </w:tcPr>
                <w:p w14:paraId="73CCCA71">
                  <w:pPr>
                    <w:adjustRightInd w:val="0"/>
                    <w:snapToGrid w:val="0"/>
                    <w:jc w:val="center"/>
                    <w:rPr>
                      <w:b/>
                      <w:color w:val="auto"/>
                      <w:szCs w:val="21"/>
                      <w:highlight w:val="none"/>
                    </w:rPr>
                  </w:pPr>
                  <w:r>
                    <w:rPr>
                      <w:b/>
                      <w:color w:val="auto"/>
                      <w:szCs w:val="21"/>
                      <w:highlight w:val="none"/>
                    </w:rPr>
                    <w:t>类别</w:t>
                  </w:r>
                </w:p>
              </w:tc>
              <w:tc>
                <w:tcPr>
                  <w:tcW w:w="5155" w:type="dxa"/>
                  <w:noWrap w:val="0"/>
                  <w:vAlign w:val="center"/>
                </w:tcPr>
                <w:p w14:paraId="5E6C3B65">
                  <w:pPr>
                    <w:adjustRightInd w:val="0"/>
                    <w:snapToGrid w:val="0"/>
                    <w:jc w:val="center"/>
                    <w:rPr>
                      <w:b/>
                      <w:color w:val="auto"/>
                      <w:szCs w:val="21"/>
                      <w:highlight w:val="none"/>
                    </w:rPr>
                  </w:pPr>
                  <w:r>
                    <w:rPr>
                      <w:b/>
                      <w:color w:val="auto"/>
                      <w:szCs w:val="21"/>
                      <w:highlight w:val="none"/>
                    </w:rPr>
                    <w:t>昼间</w:t>
                  </w:r>
                </w:p>
              </w:tc>
            </w:tr>
            <w:tr w14:paraId="146CF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3122" w:type="dxa"/>
                  <w:noWrap w:val="0"/>
                  <w:vAlign w:val="center"/>
                </w:tcPr>
                <w:p w14:paraId="670907E2">
                  <w:pPr>
                    <w:adjustRightInd w:val="0"/>
                    <w:snapToGrid w:val="0"/>
                    <w:jc w:val="center"/>
                    <w:rPr>
                      <w:color w:val="auto"/>
                      <w:szCs w:val="21"/>
                      <w:highlight w:val="none"/>
                    </w:rPr>
                  </w:pPr>
                  <w:r>
                    <w:rPr>
                      <w:rFonts w:hint="eastAsia"/>
                      <w:color w:val="auto"/>
                      <w:szCs w:val="21"/>
                      <w:highlight w:val="none"/>
                    </w:rPr>
                    <w:t>3</w:t>
                  </w:r>
                  <w:r>
                    <w:rPr>
                      <w:color w:val="auto"/>
                      <w:szCs w:val="21"/>
                      <w:highlight w:val="none"/>
                    </w:rPr>
                    <w:t>类</w:t>
                  </w:r>
                </w:p>
              </w:tc>
              <w:tc>
                <w:tcPr>
                  <w:tcW w:w="5155" w:type="dxa"/>
                  <w:noWrap w:val="0"/>
                  <w:vAlign w:val="center"/>
                </w:tcPr>
                <w:p w14:paraId="585023BA">
                  <w:pPr>
                    <w:adjustRightInd w:val="0"/>
                    <w:snapToGrid w:val="0"/>
                    <w:jc w:val="center"/>
                    <w:rPr>
                      <w:color w:val="auto"/>
                      <w:szCs w:val="21"/>
                      <w:highlight w:val="none"/>
                    </w:rPr>
                  </w:pPr>
                  <w:r>
                    <w:rPr>
                      <w:color w:val="auto"/>
                      <w:szCs w:val="21"/>
                      <w:highlight w:val="none"/>
                    </w:rPr>
                    <w:t>6</w:t>
                  </w:r>
                  <w:r>
                    <w:rPr>
                      <w:rFonts w:hint="eastAsia"/>
                      <w:color w:val="auto"/>
                      <w:szCs w:val="21"/>
                      <w:highlight w:val="none"/>
                    </w:rPr>
                    <w:t>5</w:t>
                  </w:r>
                  <w:r>
                    <w:rPr>
                      <w:color w:val="auto"/>
                      <w:szCs w:val="21"/>
                      <w:highlight w:val="none"/>
                    </w:rPr>
                    <w:t>dB（A）</w:t>
                  </w:r>
                </w:p>
              </w:tc>
            </w:tr>
          </w:tbl>
          <w:p w14:paraId="46742C30">
            <w:pPr>
              <w:keepNext w:val="0"/>
              <w:keepLines w:val="0"/>
              <w:pageBreakBefore w:val="0"/>
              <w:widowControl w:val="0"/>
              <w:kinsoku/>
              <w:wordWrap/>
              <w:overflowPunct/>
              <w:topLinePunct w:val="0"/>
              <w:autoSpaceDE w:val="0"/>
              <w:autoSpaceDN w:val="0"/>
              <w:bidi w:val="0"/>
              <w:adjustRightInd w:val="0"/>
              <w:snapToGrid w:val="0"/>
              <w:spacing w:line="312" w:lineRule="auto"/>
              <w:ind w:firstLine="482" w:firstLineChars="200"/>
              <w:jc w:val="both"/>
              <w:textAlignment w:val="auto"/>
              <w:rPr>
                <w:rFonts w:hint="default"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3、废水</w:t>
            </w:r>
          </w:p>
          <w:p w14:paraId="4D8604B0">
            <w:pPr>
              <w:pStyle w:val="103"/>
              <w:adjustRightInd w:val="0"/>
              <w:snapToGrid w:val="0"/>
              <w:ind w:firstLine="480"/>
              <w:rPr>
                <w:color w:val="auto"/>
                <w:szCs w:val="24"/>
                <w:highlight w:val="none"/>
              </w:rPr>
            </w:pPr>
            <w:r>
              <w:rPr>
                <w:rFonts w:hint="eastAsia" w:ascii="Times New Roman" w:hAnsi="Times New Roman" w:cs="Times New Roman"/>
                <w:color w:val="auto"/>
                <w:sz w:val="24"/>
                <w:szCs w:val="24"/>
                <w:highlight w:val="none"/>
                <w:lang w:val="en-US" w:eastAsia="zh-CN"/>
              </w:rPr>
              <w:t>本项目</w:t>
            </w:r>
            <w:r>
              <w:rPr>
                <w:rFonts w:ascii="Times New Roman" w:hAnsi="Times New Roman" w:cs="Times New Roman"/>
                <w:color w:val="auto"/>
                <w:sz w:val="24"/>
                <w:szCs w:val="24"/>
                <w:highlight w:val="none"/>
              </w:rPr>
              <w:t>生活污水</w:t>
            </w:r>
            <w:r>
              <w:rPr>
                <w:rFonts w:hint="eastAsia" w:ascii="Times New Roman" w:hAnsi="Times New Roman" w:cs="Times New Roman"/>
                <w:color w:val="auto"/>
                <w:sz w:val="24"/>
                <w:szCs w:val="24"/>
                <w:highlight w:val="none"/>
                <w:lang w:val="en-US" w:eastAsia="zh-CN"/>
              </w:rPr>
              <w:t>依托厂区现有</w:t>
            </w:r>
            <w:r>
              <w:rPr>
                <w:rFonts w:ascii="Times New Roman" w:hAnsi="Times New Roman" w:cs="Times New Roman"/>
                <w:color w:val="auto"/>
                <w:sz w:val="24"/>
                <w:szCs w:val="24"/>
                <w:highlight w:val="none"/>
              </w:rPr>
              <w:t>化粪池处理后</w:t>
            </w:r>
            <w:r>
              <w:rPr>
                <w:color w:val="auto"/>
                <w:sz w:val="24"/>
                <w:highlight w:val="none"/>
              </w:rPr>
              <w:t>，</w:t>
            </w:r>
            <w:r>
              <w:rPr>
                <w:rFonts w:hint="eastAsia"/>
                <w:color w:val="auto"/>
                <w:sz w:val="24"/>
                <w:szCs w:val="22"/>
                <w:lang w:val="en-US" w:eastAsia="zh-CN"/>
              </w:rPr>
              <w:t>汇同循环冷却系统排水排入园区污水管网，最终进入固原经济技术开发区新材料产业园污水处理厂进行处理</w:t>
            </w:r>
            <w:r>
              <w:rPr>
                <w:rFonts w:hint="eastAsia"/>
                <w:color w:val="auto"/>
                <w:kern w:val="0"/>
                <w:szCs w:val="24"/>
                <w:highlight w:val="none"/>
                <w:lang w:eastAsia="zh-CN"/>
              </w:rPr>
              <w:t>。</w:t>
            </w:r>
            <w:r>
              <w:rPr>
                <w:rFonts w:hint="eastAsia"/>
                <w:color w:val="auto"/>
                <w:kern w:val="0"/>
                <w:szCs w:val="24"/>
                <w:highlight w:val="none"/>
                <w:lang w:val="en-US" w:eastAsia="zh-CN"/>
              </w:rPr>
              <w:t>本项目产生的废水执行</w:t>
            </w:r>
            <w:r>
              <w:rPr>
                <w:rFonts w:hint="eastAsia"/>
                <w:color w:val="auto"/>
                <w:kern w:val="0"/>
                <w:szCs w:val="24"/>
                <w:highlight w:val="none"/>
              </w:rPr>
              <w:t>《污水排入城镇下水道水质标准》（GB/T31962-2015）中</w:t>
            </w:r>
            <w:r>
              <w:rPr>
                <w:rFonts w:hint="default" w:ascii="Times New Roman" w:hAnsi="Times New Roman" w:cs="Times New Roman"/>
                <w:color w:val="auto"/>
                <w:sz w:val="24"/>
                <w:highlight w:val="none"/>
              </w:rPr>
              <w:t>A</w:t>
            </w:r>
            <w:r>
              <w:rPr>
                <w:rFonts w:hint="eastAsia" w:cs="Times New Roman"/>
                <w:color w:val="auto"/>
                <w:sz w:val="24"/>
                <w:highlight w:val="none"/>
                <w:lang w:val="en-US" w:eastAsia="zh-CN"/>
              </w:rPr>
              <w:t>级</w:t>
            </w:r>
            <w:r>
              <w:rPr>
                <w:rFonts w:hint="eastAsia"/>
                <w:color w:val="auto"/>
                <w:kern w:val="0"/>
                <w:szCs w:val="24"/>
                <w:highlight w:val="none"/>
              </w:rPr>
              <w:t>标准</w:t>
            </w:r>
            <w:r>
              <w:rPr>
                <w:rFonts w:hint="eastAsia"/>
                <w:color w:val="auto"/>
                <w:szCs w:val="24"/>
                <w:highlight w:val="none"/>
              </w:rPr>
              <w:t>要求，具体见下表。</w:t>
            </w:r>
          </w:p>
          <w:p w14:paraId="008782EB">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b/>
                <w:bCs/>
                <w:color w:val="auto"/>
                <w:sz w:val="24"/>
                <w:highlight w:val="none"/>
              </w:rPr>
            </w:pPr>
            <w:r>
              <w:rPr>
                <w:color w:val="auto"/>
                <w:szCs w:val="21"/>
                <w:highlight w:val="none"/>
              </w:rPr>
              <w:t>表3-</w:t>
            </w:r>
            <w:r>
              <w:rPr>
                <w:rFonts w:hint="eastAsia"/>
                <w:color w:val="auto"/>
                <w:szCs w:val="21"/>
                <w:highlight w:val="none"/>
                <w:lang w:val="en-US" w:eastAsia="zh-CN"/>
              </w:rPr>
              <w:t>10</w:t>
            </w:r>
            <w:r>
              <w:rPr>
                <w:b/>
                <w:bCs/>
                <w:color w:val="auto"/>
                <w:szCs w:val="21"/>
                <w:highlight w:val="none"/>
              </w:rPr>
              <w:t xml:space="preserve"> </w:t>
            </w:r>
            <w:r>
              <w:rPr>
                <w:rFonts w:hint="eastAsia"/>
                <w:b/>
                <w:bCs/>
                <w:color w:val="auto"/>
                <w:szCs w:val="21"/>
                <w:highlight w:val="none"/>
                <w:lang w:val="en-US" w:eastAsia="zh-CN"/>
              </w:rPr>
              <w:t xml:space="preserve"> </w:t>
            </w:r>
            <w:r>
              <w:rPr>
                <w:rFonts w:hint="eastAsia"/>
                <w:b/>
                <w:bCs/>
                <w:color w:val="auto"/>
                <w:kern w:val="0"/>
                <w:sz w:val="24"/>
                <w:highlight w:val="none"/>
              </w:rPr>
              <w:t>《</w:t>
            </w:r>
            <w:r>
              <w:rPr>
                <w:rFonts w:hint="eastAsia"/>
                <w:b/>
                <w:bCs/>
                <w:color w:val="auto"/>
                <w:spacing w:val="-6"/>
                <w:kern w:val="0"/>
                <w:sz w:val="24"/>
                <w:highlight w:val="none"/>
              </w:rPr>
              <w:t>污水排入城镇下水道水质标准》（GB/T31962-2015）中的A级标准</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79"/>
              <w:gridCol w:w="2471"/>
              <w:gridCol w:w="2045"/>
              <w:gridCol w:w="2582"/>
            </w:tblGrid>
            <w:tr w14:paraId="329B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pct"/>
                  <w:noWrap w:val="0"/>
                  <w:vAlign w:val="center"/>
                </w:tcPr>
                <w:p w14:paraId="2035A04B">
                  <w:pPr>
                    <w:pStyle w:val="51"/>
                    <w:spacing w:line="240" w:lineRule="auto"/>
                    <w:ind w:firstLine="0" w:firstLineChars="0"/>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序号</w:t>
                  </w:r>
                </w:p>
              </w:tc>
              <w:tc>
                <w:tcPr>
                  <w:tcW w:w="1492" w:type="pct"/>
                  <w:noWrap w:val="0"/>
                  <w:vAlign w:val="center"/>
                </w:tcPr>
                <w:p w14:paraId="2CEB6D93">
                  <w:pPr>
                    <w:pStyle w:val="51"/>
                    <w:spacing w:line="240" w:lineRule="auto"/>
                    <w:ind w:firstLine="0" w:firstLineChars="0"/>
                    <w:jc w:val="center"/>
                    <w:rPr>
                      <w:rFonts w:ascii="Times New Roman" w:hAnsi="Times New Roman"/>
                      <w:b/>
                      <w:bCs/>
                      <w:color w:val="auto"/>
                      <w:sz w:val="21"/>
                      <w:szCs w:val="21"/>
                      <w:highlight w:val="none"/>
                    </w:rPr>
                  </w:pPr>
                  <w:r>
                    <w:rPr>
                      <w:rFonts w:ascii="Times New Roman" w:hAnsi="Times New Roman"/>
                      <w:b/>
                      <w:bCs/>
                      <w:color w:val="auto"/>
                      <w:sz w:val="21"/>
                      <w:szCs w:val="21"/>
                      <w:highlight w:val="none"/>
                    </w:rPr>
                    <w:t>污染因子</w:t>
                  </w:r>
                </w:p>
              </w:tc>
              <w:tc>
                <w:tcPr>
                  <w:tcW w:w="1235" w:type="pct"/>
                  <w:noWrap w:val="0"/>
                  <w:vAlign w:val="center"/>
                </w:tcPr>
                <w:p w14:paraId="56162102">
                  <w:pPr>
                    <w:pStyle w:val="51"/>
                    <w:spacing w:line="240" w:lineRule="auto"/>
                    <w:ind w:firstLine="0" w:firstLineChars="0"/>
                    <w:jc w:val="center"/>
                    <w:rPr>
                      <w:rFonts w:ascii="Times New Roman" w:hAnsi="Times New Roman"/>
                      <w:b/>
                      <w:bCs/>
                      <w:color w:val="auto"/>
                      <w:sz w:val="21"/>
                      <w:szCs w:val="21"/>
                      <w:highlight w:val="none"/>
                      <w:lang w:eastAsia="zh-CN"/>
                    </w:rPr>
                  </w:pPr>
                  <w:r>
                    <w:rPr>
                      <w:rFonts w:hint="eastAsia" w:ascii="Times New Roman" w:hAnsi="Times New Roman"/>
                      <w:b/>
                      <w:bCs/>
                      <w:color w:val="auto"/>
                      <w:sz w:val="21"/>
                      <w:szCs w:val="21"/>
                      <w:highlight w:val="none"/>
                      <w:lang w:eastAsia="zh-CN"/>
                    </w:rPr>
                    <w:t>单位</w:t>
                  </w:r>
                </w:p>
              </w:tc>
              <w:tc>
                <w:tcPr>
                  <w:tcW w:w="1559" w:type="pct"/>
                  <w:noWrap w:val="0"/>
                  <w:vAlign w:val="center"/>
                </w:tcPr>
                <w:p w14:paraId="45C8B5E6">
                  <w:pPr>
                    <w:pStyle w:val="51"/>
                    <w:spacing w:line="240" w:lineRule="auto"/>
                    <w:ind w:firstLine="0" w:firstLineChars="0"/>
                    <w:jc w:val="center"/>
                    <w:rPr>
                      <w:rFonts w:ascii="Times New Roman" w:hAnsi="Times New Roman"/>
                      <w:b/>
                      <w:bCs/>
                      <w:color w:val="auto"/>
                      <w:sz w:val="21"/>
                      <w:szCs w:val="21"/>
                      <w:highlight w:val="none"/>
                      <w:lang w:eastAsia="zh-CN"/>
                    </w:rPr>
                  </w:pPr>
                  <w:r>
                    <w:rPr>
                      <w:rFonts w:hint="eastAsia" w:ascii="Times New Roman" w:hAnsi="Times New Roman"/>
                      <w:b/>
                      <w:bCs/>
                      <w:color w:val="auto"/>
                      <w:sz w:val="21"/>
                      <w:szCs w:val="21"/>
                      <w:highlight w:val="none"/>
                      <w:lang w:eastAsia="zh-CN"/>
                    </w:rPr>
                    <w:t>排放限值</w:t>
                  </w:r>
                </w:p>
              </w:tc>
            </w:tr>
            <w:tr w14:paraId="588C4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pct"/>
                  <w:noWrap w:val="0"/>
                  <w:vAlign w:val="center"/>
                </w:tcPr>
                <w:p w14:paraId="0FD9D4EA">
                  <w:pPr>
                    <w:pStyle w:val="51"/>
                    <w:spacing w:line="240" w:lineRule="auto"/>
                    <w:ind w:firstLine="0" w:firstLineChars="0"/>
                    <w:jc w:val="center"/>
                    <w:rPr>
                      <w:rFonts w:hint="eastAsia" w:ascii="Times New Roman" w:hAnsi="Times New Roman" w:eastAsia="宋体"/>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1</w:t>
                  </w:r>
                </w:p>
              </w:tc>
              <w:tc>
                <w:tcPr>
                  <w:tcW w:w="1492" w:type="pct"/>
                  <w:noWrap w:val="0"/>
                  <w:vAlign w:val="center"/>
                </w:tcPr>
                <w:p w14:paraId="28D1CA33">
                  <w:pPr>
                    <w:pStyle w:val="51"/>
                    <w:spacing w:line="240" w:lineRule="auto"/>
                    <w:ind w:firstLine="0" w:firstLineChars="0"/>
                    <w:jc w:val="center"/>
                    <w:rPr>
                      <w:rFonts w:ascii="Times New Roman" w:hAnsi="Times New Roman"/>
                      <w:b w:val="0"/>
                      <w:bCs w:val="0"/>
                      <w:color w:val="auto"/>
                      <w:sz w:val="21"/>
                      <w:szCs w:val="21"/>
                      <w:highlight w:val="none"/>
                    </w:rPr>
                  </w:pPr>
                  <w:r>
                    <w:rPr>
                      <w:rFonts w:hint="default" w:ascii="Times New Roman" w:hAnsi="Times New Roman"/>
                      <w:b w:val="0"/>
                      <w:bCs w:val="0"/>
                      <w:color w:val="auto"/>
                      <w:sz w:val="21"/>
                      <w:szCs w:val="21"/>
                      <w:highlight w:val="none"/>
                    </w:rPr>
                    <w:t>pH</w:t>
                  </w:r>
                </w:p>
              </w:tc>
              <w:tc>
                <w:tcPr>
                  <w:tcW w:w="1235" w:type="pct"/>
                  <w:noWrap w:val="0"/>
                  <w:vAlign w:val="center"/>
                </w:tcPr>
                <w:p w14:paraId="3EC1365B">
                  <w:pPr>
                    <w:pStyle w:val="51"/>
                    <w:spacing w:line="240" w:lineRule="auto"/>
                    <w:ind w:firstLine="0" w:firstLineChars="0"/>
                    <w:jc w:val="center"/>
                    <w:rPr>
                      <w:rFonts w:hint="default"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w:t>
                  </w:r>
                </w:p>
              </w:tc>
              <w:tc>
                <w:tcPr>
                  <w:tcW w:w="1559" w:type="pct"/>
                  <w:noWrap w:val="0"/>
                  <w:vAlign w:val="center"/>
                </w:tcPr>
                <w:p w14:paraId="7EC64C7C">
                  <w:pPr>
                    <w:pStyle w:val="51"/>
                    <w:spacing w:line="240" w:lineRule="auto"/>
                    <w:ind w:firstLine="0" w:firstLineChars="0"/>
                    <w:jc w:val="center"/>
                    <w:rPr>
                      <w:rFonts w:hint="default"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6.5~9.5</w:t>
                  </w:r>
                </w:p>
              </w:tc>
            </w:tr>
            <w:tr w14:paraId="13AD7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pct"/>
                  <w:noWrap w:val="0"/>
                  <w:vAlign w:val="center"/>
                </w:tcPr>
                <w:p w14:paraId="5EB45DEB">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1492" w:type="pct"/>
                  <w:noWrap w:val="0"/>
                  <w:vAlign w:val="center"/>
                </w:tcPr>
                <w:p w14:paraId="139AEAAF">
                  <w:pPr>
                    <w:widowControl/>
                    <w:adjustRightInd w:val="0"/>
                    <w:snapToGrid w:val="0"/>
                    <w:jc w:val="center"/>
                    <w:rPr>
                      <w:color w:val="auto"/>
                      <w:szCs w:val="21"/>
                      <w:highlight w:val="none"/>
                    </w:rPr>
                  </w:pPr>
                  <w:r>
                    <w:rPr>
                      <w:color w:val="auto"/>
                      <w:kern w:val="0"/>
                      <w:szCs w:val="21"/>
                      <w:highlight w:val="none"/>
                    </w:rPr>
                    <w:t>COD</w:t>
                  </w:r>
                </w:p>
              </w:tc>
              <w:tc>
                <w:tcPr>
                  <w:tcW w:w="1235" w:type="pct"/>
                  <w:noWrap w:val="0"/>
                  <w:vAlign w:val="center"/>
                </w:tcPr>
                <w:p w14:paraId="7B5D0E70">
                  <w:pPr>
                    <w:adjustRightInd w:val="0"/>
                    <w:snapToGrid w:val="0"/>
                    <w:jc w:val="center"/>
                    <w:rPr>
                      <w:color w:val="auto"/>
                      <w:szCs w:val="21"/>
                      <w:highlight w:val="none"/>
                    </w:rPr>
                  </w:pPr>
                  <w:r>
                    <w:rPr>
                      <w:color w:val="auto"/>
                      <w:szCs w:val="21"/>
                      <w:highlight w:val="none"/>
                    </w:rPr>
                    <w:t>mg/L</w:t>
                  </w:r>
                </w:p>
              </w:tc>
              <w:tc>
                <w:tcPr>
                  <w:tcW w:w="1559" w:type="pct"/>
                  <w:noWrap w:val="0"/>
                  <w:vAlign w:val="center"/>
                </w:tcPr>
                <w:p w14:paraId="49FF8359">
                  <w:pPr>
                    <w:adjustRightInd w:val="0"/>
                    <w:snapToGrid w:val="0"/>
                    <w:jc w:val="center"/>
                    <w:rPr>
                      <w:color w:val="auto"/>
                      <w:szCs w:val="21"/>
                      <w:highlight w:val="none"/>
                    </w:rPr>
                  </w:pPr>
                  <w:r>
                    <w:rPr>
                      <w:rFonts w:hint="eastAsia"/>
                      <w:color w:val="auto"/>
                      <w:szCs w:val="21"/>
                      <w:highlight w:val="none"/>
                    </w:rPr>
                    <w:t>500</w:t>
                  </w:r>
                </w:p>
              </w:tc>
            </w:tr>
            <w:tr w14:paraId="0ADAF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pct"/>
                  <w:noWrap w:val="0"/>
                  <w:vAlign w:val="center"/>
                </w:tcPr>
                <w:p w14:paraId="62AE1833">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3</w:t>
                  </w:r>
                </w:p>
              </w:tc>
              <w:tc>
                <w:tcPr>
                  <w:tcW w:w="1492" w:type="pct"/>
                  <w:noWrap w:val="0"/>
                  <w:vAlign w:val="center"/>
                </w:tcPr>
                <w:p w14:paraId="298ABEB0">
                  <w:pPr>
                    <w:widowControl/>
                    <w:adjustRightInd w:val="0"/>
                    <w:snapToGrid w:val="0"/>
                    <w:jc w:val="center"/>
                    <w:rPr>
                      <w:rFonts w:hint="eastAsia"/>
                      <w:color w:val="auto"/>
                      <w:szCs w:val="21"/>
                      <w:highlight w:val="none"/>
                    </w:rPr>
                  </w:pPr>
                  <w:r>
                    <w:rPr>
                      <w:color w:val="auto"/>
                      <w:kern w:val="0"/>
                      <w:szCs w:val="21"/>
                      <w:highlight w:val="none"/>
                    </w:rPr>
                    <w:t>BOD</w:t>
                  </w:r>
                  <w:r>
                    <w:rPr>
                      <w:color w:val="auto"/>
                      <w:kern w:val="0"/>
                      <w:szCs w:val="21"/>
                      <w:highlight w:val="none"/>
                      <w:vertAlign w:val="subscript"/>
                    </w:rPr>
                    <w:t>5</w:t>
                  </w:r>
                </w:p>
              </w:tc>
              <w:tc>
                <w:tcPr>
                  <w:tcW w:w="1235" w:type="pct"/>
                  <w:noWrap w:val="0"/>
                  <w:vAlign w:val="center"/>
                </w:tcPr>
                <w:p w14:paraId="783A02E8">
                  <w:pPr>
                    <w:adjustRightInd w:val="0"/>
                    <w:snapToGrid w:val="0"/>
                    <w:jc w:val="center"/>
                    <w:rPr>
                      <w:color w:val="auto"/>
                      <w:szCs w:val="21"/>
                      <w:highlight w:val="none"/>
                    </w:rPr>
                  </w:pPr>
                  <w:r>
                    <w:rPr>
                      <w:color w:val="auto"/>
                      <w:szCs w:val="21"/>
                      <w:highlight w:val="none"/>
                    </w:rPr>
                    <w:t>mg/L</w:t>
                  </w:r>
                </w:p>
              </w:tc>
              <w:tc>
                <w:tcPr>
                  <w:tcW w:w="1559" w:type="pct"/>
                  <w:noWrap w:val="0"/>
                  <w:vAlign w:val="center"/>
                </w:tcPr>
                <w:p w14:paraId="79936A9C">
                  <w:pPr>
                    <w:adjustRightInd w:val="0"/>
                    <w:snapToGrid w:val="0"/>
                    <w:jc w:val="center"/>
                    <w:rPr>
                      <w:rFonts w:hint="eastAsia"/>
                      <w:color w:val="auto"/>
                      <w:szCs w:val="21"/>
                      <w:highlight w:val="none"/>
                    </w:rPr>
                  </w:pPr>
                  <w:r>
                    <w:rPr>
                      <w:rFonts w:hint="eastAsia"/>
                      <w:color w:val="auto"/>
                      <w:szCs w:val="21"/>
                      <w:highlight w:val="none"/>
                    </w:rPr>
                    <w:t>350</w:t>
                  </w:r>
                </w:p>
              </w:tc>
            </w:tr>
            <w:tr w14:paraId="10247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pct"/>
                  <w:noWrap w:val="0"/>
                  <w:vAlign w:val="center"/>
                </w:tcPr>
                <w:p w14:paraId="7F5AA7D2">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4</w:t>
                  </w:r>
                </w:p>
              </w:tc>
              <w:tc>
                <w:tcPr>
                  <w:tcW w:w="1492" w:type="pct"/>
                  <w:noWrap w:val="0"/>
                  <w:vAlign w:val="center"/>
                </w:tcPr>
                <w:p w14:paraId="4E2A48BF">
                  <w:pPr>
                    <w:widowControl/>
                    <w:adjustRightInd w:val="0"/>
                    <w:snapToGrid w:val="0"/>
                    <w:jc w:val="center"/>
                    <w:rPr>
                      <w:rFonts w:hint="eastAsia"/>
                      <w:color w:val="auto"/>
                      <w:szCs w:val="21"/>
                      <w:highlight w:val="none"/>
                    </w:rPr>
                  </w:pPr>
                  <w:r>
                    <w:rPr>
                      <w:color w:val="auto"/>
                      <w:kern w:val="0"/>
                      <w:szCs w:val="21"/>
                      <w:highlight w:val="none"/>
                    </w:rPr>
                    <w:t>NH</w:t>
                  </w:r>
                  <w:r>
                    <w:rPr>
                      <w:color w:val="auto"/>
                      <w:kern w:val="0"/>
                      <w:szCs w:val="21"/>
                      <w:highlight w:val="none"/>
                      <w:vertAlign w:val="subscript"/>
                    </w:rPr>
                    <w:t>3</w:t>
                  </w:r>
                  <w:r>
                    <w:rPr>
                      <w:color w:val="auto"/>
                      <w:kern w:val="0"/>
                      <w:szCs w:val="21"/>
                      <w:highlight w:val="none"/>
                    </w:rPr>
                    <w:t>-N</w:t>
                  </w:r>
                </w:p>
              </w:tc>
              <w:tc>
                <w:tcPr>
                  <w:tcW w:w="1235" w:type="pct"/>
                  <w:noWrap w:val="0"/>
                  <w:vAlign w:val="center"/>
                </w:tcPr>
                <w:p w14:paraId="773B5962">
                  <w:pPr>
                    <w:adjustRightInd w:val="0"/>
                    <w:snapToGrid w:val="0"/>
                    <w:jc w:val="center"/>
                    <w:rPr>
                      <w:color w:val="auto"/>
                      <w:szCs w:val="21"/>
                      <w:highlight w:val="none"/>
                    </w:rPr>
                  </w:pPr>
                  <w:r>
                    <w:rPr>
                      <w:color w:val="auto"/>
                      <w:szCs w:val="21"/>
                      <w:highlight w:val="none"/>
                    </w:rPr>
                    <w:t>mg/L</w:t>
                  </w:r>
                </w:p>
              </w:tc>
              <w:tc>
                <w:tcPr>
                  <w:tcW w:w="1559" w:type="pct"/>
                  <w:noWrap w:val="0"/>
                  <w:vAlign w:val="center"/>
                </w:tcPr>
                <w:p w14:paraId="39D19D34">
                  <w:pPr>
                    <w:adjustRightInd w:val="0"/>
                    <w:snapToGrid w:val="0"/>
                    <w:jc w:val="center"/>
                    <w:rPr>
                      <w:rFonts w:hint="eastAsia"/>
                      <w:color w:val="auto"/>
                      <w:szCs w:val="21"/>
                      <w:highlight w:val="none"/>
                    </w:rPr>
                  </w:pPr>
                  <w:r>
                    <w:rPr>
                      <w:rFonts w:hint="eastAsia"/>
                      <w:color w:val="auto"/>
                      <w:szCs w:val="21"/>
                      <w:highlight w:val="none"/>
                    </w:rPr>
                    <w:t>45</w:t>
                  </w:r>
                </w:p>
              </w:tc>
            </w:tr>
            <w:tr w14:paraId="0BA48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pct"/>
                  <w:noWrap w:val="0"/>
                  <w:vAlign w:val="center"/>
                </w:tcPr>
                <w:p w14:paraId="58CDB3FE">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5</w:t>
                  </w:r>
                </w:p>
              </w:tc>
              <w:tc>
                <w:tcPr>
                  <w:tcW w:w="1492" w:type="pct"/>
                  <w:noWrap w:val="0"/>
                  <w:vAlign w:val="center"/>
                </w:tcPr>
                <w:p w14:paraId="69B7E7A9">
                  <w:pPr>
                    <w:widowControl/>
                    <w:adjustRightInd w:val="0"/>
                    <w:snapToGrid w:val="0"/>
                    <w:jc w:val="center"/>
                    <w:rPr>
                      <w:rFonts w:hint="eastAsia"/>
                      <w:color w:val="auto"/>
                      <w:szCs w:val="21"/>
                      <w:highlight w:val="none"/>
                    </w:rPr>
                  </w:pPr>
                  <w:r>
                    <w:rPr>
                      <w:color w:val="auto"/>
                      <w:kern w:val="0"/>
                      <w:szCs w:val="21"/>
                      <w:highlight w:val="none"/>
                    </w:rPr>
                    <w:t>SS</w:t>
                  </w:r>
                </w:p>
              </w:tc>
              <w:tc>
                <w:tcPr>
                  <w:tcW w:w="1235" w:type="pct"/>
                  <w:noWrap w:val="0"/>
                  <w:vAlign w:val="center"/>
                </w:tcPr>
                <w:p w14:paraId="45B7D411">
                  <w:pPr>
                    <w:adjustRightInd w:val="0"/>
                    <w:snapToGrid w:val="0"/>
                    <w:jc w:val="center"/>
                    <w:rPr>
                      <w:color w:val="auto"/>
                      <w:szCs w:val="21"/>
                      <w:highlight w:val="none"/>
                    </w:rPr>
                  </w:pPr>
                  <w:r>
                    <w:rPr>
                      <w:color w:val="auto"/>
                      <w:szCs w:val="21"/>
                      <w:highlight w:val="none"/>
                    </w:rPr>
                    <w:t>mg/L</w:t>
                  </w:r>
                </w:p>
              </w:tc>
              <w:tc>
                <w:tcPr>
                  <w:tcW w:w="1559" w:type="pct"/>
                  <w:noWrap w:val="0"/>
                  <w:vAlign w:val="center"/>
                </w:tcPr>
                <w:p w14:paraId="7740FD66">
                  <w:pPr>
                    <w:adjustRightInd w:val="0"/>
                    <w:snapToGrid w:val="0"/>
                    <w:jc w:val="center"/>
                    <w:rPr>
                      <w:rFonts w:hint="eastAsia"/>
                      <w:color w:val="auto"/>
                      <w:szCs w:val="21"/>
                      <w:highlight w:val="none"/>
                    </w:rPr>
                  </w:pPr>
                  <w:r>
                    <w:rPr>
                      <w:rFonts w:hint="eastAsia"/>
                      <w:color w:val="auto"/>
                      <w:szCs w:val="21"/>
                      <w:highlight w:val="none"/>
                    </w:rPr>
                    <w:t>400</w:t>
                  </w:r>
                </w:p>
              </w:tc>
            </w:tr>
            <w:tr w14:paraId="48B3F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pct"/>
                  <w:noWrap w:val="0"/>
                  <w:vAlign w:val="center"/>
                </w:tcPr>
                <w:p w14:paraId="4A281E39">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6</w:t>
                  </w:r>
                </w:p>
              </w:tc>
              <w:tc>
                <w:tcPr>
                  <w:tcW w:w="1492" w:type="pct"/>
                  <w:noWrap w:val="0"/>
                  <w:vAlign w:val="center"/>
                </w:tcPr>
                <w:p w14:paraId="67385FE7">
                  <w:pPr>
                    <w:widowControl/>
                    <w:adjustRightInd w:val="0"/>
                    <w:snapToGrid w:val="0"/>
                    <w:jc w:val="center"/>
                    <w:rPr>
                      <w:rFonts w:hint="eastAsia"/>
                      <w:color w:val="auto"/>
                      <w:szCs w:val="21"/>
                      <w:highlight w:val="none"/>
                    </w:rPr>
                  </w:pPr>
                  <w:r>
                    <w:rPr>
                      <w:rFonts w:hint="eastAsia"/>
                      <w:color w:val="auto"/>
                      <w:kern w:val="0"/>
                      <w:szCs w:val="21"/>
                      <w:highlight w:val="none"/>
                    </w:rPr>
                    <w:t>TDS</w:t>
                  </w:r>
                </w:p>
              </w:tc>
              <w:tc>
                <w:tcPr>
                  <w:tcW w:w="1235" w:type="pct"/>
                  <w:noWrap w:val="0"/>
                  <w:vAlign w:val="center"/>
                </w:tcPr>
                <w:p w14:paraId="73C73003">
                  <w:pPr>
                    <w:adjustRightInd w:val="0"/>
                    <w:snapToGrid w:val="0"/>
                    <w:jc w:val="center"/>
                    <w:rPr>
                      <w:color w:val="auto"/>
                      <w:szCs w:val="21"/>
                      <w:highlight w:val="none"/>
                    </w:rPr>
                  </w:pPr>
                  <w:r>
                    <w:rPr>
                      <w:color w:val="auto"/>
                      <w:szCs w:val="21"/>
                      <w:highlight w:val="none"/>
                    </w:rPr>
                    <w:t>mg/L</w:t>
                  </w:r>
                </w:p>
              </w:tc>
              <w:tc>
                <w:tcPr>
                  <w:tcW w:w="1559" w:type="pct"/>
                  <w:noWrap w:val="0"/>
                  <w:vAlign w:val="center"/>
                </w:tcPr>
                <w:p w14:paraId="742A263A">
                  <w:pPr>
                    <w:adjustRightInd w:val="0"/>
                    <w:snapToGrid w:val="0"/>
                    <w:jc w:val="center"/>
                    <w:rPr>
                      <w:rFonts w:hint="eastAsia"/>
                      <w:color w:val="auto"/>
                      <w:szCs w:val="21"/>
                      <w:highlight w:val="none"/>
                    </w:rPr>
                  </w:pPr>
                  <w:r>
                    <w:rPr>
                      <w:rFonts w:hint="eastAsia"/>
                      <w:color w:val="auto"/>
                      <w:szCs w:val="21"/>
                      <w:highlight w:val="none"/>
                    </w:rPr>
                    <w:t>1500</w:t>
                  </w:r>
                </w:p>
              </w:tc>
            </w:tr>
          </w:tbl>
          <w:p w14:paraId="0A3726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90" w:firstLineChars="200"/>
              <w:jc w:val="both"/>
              <w:textAlignment w:val="auto"/>
              <w:rPr>
                <w:b/>
                <w:bCs/>
                <w:color w:val="auto"/>
                <w:spacing w:val="2"/>
                <w:sz w:val="24"/>
                <w:highlight w:val="none"/>
              </w:rPr>
            </w:pPr>
            <w:r>
              <w:rPr>
                <w:rFonts w:hint="default"/>
                <w:b/>
                <w:bCs/>
                <w:color w:val="auto"/>
                <w:spacing w:val="2"/>
                <w:kern w:val="2"/>
                <w:sz w:val="24"/>
                <w:szCs w:val="21"/>
                <w:lang w:val="en-US" w:eastAsia="zh-CN" w:bidi="ar-SA"/>
              </w:rPr>
              <w:t>4、</w:t>
            </w:r>
            <w:r>
              <w:rPr>
                <w:b/>
                <w:bCs/>
                <w:color w:val="auto"/>
                <w:spacing w:val="2"/>
                <w:sz w:val="24"/>
                <w:highlight w:val="none"/>
              </w:rPr>
              <w:t>固体废物</w:t>
            </w:r>
          </w:p>
          <w:p w14:paraId="22A95C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rPr>
            </w:pPr>
            <w:r>
              <w:rPr>
                <w:color w:val="auto"/>
                <w:kern w:val="0"/>
                <w:sz w:val="24"/>
                <w:highlight w:val="none"/>
              </w:rPr>
              <w:t>运营期一般工业固体废弃物</w:t>
            </w:r>
            <w:r>
              <w:rPr>
                <w:rFonts w:hint="eastAsia"/>
                <w:color w:val="auto"/>
                <w:kern w:val="0"/>
                <w:sz w:val="24"/>
                <w:highlight w:val="none"/>
              </w:rPr>
              <w:t>、生活垃圾</w:t>
            </w:r>
            <w:r>
              <w:rPr>
                <w:color w:val="auto"/>
                <w:kern w:val="0"/>
                <w:sz w:val="24"/>
                <w:highlight w:val="none"/>
              </w:rPr>
              <w:t>贮存清运过程应满足《中华人民共和国固体废物污染环境防治法》（2020年修订）中关于工业固体废物及生活垃圾相关的环境保护要求</w:t>
            </w:r>
            <w:r>
              <w:rPr>
                <w:rFonts w:hint="eastAsia"/>
                <w:color w:val="auto"/>
                <w:kern w:val="0"/>
                <w:sz w:val="24"/>
                <w:highlight w:val="none"/>
              </w:rPr>
              <w:t>；危险废物贮存执行《危险废物贮存污染控制标准》（GB18597-2023）中的相关要求。</w:t>
            </w:r>
          </w:p>
        </w:tc>
      </w:tr>
      <w:tr w14:paraId="4EE29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1" w:hRule="atLeast"/>
          <w:jc w:val="center"/>
        </w:trPr>
        <w:tc>
          <w:tcPr>
            <w:tcW w:w="822" w:type="dxa"/>
            <w:noWrap w:val="0"/>
            <w:vAlign w:val="center"/>
          </w:tcPr>
          <w:p w14:paraId="32107F34">
            <w:pPr>
              <w:adjustRightInd w:val="0"/>
              <w:snapToGrid w:val="0"/>
              <w:spacing w:line="400" w:lineRule="exact"/>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4"/>
              </w:rPr>
              <w:t>总量控制指标</w:t>
            </w:r>
          </w:p>
        </w:tc>
        <w:tc>
          <w:tcPr>
            <w:tcW w:w="8419" w:type="dxa"/>
            <w:noWrap w:val="0"/>
            <w:vAlign w:val="center"/>
          </w:tcPr>
          <w:p w14:paraId="7912C0A6">
            <w:pPr>
              <w:keepNext w:val="0"/>
              <w:keepLines w:val="0"/>
              <w:pageBreakBefore w:val="0"/>
              <w:widowControl w:val="0"/>
              <w:kinsoku/>
              <w:wordWrap/>
              <w:overflowPunct/>
              <w:topLinePunct w:val="0"/>
              <w:bidi w:val="0"/>
              <w:adjustRightInd w:val="0"/>
              <w:snapToGrid w:val="0"/>
              <w:spacing w:line="360" w:lineRule="auto"/>
              <w:ind w:firstLine="488" w:firstLineChars="200"/>
              <w:textAlignment w:val="auto"/>
              <w:rPr>
                <w:bCs/>
                <w:color w:val="auto"/>
                <w:spacing w:val="2"/>
                <w:sz w:val="24"/>
                <w:highlight w:val="none"/>
              </w:rPr>
            </w:pPr>
            <w:r>
              <w:rPr>
                <w:bCs/>
                <w:color w:val="auto"/>
                <w:spacing w:val="2"/>
                <w:sz w:val="24"/>
                <w:highlight w:val="none"/>
              </w:rPr>
              <w:t>根据《宁夏回族自治区</w:t>
            </w:r>
            <w:r>
              <w:rPr>
                <w:rFonts w:hint="eastAsia"/>
                <w:bCs/>
                <w:color w:val="auto"/>
                <w:spacing w:val="2"/>
                <w:sz w:val="24"/>
                <w:highlight w:val="none"/>
                <w:lang w:eastAsia="zh-CN"/>
              </w:rPr>
              <w:t>“</w:t>
            </w:r>
            <w:r>
              <w:rPr>
                <w:bCs/>
                <w:color w:val="auto"/>
                <w:spacing w:val="2"/>
                <w:sz w:val="24"/>
                <w:highlight w:val="none"/>
              </w:rPr>
              <w:t>十四五</w:t>
            </w:r>
            <w:r>
              <w:rPr>
                <w:rFonts w:hint="eastAsia"/>
                <w:bCs/>
                <w:color w:val="auto"/>
                <w:spacing w:val="2"/>
                <w:sz w:val="24"/>
                <w:highlight w:val="none"/>
                <w:lang w:eastAsia="zh-CN"/>
              </w:rPr>
              <w:t>”</w:t>
            </w:r>
            <w:r>
              <w:rPr>
                <w:bCs/>
                <w:color w:val="auto"/>
                <w:spacing w:val="2"/>
                <w:sz w:val="24"/>
                <w:highlight w:val="none"/>
              </w:rPr>
              <w:t>主要污染物减排综合工作方案》</w:t>
            </w:r>
            <w:r>
              <w:rPr>
                <w:rFonts w:hint="eastAsia"/>
                <w:bCs/>
                <w:color w:val="auto"/>
                <w:spacing w:val="2"/>
                <w:sz w:val="24"/>
                <w:highlight w:val="none"/>
                <w:lang w:eastAsia="zh-CN"/>
              </w:rPr>
              <w:t>“</w:t>
            </w:r>
            <w:r>
              <w:rPr>
                <w:bCs/>
                <w:color w:val="auto"/>
                <w:spacing w:val="2"/>
                <w:sz w:val="24"/>
                <w:highlight w:val="none"/>
              </w:rPr>
              <w:t>十四五</w:t>
            </w:r>
            <w:r>
              <w:rPr>
                <w:rFonts w:hint="eastAsia"/>
                <w:bCs/>
                <w:color w:val="auto"/>
                <w:spacing w:val="2"/>
                <w:sz w:val="24"/>
                <w:highlight w:val="none"/>
                <w:lang w:eastAsia="zh-CN"/>
              </w:rPr>
              <w:t>”</w:t>
            </w:r>
            <w:r>
              <w:rPr>
                <w:bCs/>
                <w:color w:val="auto"/>
                <w:spacing w:val="2"/>
                <w:sz w:val="24"/>
                <w:highlight w:val="none"/>
              </w:rPr>
              <w:t>期间对NOx、VOCs、COD和NH</w:t>
            </w:r>
            <w:r>
              <w:rPr>
                <w:bCs/>
                <w:color w:val="auto"/>
                <w:spacing w:val="2"/>
                <w:sz w:val="24"/>
                <w:highlight w:val="none"/>
                <w:vertAlign w:val="subscript"/>
              </w:rPr>
              <w:t>3</w:t>
            </w:r>
            <w:r>
              <w:rPr>
                <w:bCs/>
                <w:color w:val="auto"/>
                <w:spacing w:val="2"/>
                <w:sz w:val="24"/>
                <w:highlight w:val="none"/>
              </w:rPr>
              <w:t>-N四项主要污染物实施排放总量控制。按照生态环境部办公厅《关于印发&lt;</w:t>
            </w:r>
            <w:r>
              <w:rPr>
                <w:rFonts w:hint="eastAsia"/>
                <w:bCs/>
                <w:color w:val="auto"/>
                <w:spacing w:val="2"/>
                <w:sz w:val="24"/>
                <w:highlight w:val="none"/>
                <w:lang w:eastAsia="zh-CN"/>
              </w:rPr>
              <w:t>“</w:t>
            </w:r>
            <w:r>
              <w:rPr>
                <w:bCs/>
                <w:color w:val="auto"/>
                <w:spacing w:val="2"/>
                <w:sz w:val="24"/>
                <w:highlight w:val="none"/>
              </w:rPr>
              <w:t>十四五</w:t>
            </w:r>
            <w:r>
              <w:rPr>
                <w:rFonts w:hint="eastAsia"/>
                <w:bCs/>
                <w:color w:val="auto"/>
                <w:spacing w:val="2"/>
                <w:sz w:val="24"/>
                <w:highlight w:val="none"/>
                <w:lang w:eastAsia="zh-CN"/>
              </w:rPr>
              <w:t>”</w:t>
            </w:r>
            <w:r>
              <w:rPr>
                <w:bCs/>
                <w:color w:val="auto"/>
                <w:spacing w:val="2"/>
                <w:sz w:val="24"/>
                <w:highlight w:val="none"/>
              </w:rPr>
              <w:t>及2021年宁夏回族自治区生态环境有关指标计划&gt;的函》（环办综合函</w:t>
            </w:r>
            <w:r>
              <w:rPr>
                <w:rFonts w:hint="eastAsia"/>
                <w:bCs/>
                <w:color w:val="auto"/>
                <w:spacing w:val="2"/>
                <w:sz w:val="24"/>
                <w:highlight w:val="none"/>
              </w:rPr>
              <w:t>〔</w:t>
            </w:r>
            <w:r>
              <w:rPr>
                <w:bCs/>
                <w:color w:val="auto"/>
                <w:spacing w:val="2"/>
                <w:sz w:val="24"/>
                <w:highlight w:val="none"/>
              </w:rPr>
              <w:t>2021</w:t>
            </w:r>
            <w:r>
              <w:rPr>
                <w:rFonts w:hint="eastAsia"/>
                <w:bCs/>
                <w:color w:val="auto"/>
                <w:spacing w:val="2"/>
                <w:sz w:val="24"/>
                <w:highlight w:val="none"/>
              </w:rPr>
              <w:t>〕</w:t>
            </w:r>
            <w:r>
              <w:rPr>
                <w:bCs/>
                <w:color w:val="auto"/>
                <w:spacing w:val="2"/>
                <w:sz w:val="24"/>
                <w:highlight w:val="none"/>
              </w:rPr>
              <w:t>453号）要求，结合宁夏实际，到2025年，全区NOx、VOCs、COD和NH</w:t>
            </w:r>
            <w:r>
              <w:rPr>
                <w:bCs/>
                <w:color w:val="auto"/>
                <w:spacing w:val="2"/>
                <w:sz w:val="24"/>
                <w:highlight w:val="none"/>
                <w:vertAlign w:val="subscript"/>
              </w:rPr>
              <w:t>3</w:t>
            </w:r>
            <w:r>
              <w:rPr>
                <w:bCs/>
                <w:color w:val="auto"/>
                <w:spacing w:val="2"/>
                <w:sz w:val="24"/>
                <w:highlight w:val="none"/>
              </w:rPr>
              <w:t>-N四项主要污染物重点工程减排量分别为6000t、300t、12200t和4100t。</w:t>
            </w:r>
          </w:p>
          <w:p w14:paraId="23F94A5E">
            <w:pPr>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hint="eastAsia" w:ascii="Times New Roman" w:hAnsi="Times New Roman" w:eastAsia="宋体" w:cs="Times New Roman"/>
                <w:bCs/>
                <w:color w:val="auto"/>
                <w:spacing w:val="2"/>
                <w:sz w:val="24"/>
                <w:highlight w:val="none"/>
                <w:lang w:eastAsia="zh-CN"/>
              </w:rPr>
            </w:pPr>
            <w:r>
              <w:rPr>
                <w:rFonts w:hint="eastAsia" w:ascii="Times New Roman" w:hAnsi="Times New Roman" w:eastAsia="宋体" w:cs="Times New Roman"/>
                <w:bCs/>
                <w:color w:val="auto"/>
                <w:spacing w:val="2"/>
                <w:sz w:val="24"/>
                <w:highlight w:val="none"/>
              </w:rPr>
              <w:t>根据《宁夏回族自治区排污权有偿使用和交易价格管理办法》相关要求：</w:t>
            </w:r>
            <w:r>
              <w:rPr>
                <w:rFonts w:hint="eastAsia" w:ascii="Times New Roman" w:hAnsi="Times New Roman" w:eastAsia="宋体" w:cs="Times New Roman"/>
                <w:bCs/>
                <w:color w:val="auto"/>
                <w:spacing w:val="2"/>
                <w:sz w:val="24"/>
                <w:highlight w:val="none"/>
                <w:lang w:eastAsia="zh-CN"/>
              </w:rPr>
              <w:t>“</w:t>
            </w:r>
            <w:r>
              <w:rPr>
                <w:rFonts w:hint="eastAsia" w:ascii="Times New Roman" w:hAnsi="Times New Roman" w:eastAsia="宋体" w:cs="Times New Roman"/>
                <w:bCs/>
                <w:color w:val="auto"/>
                <w:spacing w:val="2"/>
                <w:sz w:val="24"/>
                <w:highlight w:val="none"/>
              </w:rPr>
              <w:t>本办法所称污染物是指国家作为约束性指标进行总量控制的主要污染物以及影响全区环境质量改善的其他特征污染物。现阶段包括氮氧化物（NOx）、二氧化硫（SO</w:t>
            </w:r>
            <w:r>
              <w:rPr>
                <w:rFonts w:hint="eastAsia" w:ascii="Times New Roman" w:hAnsi="Times New Roman" w:eastAsia="宋体" w:cs="Times New Roman"/>
                <w:bCs/>
                <w:color w:val="auto"/>
                <w:spacing w:val="2"/>
                <w:sz w:val="24"/>
                <w:highlight w:val="none"/>
                <w:vertAlign w:val="subscript"/>
              </w:rPr>
              <w:t>2</w:t>
            </w:r>
            <w:r>
              <w:rPr>
                <w:rFonts w:hint="eastAsia" w:ascii="Times New Roman" w:hAnsi="Times New Roman" w:eastAsia="宋体" w:cs="Times New Roman"/>
                <w:bCs/>
                <w:color w:val="auto"/>
                <w:spacing w:val="2"/>
                <w:sz w:val="24"/>
                <w:highlight w:val="none"/>
              </w:rPr>
              <w:t>）、化学需氧量（COD）、氨氮（NH</w:t>
            </w:r>
            <w:r>
              <w:rPr>
                <w:rFonts w:hint="eastAsia" w:ascii="Times New Roman" w:hAnsi="Times New Roman" w:eastAsia="宋体" w:cs="Times New Roman"/>
                <w:bCs/>
                <w:color w:val="auto"/>
                <w:spacing w:val="2"/>
                <w:sz w:val="24"/>
                <w:highlight w:val="none"/>
                <w:vertAlign w:val="subscript"/>
              </w:rPr>
              <w:t>3</w:t>
            </w:r>
            <w:r>
              <w:rPr>
                <w:rFonts w:hint="eastAsia" w:ascii="Times New Roman" w:hAnsi="Times New Roman" w:eastAsia="宋体" w:cs="Times New Roman"/>
                <w:bCs/>
                <w:color w:val="auto"/>
                <w:spacing w:val="2"/>
                <w:sz w:val="24"/>
                <w:highlight w:val="none"/>
              </w:rPr>
              <w:t>-N）、挥发性有机物（VOCs）五项指标。</w:t>
            </w:r>
            <w:r>
              <w:rPr>
                <w:rFonts w:hint="eastAsia" w:ascii="Times New Roman" w:hAnsi="Times New Roman" w:eastAsia="宋体" w:cs="Times New Roman"/>
                <w:bCs/>
                <w:color w:val="auto"/>
                <w:spacing w:val="2"/>
                <w:sz w:val="24"/>
                <w:highlight w:val="none"/>
                <w:lang w:eastAsia="zh-CN"/>
              </w:rPr>
              <w:t>”</w:t>
            </w:r>
          </w:p>
          <w:p w14:paraId="530AF15A">
            <w:pPr>
              <w:pStyle w:val="88"/>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bCs/>
                <w:color w:val="auto"/>
                <w:spacing w:val="2"/>
                <w:sz w:val="24"/>
                <w:highlight w:val="none"/>
              </w:rPr>
            </w:pPr>
            <w:r>
              <w:rPr>
                <w:color w:val="auto"/>
                <w:sz w:val="24"/>
                <w:highlight w:val="none"/>
              </w:rPr>
              <w:t>本项目</w:t>
            </w:r>
            <w:r>
              <w:rPr>
                <w:rFonts w:hint="default" w:ascii="Times New Roman" w:hAnsi="Times New Roman" w:cs="Times New Roman"/>
                <w:bCs/>
                <w:color w:val="auto"/>
                <w:spacing w:val="2"/>
                <w:sz w:val="24"/>
                <w:lang w:val="en-US" w:eastAsia="zh-CN"/>
              </w:rPr>
              <w:t>废水</w:t>
            </w:r>
            <w:r>
              <w:rPr>
                <w:rFonts w:hint="eastAsia" w:ascii="Times New Roman" w:hAnsi="宋体" w:eastAsia="宋体" w:cs="Times New Roman"/>
                <w:bCs/>
                <w:color w:val="auto"/>
                <w:szCs w:val="24"/>
                <w:lang w:val="en-US" w:eastAsia="zh-CN"/>
              </w:rPr>
              <w:t>主要为循环冷却系统排水及生活污水。生活污水经厂区现有化粪池处理后汇同循环冷却系统排水排入园区污水管网，最终进入</w:t>
            </w:r>
            <w:r>
              <w:rPr>
                <w:rFonts w:hint="eastAsia" w:ascii="Times New Roman" w:hAnsi="Times New Roman" w:eastAsia="宋体" w:cs="Times New Roman"/>
                <w:color w:val="auto"/>
                <w:sz w:val="24"/>
                <w:szCs w:val="24"/>
                <w:lang w:val="en-US" w:eastAsia="zh-CN"/>
              </w:rPr>
              <w:t>固原经济技术开发区新材料产业园污水处理厂进行处理</w:t>
            </w:r>
            <w:r>
              <w:rPr>
                <w:rFonts w:hint="eastAsia" w:ascii="Times New Roman" w:hAnsi="Times New Roman" w:cs="Times New Roman"/>
                <w:bCs/>
                <w:color w:val="auto"/>
                <w:spacing w:val="2"/>
                <w:sz w:val="24"/>
                <w:lang w:val="en-US" w:eastAsia="zh-CN"/>
              </w:rPr>
              <w:t>。</w:t>
            </w:r>
            <w:r>
              <w:rPr>
                <w:rFonts w:hint="default" w:ascii="Times New Roman" w:hAnsi="Times New Roman" w:cs="Times New Roman"/>
                <w:color w:val="auto"/>
                <w:sz w:val="24"/>
                <w:highlight w:val="none"/>
              </w:rPr>
              <w:t>其中，化学需氧量（COD）排放量为0.0</w:t>
            </w:r>
            <w:r>
              <w:rPr>
                <w:rFonts w:hint="eastAsia" w:ascii="Times New Roman" w:hAnsi="Times New Roman" w:cs="Times New Roman"/>
                <w:color w:val="auto"/>
                <w:sz w:val="24"/>
                <w:highlight w:val="none"/>
                <w:lang w:val="en-US" w:eastAsia="zh-CN"/>
              </w:rPr>
              <w:t>92</w:t>
            </w:r>
            <w:r>
              <w:rPr>
                <w:rFonts w:hint="default" w:ascii="Times New Roman" w:hAnsi="Times New Roman" w:cs="Times New Roman"/>
                <w:color w:val="auto"/>
                <w:sz w:val="24"/>
                <w:highlight w:val="none"/>
              </w:rPr>
              <w:t>t/a，氨氮（NH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-N）排放量为0.00</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t/a，应按要求获取排污权。项目COD、NH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-N排污权以排水量和园区污水处理厂设计出水水质测算（COD：50mg/L，NH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-N：8/5mg/L，则项目COD、NH</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-N的排污权指标为：0.0</w:t>
            </w:r>
            <w:r>
              <w:rPr>
                <w:rFonts w:hint="eastAsia" w:ascii="Times New Roman" w:hAnsi="Times New Roman" w:cs="Times New Roman"/>
                <w:color w:val="auto"/>
                <w:sz w:val="24"/>
                <w:highlight w:val="none"/>
                <w:lang w:val="en-US" w:eastAsia="zh-CN"/>
              </w:rPr>
              <w:t>06</w:t>
            </w:r>
            <w:r>
              <w:rPr>
                <w:rFonts w:hint="default" w:ascii="Times New Roman" w:hAnsi="Times New Roman" w:cs="Times New Roman"/>
                <w:color w:val="auto"/>
                <w:sz w:val="24"/>
                <w:highlight w:val="none"/>
                <w:lang w:val="en-US" w:eastAsia="zh-CN"/>
              </w:rPr>
              <w:t>t</w:t>
            </w:r>
            <w:r>
              <w:rPr>
                <w:rFonts w:hint="default" w:ascii="Times New Roman" w:hAnsi="Times New Roman" w:cs="Times New Roman"/>
                <w:color w:val="auto"/>
                <w:sz w:val="24"/>
                <w:highlight w:val="none"/>
              </w:rPr>
              <w:t>/a、0.00</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/0.00</w:t>
            </w:r>
            <w:r>
              <w:rPr>
                <w:rFonts w:hint="eastAsia" w:ascii="Times New Roman" w:hAnsi="Times New Roman" w:cs="Times New Roman"/>
                <w:color w:val="auto"/>
                <w:sz w:val="24"/>
                <w:highlight w:val="none"/>
                <w:lang w:val="en-US" w:eastAsia="zh-CN"/>
              </w:rPr>
              <w:t>06</w:t>
            </w:r>
            <w:r>
              <w:rPr>
                <w:rFonts w:hint="default" w:ascii="Times New Roman" w:hAnsi="Times New Roman" w:cs="Times New Roman"/>
                <w:color w:val="auto"/>
                <w:sz w:val="24"/>
                <w:highlight w:val="none"/>
              </w:rPr>
              <w:t>t/a）。</w:t>
            </w:r>
          </w:p>
          <w:p w14:paraId="0A2A73E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color w:val="auto"/>
                <w:sz w:val="24"/>
                <w:szCs w:val="24"/>
                <w:highlight w:val="none"/>
              </w:rPr>
            </w:pPr>
            <w:r>
              <w:rPr>
                <w:color w:val="auto"/>
                <w:sz w:val="24"/>
                <w:szCs w:val="24"/>
                <w:highlight w:val="none"/>
              </w:rPr>
              <w:t>本项目</w:t>
            </w:r>
            <w:r>
              <w:rPr>
                <w:rFonts w:hint="eastAsia"/>
                <w:color w:val="auto"/>
                <w:sz w:val="24"/>
                <w:szCs w:val="24"/>
                <w:highlight w:val="none"/>
                <w:lang w:val="en-US" w:eastAsia="zh-CN"/>
              </w:rPr>
              <w:t>一期</w:t>
            </w:r>
            <w:r>
              <w:rPr>
                <w:rFonts w:hint="eastAsia" w:cs="Times New Roman"/>
                <w:color w:val="auto"/>
                <w:sz w:val="24"/>
                <w:szCs w:val="24"/>
                <w:highlight w:val="none"/>
                <w:lang w:val="en-US" w:eastAsia="zh-CN"/>
              </w:rPr>
              <w:t>VOCs（以</w:t>
            </w:r>
            <w:r>
              <w:rPr>
                <w:rFonts w:hint="eastAsia"/>
                <w:color w:val="auto"/>
                <w:sz w:val="24"/>
                <w:szCs w:val="24"/>
                <w:highlight w:val="none"/>
                <w:shd w:val="clear" w:color="auto" w:fill="auto"/>
                <w:lang w:val="en-US" w:eastAsia="zh-CN"/>
              </w:rPr>
              <w:t>非甲烷总烃</w:t>
            </w:r>
            <w:r>
              <w:rPr>
                <w:rFonts w:hint="eastAsia" w:cs="Times New Roman"/>
                <w:color w:val="auto"/>
                <w:sz w:val="24"/>
                <w:szCs w:val="24"/>
                <w:highlight w:val="none"/>
                <w:lang w:val="en-US" w:eastAsia="zh-CN"/>
              </w:rPr>
              <w:t>计）有组织</w:t>
            </w:r>
            <w:r>
              <w:rPr>
                <w:rFonts w:hint="eastAsia" w:ascii="Times New Roman" w:hAnsi="Times New Roman" w:cs="Times New Roman"/>
                <w:color w:val="auto"/>
                <w:sz w:val="24"/>
                <w:szCs w:val="24"/>
                <w:highlight w:val="none"/>
                <w:lang w:val="en-US" w:eastAsia="zh-CN"/>
              </w:rPr>
              <w:t>排放量</w:t>
            </w:r>
            <w:r>
              <w:rPr>
                <w:rFonts w:hint="eastAsia"/>
                <w:color w:val="auto"/>
                <w:sz w:val="24"/>
                <w:szCs w:val="24"/>
                <w:highlight w:val="none"/>
                <w:shd w:val="clear" w:color="auto" w:fill="auto"/>
                <w:lang w:eastAsia="zh-CN"/>
              </w:rPr>
              <w:t>为</w:t>
            </w:r>
            <w:r>
              <w:rPr>
                <w:rFonts w:hint="eastAsia"/>
                <w:color w:val="auto"/>
                <w:sz w:val="24"/>
                <w:szCs w:val="24"/>
                <w:highlight w:val="none"/>
                <w:shd w:val="clear" w:color="auto" w:fill="auto"/>
                <w:lang w:val="en-US" w:eastAsia="zh-CN"/>
              </w:rPr>
              <w:t>0.14</w:t>
            </w:r>
            <w:r>
              <w:rPr>
                <w:rFonts w:hint="eastAsia"/>
                <w:color w:val="auto"/>
                <w:sz w:val="24"/>
                <w:szCs w:val="24"/>
                <w:highlight w:val="none"/>
                <w:shd w:val="clear" w:color="auto" w:fill="auto"/>
                <w:lang w:eastAsia="zh-CN"/>
              </w:rPr>
              <w:t>t/a；</w:t>
            </w:r>
            <w:r>
              <w:rPr>
                <w:rFonts w:hint="eastAsia" w:cs="Times New Roman"/>
                <w:color w:val="auto"/>
                <w:sz w:val="24"/>
                <w:szCs w:val="24"/>
                <w:highlight w:val="none"/>
                <w:lang w:val="en-US" w:eastAsia="zh-CN"/>
              </w:rPr>
              <w:t>二期VOCs（以</w:t>
            </w:r>
            <w:r>
              <w:rPr>
                <w:rFonts w:hint="eastAsia"/>
                <w:color w:val="auto"/>
                <w:sz w:val="24"/>
                <w:szCs w:val="24"/>
                <w:highlight w:val="none"/>
                <w:shd w:val="clear" w:color="auto" w:fill="auto"/>
                <w:lang w:val="en-US" w:eastAsia="zh-CN"/>
              </w:rPr>
              <w:t>非甲烷总烃</w:t>
            </w:r>
            <w:r>
              <w:rPr>
                <w:rFonts w:hint="eastAsia" w:cs="Times New Roman"/>
                <w:color w:val="auto"/>
                <w:sz w:val="24"/>
                <w:szCs w:val="24"/>
                <w:highlight w:val="none"/>
                <w:lang w:val="en-US" w:eastAsia="zh-CN"/>
              </w:rPr>
              <w:t>计）</w:t>
            </w:r>
            <w:r>
              <w:rPr>
                <w:rFonts w:hint="eastAsia" w:ascii="Times New Roman" w:hAnsi="Times New Roman" w:cs="Times New Roman"/>
                <w:color w:val="auto"/>
                <w:sz w:val="24"/>
                <w:szCs w:val="24"/>
                <w:highlight w:val="none"/>
                <w:lang w:val="en-US" w:eastAsia="zh-CN"/>
              </w:rPr>
              <w:t>排放量</w:t>
            </w:r>
            <w:r>
              <w:rPr>
                <w:rFonts w:hint="eastAsia"/>
                <w:color w:val="auto"/>
                <w:sz w:val="24"/>
                <w:szCs w:val="24"/>
                <w:highlight w:val="none"/>
                <w:shd w:val="clear" w:color="auto" w:fill="auto"/>
                <w:lang w:eastAsia="zh-CN"/>
              </w:rPr>
              <w:t>为</w:t>
            </w:r>
            <w:r>
              <w:rPr>
                <w:rFonts w:hint="eastAsia"/>
                <w:color w:val="auto"/>
                <w:sz w:val="24"/>
                <w:szCs w:val="24"/>
                <w:highlight w:val="none"/>
                <w:shd w:val="clear" w:color="auto" w:fill="auto"/>
                <w:lang w:val="en-US" w:eastAsia="zh-CN"/>
              </w:rPr>
              <w:t>0.29</w:t>
            </w:r>
            <w:r>
              <w:rPr>
                <w:rFonts w:hint="eastAsia"/>
                <w:color w:val="auto"/>
                <w:sz w:val="24"/>
                <w:szCs w:val="24"/>
                <w:highlight w:val="none"/>
                <w:shd w:val="clear" w:color="auto" w:fill="auto"/>
                <w:lang w:eastAsia="zh-CN"/>
              </w:rPr>
              <w:t>t/a，</w:t>
            </w:r>
            <w:r>
              <w:rPr>
                <w:rFonts w:hint="eastAsia"/>
                <w:color w:val="auto"/>
                <w:sz w:val="24"/>
                <w:szCs w:val="24"/>
                <w:highlight w:val="none"/>
                <w:shd w:val="clear" w:color="auto" w:fill="auto"/>
                <w:lang w:val="en-US" w:eastAsia="zh-CN"/>
              </w:rPr>
              <w:t>二期建成后全厂</w:t>
            </w:r>
            <w:r>
              <w:rPr>
                <w:rFonts w:hint="eastAsia" w:cs="Times New Roman"/>
                <w:color w:val="auto"/>
                <w:sz w:val="24"/>
                <w:szCs w:val="24"/>
                <w:highlight w:val="none"/>
                <w:lang w:val="en-US" w:eastAsia="zh-CN"/>
              </w:rPr>
              <w:t>VOCs（以</w:t>
            </w:r>
            <w:r>
              <w:rPr>
                <w:rFonts w:hint="eastAsia"/>
                <w:color w:val="auto"/>
                <w:sz w:val="24"/>
                <w:szCs w:val="24"/>
                <w:highlight w:val="none"/>
                <w:shd w:val="clear" w:color="auto" w:fill="auto"/>
                <w:lang w:val="en-US" w:eastAsia="zh-CN"/>
              </w:rPr>
              <w:t>非甲烷总烃</w:t>
            </w:r>
            <w:r>
              <w:rPr>
                <w:rFonts w:hint="eastAsia" w:cs="Times New Roman"/>
                <w:color w:val="auto"/>
                <w:sz w:val="24"/>
                <w:szCs w:val="24"/>
                <w:highlight w:val="none"/>
                <w:lang w:val="en-US" w:eastAsia="zh-CN"/>
              </w:rPr>
              <w:t>计）</w:t>
            </w:r>
            <w:r>
              <w:rPr>
                <w:rFonts w:hint="eastAsia" w:ascii="Times New Roman" w:hAnsi="Times New Roman" w:cs="Times New Roman"/>
                <w:color w:val="auto"/>
                <w:sz w:val="24"/>
                <w:szCs w:val="24"/>
                <w:highlight w:val="none"/>
                <w:lang w:val="en-US" w:eastAsia="zh-CN"/>
              </w:rPr>
              <w:t>排放量</w:t>
            </w:r>
            <w:r>
              <w:rPr>
                <w:rFonts w:hint="eastAsia"/>
                <w:color w:val="auto"/>
                <w:sz w:val="24"/>
                <w:szCs w:val="24"/>
                <w:highlight w:val="none"/>
                <w:shd w:val="clear" w:color="auto" w:fill="auto"/>
                <w:lang w:eastAsia="zh-CN"/>
              </w:rPr>
              <w:t>为</w:t>
            </w:r>
            <w:r>
              <w:rPr>
                <w:rFonts w:hint="eastAsia"/>
                <w:color w:val="auto"/>
                <w:sz w:val="24"/>
                <w:szCs w:val="24"/>
                <w:highlight w:val="none"/>
                <w:shd w:val="clear" w:color="auto" w:fill="auto"/>
                <w:lang w:val="en-US" w:eastAsia="zh-CN"/>
              </w:rPr>
              <w:t>0.43</w:t>
            </w:r>
            <w:r>
              <w:rPr>
                <w:rFonts w:hint="eastAsia"/>
                <w:color w:val="auto"/>
                <w:sz w:val="24"/>
                <w:szCs w:val="24"/>
                <w:highlight w:val="none"/>
                <w:shd w:val="clear" w:color="auto" w:fill="auto"/>
                <w:lang w:eastAsia="zh-CN"/>
              </w:rPr>
              <w:t>t/a，</w:t>
            </w:r>
            <w:r>
              <w:rPr>
                <w:rFonts w:hint="default" w:ascii="Times New Roman" w:hAnsi="Times New Roman" w:cs="Times New Roman"/>
                <w:color w:val="auto"/>
                <w:sz w:val="24"/>
                <w:szCs w:val="24"/>
                <w:highlight w:val="none"/>
                <w:lang w:val="en-US" w:eastAsia="zh-CN"/>
              </w:rPr>
              <w:t>应按要求获取排污权</w:t>
            </w:r>
            <w:r>
              <w:rPr>
                <w:rFonts w:hint="eastAsia" w:ascii="Times New Roman" w:hAnsi="Times New Roman" w:eastAsia="宋体" w:cs="Times New Roman"/>
                <w:bCs/>
                <w:color w:val="auto"/>
                <w:spacing w:val="2"/>
                <w:sz w:val="24"/>
                <w:szCs w:val="24"/>
                <w:highlight w:val="none"/>
                <w:lang w:val="en-US" w:eastAsia="zh-CN" w:bidi="zh-CN"/>
              </w:rPr>
              <w:t>。</w:t>
            </w:r>
          </w:p>
          <w:p w14:paraId="29B5E880">
            <w:pPr>
              <w:pStyle w:val="2"/>
              <w:rPr>
                <w:rFonts w:hint="default"/>
                <w:color w:val="auto"/>
              </w:rPr>
            </w:pPr>
          </w:p>
          <w:p w14:paraId="5B90C6EE">
            <w:pPr>
              <w:rPr>
                <w:rFonts w:hint="default"/>
                <w:color w:val="auto"/>
              </w:rPr>
            </w:pPr>
          </w:p>
          <w:p w14:paraId="7653E8F8">
            <w:pPr>
              <w:pStyle w:val="2"/>
              <w:rPr>
                <w:rFonts w:hint="default"/>
                <w:color w:val="auto"/>
              </w:rPr>
            </w:pPr>
          </w:p>
          <w:p w14:paraId="4C2FD4E4">
            <w:pPr>
              <w:rPr>
                <w:rFonts w:hint="default"/>
                <w:color w:val="auto"/>
              </w:rPr>
            </w:pPr>
          </w:p>
          <w:p w14:paraId="3E24ED65">
            <w:pPr>
              <w:pStyle w:val="2"/>
              <w:rPr>
                <w:rFonts w:hint="default"/>
                <w:color w:val="auto"/>
              </w:rPr>
            </w:pPr>
          </w:p>
          <w:p w14:paraId="3183106C">
            <w:pPr>
              <w:rPr>
                <w:rFonts w:hint="default"/>
                <w:color w:val="auto"/>
              </w:rPr>
            </w:pPr>
          </w:p>
          <w:p w14:paraId="4FC5EEFD">
            <w:pPr>
              <w:pStyle w:val="2"/>
              <w:rPr>
                <w:rFonts w:hint="default"/>
                <w:color w:val="auto"/>
              </w:rPr>
            </w:pPr>
          </w:p>
          <w:p w14:paraId="704D29B1">
            <w:pPr>
              <w:rPr>
                <w:rFonts w:hint="default"/>
                <w:color w:val="auto"/>
              </w:rPr>
            </w:pPr>
          </w:p>
          <w:p w14:paraId="2766D7CC">
            <w:pPr>
              <w:pStyle w:val="2"/>
              <w:rPr>
                <w:rFonts w:hint="default"/>
                <w:color w:val="auto"/>
              </w:rPr>
            </w:pPr>
          </w:p>
          <w:p w14:paraId="047FA625">
            <w:pPr>
              <w:rPr>
                <w:rFonts w:hint="default"/>
                <w:color w:val="auto"/>
              </w:rPr>
            </w:pPr>
          </w:p>
          <w:p w14:paraId="22E21067">
            <w:pPr>
              <w:pStyle w:val="2"/>
              <w:rPr>
                <w:rFonts w:hint="default"/>
                <w:color w:val="auto"/>
              </w:rPr>
            </w:pPr>
          </w:p>
          <w:p w14:paraId="198CBEA0">
            <w:pPr>
              <w:rPr>
                <w:rFonts w:hint="default"/>
                <w:color w:val="auto"/>
              </w:rPr>
            </w:pPr>
          </w:p>
          <w:p w14:paraId="2CD1815A">
            <w:pPr>
              <w:pStyle w:val="2"/>
              <w:rPr>
                <w:rFonts w:hint="default"/>
                <w:color w:val="auto"/>
              </w:rPr>
            </w:pPr>
          </w:p>
          <w:p w14:paraId="3CEF2152">
            <w:pPr>
              <w:pStyle w:val="2"/>
              <w:rPr>
                <w:rFonts w:hint="default"/>
                <w:color w:val="auto"/>
              </w:rPr>
            </w:pPr>
          </w:p>
        </w:tc>
      </w:tr>
    </w:tbl>
    <w:p w14:paraId="6178A0C6">
      <w:pPr>
        <w:pStyle w:val="27"/>
        <w:numPr>
          <w:ilvl w:val="0"/>
          <w:numId w:val="3"/>
        </w:numPr>
        <w:adjustRightInd w:val="0"/>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宋体" w:cs="Times New Roman"/>
          <w:snapToGrid w:val="0"/>
          <w:color w:val="auto"/>
          <w:sz w:val="36"/>
          <w:szCs w:val="36"/>
        </w:rPr>
        <w:br w:type="page"/>
      </w:r>
      <w:r>
        <w:rPr>
          <w:rFonts w:hint="default" w:ascii="Times New Roman" w:hAnsi="Times New Roman" w:eastAsia="黑体" w:cs="Times New Roman"/>
          <w:snapToGrid w:val="0"/>
          <w:color w:val="auto"/>
          <w:sz w:val="30"/>
          <w:szCs w:val="30"/>
        </w:rPr>
        <w:t>主要环境影响和保护措施</w:t>
      </w:r>
    </w:p>
    <w:tbl>
      <w:tblPr>
        <w:tblStyle w:val="30"/>
        <w:tblW w:w="9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468"/>
      </w:tblGrid>
      <w:tr w14:paraId="49868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4" w:type="dxa"/>
            <w:noWrap w:val="0"/>
            <w:tcMar>
              <w:left w:w="28" w:type="dxa"/>
              <w:right w:w="28" w:type="dxa"/>
            </w:tcMar>
            <w:vAlign w:val="center"/>
          </w:tcPr>
          <w:p w14:paraId="5E6D3214">
            <w:pPr>
              <w:pStyle w:val="27"/>
              <w:adjustRightInd w:val="0"/>
              <w:snapToGrid w:val="0"/>
              <w:spacing w:before="0" w:beforeAutospacing="0" w:after="0" w:afterAutospacing="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Cs w:val="24"/>
              </w:rPr>
              <w:t>施工期环境保护措施</w:t>
            </w:r>
          </w:p>
        </w:tc>
        <w:tc>
          <w:tcPr>
            <w:tcW w:w="8468" w:type="dxa"/>
            <w:noWrap w:val="0"/>
            <w:vAlign w:val="top"/>
          </w:tcPr>
          <w:p w14:paraId="7EA23D00">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color w:val="auto"/>
                <w:sz w:val="24"/>
                <w:highlight w:val="none"/>
              </w:rPr>
            </w:pPr>
            <w:r>
              <w:rPr>
                <w:rFonts w:hint="eastAsia" w:ascii="Times New Roman" w:hAnsi="Times New Roman" w:eastAsia="宋体" w:cs="Times New Roman"/>
                <w:color w:val="auto"/>
                <w:sz w:val="24"/>
                <w:highlight w:val="none"/>
                <w:lang w:val="en-US" w:eastAsia="zh-CN"/>
              </w:rPr>
              <w:t>本项目</w:t>
            </w:r>
            <w:r>
              <w:rPr>
                <w:rFonts w:hint="eastAsia" w:ascii="Times New Roman" w:hAnsi="Times New Roman" w:eastAsia="宋体" w:cs="Times New Roman"/>
                <w:i w:val="0"/>
                <w:iCs w:val="0"/>
                <w:caps w:val="0"/>
                <w:color w:val="auto"/>
                <w:spacing w:val="0"/>
                <w:sz w:val="24"/>
                <w:szCs w:val="24"/>
                <w:shd w:val="clear" w:color="auto" w:fill="FFFFFF"/>
                <w:lang w:val="en-US" w:eastAsia="zh-CN"/>
              </w:rPr>
              <w:t>租赁宁夏天楹环保能源有限公司内闲置空地，</w:t>
            </w:r>
            <w:r>
              <w:rPr>
                <w:rFonts w:hint="eastAsia" w:ascii="Times New Roman" w:hAnsi="Times New Roman" w:eastAsia="宋体" w:cs="Times New Roman"/>
                <w:color w:val="auto"/>
                <w:sz w:val="24"/>
                <w:highlight w:val="none"/>
                <w:lang w:val="en-US" w:eastAsia="zh-CN"/>
              </w:rPr>
              <w:t>分两期进行施工，</w:t>
            </w:r>
            <w:r>
              <w:rPr>
                <w:rFonts w:hint="eastAsia" w:ascii="Times New Roman" w:hAnsi="Times New Roman" w:eastAsia="宋体" w:cs="Times New Roman"/>
                <w:i w:val="0"/>
                <w:iCs w:val="0"/>
                <w:caps w:val="0"/>
                <w:color w:val="auto"/>
                <w:spacing w:val="0"/>
                <w:sz w:val="24"/>
                <w:szCs w:val="24"/>
                <w:shd w:val="clear" w:color="auto" w:fill="FFFFFF"/>
                <w:lang w:val="en-US" w:eastAsia="zh-CN"/>
              </w:rPr>
              <w:t>一期主要建设2座生产车间、1座原料及成品仓库、1座管理用房</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二期不新增建构筑物，仅在生产车间2内新增购置泡沫箱生产设备。</w:t>
            </w:r>
            <w:r>
              <w:rPr>
                <w:rFonts w:ascii="Times New Roman" w:hAnsi="Times New Roman"/>
                <w:color w:val="auto"/>
                <w:sz w:val="24"/>
                <w:highlight w:val="none"/>
              </w:rPr>
              <w:t>本项目</w:t>
            </w:r>
            <w:r>
              <w:rPr>
                <w:rFonts w:hint="eastAsia" w:ascii="Times New Roman" w:hAnsi="Times New Roman"/>
                <w:color w:val="auto"/>
                <w:sz w:val="24"/>
                <w:highlight w:val="none"/>
                <w:lang w:val="en-US" w:eastAsia="zh-CN"/>
              </w:rPr>
              <w:t>一期工程</w:t>
            </w:r>
            <w:r>
              <w:rPr>
                <w:rFonts w:ascii="Times New Roman" w:hAnsi="Times New Roman"/>
                <w:color w:val="auto"/>
                <w:sz w:val="24"/>
                <w:highlight w:val="none"/>
              </w:rPr>
              <w:t>施工期间各项施工活动将会对周围环境产生一定的影响</w:t>
            </w:r>
            <w:r>
              <w:rPr>
                <w:rFonts w:hint="eastAsia" w:ascii="Times New Roman" w:hAnsi="Times New Roman"/>
                <w:color w:val="auto"/>
                <w:sz w:val="24"/>
                <w:highlight w:val="none"/>
              </w:rPr>
              <w:t>，</w:t>
            </w:r>
            <w:r>
              <w:rPr>
                <w:rFonts w:ascii="Times New Roman" w:hAnsi="Times New Roman"/>
                <w:color w:val="auto"/>
                <w:sz w:val="24"/>
                <w:highlight w:val="none"/>
              </w:rPr>
              <w:t>主要包括施工扬尘、废水、噪声、固体废物等对周围环境的影响，而且以施工扬尘尤为明显。</w:t>
            </w:r>
            <w:r>
              <w:rPr>
                <w:rFonts w:hint="eastAsia" w:ascii="Times New Roman" w:hAnsi="Times New Roman"/>
                <w:color w:val="auto"/>
                <w:sz w:val="24"/>
                <w:highlight w:val="none"/>
                <w:lang w:val="en-US" w:eastAsia="zh-CN"/>
              </w:rPr>
              <w:t>二期工程施工期间对周围的环境影响主要为噪声及固体废物。</w:t>
            </w:r>
            <w:r>
              <w:rPr>
                <w:rFonts w:ascii="Times New Roman" w:hAnsi="Times New Roman"/>
                <w:color w:val="auto"/>
                <w:sz w:val="24"/>
                <w:highlight w:val="none"/>
              </w:rPr>
              <w:t>因此本项目施工单位应严格遵守有关的法律、法规和规定，且施工期</w:t>
            </w:r>
            <w:r>
              <w:rPr>
                <w:rFonts w:hint="eastAsia" w:ascii="Times New Roman" w:hAnsi="Times New Roman"/>
                <w:color w:val="auto"/>
                <w:sz w:val="24"/>
                <w:highlight w:val="none"/>
              </w:rPr>
              <w:t>需</w:t>
            </w:r>
            <w:r>
              <w:rPr>
                <w:rFonts w:ascii="Times New Roman" w:hAnsi="Times New Roman"/>
                <w:color w:val="auto"/>
                <w:sz w:val="24"/>
                <w:highlight w:val="none"/>
              </w:rPr>
              <w:t>做好以下污染防治措施，尽量把对周围环境的负面影响减少到最低、最轻程度。本项目施工期较短，随着项目的施工结束，施工期间所产生的负面影响也随之消失。</w:t>
            </w:r>
          </w:p>
          <w:p w14:paraId="24F1CC7D">
            <w:pPr>
              <w:pStyle w:val="16"/>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ascii="Times New Roman" w:hAnsi="Times New Roman"/>
                <w:b/>
                <w:bCs/>
                <w:color w:val="auto"/>
                <w:sz w:val="24"/>
                <w:highlight w:val="none"/>
              </w:rPr>
            </w:pPr>
            <w:r>
              <w:rPr>
                <w:rFonts w:ascii="Times New Roman" w:hAnsi="Times New Roman"/>
                <w:b/>
                <w:bCs/>
                <w:color w:val="auto"/>
                <w:sz w:val="24"/>
                <w:highlight w:val="none"/>
              </w:rPr>
              <w:t>1、施工期扬尘污染防治措施</w:t>
            </w:r>
          </w:p>
          <w:p w14:paraId="4DE63E4C">
            <w:pPr>
              <w:pStyle w:val="29"/>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项目施工期环境空气污染物主要为施工扬尘及施工机械排放的废气等。本次评价要求项目施工期间采取如下保护措施：</w:t>
            </w:r>
          </w:p>
          <w:p w14:paraId="4A1731BF">
            <w:pPr>
              <w:pStyle w:val="11"/>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⑴建立健全施工扬尘治理责任制，制定具体的施工扬尘治理实施方案，将项目扬尘防控经费纳入项目预算。</w:t>
            </w:r>
          </w:p>
          <w:p w14:paraId="3636C183">
            <w:pPr>
              <w:pStyle w:val="11"/>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⑵建筑工地全面落实</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六个100%</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的扬尘防控措施：①100%标准围挡；②裸露黄土100%覆盖；③施工道路100%硬化；④渣土运输车辆100%密闭拉运；⑤施工车辆100%冲洗清洁；⑥建筑物拆除100%湿法作业。</w:t>
            </w:r>
          </w:p>
          <w:p w14:paraId="065AF307">
            <w:pPr>
              <w:pStyle w:val="11"/>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⑶对施工现场和建筑体分别采取围栏、覆盖遮蔽等措施，阻隔施工扬尘污染，定期洒水抑尘；</w:t>
            </w:r>
          </w:p>
          <w:p w14:paraId="2393978A">
            <w:pPr>
              <w:pStyle w:val="11"/>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⑷建筑材料运输、装卸、堆存等易产生扬尘过程，应采取篷布遮盖、定期洒水抑尘的措施，覆盖要封闭严密，破损处要及时修复。气象预报5级以上大风或重度污染天气时，严禁建筑材料运输、装卸作业。</w:t>
            </w:r>
          </w:p>
          <w:p w14:paraId="6773F4DC">
            <w:pPr>
              <w:pStyle w:val="11"/>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48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⑸工程完工后应及时清理和平整场地，防止扬尘污染。</w:t>
            </w:r>
          </w:p>
          <w:p w14:paraId="67C8B7E6">
            <w:pPr>
              <w:pStyle w:val="16"/>
              <w:spacing w:line="360" w:lineRule="auto"/>
              <w:ind w:firstLine="482" w:firstLineChars="200"/>
              <w:jc w:val="both"/>
              <w:rPr>
                <w:rFonts w:ascii="Times New Roman" w:hAnsi="Times New Roman"/>
                <w:b/>
                <w:bCs/>
                <w:color w:val="auto"/>
                <w:sz w:val="24"/>
                <w:highlight w:val="none"/>
              </w:rPr>
            </w:pPr>
            <w:r>
              <w:rPr>
                <w:rFonts w:ascii="Times New Roman" w:hAnsi="Times New Roman"/>
                <w:b/>
                <w:bCs/>
                <w:color w:val="auto"/>
                <w:sz w:val="24"/>
                <w:highlight w:val="none"/>
              </w:rPr>
              <w:t>2、施工期废水污染防治措施</w:t>
            </w:r>
          </w:p>
          <w:p w14:paraId="278F5ADC">
            <w:pPr>
              <w:autoSpaceDE w:val="0"/>
              <w:autoSpaceDN w:val="0"/>
              <w:adjustRightInd w:val="0"/>
              <w:snapToGrid w:val="0"/>
              <w:spacing w:line="360" w:lineRule="auto"/>
              <w:ind w:firstLine="480" w:firstLineChars="200"/>
              <w:jc w:val="both"/>
              <w:rPr>
                <w:color w:val="auto"/>
                <w:sz w:val="24"/>
                <w:szCs w:val="24"/>
                <w:highlight w:val="none"/>
              </w:rPr>
            </w:pPr>
            <w:r>
              <w:rPr>
                <w:color w:val="auto"/>
                <w:sz w:val="24"/>
                <w:szCs w:val="24"/>
                <w:highlight w:val="none"/>
              </w:rPr>
              <w:t>施工期的废水主要是施工人员的生活污水和施工废水。</w:t>
            </w:r>
          </w:p>
          <w:p w14:paraId="36DF9C2B">
            <w:pPr>
              <w:pStyle w:val="104"/>
              <w:adjustRightInd w:val="0"/>
              <w:snapToGrid w:val="0"/>
              <w:spacing w:line="360" w:lineRule="auto"/>
              <w:ind w:firstLine="480" w:firstLineChars="200"/>
              <w:jc w:val="both"/>
              <w:rPr>
                <w:color w:val="auto"/>
                <w:sz w:val="24"/>
                <w:szCs w:val="24"/>
                <w:highlight w:val="none"/>
              </w:rPr>
            </w:pPr>
            <w:r>
              <w:rPr>
                <w:color w:val="auto"/>
                <w:sz w:val="24"/>
                <w:szCs w:val="24"/>
                <w:highlight w:val="none"/>
              </w:rPr>
              <w:t>在项目施工期间，建设单位必须加强对施工人员的管理，在施工场地内合理布置</w:t>
            </w:r>
            <w:r>
              <w:rPr>
                <w:rFonts w:hint="eastAsia"/>
                <w:color w:val="auto"/>
                <w:sz w:val="24"/>
                <w:szCs w:val="24"/>
                <w:highlight w:val="none"/>
              </w:rPr>
              <w:t>临时</w:t>
            </w:r>
            <w:r>
              <w:rPr>
                <w:color w:val="auto"/>
                <w:sz w:val="24"/>
                <w:szCs w:val="24"/>
                <w:highlight w:val="none"/>
              </w:rPr>
              <w:t>沉淀池，建筑施工废水经沉淀池沉淀后回用，不外排；</w:t>
            </w:r>
            <w:r>
              <w:rPr>
                <w:rFonts w:hint="eastAsia"/>
                <w:color w:val="auto"/>
                <w:sz w:val="24"/>
                <w:szCs w:val="24"/>
                <w:highlight w:val="none"/>
              </w:rPr>
              <w:t>施工人员</w:t>
            </w:r>
            <w:r>
              <w:rPr>
                <w:rFonts w:ascii="Times New Roman" w:hAnsi="Times New Roman" w:cs="Times New Roman"/>
                <w:color w:val="auto"/>
                <w:sz w:val="24"/>
                <w:szCs w:val="24"/>
                <w:highlight w:val="none"/>
              </w:rPr>
              <w:t>生活污水依托</w:t>
            </w:r>
            <w:r>
              <w:rPr>
                <w:rFonts w:hint="eastAsia" w:ascii="Times New Roman" w:hAnsi="Times New Roman" w:cs="Times New Roman"/>
                <w:color w:val="auto"/>
                <w:sz w:val="24"/>
                <w:szCs w:val="24"/>
                <w:highlight w:val="none"/>
                <w:lang w:val="en-US" w:eastAsia="zh-CN"/>
              </w:rPr>
              <w:t>宁夏天楹环保能源有限公司</w:t>
            </w:r>
            <w:r>
              <w:rPr>
                <w:rFonts w:hint="eastAsia" w:ascii="Times New Roman" w:hAnsi="Times New Roman" w:cs="Times New Roman"/>
                <w:color w:val="auto"/>
                <w:sz w:val="24"/>
                <w:szCs w:val="24"/>
                <w:highlight w:val="none"/>
              </w:rPr>
              <w:t>现有</w:t>
            </w:r>
            <w:r>
              <w:rPr>
                <w:rFonts w:ascii="Times New Roman" w:hAnsi="Times New Roman" w:cs="Times New Roman"/>
                <w:color w:val="auto"/>
                <w:sz w:val="24"/>
                <w:szCs w:val="24"/>
                <w:highlight w:val="none"/>
              </w:rPr>
              <w:t>化粪池处理后</w:t>
            </w:r>
            <w:r>
              <w:rPr>
                <w:color w:val="auto"/>
                <w:sz w:val="24"/>
                <w:szCs w:val="24"/>
                <w:highlight w:val="none"/>
              </w:rPr>
              <w:t>，</w:t>
            </w:r>
            <w:r>
              <w:rPr>
                <w:color w:val="auto"/>
                <w:sz w:val="24"/>
                <w:szCs w:val="24"/>
                <w:highlight w:val="none"/>
                <w:lang w:val="en-US" w:eastAsia="zh-CN"/>
              </w:rPr>
              <w:t>排入园区污水管网，最终</w:t>
            </w:r>
            <w:r>
              <w:rPr>
                <w:rFonts w:hint="eastAsia"/>
                <w:color w:val="auto"/>
                <w:sz w:val="24"/>
                <w:szCs w:val="24"/>
                <w:highlight w:val="none"/>
                <w:lang w:val="en-US" w:eastAsia="zh-CN"/>
              </w:rPr>
              <w:t>进入固原经济技术开发区新材料产业园污水处理厂进行处理</w:t>
            </w:r>
            <w:r>
              <w:rPr>
                <w:rFonts w:ascii="Times New Roman" w:hAnsi="Times New Roman" w:cs="Times New Roman"/>
                <w:color w:val="auto"/>
                <w:sz w:val="24"/>
                <w:szCs w:val="24"/>
                <w:highlight w:val="none"/>
              </w:rPr>
              <w:t>。</w:t>
            </w:r>
            <w:r>
              <w:rPr>
                <w:color w:val="auto"/>
                <w:sz w:val="24"/>
                <w:szCs w:val="24"/>
                <w:highlight w:val="none"/>
              </w:rPr>
              <w:t>因此</w:t>
            </w:r>
            <w:r>
              <w:rPr>
                <w:rFonts w:hint="eastAsia"/>
                <w:color w:val="auto"/>
                <w:sz w:val="24"/>
                <w:szCs w:val="24"/>
                <w:highlight w:val="none"/>
              </w:rPr>
              <w:t>，</w:t>
            </w:r>
            <w:r>
              <w:rPr>
                <w:color w:val="auto"/>
                <w:sz w:val="24"/>
                <w:szCs w:val="24"/>
                <w:highlight w:val="none"/>
              </w:rPr>
              <w:t>本项目施工期废水采取有效治理措施后影响较小。</w:t>
            </w:r>
          </w:p>
          <w:p w14:paraId="188BA346">
            <w:pPr>
              <w:pStyle w:val="16"/>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ascii="Times New Roman" w:hAnsi="Times New Roman"/>
                <w:color w:val="auto"/>
                <w:sz w:val="24"/>
                <w:highlight w:val="none"/>
              </w:rPr>
            </w:pPr>
            <w:r>
              <w:rPr>
                <w:rFonts w:ascii="Times New Roman" w:hAnsi="Times New Roman"/>
                <w:b/>
                <w:bCs/>
                <w:color w:val="auto"/>
                <w:sz w:val="24"/>
                <w:highlight w:val="none"/>
              </w:rPr>
              <w:t>3、施工期噪声污染防治措施</w:t>
            </w:r>
          </w:p>
          <w:p w14:paraId="77E2F23C">
            <w:pPr>
              <w:autoSpaceDE w:val="0"/>
              <w:autoSpaceDN w:val="0"/>
              <w:adjustRightInd w:val="0"/>
              <w:snapToGrid w:val="0"/>
              <w:spacing w:line="360" w:lineRule="auto"/>
              <w:ind w:firstLine="480" w:firstLineChars="200"/>
              <w:jc w:val="both"/>
              <w:rPr>
                <w:rFonts w:hint="eastAsia"/>
                <w:color w:val="auto"/>
                <w:sz w:val="24"/>
                <w:highlight w:val="none"/>
              </w:rPr>
            </w:pPr>
            <w:r>
              <w:rPr>
                <w:color w:val="auto"/>
                <w:sz w:val="24"/>
                <w:highlight w:val="none"/>
              </w:rPr>
              <w:t>在施工过程中，由于各种施工机械设备的运转和各类车辆的运行，不可避免地将产生噪声污染。施工中使用的各种施工机械、运输车辆都是噪声的产生源。为最大限度地减少噪声对环境的影响，施工期应采取以下噪声防治措施</w:t>
            </w:r>
            <w:r>
              <w:rPr>
                <w:rFonts w:hint="eastAsia"/>
                <w:color w:val="auto"/>
                <w:sz w:val="24"/>
                <w:highlight w:val="none"/>
              </w:rPr>
              <w:t>：</w:t>
            </w:r>
          </w:p>
          <w:p w14:paraId="62081C66">
            <w:pPr>
              <w:pStyle w:val="29"/>
              <w:widowControl w:val="0"/>
              <w:autoSpaceDE w:val="0"/>
              <w:autoSpaceDN w:val="0"/>
              <w:adjustRightInd w:val="0"/>
              <w:spacing w:after="0" w:line="360" w:lineRule="auto"/>
              <w:ind w:firstLine="480" w:firstLineChars="200"/>
              <w:jc w:val="both"/>
              <w:rPr>
                <w:color w:val="auto"/>
                <w:sz w:val="24"/>
                <w:highlight w:val="none"/>
              </w:rPr>
            </w:pPr>
            <w:r>
              <w:rPr>
                <w:rFonts w:hint="eastAsia" w:ascii="宋体" w:hAnsi="宋体" w:cs="宋体"/>
                <w:color w:val="auto"/>
                <w:sz w:val="24"/>
                <w:highlight w:val="none"/>
              </w:rPr>
              <w:t>⑴</w:t>
            </w:r>
            <w:r>
              <w:rPr>
                <w:color w:val="auto"/>
                <w:sz w:val="24"/>
                <w:highlight w:val="none"/>
              </w:rPr>
              <w:t>合理安排施工作业时间，尽量避免高噪声设备同时施工；</w:t>
            </w:r>
          </w:p>
          <w:p w14:paraId="65CD97F7">
            <w:pPr>
              <w:autoSpaceDE w:val="0"/>
              <w:autoSpaceDN w:val="0"/>
              <w:adjustRightInd w:val="0"/>
              <w:snapToGrid w:val="0"/>
              <w:spacing w:line="360" w:lineRule="auto"/>
              <w:ind w:firstLine="480" w:firstLineChars="200"/>
              <w:jc w:val="both"/>
              <w:rPr>
                <w:color w:val="auto"/>
                <w:sz w:val="24"/>
                <w:highlight w:val="none"/>
              </w:rPr>
            </w:pPr>
            <w:r>
              <w:rPr>
                <w:rFonts w:hint="eastAsia" w:ascii="宋体" w:hAnsi="宋体" w:cs="宋体"/>
                <w:color w:val="auto"/>
                <w:sz w:val="24"/>
                <w:highlight w:val="none"/>
              </w:rPr>
              <w:t>⑵</w:t>
            </w:r>
            <w:r>
              <w:rPr>
                <w:color w:val="auto"/>
                <w:sz w:val="24"/>
                <w:highlight w:val="none"/>
              </w:rPr>
              <w:t>降低设备声级，尽量选用低噪声机械设备或带隔声、消声的设备，同时做好施工机械的维护和保养，有效降低机械设备运转的噪声源强；</w:t>
            </w:r>
          </w:p>
          <w:p w14:paraId="4B7D9BE9">
            <w:pPr>
              <w:autoSpaceDE w:val="0"/>
              <w:autoSpaceDN w:val="0"/>
              <w:adjustRightInd w:val="0"/>
              <w:snapToGrid w:val="0"/>
              <w:spacing w:line="360" w:lineRule="auto"/>
              <w:ind w:firstLine="480" w:firstLineChars="200"/>
              <w:jc w:val="both"/>
              <w:rPr>
                <w:color w:val="auto"/>
                <w:sz w:val="24"/>
                <w:highlight w:val="none"/>
                <w:lang w:val="zh-CN"/>
              </w:rPr>
            </w:pPr>
            <w:r>
              <w:rPr>
                <w:rFonts w:hint="eastAsia" w:ascii="宋体" w:hAnsi="宋体" w:cs="宋体"/>
                <w:color w:val="auto"/>
                <w:sz w:val="24"/>
                <w:highlight w:val="none"/>
              </w:rPr>
              <w:t>⑶</w:t>
            </w:r>
            <w:r>
              <w:rPr>
                <w:color w:val="auto"/>
                <w:sz w:val="24"/>
                <w:highlight w:val="none"/>
              </w:rPr>
              <w:t>降低人为噪声：按规定操作机械设备，物料装卸过程中，尽量减少碰撞声音；尽量少用哨子、鸣笛等指挥作业，控</w:t>
            </w:r>
            <w:r>
              <w:rPr>
                <w:color w:val="auto"/>
                <w:sz w:val="24"/>
                <w:highlight w:val="none"/>
                <w:lang w:val="zh-CN"/>
              </w:rPr>
              <w:t>制车辆鸣笛。</w:t>
            </w:r>
          </w:p>
          <w:p w14:paraId="406ECD73">
            <w:pPr>
              <w:autoSpaceDE w:val="0"/>
              <w:autoSpaceDN w:val="0"/>
              <w:adjustRightInd w:val="0"/>
              <w:snapToGrid w:val="0"/>
              <w:spacing w:line="360" w:lineRule="auto"/>
              <w:ind w:firstLine="480" w:firstLineChars="200"/>
              <w:jc w:val="both"/>
              <w:rPr>
                <w:color w:val="auto"/>
                <w:sz w:val="24"/>
                <w:highlight w:val="none"/>
                <w:lang w:val="zh-CN"/>
              </w:rPr>
            </w:pPr>
            <w:r>
              <w:rPr>
                <w:color w:val="auto"/>
                <w:sz w:val="24"/>
                <w:highlight w:val="none"/>
                <w:lang w:val="zh-CN"/>
              </w:rPr>
              <w:t>综上所述，施工单位通过合理安排施工机械设备的位置，并对高噪声设备采取减振、隔音、选择合理施工时间等措施，可保证项目施工场界噪声满足《建筑施工噪声排放标准》（GB12523-20</w:t>
            </w:r>
            <w:r>
              <w:rPr>
                <w:rFonts w:hint="eastAsia"/>
                <w:color w:val="auto"/>
                <w:sz w:val="24"/>
                <w:highlight w:val="none"/>
                <w:lang w:val="en-US" w:eastAsia="zh-CN"/>
              </w:rPr>
              <w:t>25</w:t>
            </w:r>
            <w:r>
              <w:rPr>
                <w:color w:val="auto"/>
                <w:sz w:val="24"/>
                <w:highlight w:val="none"/>
                <w:lang w:val="zh-CN"/>
              </w:rPr>
              <w:t>）的要求，使施工噪声对环境的影响降到最低。</w:t>
            </w:r>
          </w:p>
          <w:p w14:paraId="40094ED7">
            <w:pPr>
              <w:pStyle w:val="16"/>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ascii="Times New Roman" w:hAnsi="Times New Roman"/>
                <w:b/>
                <w:bCs/>
                <w:color w:val="auto"/>
                <w:sz w:val="24"/>
                <w:highlight w:val="none"/>
              </w:rPr>
            </w:pPr>
            <w:r>
              <w:rPr>
                <w:rFonts w:ascii="Times New Roman" w:hAnsi="Times New Roman"/>
                <w:b/>
                <w:bCs/>
                <w:color w:val="auto"/>
                <w:sz w:val="24"/>
                <w:highlight w:val="none"/>
              </w:rPr>
              <w:t>4、施工期固体废物污染防治措施</w:t>
            </w:r>
          </w:p>
          <w:p w14:paraId="55FCC394">
            <w:pPr>
              <w:autoSpaceDE w:val="0"/>
              <w:autoSpaceDN w:val="0"/>
              <w:adjustRightInd w:val="0"/>
              <w:snapToGrid w:val="0"/>
              <w:spacing w:line="360" w:lineRule="auto"/>
              <w:ind w:firstLine="480" w:firstLineChars="200"/>
              <w:jc w:val="both"/>
              <w:rPr>
                <w:rStyle w:val="36"/>
                <w:color w:val="auto"/>
                <w:sz w:val="24"/>
                <w:highlight w:val="none"/>
              </w:rPr>
            </w:pPr>
            <w:r>
              <w:rPr>
                <w:color w:val="auto"/>
                <w:sz w:val="24"/>
                <w:highlight w:val="none"/>
              </w:rPr>
              <w:t>施工期固体废物主要来自施工活动产生的建筑垃圾以及施工人员产生的生活垃圾。施工期固体废物如不及时采取有效防治措施，也会对周围环境产生一定影响，因此应采取以下防治措施：</w:t>
            </w:r>
          </w:p>
          <w:p w14:paraId="7F5CE9DA">
            <w:pPr>
              <w:autoSpaceDE w:val="0"/>
              <w:autoSpaceDN w:val="0"/>
              <w:adjustRightInd w:val="0"/>
              <w:snapToGrid w:val="0"/>
              <w:spacing w:line="360" w:lineRule="auto"/>
              <w:ind w:firstLine="480" w:firstLineChars="200"/>
              <w:jc w:val="both"/>
              <w:rPr>
                <w:color w:val="auto"/>
                <w:sz w:val="24"/>
                <w:highlight w:val="none"/>
              </w:rPr>
            </w:pPr>
            <w:r>
              <w:rPr>
                <w:rFonts w:hint="eastAsia" w:ascii="宋体" w:hAnsi="宋体" w:cs="宋体"/>
                <w:color w:val="auto"/>
                <w:sz w:val="24"/>
                <w:highlight w:val="none"/>
              </w:rPr>
              <w:t>⑴</w:t>
            </w:r>
            <w:r>
              <w:rPr>
                <w:color w:val="auto"/>
                <w:sz w:val="24"/>
                <w:highlight w:val="none"/>
              </w:rPr>
              <w:t>遗留在现场的建筑废弃物要及时清运或回填；</w:t>
            </w:r>
          </w:p>
          <w:p w14:paraId="4F74B43A">
            <w:pPr>
              <w:autoSpaceDE w:val="0"/>
              <w:autoSpaceDN w:val="0"/>
              <w:adjustRightInd w:val="0"/>
              <w:snapToGrid w:val="0"/>
              <w:spacing w:line="360" w:lineRule="auto"/>
              <w:ind w:firstLine="480" w:firstLineChars="200"/>
              <w:jc w:val="both"/>
              <w:rPr>
                <w:color w:val="auto"/>
                <w:sz w:val="24"/>
                <w:highlight w:val="none"/>
              </w:rPr>
            </w:pPr>
            <w:r>
              <w:rPr>
                <w:rFonts w:hint="eastAsia" w:ascii="宋体" w:hAnsi="宋体" w:cs="宋体"/>
                <w:color w:val="auto"/>
                <w:sz w:val="24"/>
                <w:highlight w:val="none"/>
              </w:rPr>
              <w:t>⑵</w:t>
            </w:r>
            <w:r>
              <w:rPr>
                <w:color w:val="auto"/>
                <w:sz w:val="24"/>
                <w:highlight w:val="none"/>
              </w:rPr>
              <w:t>运送建筑垃圾的车辆要加盖篷布，不得随意倾倒</w:t>
            </w:r>
            <w:r>
              <w:rPr>
                <w:rFonts w:hint="eastAsia"/>
                <w:color w:val="auto"/>
                <w:sz w:val="24"/>
                <w:highlight w:val="none"/>
              </w:rPr>
              <w:t>，拉运至</w:t>
            </w:r>
            <w:r>
              <w:rPr>
                <w:color w:val="auto"/>
                <w:sz w:val="24"/>
                <w:highlight w:val="none"/>
              </w:rPr>
              <w:t>；</w:t>
            </w:r>
          </w:p>
          <w:p w14:paraId="5B1A5A98">
            <w:pPr>
              <w:autoSpaceDE w:val="0"/>
              <w:autoSpaceDN w:val="0"/>
              <w:adjustRightInd w:val="0"/>
              <w:snapToGrid w:val="0"/>
              <w:spacing w:line="360" w:lineRule="auto"/>
              <w:ind w:firstLine="480" w:firstLineChars="200"/>
              <w:jc w:val="both"/>
              <w:rPr>
                <w:color w:val="auto"/>
                <w:sz w:val="24"/>
                <w:highlight w:val="none"/>
              </w:rPr>
            </w:pPr>
            <w:r>
              <w:rPr>
                <w:rFonts w:hint="eastAsia" w:ascii="宋体" w:hAnsi="宋体" w:cs="宋体"/>
                <w:color w:val="auto"/>
                <w:sz w:val="24"/>
                <w:highlight w:val="none"/>
              </w:rPr>
              <w:t>⑶</w:t>
            </w:r>
            <w:r>
              <w:rPr>
                <w:color w:val="auto"/>
                <w:sz w:val="24"/>
                <w:highlight w:val="none"/>
              </w:rPr>
              <w:t>施工现场的金属要及时回收；</w:t>
            </w:r>
          </w:p>
          <w:p w14:paraId="26C2CD7E">
            <w:pPr>
              <w:topLinePunct/>
              <w:autoSpaceDE w:val="0"/>
              <w:autoSpaceDN w:val="0"/>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⑷土方开挖及回填做到挖填平衡，无弃土产生；</w:t>
            </w:r>
          </w:p>
          <w:p w14:paraId="7E727CEA">
            <w:pPr>
              <w:topLinePunct/>
              <w:autoSpaceDE w:val="0"/>
              <w:autoSpaceDN w:val="0"/>
              <w:adjustRightInd w:val="0"/>
              <w:snapToGrid w:val="0"/>
              <w:spacing w:line="360" w:lineRule="auto"/>
              <w:ind w:firstLine="480" w:firstLineChars="200"/>
              <w:jc w:val="both"/>
              <w:rPr>
                <w:rFonts w:hint="eastAsia"/>
                <w:color w:val="auto"/>
                <w:sz w:val="24"/>
                <w:highlight w:val="none"/>
              </w:rPr>
            </w:pPr>
            <w:r>
              <w:rPr>
                <w:rFonts w:hint="eastAsia"/>
                <w:color w:val="auto"/>
                <w:sz w:val="24"/>
                <w:highlight w:val="none"/>
              </w:rPr>
              <w:t>⑸</w:t>
            </w:r>
            <w:r>
              <w:rPr>
                <w:color w:val="auto"/>
                <w:sz w:val="24"/>
                <w:highlight w:val="none"/>
              </w:rPr>
              <w:t>施工人员生活垃圾</w:t>
            </w:r>
            <w:r>
              <w:rPr>
                <w:rFonts w:hint="eastAsia"/>
                <w:color w:val="auto"/>
                <w:sz w:val="24"/>
                <w:highlight w:val="none"/>
              </w:rPr>
              <w:t>集中收集后交由垃圾中转站统一处置</w:t>
            </w:r>
            <w:r>
              <w:rPr>
                <w:color w:val="auto"/>
                <w:sz w:val="24"/>
                <w:highlight w:val="none"/>
              </w:rPr>
              <w:t>，不得随意乱扔</w:t>
            </w:r>
            <w:r>
              <w:rPr>
                <w:rFonts w:hint="eastAsia"/>
                <w:color w:val="auto"/>
                <w:sz w:val="24"/>
                <w:highlight w:val="none"/>
              </w:rPr>
              <w:t>。</w:t>
            </w:r>
          </w:p>
          <w:p w14:paraId="396AECA2">
            <w:pPr>
              <w:pStyle w:val="51"/>
              <w:ind w:left="0" w:leftChars="0" w:firstLine="0" w:firstLineChars="0"/>
              <w:jc w:val="both"/>
              <w:rPr>
                <w:rFonts w:hint="default" w:ascii="Times New Roman" w:hAnsi="Times New Roman" w:eastAsia="宋体" w:cs="Times New Roman"/>
                <w:bCs/>
                <w:color w:val="auto"/>
                <w:spacing w:val="-10"/>
              </w:rPr>
            </w:pPr>
          </w:p>
        </w:tc>
      </w:tr>
    </w:tbl>
    <w:p w14:paraId="59AC514E">
      <w:pPr>
        <w:adjustRightInd w:val="0"/>
        <w:snapToGrid w:val="0"/>
        <w:jc w:val="center"/>
        <w:rPr>
          <w:rFonts w:hint="default" w:ascii="Times New Roman" w:hAnsi="Times New Roman" w:eastAsia="宋体" w:cs="Times New Roman"/>
          <w:b/>
          <w:color w:val="auto"/>
          <w:kern w:val="0"/>
          <w:sz w:val="24"/>
        </w:rPr>
        <w:sectPr>
          <w:pgSz w:w="11907" w:h="16840"/>
          <w:pgMar w:top="1701" w:right="1531" w:bottom="2127" w:left="1531" w:header="851" w:footer="851" w:gutter="0"/>
          <w:pgBorders w:offsetFrom="page">
            <w:top w:val="none" w:sz="0" w:space="0"/>
            <w:left w:val="none" w:sz="0" w:space="0"/>
            <w:bottom w:val="none" w:sz="0" w:space="0"/>
            <w:right w:val="none" w:sz="0" w:space="0"/>
          </w:pgBorders>
          <w:cols w:space="720" w:num="1"/>
          <w:docGrid w:linePitch="312" w:charSpace="0"/>
        </w:sectPr>
      </w:pPr>
    </w:p>
    <w:tbl>
      <w:tblPr>
        <w:tblStyle w:val="30"/>
        <w:tblW w:w="9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8523"/>
      </w:tblGrid>
      <w:tr w14:paraId="44865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2" w:hRule="atLeast"/>
          <w:jc w:val="center"/>
        </w:trPr>
        <w:tc>
          <w:tcPr>
            <w:tcW w:w="791" w:type="dxa"/>
            <w:noWrap w:val="0"/>
            <w:tcMar>
              <w:left w:w="28" w:type="dxa"/>
              <w:right w:w="28" w:type="dxa"/>
            </w:tcMar>
            <w:vAlign w:val="center"/>
          </w:tcPr>
          <w:p w14:paraId="2F642519">
            <w:pPr>
              <w:adjustRightInd w:val="0"/>
              <w:snapToGrid w:val="0"/>
              <w:jc w:val="center"/>
              <w:rPr>
                <w:rFonts w:hint="default" w:ascii="Times New Roman" w:hAnsi="Times New Roman" w:eastAsia="宋体" w:cs="Times New Roman"/>
                <w:b/>
                <w:color w:val="auto"/>
                <w:kern w:val="0"/>
                <w:sz w:val="28"/>
                <w:szCs w:val="28"/>
              </w:rPr>
            </w:pPr>
            <w:r>
              <w:rPr>
                <w:rFonts w:hint="default" w:ascii="Times New Roman" w:hAnsi="Times New Roman" w:eastAsia="宋体" w:cs="Times New Roman"/>
                <w:b/>
                <w:color w:val="auto"/>
                <w:kern w:val="0"/>
                <w:sz w:val="24"/>
              </w:rPr>
              <w:t>运营期环境影响和保护措施</w:t>
            </w:r>
          </w:p>
        </w:tc>
        <w:tc>
          <w:tcPr>
            <w:tcW w:w="8451" w:type="dxa"/>
            <w:noWrap w:val="0"/>
            <w:vAlign w:val="top"/>
          </w:tcPr>
          <w:p w14:paraId="43042E74">
            <w:pPr>
              <w:pStyle w:val="51"/>
              <w:keepNext w:val="0"/>
              <w:keepLines w:val="0"/>
              <w:pageBreakBefore w:val="0"/>
              <w:kinsoku/>
              <w:wordWrap/>
              <w:overflowPunct/>
              <w:topLinePunct w:val="0"/>
              <w:autoSpaceDE/>
              <w:autoSpaceDN/>
              <w:bidi w:val="0"/>
              <w:adjustRightInd w:val="0"/>
              <w:snapToGrid w:val="0"/>
              <w:ind w:firstLine="482"/>
              <w:jc w:val="both"/>
              <w:textAlignment w:val="auto"/>
              <w:rPr>
                <w:rFonts w:hint="default" w:ascii="Times New Roman" w:hAnsi="Times New Roman" w:eastAsia="宋体" w:cs="Times New Roman"/>
                <w:b/>
                <w:snapToGrid/>
                <w:color w:val="auto"/>
                <w:szCs w:val="24"/>
                <w:lang w:eastAsia="zh-CN"/>
              </w:rPr>
            </w:pPr>
            <w:r>
              <w:rPr>
                <w:rFonts w:hint="default" w:ascii="Times New Roman" w:hAnsi="Times New Roman" w:eastAsia="宋体" w:cs="Times New Roman"/>
                <w:b/>
                <w:snapToGrid/>
                <w:color w:val="auto"/>
                <w:szCs w:val="24"/>
                <w:lang w:eastAsia="zh-CN"/>
              </w:rPr>
              <w:t>一、运营期大气环境影响分析及防治对策</w:t>
            </w:r>
          </w:p>
          <w:p w14:paraId="3DFE07B9">
            <w:pPr>
              <w:keepNext w:val="0"/>
              <w:keepLines w:val="0"/>
              <w:pageBreakBefore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1、废气污染源分析</w:t>
            </w:r>
          </w:p>
          <w:p w14:paraId="5748C48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highlight w:val="none"/>
                <w:lang w:val="en-US" w:eastAsia="zh-CN"/>
              </w:rPr>
            </w:pPr>
            <w:r>
              <w:rPr>
                <w:color w:val="auto"/>
                <w:sz w:val="24"/>
                <w:highlight w:val="none"/>
              </w:rPr>
              <w:t>本项目运营期</w:t>
            </w:r>
            <w:r>
              <w:rPr>
                <w:rFonts w:hint="eastAsia"/>
                <w:color w:val="auto"/>
                <w:sz w:val="24"/>
                <w:highlight w:val="none"/>
              </w:rPr>
              <w:t>新增废气主要为发泡工序、成型工序废气</w:t>
            </w:r>
            <w:r>
              <w:rPr>
                <w:rFonts w:hint="eastAsia"/>
                <w:color w:val="auto"/>
                <w:sz w:val="24"/>
                <w:highlight w:val="none"/>
                <w:lang w:eastAsia="zh-CN"/>
              </w:rPr>
              <w:t>，</w:t>
            </w:r>
            <w:r>
              <w:rPr>
                <w:rFonts w:hint="eastAsia"/>
                <w:color w:val="auto"/>
                <w:kern w:val="0"/>
                <w:sz w:val="24"/>
                <w:szCs w:val="24"/>
                <w:highlight w:val="none"/>
              </w:rPr>
              <w:t>主要污染物为非甲烷总烃、甲苯</w:t>
            </w:r>
            <w:r>
              <w:rPr>
                <w:rFonts w:hint="eastAsia"/>
                <w:color w:val="auto"/>
                <w:sz w:val="24"/>
                <w:szCs w:val="24"/>
                <w:highlight w:val="none"/>
                <w:lang w:eastAsia="zh-CN"/>
              </w:rPr>
              <w:t>、</w:t>
            </w:r>
            <w:r>
              <w:rPr>
                <w:rFonts w:hint="eastAsia"/>
                <w:color w:val="auto"/>
                <w:sz w:val="24"/>
                <w:szCs w:val="24"/>
                <w:highlight w:val="none"/>
              </w:rPr>
              <w:t>苯乙烯</w:t>
            </w:r>
            <w:r>
              <w:rPr>
                <w:rFonts w:hint="eastAsia"/>
                <w:color w:val="auto"/>
                <w:sz w:val="24"/>
                <w:szCs w:val="24"/>
                <w:highlight w:val="none"/>
                <w:lang w:eastAsia="zh-CN"/>
              </w:rPr>
              <w:t>、</w:t>
            </w:r>
            <w:r>
              <w:rPr>
                <w:rFonts w:hint="eastAsia"/>
                <w:color w:val="auto"/>
                <w:sz w:val="24"/>
                <w:szCs w:val="24"/>
                <w:highlight w:val="none"/>
              </w:rPr>
              <w:t>乙苯</w:t>
            </w:r>
            <w:r>
              <w:rPr>
                <w:rFonts w:hint="eastAsia"/>
                <w:color w:val="auto"/>
                <w:sz w:val="24"/>
                <w:szCs w:val="24"/>
                <w:highlight w:val="none"/>
                <w:lang w:val="en-US" w:eastAsia="zh-CN"/>
              </w:rPr>
              <w:t>及臭气浓度</w:t>
            </w:r>
            <w:r>
              <w:rPr>
                <w:rFonts w:hint="eastAsia"/>
                <w:color w:val="auto"/>
                <w:sz w:val="24"/>
                <w:szCs w:val="24"/>
                <w:highlight w:val="none"/>
              </w:rPr>
              <w:t>。</w:t>
            </w:r>
            <w:r>
              <w:rPr>
                <w:rFonts w:hint="eastAsia"/>
                <w:color w:val="auto"/>
                <w:sz w:val="24"/>
                <w:highlight w:val="none"/>
                <w:lang w:val="en-US" w:eastAsia="zh-CN"/>
              </w:rPr>
              <w:t>项目一期、二期采用相同工艺、相同设备、相同原料，本次进行统一分析，分别计算。项目一期废气产排情况具体见表4-1、项目二期废气产排情况具体见表4-2、二期建成后全厂废气产排情况具体见表4-3。</w:t>
            </w:r>
          </w:p>
          <w:p w14:paraId="216985B6">
            <w:pPr>
              <w:adjustRightInd w:val="0"/>
              <w:snapToGrid w:val="0"/>
              <w:ind w:firstLine="420" w:firstLineChars="200"/>
              <w:jc w:val="left"/>
              <w:rPr>
                <w:b/>
                <w:snapToGrid w:val="0"/>
                <w:color w:val="auto"/>
                <w:sz w:val="24"/>
                <w:highlight w:val="none"/>
              </w:rPr>
            </w:pPr>
            <w:r>
              <w:rPr>
                <w:snapToGrid w:val="0"/>
                <w:color w:val="auto"/>
                <w:szCs w:val="21"/>
                <w:highlight w:val="none"/>
              </w:rPr>
              <w:t xml:space="preserve">表4-1 </w:t>
            </w:r>
            <w:r>
              <w:rPr>
                <w:b/>
                <w:snapToGrid w:val="0"/>
                <w:color w:val="auto"/>
                <w:szCs w:val="21"/>
                <w:highlight w:val="none"/>
              </w:rPr>
              <w:t xml:space="preserve">        </w:t>
            </w:r>
            <w:r>
              <w:rPr>
                <w:rFonts w:hint="eastAsia"/>
                <w:b/>
                <w:snapToGrid w:val="0"/>
                <w:color w:val="auto"/>
                <w:szCs w:val="21"/>
                <w:highlight w:val="none"/>
                <w:lang w:val="en-US" w:eastAsia="zh-CN"/>
              </w:rPr>
              <w:t xml:space="preserve"> </w:t>
            </w:r>
            <w:r>
              <w:rPr>
                <w:rFonts w:hint="eastAsia"/>
                <w:b/>
                <w:snapToGrid w:val="0"/>
                <w:color w:val="auto"/>
                <w:szCs w:val="21"/>
                <w:highlight w:val="none"/>
              </w:rPr>
              <w:t xml:space="preserve">  </w:t>
            </w:r>
            <w:r>
              <w:rPr>
                <w:b/>
                <w:snapToGrid w:val="0"/>
                <w:color w:val="auto"/>
                <w:szCs w:val="21"/>
                <w:highlight w:val="none"/>
              </w:rPr>
              <w:t xml:space="preserve">  </w:t>
            </w:r>
            <w:r>
              <w:rPr>
                <w:rFonts w:hint="default"/>
                <w:b/>
                <w:snapToGrid w:val="0"/>
                <w:color w:val="auto"/>
                <w:sz w:val="24"/>
                <w:szCs w:val="24"/>
                <w:highlight w:val="none"/>
              </w:rPr>
              <w:t>本项目</w:t>
            </w:r>
            <w:r>
              <w:rPr>
                <w:rFonts w:hint="eastAsia"/>
                <w:b/>
                <w:snapToGrid w:val="0"/>
                <w:color w:val="auto"/>
                <w:sz w:val="24"/>
                <w:szCs w:val="24"/>
                <w:highlight w:val="none"/>
                <w:lang w:val="en-US" w:eastAsia="zh-CN"/>
              </w:rPr>
              <w:t>一期</w:t>
            </w:r>
            <w:r>
              <w:rPr>
                <w:rFonts w:hint="default"/>
                <w:b/>
                <w:snapToGrid w:val="0"/>
                <w:color w:val="auto"/>
                <w:sz w:val="24"/>
                <w:szCs w:val="24"/>
                <w:highlight w:val="none"/>
              </w:rPr>
              <w:t>废气产排情况一览表</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9"/>
              <w:gridCol w:w="798"/>
              <w:gridCol w:w="1026"/>
              <w:gridCol w:w="622"/>
              <w:gridCol w:w="1786"/>
              <w:gridCol w:w="700"/>
              <w:gridCol w:w="837"/>
              <w:gridCol w:w="1027"/>
            </w:tblGrid>
            <w:tr w14:paraId="7376F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restart"/>
                  <w:noWrap w:val="0"/>
                  <w:vAlign w:val="center"/>
                </w:tcPr>
                <w:p w14:paraId="145F4A9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产排污环节</w:t>
                  </w:r>
                </w:p>
              </w:tc>
              <w:tc>
                <w:tcPr>
                  <w:tcW w:w="789" w:type="dxa"/>
                  <w:vMerge w:val="restart"/>
                  <w:noWrap w:val="0"/>
                  <w:vAlign w:val="center"/>
                </w:tcPr>
                <w:p w14:paraId="172C8AF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w:t>
                  </w:r>
                </w:p>
              </w:tc>
              <w:tc>
                <w:tcPr>
                  <w:tcW w:w="1824" w:type="dxa"/>
                  <w:gridSpan w:val="2"/>
                  <w:noWrap w:val="0"/>
                  <w:vAlign w:val="center"/>
                </w:tcPr>
                <w:p w14:paraId="5E34366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污染物产生情况</w:t>
                  </w:r>
                </w:p>
              </w:tc>
              <w:tc>
                <w:tcPr>
                  <w:tcW w:w="622" w:type="dxa"/>
                  <w:vMerge w:val="restart"/>
                  <w:noWrap w:val="0"/>
                  <w:vAlign w:val="center"/>
                </w:tcPr>
                <w:p w14:paraId="5F43E61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排放形式</w:t>
                  </w:r>
                </w:p>
              </w:tc>
              <w:tc>
                <w:tcPr>
                  <w:tcW w:w="1786" w:type="dxa"/>
                  <w:vMerge w:val="restart"/>
                  <w:noWrap w:val="0"/>
                  <w:vAlign w:val="center"/>
                </w:tcPr>
                <w:p w14:paraId="2C8F87E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治理措施</w:t>
                  </w:r>
                </w:p>
              </w:tc>
              <w:tc>
                <w:tcPr>
                  <w:tcW w:w="700" w:type="dxa"/>
                  <w:vMerge w:val="restart"/>
                  <w:noWrap w:val="0"/>
                  <w:vAlign w:val="center"/>
                </w:tcPr>
                <w:p w14:paraId="7C6436C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是否为可行技术</w:t>
                  </w:r>
                </w:p>
              </w:tc>
              <w:tc>
                <w:tcPr>
                  <w:tcW w:w="1864" w:type="dxa"/>
                  <w:gridSpan w:val="2"/>
                  <w:noWrap w:val="0"/>
                  <w:vAlign w:val="center"/>
                </w:tcPr>
                <w:p w14:paraId="54512D1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color w:val="auto"/>
                      <w:sz w:val="21"/>
                      <w:szCs w:val="21"/>
                      <w:highlight w:val="none"/>
                    </w:rPr>
                    <w:t>污染物排放情况</w:t>
                  </w:r>
                </w:p>
              </w:tc>
            </w:tr>
            <w:tr w14:paraId="05F5C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53BB577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789" w:type="dxa"/>
                  <w:vMerge w:val="continue"/>
                  <w:noWrap w:val="0"/>
                  <w:vAlign w:val="center"/>
                </w:tcPr>
                <w:p w14:paraId="3CAA841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798" w:type="dxa"/>
                  <w:noWrap w:val="0"/>
                  <w:vAlign w:val="center"/>
                </w:tcPr>
                <w:p w14:paraId="4710222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产生浓度mg/m</w:t>
                  </w:r>
                  <w:r>
                    <w:rPr>
                      <w:rFonts w:hint="default" w:ascii="Times New Roman" w:hAnsi="Times New Roman" w:cs="Times New Roman"/>
                      <w:b/>
                      <w:color w:val="auto"/>
                      <w:sz w:val="21"/>
                      <w:szCs w:val="21"/>
                      <w:highlight w:val="none"/>
                      <w:vertAlign w:val="superscript"/>
                    </w:rPr>
                    <w:t>3</w:t>
                  </w:r>
                </w:p>
              </w:tc>
              <w:tc>
                <w:tcPr>
                  <w:tcW w:w="1026" w:type="dxa"/>
                  <w:noWrap w:val="0"/>
                  <w:vAlign w:val="center"/>
                </w:tcPr>
                <w:p w14:paraId="786C99B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污染物产生量t/a</w:t>
                  </w:r>
                </w:p>
              </w:tc>
              <w:tc>
                <w:tcPr>
                  <w:tcW w:w="622" w:type="dxa"/>
                  <w:vMerge w:val="continue"/>
                  <w:noWrap w:val="0"/>
                  <w:vAlign w:val="center"/>
                </w:tcPr>
                <w:p w14:paraId="5635D53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1786" w:type="dxa"/>
                  <w:vMerge w:val="continue"/>
                  <w:noWrap w:val="0"/>
                  <w:vAlign w:val="center"/>
                </w:tcPr>
                <w:p w14:paraId="4D1ED08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700" w:type="dxa"/>
                  <w:vMerge w:val="continue"/>
                  <w:noWrap w:val="0"/>
                  <w:vAlign w:val="center"/>
                </w:tcPr>
                <w:p w14:paraId="086B5C6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p>
              </w:tc>
              <w:tc>
                <w:tcPr>
                  <w:tcW w:w="837" w:type="dxa"/>
                  <w:noWrap w:val="0"/>
                  <w:vAlign w:val="center"/>
                </w:tcPr>
                <w:p w14:paraId="18A9DF4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color w:val="auto"/>
                      <w:sz w:val="21"/>
                      <w:szCs w:val="21"/>
                      <w:highlight w:val="none"/>
                    </w:rPr>
                    <w:t>排放浓度mg/m</w:t>
                  </w:r>
                  <w:r>
                    <w:rPr>
                      <w:rFonts w:hint="default" w:ascii="Times New Roman" w:hAnsi="Times New Roman" w:cs="Times New Roman"/>
                      <w:b/>
                      <w:color w:val="auto"/>
                      <w:sz w:val="21"/>
                      <w:szCs w:val="21"/>
                      <w:highlight w:val="none"/>
                      <w:vertAlign w:val="superscript"/>
                    </w:rPr>
                    <w:t>3</w:t>
                  </w:r>
                </w:p>
              </w:tc>
              <w:tc>
                <w:tcPr>
                  <w:tcW w:w="1027" w:type="dxa"/>
                  <w:noWrap w:val="0"/>
                  <w:vAlign w:val="center"/>
                </w:tcPr>
                <w:p w14:paraId="4892C74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污染物排放量</w:t>
                  </w:r>
                  <w:r>
                    <w:rPr>
                      <w:rFonts w:hint="default" w:ascii="Times New Roman" w:hAnsi="Times New Roman" w:cs="Times New Roman"/>
                      <w:b/>
                      <w:color w:val="auto"/>
                      <w:sz w:val="21"/>
                      <w:szCs w:val="21"/>
                      <w:highlight w:val="none"/>
                    </w:rPr>
                    <w:t>t/a</w:t>
                  </w:r>
                </w:p>
              </w:tc>
            </w:tr>
            <w:tr w14:paraId="07422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restart"/>
                  <w:noWrap w:val="0"/>
                  <w:vAlign w:val="center"/>
                </w:tcPr>
                <w:p w14:paraId="0E62543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发泡、成型工序</w:t>
                  </w:r>
                </w:p>
              </w:tc>
              <w:tc>
                <w:tcPr>
                  <w:tcW w:w="789" w:type="dxa"/>
                  <w:noWrap w:val="0"/>
                  <w:vAlign w:val="center"/>
                </w:tcPr>
                <w:p w14:paraId="6EFD520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798" w:type="dxa"/>
                  <w:noWrap w:val="0"/>
                  <w:vAlign w:val="center"/>
                </w:tcPr>
                <w:p w14:paraId="4085294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59.63</w:t>
                  </w:r>
                </w:p>
              </w:tc>
              <w:tc>
                <w:tcPr>
                  <w:tcW w:w="1026" w:type="dxa"/>
                  <w:noWrap w:val="0"/>
                  <w:vAlign w:val="center"/>
                </w:tcPr>
                <w:p w14:paraId="3A8ED6C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0.58</w:t>
                  </w:r>
                </w:p>
              </w:tc>
              <w:tc>
                <w:tcPr>
                  <w:tcW w:w="622" w:type="dxa"/>
                  <w:vMerge w:val="restart"/>
                  <w:noWrap w:val="0"/>
                  <w:vAlign w:val="center"/>
                </w:tcPr>
                <w:p w14:paraId="7E7CD39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有组织</w:t>
                  </w:r>
                </w:p>
              </w:tc>
              <w:tc>
                <w:tcPr>
                  <w:tcW w:w="1786" w:type="dxa"/>
                  <w:vMerge w:val="restart"/>
                  <w:noWrap w:val="0"/>
                  <w:vAlign w:val="center"/>
                </w:tcPr>
                <w:p w14:paraId="1CD3277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集气罩（收集效率90%）+二级活性炭吸附装置（处理效率75%）+1根15m高的排气筒（DA001）</w:t>
                  </w:r>
                </w:p>
              </w:tc>
              <w:tc>
                <w:tcPr>
                  <w:tcW w:w="700" w:type="dxa"/>
                  <w:vMerge w:val="restart"/>
                  <w:noWrap w:val="0"/>
                  <w:vAlign w:val="center"/>
                </w:tcPr>
                <w:p w14:paraId="5B4A93E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是</w:t>
                  </w:r>
                </w:p>
              </w:tc>
              <w:tc>
                <w:tcPr>
                  <w:tcW w:w="837" w:type="dxa"/>
                  <w:noWrap w:val="0"/>
                  <w:vAlign w:val="center"/>
                </w:tcPr>
                <w:p w14:paraId="241141E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14.91</w:t>
                  </w:r>
                </w:p>
              </w:tc>
              <w:tc>
                <w:tcPr>
                  <w:tcW w:w="1027" w:type="dxa"/>
                  <w:noWrap w:val="0"/>
                  <w:vAlign w:val="center"/>
                </w:tcPr>
                <w:p w14:paraId="6FE0B18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0.14</w:t>
                  </w:r>
                </w:p>
              </w:tc>
            </w:tr>
            <w:tr w14:paraId="03117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097ED94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0"/>
                      <w:sz w:val="21"/>
                      <w:szCs w:val="21"/>
                      <w:highlight w:val="none"/>
                    </w:rPr>
                  </w:pPr>
                </w:p>
              </w:tc>
              <w:tc>
                <w:tcPr>
                  <w:tcW w:w="789" w:type="dxa"/>
                  <w:noWrap w:val="0"/>
                  <w:vAlign w:val="center"/>
                </w:tcPr>
                <w:p w14:paraId="6C52DDF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甲苯</w:t>
                  </w:r>
                </w:p>
              </w:tc>
              <w:tc>
                <w:tcPr>
                  <w:tcW w:w="798" w:type="dxa"/>
                  <w:noWrap w:val="0"/>
                  <w:vAlign w:val="center"/>
                </w:tcPr>
                <w:p w14:paraId="10B4CD3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0.1</w:t>
                  </w:r>
                  <w:r>
                    <w:rPr>
                      <w:rFonts w:hint="eastAsia" w:cs="Times New Roman"/>
                      <w:bCs/>
                      <w:color w:val="auto"/>
                      <w:sz w:val="21"/>
                      <w:szCs w:val="21"/>
                      <w:highlight w:val="none"/>
                      <w:lang w:val="en-US" w:eastAsia="zh-CN"/>
                    </w:rPr>
                    <w:t>8</w:t>
                  </w:r>
                </w:p>
              </w:tc>
              <w:tc>
                <w:tcPr>
                  <w:tcW w:w="1026" w:type="dxa"/>
                  <w:noWrap w:val="0"/>
                  <w:vAlign w:val="center"/>
                </w:tcPr>
                <w:p w14:paraId="2FDE13E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w:t>
                  </w:r>
                  <w:r>
                    <w:rPr>
                      <w:rFonts w:hint="eastAsia" w:cs="Times New Roman"/>
                      <w:bCs/>
                      <w:color w:val="auto"/>
                      <w:sz w:val="21"/>
                      <w:szCs w:val="21"/>
                      <w:highlight w:val="none"/>
                      <w:lang w:val="en-US" w:eastAsia="zh-CN"/>
                    </w:rPr>
                    <w:t>76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3</w:t>
                  </w:r>
                </w:p>
              </w:tc>
              <w:tc>
                <w:tcPr>
                  <w:tcW w:w="622" w:type="dxa"/>
                  <w:vMerge w:val="continue"/>
                  <w:noWrap w:val="0"/>
                  <w:vAlign w:val="center"/>
                </w:tcPr>
                <w:p w14:paraId="2E8358B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1786" w:type="dxa"/>
                  <w:vMerge w:val="continue"/>
                  <w:noWrap w:val="0"/>
                  <w:vAlign w:val="center"/>
                </w:tcPr>
                <w:p w14:paraId="3B5A232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vMerge w:val="continue"/>
                  <w:noWrap w:val="0"/>
                  <w:vAlign w:val="center"/>
                </w:tcPr>
                <w:p w14:paraId="0BF81D1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837" w:type="dxa"/>
                  <w:noWrap w:val="0"/>
                  <w:vAlign w:val="center"/>
                </w:tcPr>
                <w:p w14:paraId="439D3E9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0.0</w:t>
                  </w:r>
                  <w:r>
                    <w:rPr>
                      <w:rFonts w:hint="eastAsia" w:ascii="Times New Roman" w:hAnsi="Times New Roman" w:eastAsia="宋体" w:cs="Times New Roman"/>
                      <w:bCs/>
                      <w:color w:val="auto"/>
                      <w:kern w:val="2"/>
                      <w:sz w:val="21"/>
                      <w:szCs w:val="21"/>
                      <w:highlight w:val="none"/>
                      <w:lang w:val="en-US" w:eastAsia="zh-CN" w:bidi="ar-SA"/>
                    </w:rPr>
                    <w:t>5</w:t>
                  </w:r>
                </w:p>
              </w:tc>
              <w:tc>
                <w:tcPr>
                  <w:tcW w:w="1027" w:type="dxa"/>
                  <w:noWrap w:val="0"/>
                  <w:vAlign w:val="center"/>
                </w:tcPr>
                <w:p w14:paraId="243B0C0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4.</w:t>
                  </w:r>
                  <w:r>
                    <w:rPr>
                      <w:rFonts w:hint="eastAsia" w:cs="Times New Roman"/>
                      <w:bCs/>
                      <w:color w:val="auto"/>
                      <w:kern w:val="2"/>
                      <w:sz w:val="21"/>
                      <w:szCs w:val="21"/>
                      <w:highlight w:val="none"/>
                      <w:lang w:val="en-US" w:eastAsia="zh-CN" w:bidi="ar-SA"/>
                    </w:rPr>
                    <w:t>39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p>
              </w:tc>
            </w:tr>
            <w:tr w14:paraId="515A0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18B42B0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0"/>
                      <w:sz w:val="21"/>
                      <w:szCs w:val="21"/>
                      <w:highlight w:val="none"/>
                    </w:rPr>
                  </w:pPr>
                </w:p>
              </w:tc>
              <w:tc>
                <w:tcPr>
                  <w:tcW w:w="789" w:type="dxa"/>
                  <w:noWrap w:val="0"/>
                  <w:vAlign w:val="center"/>
                </w:tcPr>
                <w:p w14:paraId="0ABD8F7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乙苯</w:t>
                  </w:r>
                </w:p>
              </w:tc>
              <w:tc>
                <w:tcPr>
                  <w:tcW w:w="798" w:type="dxa"/>
                  <w:noWrap w:val="0"/>
                  <w:vAlign w:val="center"/>
                </w:tcPr>
                <w:p w14:paraId="7F142C7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0.0</w:t>
                  </w:r>
                  <w:r>
                    <w:rPr>
                      <w:rFonts w:hint="eastAsia" w:cs="Times New Roman"/>
                      <w:bCs/>
                      <w:color w:val="auto"/>
                      <w:sz w:val="21"/>
                      <w:szCs w:val="21"/>
                      <w:highlight w:val="none"/>
                      <w:lang w:val="en-US" w:eastAsia="zh-CN"/>
                    </w:rPr>
                    <w:t>8</w:t>
                  </w:r>
                </w:p>
              </w:tc>
              <w:tc>
                <w:tcPr>
                  <w:tcW w:w="1026" w:type="dxa"/>
                  <w:noWrap w:val="0"/>
                  <w:vAlign w:val="center"/>
                </w:tcPr>
                <w:p w14:paraId="3015DAB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7.</w:t>
                  </w:r>
                  <w:r>
                    <w:rPr>
                      <w:rFonts w:hint="eastAsia" w:cs="Times New Roman"/>
                      <w:bCs/>
                      <w:color w:val="auto"/>
                      <w:sz w:val="21"/>
                      <w:szCs w:val="21"/>
                      <w:highlight w:val="none"/>
                      <w:lang w:val="en-US" w:eastAsia="zh-CN"/>
                    </w:rPr>
                    <w:t>74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p>
              </w:tc>
              <w:tc>
                <w:tcPr>
                  <w:tcW w:w="622" w:type="dxa"/>
                  <w:vMerge w:val="continue"/>
                  <w:noWrap w:val="0"/>
                  <w:vAlign w:val="center"/>
                </w:tcPr>
                <w:p w14:paraId="1DBAA89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1786" w:type="dxa"/>
                  <w:vMerge w:val="continue"/>
                  <w:noWrap w:val="0"/>
                  <w:vAlign w:val="center"/>
                </w:tcPr>
                <w:p w14:paraId="7EDDD87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vMerge w:val="continue"/>
                  <w:noWrap w:val="0"/>
                  <w:vAlign w:val="center"/>
                </w:tcPr>
                <w:p w14:paraId="79DFC77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837" w:type="dxa"/>
                  <w:noWrap w:val="0"/>
                  <w:vAlign w:val="center"/>
                </w:tcPr>
                <w:p w14:paraId="20A7C5F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w:t>
                  </w:r>
                  <w:r>
                    <w:rPr>
                      <w:rFonts w:hint="eastAsia" w:ascii="Times New Roman" w:hAnsi="Times New Roman" w:eastAsia="宋体" w:cs="Times New Roman"/>
                      <w:bCs/>
                      <w:color w:val="auto"/>
                      <w:sz w:val="21"/>
                      <w:szCs w:val="21"/>
                      <w:highlight w:val="none"/>
                      <w:lang w:val="en-US" w:eastAsia="zh-CN"/>
                    </w:rPr>
                    <w:t>2</w:t>
                  </w:r>
                </w:p>
              </w:tc>
              <w:tc>
                <w:tcPr>
                  <w:tcW w:w="1027" w:type="dxa"/>
                  <w:noWrap w:val="0"/>
                  <w:vAlign w:val="center"/>
                </w:tcPr>
                <w:p w14:paraId="08E20B3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r>
                    <w:rPr>
                      <w:rFonts w:hint="eastAsia" w:cs="Times New Roman"/>
                      <w:bCs/>
                      <w:color w:val="auto"/>
                      <w:sz w:val="21"/>
                      <w:szCs w:val="21"/>
                      <w:highlight w:val="none"/>
                      <w:lang w:val="en-US" w:eastAsia="zh-CN"/>
                    </w:rPr>
                    <w:t>94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p>
              </w:tc>
            </w:tr>
            <w:tr w14:paraId="2FB42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3EF808F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5357D60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苯乙烯</w:t>
                  </w:r>
                </w:p>
              </w:tc>
              <w:tc>
                <w:tcPr>
                  <w:tcW w:w="798" w:type="dxa"/>
                  <w:noWrap w:val="0"/>
                  <w:vAlign w:val="center"/>
                </w:tcPr>
                <w:p w14:paraId="735BC3A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w:t>
                  </w:r>
                  <w:r>
                    <w:rPr>
                      <w:rFonts w:hint="eastAsia" w:ascii="Times New Roman" w:hAnsi="Times New Roman" w:eastAsia="宋体" w:cs="Times New Roman"/>
                      <w:bCs/>
                      <w:color w:val="auto"/>
                      <w:sz w:val="21"/>
                      <w:szCs w:val="21"/>
                      <w:highlight w:val="none"/>
                      <w:lang w:val="en-US" w:eastAsia="zh-CN"/>
                    </w:rPr>
                    <w:t>5</w:t>
                  </w:r>
                </w:p>
              </w:tc>
              <w:tc>
                <w:tcPr>
                  <w:tcW w:w="1026" w:type="dxa"/>
                  <w:noWrap w:val="0"/>
                  <w:vAlign w:val="center"/>
                </w:tcPr>
                <w:p w14:paraId="0458599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4.77</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p>
              </w:tc>
              <w:tc>
                <w:tcPr>
                  <w:tcW w:w="622" w:type="dxa"/>
                  <w:vMerge w:val="continue"/>
                  <w:noWrap w:val="0"/>
                  <w:vAlign w:val="center"/>
                </w:tcPr>
                <w:p w14:paraId="0B7215D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781098C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vMerge w:val="continue"/>
                  <w:noWrap w:val="0"/>
                  <w:vAlign w:val="center"/>
                </w:tcPr>
                <w:p w14:paraId="2446D0A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837" w:type="dxa"/>
                  <w:noWrap w:val="0"/>
                  <w:vAlign w:val="center"/>
                </w:tcPr>
                <w:p w14:paraId="081E628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0.01</w:t>
                  </w:r>
                </w:p>
              </w:tc>
              <w:tc>
                <w:tcPr>
                  <w:tcW w:w="1027" w:type="dxa"/>
                  <w:noWrap w:val="0"/>
                  <w:vAlign w:val="center"/>
                </w:tcPr>
                <w:p w14:paraId="7FC76EF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w:t>
                  </w:r>
                  <w:r>
                    <w:rPr>
                      <w:rFonts w:hint="eastAsia" w:cs="Times New Roman"/>
                      <w:bCs/>
                      <w:color w:val="auto"/>
                      <w:sz w:val="21"/>
                      <w:szCs w:val="21"/>
                      <w:highlight w:val="none"/>
                      <w:lang w:val="en-US" w:eastAsia="zh-CN"/>
                    </w:rPr>
                    <w:t>19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p>
              </w:tc>
            </w:tr>
            <w:tr w14:paraId="68AE3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restart"/>
                  <w:noWrap w:val="0"/>
                  <w:vAlign w:val="center"/>
                </w:tcPr>
                <w:p w14:paraId="5C0C425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发泡、成型工序</w:t>
                  </w:r>
                </w:p>
              </w:tc>
              <w:tc>
                <w:tcPr>
                  <w:tcW w:w="789" w:type="dxa"/>
                  <w:noWrap w:val="0"/>
                  <w:vAlign w:val="center"/>
                </w:tcPr>
                <w:p w14:paraId="4951470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798" w:type="dxa"/>
                  <w:noWrap w:val="0"/>
                  <w:vAlign w:val="center"/>
                </w:tcPr>
                <w:p w14:paraId="556A579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3DC6A77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0.06</w:t>
                  </w:r>
                </w:p>
              </w:tc>
              <w:tc>
                <w:tcPr>
                  <w:tcW w:w="622" w:type="dxa"/>
                  <w:vMerge w:val="restart"/>
                  <w:noWrap w:val="0"/>
                  <w:vAlign w:val="center"/>
                </w:tcPr>
                <w:p w14:paraId="3366D78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无组织</w:t>
                  </w:r>
                </w:p>
              </w:tc>
              <w:tc>
                <w:tcPr>
                  <w:tcW w:w="1786" w:type="dxa"/>
                  <w:vMerge w:val="restart"/>
                  <w:noWrap w:val="0"/>
                  <w:vAlign w:val="center"/>
                </w:tcPr>
                <w:p w14:paraId="7120123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密闭车间，加强通风换气。</w:t>
                  </w:r>
                </w:p>
              </w:tc>
              <w:tc>
                <w:tcPr>
                  <w:tcW w:w="700" w:type="dxa"/>
                  <w:noWrap w:val="0"/>
                  <w:vAlign w:val="center"/>
                </w:tcPr>
                <w:p w14:paraId="0182E93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837" w:type="dxa"/>
                  <w:noWrap w:val="0"/>
                  <w:vAlign w:val="center"/>
                </w:tcPr>
                <w:p w14:paraId="6739061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7" w:type="dxa"/>
                  <w:noWrap w:val="0"/>
                  <w:vAlign w:val="center"/>
                </w:tcPr>
                <w:p w14:paraId="250F0E1A">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0.06</w:t>
                  </w:r>
                </w:p>
              </w:tc>
            </w:tr>
            <w:tr w14:paraId="18A8E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1BBA909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2480A28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甲苯</w:t>
                  </w:r>
                </w:p>
              </w:tc>
              <w:tc>
                <w:tcPr>
                  <w:tcW w:w="798" w:type="dxa"/>
                  <w:noWrap w:val="0"/>
                  <w:vAlign w:val="center"/>
                </w:tcPr>
                <w:p w14:paraId="28BBBDC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7F578936">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1.95</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p>
              </w:tc>
              <w:tc>
                <w:tcPr>
                  <w:tcW w:w="622" w:type="dxa"/>
                  <w:vMerge w:val="continue"/>
                  <w:noWrap w:val="0"/>
                  <w:vAlign w:val="center"/>
                </w:tcPr>
                <w:p w14:paraId="168E3A8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6B344BF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06EC663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837" w:type="dxa"/>
                  <w:noWrap w:val="0"/>
                  <w:vAlign w:val="center"/>
                </w:tcPr>
                <w:p w14:paraId="7DB4F5A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1027" w:type="dxa"/>
                  <w:noWrap w:val="0"/>
                  <w:vAlign w:val="center"/>
                </w:tcPr>
                <w:p w14:paraId="6C6B5C1E">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1.95</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p>
              </w:tc>
            </w:tr>
            <w:tr w14:paraId="7E9BC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71DB4EE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0E9100D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乙苯</w:t>
                  </w:r>
                </w:p>
              </w:tc>
              <w:tc>
                <w:tcPr>
                  <w:tcW w:w="798" w:type="dxa"/>
                  <w:noWrap w:val="0"/>
                  <w:vAlign w:val="center"/>
                </w:tcPr>
                <w:p w14:paraId="74F0CE2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5FCDD7DA">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w:t>
                  </w:r>
                  <w:r>
                    <w:rPr>
                      <w:rFonts w:hint="eastAsia"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5</w:t>
                  </w:r>
                </w:p>
              </w:tc>
              <w:tc>
                <w:tcPr>
                  <w:tcW w:w="622" w:type="dxa"/>
                  <w:vMerge w:val="continue"/>
                  <w:noWrap w:val="0"/>
                  <w:vAlign w:val="center"/>
                </w:tcPr>
                <w:p w14:paraId="4D79E42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31579E3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5C421E3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7" w:type="dxa"/>
                  <w:noWrap w:val="0"/>
                  <w:vAlign w:val="center"/>
                </w:tcPr>
                <w:p w14:paraId="2B20A1B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027" w:type="dxa"/>
                  <w:noWrap w:val="0"/>
                  <w:vAlign w:val="center"/>
                </w:tcPr>
                <w:p w14:paraId="5F5A168D">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w:t>
                  </w:r>
                  <w:r>
                    <w:rPr>
                      <w:rFonts w:hint="eastAsia"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5</w:t>
                  </w:r>
                </w:p>
              </w:tc>
            </w:tr>
            <w:tr w14:paraId="12F75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65AF4D4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7A37978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苯乙烯</w:t>
                  </w:r>
                </w:p>
              </w:tc>
              <w:tc>
                <w:tcPr>
                  <w:tcW w:w="798" w:type="dxa"/>
                  <w:noWrap w:val="0"/>
                  <w:vAlign w:val="center"/>
                </w:tcPr>
                <w:p w14:paraId="776DCC9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11301ECD">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5</w:t>
                  </w:r>
                </w:p>
              </w:tc>
              <w:tc>
                <w:tcPr>
                  <w:tcW w:w="622" w:type="dxa"/>
                  <w:vMerge w:val="continue"/>
                  <w:noWrap w:val="0"/>
                  <w:vAlign w:val="center"/>
                </w:tcPr>
                <w:p w14:paraId="3FD6B50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2F16E97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27D3EDB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7" w:type="dxa"/>
                  <w:noWrap w:val="0"/>
                  <w:vAlign w:val="center"/>
                </w:tcPr>
                <w:p w14:paraId="431324E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027" w:type="dxa"/>
                  <w:noWrap w:val="0"/>
                  <w:vAlign w:val="center"/>
                </w:tcPr>
                <w:p w14:paraId="3A69A6B7">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5</w:t>
                  </w:r>
                </w:p>
              </w:tc>
            </w:tr>
            <w:tr w14:paraId="4D6F5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4940F64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5BF2D77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臭气浓度</w:t>
                  </w:r>
                </w:p>
              </w:tc>
              <w:tc>
                <w:tcPr>
                  <w:tcW w:w="798" w:type="dxa"/>
                  <w:noWrap w:val="0"/>
                  <w:vAlign w:val="center"/>
                </w:tcPr>
                <w:p w14:paraId="1067B94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1026" w:type="dxa"/>
                  <w:noWrap w:val="0"/>
                  <w:vAlign w:val="center"/>
                </w:tcPr>
                <w:p w14:paraId="603C3D61">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pacing w:val="-6"/>
                      <w:sz w:val="21"/>
                      <w:szCs w:val="21"/>
                      <w:highlight w:val="none"/>
                    </w:rPr>
                    <w:t>少量</w:t>
                  </w:r>
                </w:p>
              </w:tc>
              <w:tc>
                <w:tcPr>
                  <w:tcW w:w="622" w:type="dxa"/>
                  <w:vMerge w:val="continue"/>
                  <w:noWrap w:val="0"/>
                  <w:vAlign w:val="center"/>
                </w:tcPr>
                <w:p w14:paraId="66FBB07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506D411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2925B73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837" w:type="dxa"/>
                  <w:noWrap w:val="0"/>
                  <w:vAlign w:val="center"/>
                </w:tcPr>
                <w:p w14:paraId="2ED5121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1027" w:type="dxa"/>
                  <w:noWrap w:val="0"/>
                  <w:vAlign w:val="center"/>
                </w:tcPr>
                <w:p w14:paraId="57A55668">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pacing w:val="-6"/>
                      <w:sz w:val="21"/>
                      <w:szCs w:val="21"/>
                      <w:highlight w:val="none"/>
                    </w:rPr>
                    <w:t>少量</w:t>
                  </w:r>
                </w:p>
              </w:tc>
            </w:tr>
          </w:tbl>
          <w:p w14:paraId="7738EA76">
            <w:pPr>
              <w:adjustRightInd w:val="0"/>
              <w:snapToGrid w:val="0"/>
              <w:ind w:firstLine="420" w:firstLineChars="200"/>
              <w:jc w:val="left"/>
              <w:rPr>
                <w:b/>
                <w:snapToGrid w:val="0"/>
                <w:color w:val="auto"/>
                <w:sz w:val="24"/>
                <w:highlight w:val="none"/>
              </w:rPr>
            </w:pPr>
            <w:r>
              <w:rPr>
                <w:snapToGrid w:val="0"/>
                <w:color w:val="auto"/>
                <w:szCs w:val="21"/>
                <w:highlight w:val="none"/>
              </w:rPr>
              <w:t>表4-</w:t>
            </w:r>
            <w:r>
              <w:rPr>
                <w:rFonts w:hint="eastAsia"/>
                <w:snapToGrid w:val="0"/>
                <w:color w:val="auto"/>
                <w:szCs w:val="21"/>
                <w:highlight w:val="none"/>
                <w:lang w:val="en-US" w:eastAsia="zh-CN"/>
              </w:rPr>
              <w:t>2</w:t>
            </w:r>
            <w:r>
              <w:rPr>
                <w:snapToGrid w:val="0"/>
                <w:color w:val="auto"/>
                <w:szCs w:val="21"/>
                <w:highlight w:val="none"/>
              </w:rPr>
              <w:t xml:space="preserve"> </w:t>
            </w:r>
            <w:r>
              <w:rPr>
                <w:b/>
                <w:snapToGrid w:val="0"/>
                <w:color w:val="auto"/>
                <w:szCs w:val="21"/>
                <w:highlight w:val="none"/>
              </w:rPr>
              <w:t xml:space="preserve">        </w:t>
            </w:r>
            <w:r>
              <w:rPr>
                <w:rFonts w:hint="eastAsia"/>
                <w:b/>
                <w:snapToGrid w:val="0"/>
                <w:color w:val="auto"/>
                <w:szCs w:val="21"/>
                <w:highlight w:val="none"/>
                <w:lang w:val="en-US" w:eastAsia="zh-CN"/>
              </w:rPr>
              <w:t xml:space="preserve"> </w:t>
            </w:r>
            <w:r>
              <w:rPr>
                <w:rFonts w:hint="eastAsia"/>
                <w:b/>
                <w:snapToGrid w:val="0"/>
                <w:color w:val="auto"/>
                <w:szCs w:val="21"/>
                <w:highlight w:val="none"/>
              </w:rPr>
              <w:t xml:space="preserve">  </w:t>
            </w:r>
            <w:r>
              <w:rPr>
                <w:b/>
                <w:snapToGrid w:val="0"/>
                <w:color w:val="auto"/>
                <w:szCs w:val="21"/>
                <w:highlight w:val="none"/>
              </w:rPr>
              <w:t xml:space="preserve">  </w:t>
            </w:r>
            <w:r>
              <w:rPr>
                <w:rFonts w:hint="default"/>
                <w:b/>
                <w:snapToGrid w:val="0"/>
                <w:color w:val="auto"/>
                <w:sz w:val="24"/>
                <w:szCs w:val="24"/>
                <w:highlight w:val="none"/>
              </w:rPr>
              <w:t>本项目</w:t>
            </w:r>
            <w:r>
              <w:rPr>
                <w:rFonts w:hint="eastAsia"/>
                <w:b/>
                <w:snapToGrid w:val="0"/>
                <w:color w:val="auto"/>
                <w:sz w:val="24"/>
                <w:szCs w:val="24"/>
                <w:highlight w:val="none"/>
                <w:lang w:val="en-US" w:eastAsia="zh-CN"/>
              </w:rPr>
              <w:t>二期</w:t>
            </w:r>
            <w:r>
              <w:rPr>
                <w:rFonts w:hint="default"/>
                <w:b/>
                <w:snapToGrid w:val="0"/>
                <w:color w:val="auto"/>
                <w:sz w:val="24"/>
                <w:szCs w:val="24"/>
                <w:highlight w:val="none"/>
              </w:rPr>
              <w:t>废气产排情况一览表</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9"/>
              <w:gridCol w:w="798"/>
              <w:gridCol w:w="1026"/>
              <w:gridCol w:w="622"/>
              <w:gridCol w:w="1786"/>
              <w:gridCol w:w="700"/>
              <w:gridCol w:w="837"/>
              <w:gridCol w:w="1027"/>
            </w:tblGrid>
            <w:tr w14:paraId="2A3FB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restart"/>
                  <w:noWrap w:val="0"/>
                  <w:vAlign w:val="center"/>
                </w:tcPr>
                <w:p w14:paraId="38CC384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产排污环节</w:t>
                  </w:r>
                </w:p>
              </w:tc>
              <w:tc>
                <w:tcPr>
                  <w:tcW w:w="789" w:type="dxa"/>
                  <w:vMerge w:val="restart"/>
                  <w:noWrap w:val="0"/>
                  <w:vAlign w:val="center"/>
                </w:tcPr>
                <w:p w14:paraId="440CB6F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w:t>
                  </w:r>
                </w:p>
              </w:tc>
              <w:tc>
                <w:tcPr>
                  <w:tcW w:w="1824" w:type="dxa"/>
                  <w:gridSpan w:val="2"/>
                  <w:noWrap w:val="0"/>
                  <w:vAlign w:val="center"/>
                </w:tcPr>
                <w:p w14:paraId="46F2309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污染物产生情况</w:t>
                  </w:r>
                </w:p>
              </w:tc>
              <w:tc>
                <w:tcPr>
                  <w:tcW w:w="622" w:type="dxa"/>
                  <w:vMerge w:val="restart"/>
                  <w:noWrap w:val="0"/>
                  <w:vAlign w:val="center"/>
                </w:tcPr>
                <w:p w14:paraId="776D4B9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排放形式</w:t>
                  </w:r>
                </w:p>
              </w:tc>
              <w:tc>
                <w:tcPr>
                  <w:tcW w:w="1786" w:type="dxa"/>
                  <w:vMerge w:val="restart"/>
                  <w:noWrap w:val="0"/>
                  <w:vAlign w:val="center"/>
                </w:tcPr>
                <w:p w14:paraId="1F6BC66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治理措施</w:t>
                  </w:r>
                </w:p>
              </w:tc>
              <w:tc>
                <w:tcPr>
                  <w:tcW w:w="700" w:type="dxa"/>
                  <w:vMerge w:val="restart"/>
                  <w:noWrap w:val="0"/>
                  <w:vAlign w:val="center"/>
                </w:tcPr>
                <w:p w14:paraId="5409BFF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是否为可行技术</w:t>
                  </w:r>
                </w:p>
              </w:tc>
              <w:tc>
                <w:tcPr>
                  <w:tcW w:w="1864" w:type="dxa"/>
                  <w:gridSpan w:val="2"/>
                  <w:noWrap w:val="0"/>
                  <w:vAlign w:val="center"/>
                </w:tcPr>
                <w:p w14:paraId="0C71135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color w:val="auto"/>
                      <w:sz w:val="21"/>
                      <w:szCs w:val="21"/>
                      <w:highlight w:val="none"/>
                    </w:rPr>
                    <w:t>污染物排放情况</w:t>
                  </w:r>
                </w:p>
              </w:tc>
            </w:tr>
            <w:tr w14:paraId="0104A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36E2F12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789" w:type="dxa"/>
                  <w:vMerge w:val="continue"/>
                  <w:noWrap w:val="0"/>
                  <w:vAlign w:val="center"/>
                </w:tcPr>
                <w:p w14:paraId="384995B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798" w:type="dxa"/>
                  <w:noWrap w:val="0"/>
                  <w:vAlign w:val="center"/>
                </w:tcPr>
                <w:p w14:paraId="5E9EC81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产生浓度mg/m</w:t>
                  </w:r>
                  <w:r>
                    <w:rPr>
                      <w:rFonts w:hint="default" w:ascii="Times New Roman" w:hAnsi="Times New Roman" w:cs="Times New Roman"/>
                      <w:b/>
                      <w:color w:val="auto"/>
                      <w:sz w:val="21"/>
                      <w:szCs w:val="21"/>
                      <w:highlight w:val="none"/>
                      <w:vertAlign w:val="superscript"/>
                    </w:rPr>
                    <w:t>3</w:t>
                  </w:r>
                </w:p>
              </w:tc>
              <w:tc>
                <w:tcPr>
                  <w:tcW w:w="1026" w:type="dxa"/>
                  <w:noWrap w:val="0"/>
                  <w:vAlign w:val="center"/>
                </w:tcPr>
                <w:p w14:paraId="245F7E4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污染物产生量t/a</w:t>
                  </w:r>
                </w:p>
              </w:tc>
              <w:tc>
                <w:tcPr>
                  <w:tcW w:w="622" w:type="dxa"/>
                  <w:vMerge w:val="continue"/>
                  <w:noWrap w:val="0"/>
                  <w:vAlign w:val="center"/>
                </w:tcPr>
                <w:p w14:paraId="7DF8164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1786" w:type="dxa"/>
                  <w:vMerge w:val="continue"/>
                  <w:noWrap w:val="0"/>
                  <w:vAlign w:val="center"/>
                </w:tcPr>
                <w:p w14:paraId="1C0E415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700" w:type="dxa"/>
                  <w:vMerge w:val="continue"/>
                  <w:noWrap w:val="0"/>
                  <w:vAlign w:val="center"/>
                </w:tcPr>
                <w:p w14:paraId="41D7631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p>
              </w:tc>
              <w:tc>
                <w:tcPr>
                  <w:tcW w:w="837" w:type="dxa"/>
                  <w:noWrap w:val="0"/>
                  <w:vAlign w:val="center"/>
                </w:tcPr>
                <w:p w14:paraId="2869691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color w:val="auto"/>
                      <w:sz w:val="21"/>
                      <w:szCs w:val="21"/>
                      <w:highlight w:val="none"/>
                    </w:rPr>
                    <w:t>排放浓度mg/m</w:t>
                  </w:r>
                  <w:r>
                    <w:rPr>
                      <w:rFonts w:hint="default" w:ascii="Times New Roman" w:hAnsi="Times New Roman" w:cs="Times New Roman"/>
                      <w:b/>
                      <w:color w:val="auto"/>
                      <w:sz w:val="21"/>
                      <w:szCs w:val="21"/>
                      <w:highlight w:val="none"/>
                      <w:vertAlign w:val="superscript"/>
                    </w:rPr>
                    <w:t>3</w:t>
                  </w:r>
                </w:p>
              </w:tc>
              <w:tc>
                <w:tcPr>
                  <w:tcW w:w="1027" w:type="dxa"/>
                  <w:noWrap w:val="0"/>
                  <w:vAlign w:val="center"/>
                </w:tcPr>
                <w:p w14:paraId="5B90ADE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污染物排放量</w:t>
                  </w:r>
                  <w:r>
                    <w:rPr>
                      <w:rFonts w:hint="default" w:ascii="Times New Roman" w:hAnsi="Times New Roman" w:cs="Times New Roman"/>
                      <w:b/>
                      <w:color w:val="auto"/>
                      <w:sz w:val="21"/>
                      <w:szCs w:val="21"/>
                      <w:highlight w:val="none"/>
                    </w:rPr>
                    <w:t>t/a</w:t>
                  </w:r>
                </w:p>
              </w:tc>
            </w:tr>
            <w:tr w14:paraId="6DD7B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restart"/>
                  <w:noWrap w:val="0"/>
                  <w:vAlign w:val="center"/>
                </w:tcPr>
                <w:p w14:paraId="04B8619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发泡、成型工序</w:t>
                  </w:r>
                </w:p>
              </w:tc>
              <w:tc>
                <w:tcPr>
                  <w:tcW w:w="789" w:type="dxa"/>
                  <w:noWrap w:val="0"/>
                  <w:vAlign w:val="center"/>
                </w:tcPr>
                <w:p w14:paraId="30357E6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798" w:type="dxa"/>
                  <w:noWrap w:val="0"/>
                  <w:vAlign w:val="center"/>
                </w:tcPr>
                <w:p w14:paraId="157A65E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120.38</w:t>
                  </w:r>
                </w:p>
              </w:tc>
              <w:tc>
                <w:tcPr>
                  <w:tcW w:w="1026" w:type="dxa"/>
                  <w:noWrap w:val="0"/>
                  <w:vAlign w:val="center"/>
                </w:tcPr>
                <w:p w14:paraId="4C1965E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1.15</w:t>
                  </w:r>
                </w:p>
              </w:tc>
              <w:tc>
                <w:tcPr>
                  <w:tcW w:w="622" w:type="dxa"/>
                  <w:vMerge w:val="restart"/>
                  <w:noWrap w:val="0"/>
                  <w:vAlign w:val="center"/>
                </w:tcPr>
                <w:p w14:paraId="2C1E0B5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有组织</w:t>
                  </w:r>
                </w:p>
              </w:tc>
              <w:tc>
                <w:tcPr>
                  <w:tcW w:w="1786" w:type="dxa"/>
                  <w:vMerge w:val="restart"/>
                  <w:noWrap w:val="0"/>
                  <w:vAlign w:val="center"/>
                </w:tcPr>
                <w:p w14:paraId="15D6081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集气罩（收集效率90%）+二级活性炭吸附装置（处理效率75%）+1根15m高的排气筒（DA00</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w:t>
                  </w:r>
                </w:p>
              </w:tc>
              <w:tc>
                <w:tcPr>
                  <w:tcW w:w="700" w:type="dxa"/>
                  <w:vMerge w:val="restart"/>
                  <w:noWrap w:val="0"/>
                  <w:vAlign w:val="center"/>
                </w:tcPr>
                <w:p w14:paraId="509382D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是</w:t>
                  </w:r>
                </w:p>
              </w:tc>
              <w:tc>
                <w:tcPr>
                  <w:tcW w:w="837" w:type="dxa"/>
                  <w:noWrap w:val="0"/>
                  <w:vAlign w:val="center"/>
                </w:tcPr>
                <w:p w14:paraId="7A62623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30.09</w:t>
                  </w:r>
                </w:p>
              </w:tc>
              <w:tc>
                <w:tcPr>
                  <w:tcW w:w="1027" w:type="dxa"/>
                  <w:noWrap w:val="0"/>
                  <w:vAlign w:val="center"/>
                </w:tcPr>
                <w:p w14:paraId="6859F8E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0.29</w:t>
                  </w:r>
                </w:p>
              </w:tc>
            </w:tr>
            <w:tr w14:paraId="05279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2D39AF9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0"/>
                      <w:sz w:val="21"/>
                      <w:szCs w:val="21"/>
                      <w:highlight w:val="none"/>
                    </w:rPr>
                  </w:pPr>
                </w:p>
              </w:tc>
              <w:tc>
                <w:tcPr>
                  <w:tcW w:w="789" w:type="dxa"/>
                  <w:noWrap w:val="0"/>
                  <w:vAlign w:val="center"/>
                </w:tcPr>
                <w:p w14:paraId="611FDFB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甲苯</w:t>
                  </w:r>
                </w:p>
              </w:tc>
              <w:tc>
                <w:tcPr>
                  <w:tcW w:w="798" w:type="dxa"/>
                  <w:noWrap w:val="0"/>
                  <w:vAlign w:val="center"/>
                </w:tcPr>
                <w:p w14:paraId="6CB446D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0.3</w:t>
                  </w:r>
                  <w:r>
                    <w:rPr>
                      <w:rFonts w:hint="eastAsia" w:cs="Times New Roman"/>
                      <w:bCs/>
                      <w:color w:val="auto"/>
                      <w:sz w:val="21"/>
                      <w:szCs w:val="21"/>
                      <w:highlight w:val="none"/>
                      <w:lang w:val="en-US" w:eastAsia="zh-CN"/>
                    </w:rPr>
                    <w:t>7</w:t>
                  </w:r>
                </w:p>
              </w:tc>
              <w:tc>
                <w:tcPr>
                  <w:tcW w:w="1026" w:type="dxa"/>
                  <w:noWrap w:val="0"/>
                  <w:vAlign w:val="center"/>
                </w:tcPr>
                <w:p w14:paraId="409544D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3.</w:t>
                  </w:r>
                  <w:r>
                    <w:rPr>
                      <w:rFonts w:hint="eastAsia" w:cs="Times New Roman"/>
                      <w:bCs/>
                      <w:color w:val="auto"/>
                      <w:sz w:val="21"/>
                      <w:szCs w:val="21"/>
                      <w:highlight w:val="none"/>
                      <w:lang w:val="en-US" w:eastAsia="zh-CN"/>
                    </w:rPr>
                    <w:t>52</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3</w:t>
                  </w:r>
                </w:p>
              </w:tc>
              <w:tc>
                <w:tcPr>
                  <w:tcW w:w="622" w:type="dxa"/>
                  <w:vMerge w:val="continue"/>
                  <w:noWrap w:val="0"/>
                  <w:vAlign w:val="center"/>
                </w:tcPr>
                <w:p w14:paraId="71DF40B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1786" w:type="dxa"/>
                  <w:vMerge w:val="continue"/>
                  <w:noWrap w:val="0"/>
                  <w:vAlign w:val="center"/>
                </w:tcPr>
                <w:p w14:paraId="64A5FF4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vMerge w:val="continue"/>
                  <w:noWrap w:val="0"/>
                  <w:vAlign w:val="center"/>
                </w:tcPr>
                <w:p w14:paraId="6C8E232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837" w:type="dxa"/>
                  <w:noWrap w:val="0"/>
                  <w:vAlign w:val="center"/>
                </w:tcPr>
                <w:p w14:paraId="1050D27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0.0</w:t>
                  </w:r>
                  <w:r>
                    <w:rPr>
                      <w:rFonts w:hint="eastAsia" w:ascii="Times New Roman" w:hAnsi="Times New Roman" w:eastAsia="宋体" w:cs="Times New Roman"/>
                      <w:bCs/>
                      <w:color w:val="auto"/>
                      <w:kern w:val="2"/>
                      <w:sz w:val="21"/>
                      <w:szCs w:val="21"/>
                      <w:highlight w:val="none"/>
                      <w:lang w:val="en-US" w:eastAsia="zh-CN" w:bidi="ar-SA"/>
                    </w:rPr>
                    <w:t>9</w:t>
                  </w:r>
                </w:p>
              </w:tc>
              <w:tc>
                <w:tcPr>
                  <w:tcW w:w="1027" w:type="dxa"/>
                  <w:noWrap w:val="0"/>
                  <w:vAlign w:val="center"/>
                </w:tcPr>
                <w:p w14:paraId="45805101">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8.80</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cs="Times New Roman"/>
                      <w:color w:val="auto"/>
                      <w:sz w:val="21"/>
                      <w:szCs w:val="21"/>
                      <w:highlight w:val="none"/>
                      <w:vertAlign w:val="superscript"/>
                      <w:lang w:val="en-US" w:eastAsia="zh-CN"/>
                    </w:rPr>
                    <w:t>4</w:t>
                  </w:r>
                </w:p>
              </w:tc>
            </w:tr>
            <w:tr w14:paraId="4229C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60E59C2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0"/>
                      <w:sz w:val="21"/>
                      <w:szCs w:val="21"/>
                      <w:highlight w:val="none"/>
                    </w:rPr>
                  </w:pPr>
                </w:p>
              </w:tc>
              <w:tc>
                <w:tcPr>
                  <w:tcW w:w="789" w:type="dxa"/>
                  <w:noWrap w:val="0"/>
                  <w:vAlign w:val="center"/>
                </w:tcPr>
                <w:p w14:paraId="69E9597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乙苯</w:t>
                  </w:r>
                </w:p>
              </w:tc>
              <w:tc>
                <w:tcPr>
                  <w:tcW w:w="798" w:type="dxa"/>
                  <w:noWrap w:val="0"/>
                  <w:vAlign w:val="center"/>
                </w:tcPr>
                <w:p w14:paraId="444FD08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0.</w:t>
                  </w:r>
                  <w:r>
                    <w:rPr>
                      <w:rFonts w:hint="eastAsia" w:ascii="Times New Roman" w:hAnsi="Times New Roman" w:cs="Times New Roman"/>
                      <w:bCs/>
                      <w:color w:val="auto"/>
                      <w:sz w:val="21"/>
                      <w:szCs w:val="21"/>
                      <w:highlight w:val="none"/>
                      <w:lang w:val="en-US" w:eastAsia="zh-CN"/>
                    </w:rPr>
                    <w:t>1</w:t>
                  </w:r>
                  <w:r>
                    <w:rPr>
                      <w:rFonts w:hint="eastAsia" w:cs="Times New Roman"/>
                      <w:bCs/>
                      <w:color w:val="auto"/>
                      <w:sz w:val="21"/>
                      <w:szCs w:val="21"/>
                      <w:highlight w:val="none"/>
                      <w:lang w:val="en-US" w:eastAsia="zh-CN"/>
                    </w:rPr>
                    <w:t>6</w:t>
                  </w:r>
                </w:p>
              </w:tc>
              <w:tc>
                <w:tcPr>
                  <w:tcW w:w="1026" w:type="dxa"/>
                  <w:noWrap w:val="0"/>
                  <w:vAlign w:val="center"/>
                </w:tcPr>
                <w:p w14:paraId="2BD33324">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r>
                    <w:rPr>
                      <w:rFonts w:hint="eastAsia" w:cs="Times New Roman"/>
                      <w:bCs/>
                      <w:color w:val="auto"/>
                      <w:sz w:val="21"/>
                      <w:szCs w:val="21"/>
                      <w:highlight w:val="none"/>
                      <w:lang w:val="en-US" w:eastAsia="zh-CN"/>
                    </w:rPr>
                    <w:t>54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622" w:type="dxa"/>
                  <w:vMerge w:val="continue"/>
                  <w:noWrap w:val="0"/>
                  <w:vAlign w:val="center"/>
                </w:tcPr>
                <w:p w14:paraId="4CE186D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1786" w:type="dxa"/>
                  <w:vMerge w:val="continue"/>
                  <w:noWrap w:val="0"/>
                  <w:vAlign w:val="center"/>
                </w:tcPr>
                <w:p w14:paraId="4494E43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vMerge w:val="continue"/>
                  <w:noWrap w:val="0"/>
                  <w:vAlign w:val="center"/>
                </w:tcPr>
                <w:p w14:paraId="314FB67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837" w:type="dxa"/>
                  <w:noWrap w:val="0"/>
                  <w:vAlign w:val="center"/>
                </w:tcPr>
                <w:p w14:paraId="3B19013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w:t>
                  </w:r>
                  <w:r>
                    <w:rPr>
                      <w:rFonts w:hint="eastAsia" w:ascii="Times New Roman" w:hAnsi="Times New Roman" w:eastAsia="宋体" w:cs="Times New Roman"/>
                      <w:bCs/>
                      <w:color w:val="auto"/>
                      <w:sz w:val="21"/>
                      <w:szCs w:val="21"/>
                      <w:highlight w:val="none"/>
                      <w:lang w:val="en-US" w:eastAsia="zh-CN"/>
                    </w:rPr>
                    <w:t>4</w:t>
                  </w:r>
                </w:p>
              </w:tc>
              <w:tc>
                <w:tcPr>
                  <w:tcW w:w="1027" w:type="dxa"/>
                  <w:noWrap w:val="0"/>
                  <w:vAlign w:val="center"/>
                </w:tcPr>
                <w:p w14:paraId="28CD16BD">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3.85</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cs="Times New Roman"/>
                      <w:color w:val="auto"/>
                      <w:sz w:val="21"/>
                      <w:szCs w:val="21"/>
                      <w:highlight w:val="none"/>
                      <w:vertAlign w:val="superscript"/>
                      <w:lang w:val="en-US" w:eastAsia="zh-CN"/>
                    </w:rPr>
                    <w:t>4</w:t>
                  </w:r>
                </w:p>
              </w:tc>
            </w:tr>
            <w:tr w14:paraId="5748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03D3796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17621E6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苯乙烯</w:t>
                  </w:r>
                </w:p>
              </w:tc>
              <w:tc>
                <w:tcPr>
                  <w:tcW w:w="798" w:type="dxa"/>
                  <w:noWrap w:val="0"/>
                  <w:vAlign w:val="center"/>
                </w:tcPr>
                <w:p w14:paraId="73F2072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w:t>
                  </w:r>
                  <w:r>
                    <w:rPr>
                      <w:rFonts w:hint="eastAsia" w:ascii="Times New Roman" w:hAnsi="Times New Roman" w:eastAsia="宋体" w:cs="Times New Roman"/>
                      <w:bCs/>
                      <w:color w:val="auto"/>
                      <w:sz w:val="21"/>
                      <w:szCs w:val="21"/>
                      <w:highlight w:val="none"/>
                      <w:lang w:val="en-US" w:eastAsia="zh-CN"/>
                    </w:rPr>
                    <w:t>1</w:t>
                  </w:r>
                  <w:r>
                    <w:rPr>
                      <w:rFonts w:hint="eastAsia" w:cs="Times New Roman"/>
                      <w:bCs/>
                      <w:color w:val="auto"/>
                      <w:sz w:val="21"/>
                      <w:szCs w:val="21"/>
                      <w:highlight w:val="none"/>
                      <w:lang w:val="en-US" w:eastAsia="zh-CN"/>
                    </w:rPr>
                    <w:t>0</w:t>
                  </w:r>
                </w:p>
              </w:tc>
              <w:tc>
                <w:tcPr>
                  <w:tcW w:w="1026" w:type="dxa"/>
                  <w:noWrap w:val="0"/>
                  <w:vAlign w:val="center"/>
                </w:tcPr>
                <w:p w14:paraId="2432EFB4">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7.94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cs="Times New Roman"/>
                      <w:color w:val="auto"/>
                      <w:sz w:val="21"/>
                      <w:szCs w:val="21"/>
                      <w:highlight w:val="none"/>
                      <w:vertAlign w:val="superscript"/>
                      <w:lang w:val="en-US" w:eastAsia="zh-CN"/>
                    </w:rPr>
                    <w:t>4</w:t>
                  </w:r>
                </w:p>
              </w:tc>
              <w:tc>
                <w:tcPr>
                  <w:tcW w:w="622" w:type="dxa"/>
                  <w:vMerge w:val="continue"/>
                  <w:noWrap w:val="0"/>
                  <w:vAlign w:val="center"/>
                </w:tcPr>
                <w:p w14:paraId="097D802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1219810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vMerge w:val="continue"/>
                  <w:noWrap w:val="0"/>
                  <w:vAlign w:val="center"/>
                </w:tcPr>
                <w:p w14:paraId="77C9C6C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837" w:type="dxa"/>
                  <w:noWrap w:val="0"/>
                  <w:vAlign w:val="center"/>
                </w:tcPr>
                <w:p w14:paraId="2833738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w:t>
                  </w:r>
                  <w:r>
                    <w:rPr>
                      <w:rFonts w:hint="eastAsia" w:cs="Times New Roman"/>
                      <w:bCs/>
                      <w:color w:val="auto"/>
                      <w:sz w:val="21"/>
                      <w:szCs w:val="21"/>
                      <w:highlight w:val="none"/>
                      <w:lang w:val="en-US" w:eastAsia="zh-CN"/>
                    </w:rPr>
                    <w:t>25</w:t>
                  </w:r>
                </w:p>
              </w:tc>
              <w:tc>
                <w:tcPr>
                  <w:tcW w:w="1027" w:type="dxa"/>
                  <w:noWrap w:val="0"/>
                  <w:vAlign w:val="center"/>
                </w:tcPr>
                <w:p w14:paraId="2C67A533">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2.39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cs="Times New Roman"/>
                      <w:color w:val="auto"/>
                      <w:sz w:val="21"/>
                      <w:szCs w:val="21"/>
                      <w:highlight w:val="none"/>
                      <w:vertAlign w:val="superscript"/>
                      <w:lang w:val="en-US" w:eastAsia="zh-CN"/>
                    </w:rPr>
                    <w:t>4</w:t>
                  </w:r>
                </w:p>
              </w:tc>
            </w:tr>
            <w:tr w14:paraId="49FC5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restart"/>
                  <w:noWrap w:val="0"/>
                  <w:vAlign w:val="center"/>
                </w:tcPr>
                <w:p w14:paraId="1AE18B1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发泡、成型工序</w:t>
                  </w:r>
                </w:p>
              </w:tc>
              <w:tc>
                <w:tcPr>
                  <w:tcW w:w="789" w:type="dxa"/>
                  <w:noWrap w:val="0"/>
                  <w:vAlign w:val="center"/>
                </w:tcPr>
                <w:p w14:paraId="28040BD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798" w:type="dxa"/>
                  <w:noWrap w:val="0"/>
                  <w:vAlign w:val="center"/>
                </w:tcPr>
                <w:p w14:paraId="3ADE6F1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751F7D4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0.13</w:t>
                  </w:r>
                </w:p>
              </w:tc>
              <w:tc>
                <w:tcPr>
                  <w:tcW w:w="622" w:type="dxa"/>
                  <w:vMerge w:val="restart"/>
                  <w:noWrap w:val="0"/>
                  <w:vAlign w:val="center"/>
                </w:tcPr>
                <w:p w14:paraId="298F57B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无组织</w:t>
                  </w:r>
                </w:p>
              </w:tc>
              <w:tc>
                <w:tcPr>
                  <w:tcW w:w="1786" w:type="dxa"/>
                  <w:vMerge w:val="restart"/>
                  <w:noWrap w:val="0"/>
                  <w:vAlign w:val="center"/>
                </w:tcPr>
                <w:p w14:paraId="02AA5C3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密闭车间，加强通风换气。</w:t>
                  </w:r>
                </w:p>
              </w:tc>
              <w:tc>
                <w:tcPr>
                  <w:tcW w:w="700" w:type="dxa"/>
                  <w:noWrap w:val="0"/>
                  <w:vAlign w:val="center"/>
                </w:tcPr>
                <w:p w14:paraId="5803000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837" w:type="dxa"/>
                  <w:noWrap w:val="0"/>
                  <w:vAlign w:val="center"/>
                </w:tcPr>
                <w:p w14:paraId="225BBB7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7" w:type="dxa"/>
                  <w:noWrap w:val="0"/>
                  <w:vAlign w:val="center"/>
                </w:tcPr>
                <w:p w14:paraId="101C49E8">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0.13</w:t>
                  </w:r>
                </w:p>
              </w:tc>
            </w:tr>
            <w:tr w14:paraId="0B542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019A05C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3D74236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甲苯</w:t>
                  </w:r>
                </w:p>
              </w:tc>
              <w:tc>
                <w:tcPr>
                  <w:tcW w:w="798" w:type="dxa"/>
                  <w:noWrap w:val="0"/>
                  <w:vAlign w:val="center"/>
                </w:tcPr>
                <w:p w14:paraId="2DED6B8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50D39E7E">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3.91</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cs="Times New Roman"/>
                      <w:color w:val="auto"/>
                      <w:sz w:val="21"/>
                      <w:szCs w:val="21"/>
                      <w:highlight w:val="none"/>
                      <w:vertAlign w:val="superscript"/>
                      <w:lang w:val="en-US" w:eastAsia="zh-CN"/>
                    </w:rPr>
                    <w:t>4</w:t>
                  </w:r>
                </w:p>
              </w:tc>
              <w:tc>
                <w:tcPr>
                  <w:tcW w:w="622" w:type="dxa"/>
                  <w:vMerge w:val="continue"/>
                  <w:noWrap w:val="0"/>
                  <w:vAlign w:val="center"/>
                </w:tcPr>
                <w:p w14:paraId="6BB2A64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5CA56CC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58974BD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837" w:type="dxa"/>
                  <w:noWrap w:val="0"/>
                  <w:vAlign w:val="center"/>
                </w:tcPr>
                <w:p w14:paraId="74E4B78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1027" w:type="dxa"/>
                  <w:noWrap w:val="0"/>
                  <w:vAlign w:val="center"/>
                </w:tcPr>
                <w:p w14:paraId="36B48347">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3.91</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cs="Times New Roman"/>
                      <w:color w:val="auto"/>
                      <w:sz w:val="21"/>
                      <w:szCs w:val="21"/>
                      <w:highlight w:val="none"/>
                      <w:vertAlign w:val="superscript"/>
                      <w:lang w:val="en-US" w:eastAsia="zh-CN"/>
                    </w:rPr>
                    <w:t>4</w:t>
                  </w:r>
                </w:p>
              </w:tc>
            </w:tr>
            <w:tr w14:paraId="2DC32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49711D8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620F798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乙苯</w:t>
                  </w:r>
                </w:p>
              </w:tc>
              <w:tc>
                <w:tcPr>
                  <w:tcW w:w="798" w:type="dxa"/>
                  <w:noWrap w:val="0"/>
                  <w:vAlign w:val="center"/>
                </w:tcPr>
                <w:p w14:paraId="16CA7CC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615664CF">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1.71</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22" w:type="dxa"/>
                  <w:vMerge w:val="continue"/>
                  <w:noWrap w:val="0"/>
                  <w:vAlign w:val="center"/>
                </w:tcPr>
                <w:p w14:paraId="7AA4CF1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3FD8307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6FDE5A4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7" w:type="dxa"/>
                  <w:noWrap w:val="0"/>
                  <w:vAlign w:val="center"/>
                </w:tcPr>
                <w:p w14:paraId="294354C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027" w:type="dxa"/>
                  <w:noWrap w:val="0"/>
                  <w:vAlign w:val="center"/>
                </w:tcPr>
                <w:p w14:paraId="4D35D758">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1.71</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r>
            <w:tr w14:paraId="4884E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29DC8E1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6125CDE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苯乙烯</w:t>
                  </w:r>
                </w:p>
              </w:tc>
              <w:tc>
                <w:tcPr>
                  <w:tcW w:w="798" w:type="dxa"/>
                  <w:noWrap w:val="0"/>
                  <w:vAlign w:val="center"/>
                </w:tcPr>
                <w:p w14:paraId="493A24F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1026" w:type="dxa"/>
                  <w:noWrap w:val="0"/>
                  <w:vAlign w:val="center"/>
                </w:tcPr>
                <w:p w14:paraId="054079AF">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06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22" w:type="dxa"/>
                  <w:vMerge w:val="continue"/>
                  <w:noWrap w:val="0"/>
                  <w:vAlign w:val="center"/>
                </w:tcPr>
                <w:p w14:paraId="03547AA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4048D9E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1448F54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7" w:type="dxa"/>
                  <w:noWrap w:val="0"/>
                  <w:vAlign w:val="center"/>
                </w:tcPr>
                <w:p w14:paraId="271D8DA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027" w:type="dxa"/>
                  <w:noWrap w:val="0"/>
                  <w:vAlign w:val="center"/>
                </w:tcPr>
                <w:p w14:paraId="0149FBAB">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06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r>
            <w:tr w14:paraId="3F5B2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vMerge w:val="continue"/>
                  <w:noWrap w:val="0"/>
                  <w:vAlign w:val="center"/>
                </w:tcPr>
                <w:p w14:paraId="06B2221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89" w:type="dxa"/>
                  <w:noWrap w:val="0"/>
                  <w:vAlign w:val="center"/>
                </w:tcPr>
                <w:p w14:paraId="477E7DD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臭气浓度</w:t>
                  </w:r>
                </w:p>
              </w:tc>
              <w:tc>
                <w:tcPr>
                  <w:tcW w:w="798" w:type="dxa"/>
                  <w:noWrap w:val="0"/>
                  <w:vAlign w:val="center"/>
                </w:tcPr>
                <w:p w14:paraId="69F90A4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1026" w:type="dxa"/>
                  <w:noWrap w:val="0"/>
                  <w:vAlign w:val="center"/>
                </w:tcPr>
                <w:p w14:paraId="36AC3230">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pacing w:val="-6"/>
                      <w:sz w:val="21"/>
                      <w:szCs w:val="21"/>
                      <w:highlight w:val="none"/>
                    </w:rPr>
                    <w:t>少量</w:t>
                  </w:r>
                </w:p>
              </w:tc>
              <w:tc>
                <w:tcPr>
                  <w:tcW w:w="622" w:type="dxa"/>
                  <w:vMerge w:val="continue"/>
                  <w:noWrap w:val="0"/>
                  <w:vAlign w:val="center"/>
                </w:tcPr>
                <w:p w14:paraId="3851D35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1786" w:type="dxa"/>
                  <w:vMerge w:val="continue"/>
                  <w:noWrap w:val="0"/>
                  <w:vAlign w:val="center"/>
                </w:tcPr>
                <w:p w14:paraId="5D4AADD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700" w:type="dxa"/>
                  <w:noWrap w:val="0"/>
                  <w:vAlign w:val="center"/>
                </w:tcPr>
                <w:p w14:paraId="090BA0F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837" w:type="dxa"/>
                  <w:noWrap w:val="0"/>
                  <w:vAlign w:val="center"/>
                </w:tcPr>
                <w:p w14:paraId="3BF70A5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1027" w:type="dxa"/>
                  <w:noWrap w:val="0"/>
                  <w:vAlign w:val="center"/>
                </w:tcPr>
                <w:p w14:paraId="21F3EBCB">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pacing w:val="-6"/>
                      <w:sz w:val="21"/>
                      <w:szCs w:val="21"/>
                      <w:highlight w:val="none"/>
                    </w:rPr>
                    <w:t>少量</w:t>
                  </w:r>
                </w:p>
              </w:tc>
            </w:tr>
          </w:tbl>
          <w:p w14:paraId="60FB94E6">
            <w:pPr>
              <w:adjustRightInd w:val="0"/>
              <w:snapToGrid w:val="0"/>
              <w:ind w:firstLine="420" w:firstLineChars="200"/>
              <w:jc w:val="left"/>
              <w:rPr>
                <w:b/>
                <w:snapToGrid w:val="0"/>
                <w:color w:val="auto"/>
                <w:sz w:val="24"/>
                <w:highlight w:val="none"/>
              </w:rPr>
            </w:pPr>
            <w:r>
              <w:rPr>
                <w:snapToGrid w:val="0"/>
                <w:color w:val="auto"/>
                <w:szCs w:val="21"/>
                <w:highlight w:val="none"/>
              </w:rPr>
              <w:t>表4-</w:t>
            </w:r>
            <w:r>
              <w:rPr>
                <w:rFonts w:hint="eastAsia"/>
                <w:snapToGrid w:val="0"/>
                <w:color w:val="auto"/>
                <w:szCs w:val="21"/>
                <w:highlight w:val="none"/>
                <w:lang w:val="en-US" w:eastAsia="zh-CN"/>
              </w:rPr>
              <w:t>3</w:t>
            </w:r>
            <w:r>
              <w:rPr>
                <w:snapToGrid w:val="0"/>
                <w:color w:val="auto"/>
                <w:szCs w:val="21"/>
                <w:highlight w:val="none"/>
              </w:rPr>
              <w:t xml:space="preserve"> </w:t>
            </w:r>
            <w:r>
              <w:rPr>
                <w:b/>
                <w:snapToGrid w:val="0"/>
                <w:color w:val="auto"/>
                <w:szCs w:val="21"/>
                <w:highlight w:val="none"/>
              </w:rPr>
              <w:t xml:space="preserve">        </w:t>
            </w:r>
            <w:r>
              <w:rPr>
                <w:rFonts w:hint="eastAsia"/>
                <w:b/>
                <w:snapToGrid w:val="0"/>
                <w:color w:val="auto"/>
                <w:szCs w:val="21"/>
                <w:highlight w:val="none"/>
                <w:lang w:val="en-US" w:eastAsia="zh-CN"/>
              </w:rPr>
              <w:t xml:space="preserve"> </w:t>
            </w:r>
            <w:r>
              <w:rPr>
                <w:rFonts w:hint="eastAsia"/>
                <w:b/>
                <w:snapToGrid w:val="0"/>
                <w:color w:val="auto"/>
                <w:szCs w:val="21"/>
                <w:highlight w:val="none"/>
              </w:rPr>
              <w:t xml:space="preserve">  </w:t>
            </w:r>
            <w:r>
              <w:rPr>
                <w:b/>
                <w:snapToGrid w:val="0"/>
                <w:color w:val="auto"/>
                <w:szCs w:val="21"/>
                <w:highlight w:val="none"/>
              </w:rPr>
              <w:t xml:space="preserve">  </w:t>
            </w:r>
            <w:r>
              <w:rPr>
                <w:rFonts w:hint="default"/>
                <w:b/>
                <w:snapToGrid w:val="0"/>
                <w:color w:val="auto"/>
                <w:sz w:val="24"/>
                <w:szCs w:val="24"/>
                <w:highlight w:val="none"/>
              </w:rPr>
              <w:t>本项目</w:t>
            </w:r>
            <w:r>
              <w:rPr>
                <w:rFonts w:hint="eastAsia"/>
                <w:b/>
                <w:snapToGrid w:val="0"/>
                <w:color w:val="auto"/>
                <w:sz w:val="24"/>
                <w:szCs w:val="24"/>
                <w:highlight w:val="none"/>
                <w:lang w:val="en-US" w:eastAsia="zh-CN"/>
              </w:rPr>
              <w:t>二期建成后全厂</w:t>
            </w:r>
            <w:r>
              <w:rPr>
                <w:rFonts w:hint="default"/>
                <w:b/>
                <w:snapToGrid w:val="0"/>
                <w:color w:val="auto"/>
                <w:sz w:val="24"/>
                <w:szCs w:val="24"/>
                <w:highlight w:val="none"/>
              </w:rPr>
              <w:t>废气产排情况一览表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683"/>
              <w:gridCol w:w="1026"/>
              <w:gridCol w:w="1026"/>
              <w:gridCol w:w="546"/>
              <w:gridCol w:w="1584"/>
              <w:gridCol w:w="691"/>
              <w:gridCol w:w="1027"/>
              <w:gridCol w:w="1027"/>
            </w:tblGrid>
            <w:tr w14:paraId="2BB66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restart"/>
                  <w:noWrap w:val="0"/>
                  <w:vAlign w:val="center"/>
                </w:tcPr>
                <w:p w14:paraId="522DF9E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产排污环节</w:t>
                  </w:r>
                </w:p>
              </w:tc>
              <w:tc>
                <w:tcPr>
                  <w:tcW w:w="420" w:type="pct"/>
                  <w:vMerge w:val="restart"/>
                  <w:noWrap w:val="0"/>
                  <w:vAlign w:val="center"/>
                </w:tcPr>
                <w:p w14:paraId="1CE7843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w:t>
                  </w:r>
                </w:p>
              </w:tc>
              <w:tc>
                <w:tcPr>
                  <w:tcW w:w="1239" w:type="pct"/>
                  <w:gridSpan w:val="2"/>
                  <w:noWrap w:val="0"/>
                  <w:vAlign w:val="center"/>
                </w:tcPr>
                <w:p w14:paraId="59B898F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污染物产生情况</w:t>
                  </w:r>
                </w:p>
              </w:tc>
              <w:tc>
                <w:tcPr>
                  <w:tcW w:w="345" w:type="pct"/>
                  <w:vMerge w:val="restart"/>
                  <w:noWrap w:val="0"/>
                  <w:vAlign w:val="center"/>
                </w:tcPr>
                <w:p w14:paraId="0366826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排放形式</w:t>
                  </w:r>
                </w:p>
              </w:tc>
              <w:tc>
                <w:tcPr>
                  <w:tcW w:w="964" w:type="pct"/>
                  <w:vMerge w:val="restart"/>
                  <w:noWrap w:val="0"/>
                  <w:vAlign w:val="center"/>
                </w:tcPr>
                <w:p w14:paraId="7A41DA6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治理措施</w:t>
                  </w:r>
                </w:p>
              </w:tc>
              <w:tc>
                <w:tcPr>
                  <w:tcW w:w="425" w:type="pct"/>
                  <w:vMerge w:val="restart"/>
                  <w:noWrap w:val="0"/>
                  <w:vAlign w:val="center"/>
                </w:tcPr>
                <w:p w14:paraId="658228A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是否为可行技术</w:t>
                  </w:r>
                </w:p>
              </w:tc>
              <w:tc>
                <w:tcPr>
                  <w:tcW w:w="1194" w:type="pct"/>
                  <w:gridSpan w:val="2"/>
                  <w:noWrap w:val="0"/>
                  <w:vAlign w:val="center"/>
                </w:tcPr>
                <w:p w14:paraId="1A96843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color w:val="auto"/>
                      <w:sz w:val="21"/>
                      <w:szCs w:val="21"/>
                      <w:highlight w:val="none"/>
                    </w:rPr>
                    <w:t>污染物排放情况</w:t>
                  </w:r>
                </w:p>
              </w:tc>
            </w:tr>
            <w:tr w14:paraId="47F66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530A1C2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420" w:type="pct"/>
                  <w:vMerge w:val="continue"/>
                  <w:noWrap w:val="0"/>
                  <w:vAlign w:val="center"/>
                </w:tcPr>
                <w:p w14:paraId="0DFB47B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619" w:type="pct"/>
                  <w:noWrap w:val="0"/>
                  <w:vAlign w:val="center"/>
                </w:tcPr>
                <w:p w14:paraId="1C52F4B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b/>
                      <w:color w:val="auto"/>
                      <w:sz w:val="21"/>
                      <w:szCs w:val="21"/>
                      <w:highlight w:val="none"/>
                    </w:rPr>
                    <w:t>产生</w:t>
                  </w:r>
                  <w:r>
                    <w:rPr>
                      <w:rFonts w:hint="eastAsia" w:ascii="Times New Roman" w:hAnsi="Times New Roman" w:cs="Times New Roman"/>
                      <w:b/>
                      <w:color w:val="auto"/>
                      <w:sz w:val="21"/>
                      <w:szCs w:val="21"/>
                      <w:highlight w:val="none"/>
                      <w:lang w:val="en-US" w:eastAsia="zh-CN"/>
                    </w:rPr>
                    <w:t>速率kg/h</w:t>
                  </w:r>
                </w:p>
              </w:tc>
              <w:tc>
                <w:tcPr>
                  <w:tcW w:w="619" w:type="pct"/>
                  <w:noWrap w:val="0"/>
                  <w:vAlign w:val="center"/>
                </w:tcPr>
                <w:p w14:paraId="798F271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污染物产生量t/a</w:t>
                  </w:r>
                </w:p>
              </w:tc>
              <w:tc>
                <w:tcPr>
                  <w:tcW w:w="345" w:type="pct"/>
                  <w:vMerge w:val="continue"/>
                  <w:noWrap w:val="0"/>
                  <w:vAlign w:val="center"/>
                </w:tcPr>
                <w:p w14:paraId="0299AFD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964" w:type="pct"/>
                  <w:vMerge w:val="continue"/>
                  <w:noWrap w:val="0"/>
                  <w:vAlign w:val="center"/>
                </w:tcPr>
                <w:p w14:paraId="1EC4808F">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color w:val="auto"/>
                      <w:sz w:val="21"/>
                      <w:szCs w:val="21"/>
                      <w:highlight w:val="none"/>
                    </w:rPr>
                  </w:pPr>
                </w:p>
              </w:tc>
              <w:tc>
                <w:tcPr>
                  <w:tcW w:w="425" w:type="pct"/>
                  <w:vMerge w:val="continue"/>
                  <w:noWrap w:val="0"/>
                  <w:vAlign w:val="center"/>
                </w:tcPr>
                <w:p w14:paraId="1351FC9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p>
              </w:tc>
              <w:tc>
                <w:tcPr>
                  <w:tcW w:w="588" w:type="pct"/>
                  <w:noWrap w:val="0"/>
                  <w:vAlign w:val="center"/>
                </w:tcPr>
                <w:p w14:paraId="186EF6F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color w:val="auto"/>
                      <w:sz w:val="21"/>
                      <w:szCs w:val="21"/>
                      <w:highlight w:val="none"/>
                    </w:rPr>
                    <w:t>排放</w:t>
                  </w:r>
                  <w:r>
                    <w:rPr>
                      <w:rFonts w:hint="eastAsia" w:ascii="Times New Roman" w:hAnsi="Times New Roman" w:cs="Times New Roman"/>
                      <w:b/>
                      <w:color w:val="auto"/>
                      <w:sz w:val="21"/>
                      <w:szCs w:val="21"/>
                      <w:highlight w:val="none"/>
                      <w:lang w:val="en-US" w:eastAsia="zh-CN"/>
                    </w:rPr>
                    <w:t>速率kg/h</w:t>
                  </w:r>
                </w:p>
              </w:tc>
              <w:tc>
                <w:tcPr>
                  <w:tcW w:w="605" w:type="pct"/>
                  <w:noWrap w:val="0"/>
                  <w:vAlign w:val="center"/>
                </w:tcPr>
                <w:p w14:paraId="7CFBBCD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污染物排放量</w:t>
                  </w:r>
                  <w:r>
                    <w:rPr>
                      <w:rFonts w:hint="default" w:ascii="Times New Roman" w:hAnsi="Times New Roman" w:cs="Times New Roman"/>
                      <w:b/>
                      <w:color w:val="auto"/>
                      <w:sz w:val="21"/>
                      <w:szCs w:val="21"/>
                      <w:highlight w:val="none"/>
                    </w:rPr>
                    <w:t>t/a</w:t>
                  </w:r>
                </w:p>
              </w:tc>
            </w:tr>
            <w:tr w14:paraId="50E59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restart"/>
                  <w:noWrap w:val="0"/>
                  <w:vAlign w:val="center"/>
                </w:tcPr>
                <w:p w14:paraId="38A02ED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发泡、成型工序</w:t>
                  </w:r>
                </w:p>
              </w:tc>
              <w:tc>
                <w:tcPr>
                  <w:tcW w:w="420" w:type="pct"/>
                  <w:noWrap w:val="0"/>
                  <w:vAlign w:val="center"/>
                </w:tcPr>
                <w:p w14:paraId="6D28056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619" w:type="pct"/>
                  <w:noWrap w:val="0"/>
                  <w:vAlign w:val="center"/>
                </w:tcPr>
                <w:p w14:paraId="6D18D72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1.6</w:t>
                  </w:r>
                </w:p>
              </w:tc>
              <w:tc>
                <w:tcPr>
                  <w:tcW w:w="619" w:type="pct"/>
                  <w:noWrap w:val="0"/>
                  <w:vAlign w:val="center"/>
                </w:tcPr>
                <w:p w14:paraId="0DC0947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1.92</w:t>
                  </w:r>
                </w:p>
              </w:tc>
              <w:tc>
                <w:tcPr>
                  <w:tcW w:w="345" w:type="pct"/>
                  <w:vMerge w:val="restart"/>
                  <w:noWrap w:val="0"/>
                  <w:vAlign w:val="center"/>
                </w:tcPr>
                <w:p w14:paraId="07A66833">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有组织</w:t>
                  </w:r>
                </w:p>
              </w:tc>
              <w:tc>
                <w:tcPr>
                  <w:tcW w:w="964" w:type="pct"/>
                  <w:vMerge w:val="restart"/>
                  <w:noWrap w:val="0"/>
                  <w:vAlign w:val="center"/>
                </w:tcPr>
                <w:p w14:paraId="3B98801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集气罩（收集效率90%）+二级活性炭吸附装置（处理效率75%）+1根15m高的排气筒（</w:t>
                  </w:r>
                  <w:r>
                    <w:rPr>
                      <w:rFonts w:hint="eastAsia" w:ascii="Times New Roman" w:hAnsi="Times New Roman" w:cs="Times New Roman"/>
                      <w:color w:val="auto"/>
                      <w:sz w:val="21"/>
                      <w:szCs w:val="21"/>
                      <w:highlight w:val="none"/>
                      <w:lang w:val="en-US" w:eastAsia="zh-CN"/>
                    </w:rPr>
                    <w:t>一期DA001、二期</w:t>
                  </w:r>
                  <w:r>
                    <w:rPr>
                      <w:rFonts w:hint="default" w:ascii="Times New Roman" w:hAnsi="Times New Roman" w:cs="Times New Roman"/>
                      <w:color w:val="auto"/>
                      <w:sz w:val="21"/>
                      <w:szCs w:val="21"/>
                      <w:highlight w:val="none"/>
                      <w:lang w:val="en-US" w:eastAsia="zh-CN"/>
                    </w:rPr>
                    <w:t>DA00</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w:t>
                  </w:r>
                </w:p>
              </w:tc>
              <w:tc>
                <w:tcPr>
                  <w:tcW w:w="425" w:type="pct"/>
                  <w:vMerge w:val="restart"/>
                  <w:noWrap w:val="0"/>
                  <w:vAlign w:val="center"/>
                </w:tcPr>
                <w:p w14:paraId="0142C1A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是</w:t>
                  </w:r>
                </w:p>
              </w:tc>
              <w:tc>
                <w:tcPr>
                  <w:tcW w:w="588" w:type="pct"/>
                  <w:noWrap w:val="0"/>
                  <w:vAlign w:val="center"/>
                </w:tcPr>
                <w:p w14:paraId="07A3E20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0.36</w:t>
                  </w:r>
                </w:p>
              </w:tc>
              <w:tc>
                <w:tcPr>
                  <w:tcW w:w="605" w:type="pct"/>
                  <w:noWrap w:val="0"/>
                  <w:vAlign w:val="center"/>
                </w:tcPr>
                <w:p w14:paraId="22C2B30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0.43</w:t>
                  </w:r>
                </w:p>
              </w:tc>
            </w:tr>
            <w:tr w14:paraId="0106C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2356746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0"/>
                      <w:sz w:val="21"/>
                      <w:szCs w:val="21"/>
                      <w:highlight w:val="none"/>
                    </w:rPr>
                  </w:pPr>
                </w:p>
              </w:tc>
              <w:tc>
                <w:tcPr>
                  <w:tcW w:w="420" w:type="pct"/>
                  <w:noWrap w:val="0"/>
                  <w:vAlign w:val="center"/>
                </w:tcPr>
                <w:p w14:paraId="6BCBC19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甲苯</w:t>
                  </w:r>
                </w:p>
              </w:tc>
              <w:tc>
                <w:tcPr>
                  <w:tcW w:w="619" w:type="pct"/>
                  <w:noWrap w:val="0"/>
                  <w:vAlign w:val="center"/>
                </w:tcPr>
                <w:p w14:paraId="70C4D8B8">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619" w:type="pct"/>
                  <w:noWrap w:val="0"/>
                  <w:vAlign w:val="center"/>
                </w:tcPr>
                <w:p w14:paraId="42B8792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5.28</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345" w:type="pct"/>
                  <w:vMerge w:val="continue"/>
                  <w:noWrap w:val="0"/>
                  <w:vAlign w:val="center"/>
                </w:tcPr>
                <w:p w14:paraId="76240C1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964" w:type="pct"/>
                  <w:vMerge w:val="continue"/>
                  <w:noWrap w:val="0"/>
                  <w:vAlign w:val="center"/>
                </w:tcPr>
                <w:p w14:paraId="5415194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5" w:type="pct"/>
                  <w:vMerge w:val="continue"/>
                  <w:noWrap w:val="0"/>
                  <w:vAlign w:val="center"/>
                </w:tcPr>
                <w:p w14:paraId="672C563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588" w:type="pct"/>
                  <w:noWrap w:val="0"/>
                  <w:vAlign w:val="center"/>
                </w:tcPr>
                <w:p w14:paraId="16AAB7EB">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1.1</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605" w:type="pct"/>
                  <w:noWrap w:val="0"/>
                  <w:vAlign w:val="center"/>
                </w:tcPr>
                <w:p w14:paraId="4D22EDA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1.32</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r>
            <w:tr w14:paraId="14A3F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582C97E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kern w:val="0"/>
                      <w:sz w:val="21"/>
                      <w:szCs w:val="21"/>
                      <w:highlight w:val="none"/>
                    </w:rPr>
                  </w:pPr>
                </w:p>
              </w:tc>
              <w:tc>
                <w:tcPr>
                  <w:tcW w:w="420" w:type="pct"/>
                  <w:noWrap w:val="0"/>
                  <w:vAlign w:val="center"/>
                </w:tcPr>
                <w:p w14:paraId="723677C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乙苯</w:t>
                  </w:r>
                </w:p>
              </w:tc>
              <w:tc>
                <w:tcPr>
                  <w:tcW w:w="619" w:type="pct"/>
                  <w:noWrap w:val="0"/>
                  <w:vAlign w:val="center"/>
                </w:tcPr>
                <w:p w14:paraId="0BC81DB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1.92</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619" w:type="pct"/>
                  <w:noWrap w:val="0"/>
                  <w:vAlign w:val="center"/>
                </w:tcPr>
                <w:p w14:paraId="58D6279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2.31</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345" w:type="pct"/>
                  <w:vMerge w:val="continue"/>
                  <w:noWrap w:val="0"/>
                  <w:vAlign w:val="center"/>
                </w:tcPr>
                <w:p w14:paraId="3D7A7B5C">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964" w:type="pct"/>
                  <w:vMerge w:val="continue"/>
                  <w:noWrap w:val="0"/>
                  <w:vAlign w:val="center"/>
                </w:tcPr>
                <w:p w14:paraId="654F2F3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5" w:type="pct"/>
                  <w:vMerge w:val="continue"/>
                  <w:noWrap w:val="0"/>
                  <w:vAlign w:val="center"/>
                </w:tcPr>
                <w:p w14:paraId="36EEE0B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588" w:type="pct"/>
                  <w:noWrap w:val="0"/>
                  <w:vAlign w:val="center"/>
                </w:tcPr>
                <w:p w14:paraId="00D6563C">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4.8</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05" w:type="pct"/>
                  <w:noWrap w:val="0"/>
                  <w:vAlign w:val="center"/>
                </w:tcPr>
                <w:p w14:paraId="6ABCFC77">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5.79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r>
            <w:tr w14:paraId="3AEC8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32889D2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0" w:type="pct"/>
                  <w:noWrap w:val="0"/>
                  <w:vAlign w:val="center"/>
                </w:tcPr>
                <w:p w14:paraId="63540D3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苯乙烯</w:t>
                  </w:r>
                </w:p>
              </w:tc>
              <w:tc>
                <w:tcPr>
                  <w:tcW w:w="619" w:type="pct"/>
                  <w:noWrap w:val="0"/>
                  <w:vAlign w:val="center"/>
                </w:tcPr>
                <w:p w14:paraId="6C09BF5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1.19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619" w:type="pct"/>
                  <w:noWrap w:val="0"/>
                  <w:vAlign w:val="center"/>
                </w:tcPr>
                <w:p w14:paraId="43C18D1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1.43</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345" w:type="pct"/>
                  <w:vMerge w:val="continue"/>
                  <w:noWrap w:val="0"/>
                  <w:vAlign w:val="center"/>
                </w:tcPr>
                <w:p w14:paraId="4607FB1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964" w:type="pct"/>
                  <w:vMerge w:val="continue"/>
                  <w:noWrap w:val="0"/>
                  <w:vAlign w:val="center"/>
                </w:tcPr>
                <w:p w14:paraId="35DC868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5" w:type="pct"/>
                  <w:vMerge w:val="continue"/>
                  <w:noWrap w:val="0"/>
                  <w:vAlign w:val="center"/>
                </w:tcPr>
                <w:p w14:paraId="5106A29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p>
              </w:tc>
              <w:tc>
                <w:tcPr>
                  <w:tcW w:w="588" w:type="pct"/>
                  <w:noWrap w:val="0"/>
                  <w:vAlign w:val="center"/>
                </w:tcPr>
                <w:p w14:paraId="46D07EA4">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05" w:type="pct"/>
                  <w:noWrap w:val="0"/>
                  <w:vAlign w:val="center"/>
                </w:tcPr>
                <w:p w14:paraId="27834C13">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3.58</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r>
            <w:tr w14:paraId="74185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restart"/>
                  <w:noWrap w:val="0"/>
                  <w:vAlign w:val="center"/>
                </w:tcPr>
                <w:p w14:paraId="7C8BE32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发泡、成型工序</w:t>
                  </w:r>
                </w:p>
              </w:tc>
              <w:tc>
                <w:tcPr>
                  <w:tcW w:w="420" w:type="pct"/>
                  <w:noWrap w:val="0"/>
                  <w:vAlign w:val="center"/>
                </w:tcPr>
                <w:p w14:paraId="329AE78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619" w:type="pct"/>
                  <w:noWrap w:val="0"/>
                  <w:vAlign w:val="center"/>
                </w:tcPr>
                <w:p w14:paraId="13C5BB8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0.16</w:t>
                  </w:r>
                </w:p>
              </w:tc>
              <w:tc>
                <w:tcPr>
                  <w:tcW w:w="619" w:type="pct"/>
                  <w:noWrap w:val="0"/>
                  <w:vAlign w:val="center"/>
                </w:tcPr>
                <w:p w14:paraId="0FAD0E9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0.19</w:t>
                  </w:r>
                </w:p>
              </w:tc>
              <w:tc>
                <w:tcPr>
                  <w:tcW w:w="345" w:type="pct"/>
                  <w:vMerge w:val="restart"/>
                  <w:noWrap w:val="0"/>
                  <w:vAlign w:val="center"/>
                </w:tcPr>
                <w:p w14:paraId="1C5A557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无组织</w:t>
                  </w:r>
                </w:p>
              </w:tc>
              <w:tc>
                <w:tcPr>
                  <w:tcW w:w="964" w:type="pct"/>
                  <w:vMerge w:val="restart"/>
                  <w:noWrap w:val="0"/>
                  <w:vAlign w:val="center"/>
                </w:tcPr>
                <w:p w14:paraId="146BC46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密闭车间，加强通风换气。</w:t>
                  </w:r>
                </w:p>
              </w:tc>
              <w:tc>
                <w:tcPr>
                  <w:tcW w:w="425" w:type="pct"/>
                  <w:noWrap w:val="0"/>
                  <w:vAlign w:val="center"/>
                </w:tcPr>
                <w:p w14:paraId="653994A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p>
              </w:tc>
              <w:tc>
                <w:tcPr>
                  <w:tcW w:w="588" w:type="pct"/>
                  <w:shd w:val="clear" w:color="auto" w:fill="auto"/>
                  <w:noWrap w:val="0"/>
                  <w:vAlign w:val="center"/>
                </w:tcPr>
                <w:p w14:paraId="02D0E275">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0.16</w:t>
                  </w:r>
                </w:p>
              </w:tc>
              <w:tc>
                <w:tcPr>
                  <w:tcW w:w="605" w:type="pct"/>
                  <w:noWrap w:val="0"/>
                  <w:vAlign w:val="center"/>
                </w:tcPr>
                <w:p w14:paraId="67E241B4">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0.19</w:t>
                  </w:r>
                </w:p>
              </w:tc>
            </w:tr>
            <w:tr w14:paraId="71BD3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5AEC498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0" w:type="pct"/>
                  <w:noWrap w:val="0"/>
                  <w:vAlign w:val="center"/>
                </w:tcPr>
                <w:p w14:paraId="0576D28A">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甲苯</w:t>
                  </w:r>
                </w:p>
              </w:tc>
              <w:tc>
                <w:tcPr>
                  <w:tcW w:w="619" w:type="pct"/>
                  <w:noWrap w:val="0"/>
                  <w:vAlign w:val="center"/>
                </w:tcPr>
                <w:p w14:paraId="75C75032">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4.89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19" w:type="pct"/>
                  <w:noWrap w:val="0"/>
                  <w:vAlign w:val="center"/>
                </w:tcPr>
                <w:p w14:paraId="61EB0E24">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5.86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345" w:type="pct"/>
                  <w:vMerge w:val="continue"/>
                  <w:noWrap w:val="0"/>
                  <w:vAlign w:val="center"/>
                </w:tcPr>
                <w:p w14:paraId="66D69077">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964" w:type="pct"/>
                  <w:vMerge w:val="continue"/>
                  <w:noWrap w:val="0"/>
                  <w:vAlign w:val="center"/>
                </w:tcPr>
                <w:p w14:paraId="030B40E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5" w:type="pct"/>
                  <w:noWrap w:val="0"/>
                  <w:vAlign w:val="center"/>
                </w:tcPr>
                <w:p w14:paraId="299BA009">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588" w:type="pct"/>
                  <w:shd w:val="clear" w:color="auto" w:fill="auto"/>
                  <w:noWrap w:val="0"/>
                  <w:vAlign w:val="center"/>
                </w:tcPr>
                <w:p w14:paraId="36D91952">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4.89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05" w:type="pct"/>
                  <w:shd w:val="clear" w:color="auto" w:fill="auto"/>
                  <w:noWrap w:val="0"/>
                  <w:vAlign w:val="center"/>
                </w:tcPr>
                <w:p w14:paraId="6BEABC23">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5.86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r>
            <w:tr w14:paraId="3C8B1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2277A5A4">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0" w:type="pct"/>
                  <w:noWrap w:val="0"/>
                  <w:vAlign w:val="center"/>
                </w:tcPr>
                <w:p w14:paraId="350CCCF0">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乙苯</w:t>
                  </w:r>
                </w:p>
              </w:tc>
              <w:tc>
                <w:tcPr>
                  <w:tcW w:w="619" w:type="pct"/>
                  <w:noWrap w:val="0"/>
                  <w:vAlign w:val="center"/>
                </w:tcPr>
                <w:p w14:paraId="47E11862">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2.13</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19" w:type="pct"/>
                  <w:noWrap w:val="0"/>
                  <w:vAlign w:val="center"/>
                </w:tcPr>
                <w:p w14:paraId="47F13255">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2.57</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345" w:type="pct"/>
                  <w:vMerge w:val="continue"/>
                  <w:noWrap w:val="0"/>
                  <w:vAlign w:val="center"/>
                </w:tcPr>
                <w:p w14:paraId="2824846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964" w:type="pct"/>
                  <w:vMerge w:val="continue"/>
                  <w:noWrap w:val="0"/>
                  <w:vAlign w:val="center"/>
                </w:tcPr>
                <w:p w14:paraId="4443946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5" w:type="pct"/>
                  <w:noWrap w:val="0"/>
                  <w:vAlign w:val="center"/>
                </w:tcPr>
                <w:p w14:paraId="3DEAA28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588" w:type="pct"/>
                  <w:shd w:val="clear" w:color="auto" w:fill="auto"/>
                  <w:noWrap w:val="0"/>
                  <w:vAlign w:val="center"/>
                </w:tcPr>
                <w:p w14:paraId="35049023">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2.13</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05" w:type="pct"/>
                  <w:shd w:val="clear" w:color="auto" w:fill="auto"/>
                  <w:noWrap w:val="0"/>
                  <w:vAlign w:val="center"/>
                </w:tcPr>
                <w:p w14:paraId="706C5DA5">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2.57</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r>
            <w:tr w14:paraId="5B409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3F46DB3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0" w:type="pct"/>
                  <w:noWrap w:val="0"/>
                  <w:vAlign w:val="center"/>
                </w:tcPr>
                <w:p w14:paraId="094BA24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苯乙烯</w:t>
                  </w:r>
                </w:p>
              </w:tc>
              <w:tc>
                <w:tcPr>
                  <w:tcW w:w="619" w:type="pct"/>
                  <w:noWrap w:val="0"/>
                  <w:vAlign w:val="center"/>
                </w:tcPr>
                <w:p w14:paraId="032FC60A">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1.32</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19" w:type="pct"/>
                  <w:noWrap w:val="0"/>
                  <w:vAlign w:val="center"/>
                </w:tcPr>
                <w:p w14:paraId="6B2E9311">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345" w:type="pct"/>
                  <w:vMerge w:val="continue"/>
                  <w:noWrap w:val="0"/>
                  <w:vAlign w:val="center"/>
                </w:tcPr>
                <w:p w14:paraId="3A49BD75">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964" w:type="pct"/>
                  <w:vMerge w:val="continue"/>
                  <w:noWrap w:val="0"/>
                  <w:vAlign w:val="center"/>
                </w:tcPr>
                <w:p w14:paraId="478BEB6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5" w:type="pct"/>
                  <w:noWrap w:val="0"/>
                  <w:vAlign w:val="center"/>
                </w:tcPr>
                <w:p w14:paraId="319887F8">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588" w:type="pct"/>
                  <w:shd w:val="clear" w:color="auto" w:fill="auto"/>
                  <w:noWrap w:val="0"/>
                  <w:vAlign w:val="center"/>
                </w:tcPr>
                <w:p w14:paraId="15B83AE6">
                  <w:pPr>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sz w:val="21"/>
                      <w:szCs w:val="21"/>
                      <w:highlight w:val="none"/>
                      <w:lang w:val="en-US" w:eastAsia="zh-CN"/>
                    </w:rPr>
                    <w:t>1.32</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605" w:type="pct"/>
                  <w:shd w:val="clear" w:color="auto" w:fill="auto"/>
                  <w:noWrap w:val="0"/>
                  <w:vAlign w:val="center"/>
                </w:tcPr>
                <w:p w14:paraId="2B6F1E9F">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1.59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r>
            <w:tr w14:paraId="19D9D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9" w:type="pct"/>
                  <w:vMerge w:val="continue"/>
                  <w:noWrap w:val="0"/>
                  <w:vAlign w:val="center"/>
                </w:tcPr>
                <w:p w14:paraId="4A8E34A2">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0" w:type="pct"/>
                  <w:noWrap w:val="0"/>
                  <w:vAlign w:val="center"/>
                </w:tcPr>
                <w:p w14:paraId="60D06EFE">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臭气浓度</w:t>
                  </w:r>
                </w:p>
              </w:tc>
              <w:tc>
                <w:tcPr>
                  <w:tcW w:w="619" w:type="pct"/>
                  <w:noWrap w:val="0"/>
                  <w:vAlign w:val="center"/>
                </w:tcPr>
                <w:p w14:paraId="502B1FE4">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c>
                <w:tcPr>
                  <w:tcW w:w="619" w:type="pct"/>
                  <w:noWrap w:val="0"/>
                  <w:vAlign w:val="center"/>
                </w:tcPr>
                <w:p w14:paraId="40614709">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pacing w:val="-6"/>
                      <w:sz w:val="21"/>
                      <w:szCs w:val="21"/>
                      <w:highlight w:val="none"/>
                    </w:rPr>
                    <w:t>少量</w:t>
                  </w:r>
                </w:p>
              </w:tc>
              <w:tc>
                <w:tcPr>
                  <w:tcW w:w="345" w:type="pct"/>
                  <w:vMerge w:val="continue"/>
                  <w:noWrap w:val="0"/>
                  <w:vAlign w:val="center"/>
                </w:tcPr>
                <w:p w14:paraId="4E66F806">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964" w:type="pct"/>
                  <w:vMerge w:val="continue"/>
                  <w:noWrap w:val="0"/>
                  <w:vAlign w:val="center"/>
                </w:tcPr>
                <w:p w14:paraId="4199B0BD">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auto"/>
                      <w:sz w:val="21"/>
                      <w:szCs w:val="21"/>
                      <w:highlight w:val="none"/>
                    </w:rPr>
                  </w:pPr>
                </w:p>
              </w:tc>
              <w:tc>
                <w:tcPr>
                  <w:tcW w:w="425" w:type="pct"/>
                  <w:noWrap w:val="0"/>
                  <w:vAlign w:val="center"/>
                </w:tcPr>
                <w:p w14:paraId="25148AE1">
                  <w:pPr>
                    <w:keepNext w:val="0"/>
                    <w:keepLines w:val="0"/>
                    <w:pageBreakBefore w:val="0"/>
                    <w:kinsoku/>
                    <w:wordWrap/>
                    <w:overflowPunct/>
                    <w:topLinePunct w:val="0"/>
                    <w:autoSpaceDE/>
                    <w:autoSpaceDN/>
                    <w:bidi w:val="0"/>
                    <w:adjustRightInd w:val="0"/>
                    <w:snapToGrid w:val="0"/>
                    <w:ind w:right="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rPr>
                    <w:t>/</w:t>
                  </w:r>
                </w:p>
              </w:tc>
              <w:tc>
                <w:tcPr>
                  <w:tcW w:w="588" w:type="pct"/>
                  <w:noWrap w:val="0"/>
                  <w:vAlign w:val="center"/>
                </w:tcPr>
                <w:p w14:paraId="678160A4">
                  <w:pPr>
                    <w:keepNext w:val="0"/>
                    <w:keepLines w:val="0"/>
                    <w:pageBreakBefore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c>
                <w:tcPr>
                  <w:tcW w:w="605" w:type="pct"/>
                  <w:noWrap w:val="0"/>
                  <w:vAlign w:val="center"/>
                </w:tcPr>
                <w:p w14:paraId="7BEE1028">
                  <w:pPr>
                    <w:pStyle w:val="2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color w:val="auto"/>
                      <w:spacing w:val="-6"/>
                      <w:sz w:val="21"/>
                      <w:szCs w:val="21"/>
                      <w:highlight w:val="none"/>
                    </w:rPr>
                    <w:t>少量</w:t>
                  </w:r>
                </w:p>
              </w:tc>
            </w:tr>
          </w:tbl>
          <w:p w14:paraId="098F01C5">
            <w:pPr>
              <w:keepNext w:val="0"/>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color w:val="auto"/>
                <w:sz w:val="24"/>
                <w:highlight w:val="none"/>
              </w:rPr>
            </w:pPr>
            <w:r>
              <w:rPr>
                <w:b/>
                <w:bCs/>
                <w:color w:val="auto"/>
                <w:sz w:val="24"/>
                <w:highlight w:val="none"/>
              </w:rPr>
              <w:t>污染源强核算、达标排放分析、治理措施可行性分析</w:t>
            </w:r>
          </w:p>
          <w:p w14:paraId="0CA33B62">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b/>
                <w:bCs/>
                <w:color w:val="auto"/>
                <w:sz w:val="24"/>
                <w:highlight w:val="none"/>
              </w:rPr>
            </w:pPr>
            <w:r>
              <w:rPr>
                <w:rFonts w:hint="eastAsia"/>
                <w:b/>
                <w:bCs/>
                <w:color w:val="auto"/>
                <w:sz w:val="24"/>
                <w:highlight w:val="none"/>
              </w:rPr>
              <w:t>⑴发泡工序、成型工序废气</w:t>
            </w:r>
          </w:p>
          <w:p w14:paraId="3C6C79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b/>
                <w:color w:val="auto"/>
                <w:kern w:val="0"/>
                <w:sz w:val="24"/>
                <w:highlight w:val="none"/>
              </w:rPr>
            </w:pPr>
            <w:r>
              <w:rPr>
                <w:color w:val="auto"/>
                <w:kern w:val="0"/>
                <w:sz w:val="24"/>
                <w:highlight w:val="none"/>
              </w:rPr>
              <w:fldChar w:fldCharType="begin"/>
            </w:r>
            <w:r>
              <w:rPr>
                <w:color w:val="auto"/>
                <w:kern w:val="0"/>
                <w:sz w:val="24"/>
                <w:highlight w:val="none"/>
              </w:rPr>
              <w:instrText xml:space="preserve"> = 1 \* GB3 </w:instrText>
            </w:r>
            <w:r>
              <w:rPr>
                <w:color w:val="auto"/>
                <w:kern w:val="0"/>
                <w:sz w:val="24"/>
                <w:highlight w:val="none"/>
              </w:rPr>
              <w:fldChar w:fldCharType="separate"/>
            </w:r>
            <w:r>
              <w:rPr>
                <w:color w:val="auto"/>
                <w:kern w:val="0"/>
                <w:sz w:val="24"/>
                <w:highlight w:val="none"/>
              </w:rPr>
              <w:t>①</w:t>
            </w:r>
            <w:r>
              <w:rPr>
                <w:color w:val="auto"/>
                <w:kern w:val="0"/>
                <w:sz w:val="24"/>
                <w:highlight w:val="none"/>
              </w:rPr>
              <w:fldChar w:fldCharType="end"/>
            </w:r>
            <w:r>
              <w:rPr>
                <w:color w:val="auto"/>
                <w:kern w:val="0"/>
                <w:sz w:val="24"/>
                <w:highlight w:val="none"/>
              </w:rPr>
              <w:t>污染源强核算</w:t>
            </w:r>
          </w:p>
          <w:p w14:paraId="1B893082">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highlight w:val="none"/>
                <w:lang w:eastAsia="zh-CN"/>
              </w:rPr>
            </w:pPr>
            <w:r>
              <w:rPr>
                <w:rFonts w:hint="eastAsia"/>
                <w:b/>
                <w:bCs/>
                <w:color w:val="auto"/>
                <w:sz w:val="24"/>
                <w:highlight w:val="none"/>
              </w:rPr>
              <w:fldChar w:fldCharType="begin"/>
            </w:r>
            <w:r>
              <w:rPr>
                <w:rFonts w:hint="eastAsia"/>
                <w:b/>
                <w:bCs/>
                <w:color w:val="auto"/>
                <w:sz w:val="24"/>
                <w:highlight w:val="none"/>
              </w:rPr>
              <w:instrText xml:space="preserve"> = 1 \* GB4 \* MERGEFORMAT </w:instrText>
            </w:r>
            <w:r>
              <w:rPr>
                <w:rFonts w:hint="eastAsia"/>
                <w:b/>
                <w:bCs/>
                <w:color w:val="auto"/>
                <w:sz w:val="24"/>
                <w:highlight w:val="none"/>
              </w:rPr>
              <w:fldChar w:fldCharType="separate"/>
            </w:r>
            <w:r>
              <w:rPr>
                <w:rFonts w:hint="eastAsia"/>
                <w:b/>
                <w:bCs/>
                <w:color w:val="auto"/>
                <w:sz w:val="24"/>
                <w:highlight w:val="none"/>
              </w:rPr>
              <w:t>㈠</w:t>
            </w:r>
            <w:r>
              <w:rPr>
                <w:rFonts w:hint="eastAsia"/>
                <w:b/>
                <w:bCs/>
                <w:color w:val="auto"/>
                <w:sz w:val="24"/>
                <w:highlight w:val="none"/>
              </w:rPr>
              <w:fldChar w:fldCharType="end"/>
            </w:r>
            <w:r>
              <w:rPr>
                <w:rFonts w:hint="eastAsia"/>
                <w:b/>
                <w:bCs/>
                <w:color w:val="auto"/>
                <w:sz w:val="24"/>
                <w:highlight w:val="none"/>
              </w:rPr>
              <w:t>甲苯</w:t>
            </w:r>
            <w:r>
              <w:rPr>
                <w:rFonts w:hint="eastAsia" w:ascii="Times New Roman" w:hAnsi="Times New Roman" w:eastAsia="宋体" w:cs="Times New Roman"/>
                <w:b/>
                <w:bCs/>
                <w:color w:val="auto"/>
                <w:sz w:val="24"/>
                <w:highlight w:val="none"/>
                <w:lang w:eastAsia="zh-CN"/>
              </w:rPr>
              <w:t>、</w:t>
            </w:r>
            <w:r>
              <w:rPr>
                <w:rFonts w:hint="eastAsia" w:ascii="Times New Roman" w:hAnsi="Times New Roman" w:eastAsia="宋体" w:cs="Times New Roman"/>
                <w:b/>
                <w:bCs/>
                <w:color w:val="auto"/>
                <w:sz w:val="24"/>
                <w:highlight w:val="none"/>
              </w:rPr>
              <w:t>苯乙烯及乙苯</w:t>
            </w:r>
          </w:p>
          <w:p w14:paraId="6F740D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highlight w:val="none"/>
              </w:rPr>
            </w:pPr>
            <w:r>
              <w:rPr>
                <w:rFonts w:hint="default" w:ascii="Times New Roman" w:hAnsi="Times New Roman" w:cs="Times New Roman"/>
                <w:color w:val="auto"/>
                <w:sz w:val="24"/>
                <w:highlight w:val="none"/>
              </w:rPr>
              <w:t>本项目原料采用可发性聚苯乙烯颗粒（EPS），生产过程中发泡及成型的温度为100℃，</w:t>
            </w:r>
            <w:r>
              <w:rPr>
                <w:rFonts w:hint="eastAsia"/>
                <w:color w:val="auto"/>
                <w:sz w:val="24"/>
                <w:szCs w:val="24"/>
                <w:highlight w:val="none"/>
              </w:rPr>
              <w:t>由于目前暂未出台泡沫塑料行业的相关源强计算方法，本次参照</w:t>
            </w:r>
            <w:r>
              <w:rPr>
                <w:rFonts w:hint="default" w:ascii="Times New Roman" w:hAnsi="Times New Roman" w:cs="Times New Roman"/>
                <w:color w:val="auto"/>
                <w:sz w:val="24"/>
                <w:highlight w:val="none"/>
              </w:rPr>
              <w:t>《气相色谱-质谱法分析聚苯乙烯加热分解产物》（中国卫生检验杂志2009年9月第19卷第9期）的</w:t>
            </w:r>
            <w:r>
              <w:rPr>
                <w:rFonts w:hint="eastAsia"/>
                <w:color w:val="auto"/>
                <w:sz w:val="24"/>
                <w:highlight w:val="none"/>
              </w:rPr>
              <w:t>研究结论</w:t>
            </w:r>
            <w:r>
              <w:rPr>
                <w:rFonts w:hint="eastAsia"/>
                <w:color w:val="auto"/>
                <w:sz w:val="24"/>
                <w:szCs w:val="24"/>
                <w:highlight w:val="none"/>
              </w:rPr>
              <w:t>进行类比分析。</w:t>
            </w:r>
            <w:r>
              <w:rPr>
                <w:rFonts w:hint="eastAsia"/>
                <w:color w:val="auto"/>
                <w:sz w:val="24"/>
                <w:highlight w:val="none"/>
              </w:rPr>
              <w:t>可知，在不同温度下聚苯乙烯的加热分解产物的种类和浓度如下：</w:t>
            </w:r>
          </w:p>
          <w:p w14:paraId="520562BD">
            <w:pPr>
              <w:pStyle w:val="11"/>
              <w:keepNext w:val="0"/>
              <w:keepLines w:val="0"/>
              <w:pageBreakBefore w:val="0"/>
              <w:widowControl w:val="0"/>
              <w:kinsoku/>
              <w:wordWrap/>
              <w:overflowPunct/>
              <w:topLinePunct w:val="0"/>
              <w:autoSpaceDE/>
              <w:autoSpaceDN/>
              <w:bidi w:val="0"/>
              <w:adjustRightInd w:val="0"/>
              <w:snapToGrid w:val="0"/>
              <w:spacing w:after="0"/>
              <w:ind w:left="0" w:leftChars="0" w:firstLine="431"/>
              <w:textAlignment w:val="auto"/>
              <w:rPr>
                <w:color w:val="auto"/>
                <w:sz w:val="24"/>
                <w:szCs w:val="24"/>
                <w:highlight w:val="none"/>
              </w:rPr>
            </w:pPr>
            <w:r>
              <w:rPr>
                <w:bCs/>
                <w:color w:val="auto"/>
                <w:sz w:val="21"/>
                <w:szCs w:val="21"/>
                <w:highlight w:val="none"/>
              </w:rPr>
              <w:t>表</w:t>
            </w:r>
            <w:r>
              <w:rPr>
                <w:rFonts w:hint="eastAsia"/>
                <w:bCs/>
                <w:color w:val="auto"/>
                <w:sz w:val="21"/>
                <w:szCs w:val="21"/>
                <w:highlight w:val="none"/>
              </w:rPr>
              <w:t>4-</w:t>
            </w:r>
            <w:r>
              <w:rPr>
                <w:rFonts w:hint="eastAsia"/>
                <w:bCs/>
                <w:color w:val="auto"/>
                <w:sz w:val="21"/>
                <w:szCs w:val="21"/>
                <w:highlight w:val="none"/>
                <w:lang w:val="en-US" w:eastAsia="zh-CN"/>
              </w:rPr>
              <w:t>4</w:t>
            </w:r>
            <w:r>
              <w:rPr>
                <w:b/>
                <w:color w:val="auto"/>
                <w:sz w:val="24"/>
                <w:szCs w:val="24"/>
                <w:highlight w:val="none"/>
              </w:rPr>
              <w:t xml:space="preserve"> </w:t>
            </w:r>
            <w:r>
              <w:rPr>
                <w:rFonts w:hint="eastAsia"/>
                <w:b/>
                <w:color w:val="auto"/>
                <w:sz w:val="24"/>
                <w:szCs w:val="24"/>
                <w:highlight w:val="none"/>
                <w:lang w:val="en-US" w:eastAsia="zh-CN"/>
              </w:rPr>
              <w:t xml:space="preserve"> </w:t>
            </w:r>
            <w:r>
              <w:rPr>
                <w:rFonts w:hint="eastAsia"/>
                <w:b/>
                <w:bCs/>
                <w:color w:val="auto"/>
                <w:sz w:val="24"/>
                <w:szCs w:val="24"/>
                <w:highlight w:val="none"/>
              </w:rPr>
              <w:t xml:space="preserve">不同温度下聚苯乙烯的加热分解产物的种类和浓度   </w:t>
            </w:r>
            <w:r>
              <w:rPr>
                <w:rFonts w:hint="eastAsia"/>
                <w:color w:val="auto"/>
                <w:sz w:val="24"/>
                <w:szCs w:val="24"/>
                <w:highlight w:val="none"/>
              </w:rPr>
              <w:t>单位：mg/m</w:t>
            </w:r>
            <w:r>
              <w:rPr>
                <w:rFonts w:hint="eastAsia"/>
                <w:color w:val="auto"/>
                <w:sz w:val="24"/>
                <w:szCs w:val="24"/>
                <w:highlight w:val="none"/>
                <w:vertAlign w:val="superscript"/>
              </w:rPr>
              <w:t>3</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1"/>
              <w:gridCol w:w="708"/>
              <w:gridCol w:w="734"/>
              <w:gridCol w:w="757"/>
              <w:gridCol w:w="733"/>
              <w:gridCol w:w="757"/>
              <w:gridCol w:w="746"/>
              <w:gridCol w:w="757"/>
              <w:gridCol w:w="757"/>
              <w:gridCol w:w="758"/>
              <w:gridCol w:w="699"/>
            </w:tblGrid>
            <w:tr w14:paraId="46410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21" w:type="dxa"/>
                  <w:vMerge w:val="restart"/>
                  <w:noWrap w:val="0"/>
                  <w:vAlign w:val="center"/>
                </w:tcPr>
                <w:p w14:paraId="0D4829EF">
                  <w:pPr>
                    <w:adjustRightInd w:val="0"/>
                    <w:snapToGrid w:val="0"/>
                    <w:jc w:val="center"/>
                    <w:rPr>
                      <w:b/>
                      <w:color w:val="auto"/>
                      <w:kern w:val="0"/>
                      <w:szCs w:val="21"/>
                      <w:highlight w:val="none"/>
                    </w:rPr>
                  </w:pPr>
                  <w:r>
                    <w:rPr>
                      <w:rFonts w:hint="eastAsia"/>
                      <w:b/>
                      <w:color w:val="auto"/>
                      <w:kern w:val="0"/>
                      <w:szCs w:val="21"/>
                      <w:highlight w:val="none"/>
                    </w:rPr>
                    <w:t>加热分解产物</w:t>
                  </w:r>
                </w:p>
              </w:tc>
              <w:tc>
                <w:tcPr>
                  <w:tcW w:w="7583" w:type="dxa"/>
                  <w:gridSpan w:val="10"/>
                  <w:noWrap w:val="0"/>
                  <w:vAlign w:val="center"/>
                </w:tcPr>
                <w:p w14:paraId="72AEEF47">
                  <w:pPr>
                    <w:adjustRightInd w:val="0"/>
                    <w:snapToGrid w:val="0"/>
                    <w:jc w:val="center"/>
                    <w:rPr>
                      <w:b/>
                      <w:color w:val="auto"/>
                      <w:kern w:val="0"/>
                      <w:szCs w:val="21"/>
                      <w:highlight w:val="none"/>
                    </w:rPr>
                  </w:pPr>
                  <w:r>
                    <w:rPr>
                      <w:rFonts w:hint="eastAsia"/>
                      <w:b/>
                      <w:color w:val="auto"/>
                      <w:kern w:val="0"/>
                      <w:szCs w:val="21"/>
                      <w:highlight w:val="none"/>
                    </w:rPr>
                    <w:t>温度（</w:t>
                  </w:r>
                  <w:r>
                    <w:rPr>
                      <w:rFonts w:hint="default" w:ascii="Times New Roman" w:hAnsi="Times New Roman" w:cs="Times New Roman"/>
                      <w:b/>
                      <w:color w:val="auto"/>
                      <w:kern w:val="0"/>
                      <w:szCs w:val="21"/>
                      <w:highlight w:val="none"/>
                    </w:rPr>
                    <w:t>℃</w:t>
                  </w:r>
                  <w:r>
                    <w:rPr>
                      <w:rFonts w:hint="eastAsia"/>
                      <w:b/>
                      <w:color w:val="auto"/>
                      <w:kern w:val="0"/>
                      <w:szCs w:val="21"/>
                      <w:highlight w:val="none"/>
                    </w:rPr>
                    <w:t>）</w:t>
                  </w:r>
                </w:p>
              </w:tc>
            </w:tr>
            <w:tr w14:paraId="07C4A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21" w:type="dxa"/>
                  <w:vMerge w:val="continue"/>
                  <w:noWrap w:val="0"/>
                  <w:vAlign w:val="center"/>
                </w:tcPr>
                <w:p w14:paraId="2B65F051">
                  <w:pPr>
                    <w:adjustRightInd w:val="0"/>
                    <w:snapToGrid w:val="0"/>
                    <w:jc w:val="center"/>
                    <w:rPr>
                      <w:b/>
                      <w:color w:val="auto"/>
                      <w:kern w:val="0"/>
                      <w:szCs w:val="21"/>
                      <w:highlight w:val="none"/>
                    </w:rPr>
                  </w:pPr>
                </w:p>
              </w:tc>
              <w:tc>
                <w:tcPr>
                  <w:tcW w:w="722" w:type="dxa"/>
                  <w:noWrap w:val="0"/>
                  <w:vAlign w:val="center"/>
                </w:tcPr>
                <w:p w14:paraId="34A1B7B2">
                  <w:pPr>
                    <w:adjustRightInd w:val="0"/>
                    <w:snapToGrid w:val="0"/>
                    <w:jc w:val="center"/>
                    <w:rPr>
                      <w:b/>
                      <w:color w:val="auto"/>
                      <w:kern w:val="0"/>
                      <w:szCs w:val="21"/>
                      <w:highlight w:val="none"/>
                    </w:rPr>
                  </w:pPr>
                  <w:r>
                    <w:rPr>
                      <w:rFonts w:hint="eastAsia"/>
                      <w:b/>
                      <w:color w:val="auto"/>
                      <w:kern w:val="0"/>
                      <w:szCs w:val="21"/>
                      <w:highlight w:val="none"/>
                    </w:rPr>
                    <w:t>80</w:t>
                  </w:r>
                </w:p>
              </w:tc>
              <w:tc>
                <w:tcPr>
                  <w:tcW w:w="751" w:type="dxa"/>
                  <w:noWrap w:val="0"/>
                  <w:vAlign w:val="center"/>
                </w:tcPr>
                <w:p w14:paraId="47435574">
                  <w:pPr>
                    <w:adjustRightInd w:val="0"/>
                    <w:snapToGrid w:val="0"/>
                    <w:jc w:val="center"/>
                    <w:rPr>
                      <w:b/>
                      <w:color w:val="auto"/>
                      <w:kern w:val="0"/>
                      <w:szCs w:val="21"/>
                      <w:highlight w:val="none"/>
                    </w:rPr>
                  </w:pPr>
                  <w:r>
                    <w:rPr>
                      <w:rFonts w:hint="eastAsia"/>
                      <w:b/>
                      <w:color w:val="auto"/>
                      <w:kern w:val="0"/>
                      <w:szCs w:val="21"/>
                      <w:highlight w:val="none"/>
                    </w:rPr>
                    <w:t>100</w:t>
                  </w:r>
                </w:p>
              </w:tc>
              <w:tc>
                <w:tcPr>
                  <w:tcW w:w="777" w:type="dxa"/>
                  <w:noWrap w:val="0"/>
                  <w:vAlign w:val="center"/>
                </w:tcPr>
                <w:p w14:paraId="574191E1">
                  <w:pPr>
                    <w:adjustRightInd w:val="0"/>
                    <w:snapToGrid w:val="0"/>
                    <w:jc w:val="center"/>
                    <w:rPr>
                      <w:b/>
                      <w:color w:val="auto"/>
                      <w:kern w:val="0"/>
                      <w:szCs w:val="21"/>
                      <w:highlight w:val="none"/>
                    </w:rPr>
                  </w:pPr>
                  <w:r>
                    <w:rPr>
                      <w:rFonts w:hint="eastAsia"/>
                      <w:b/>
                      <w:color w:val="auto"/>
                      <w:kern w:val="0"/>
                      <w:szCs w:val="21"/>
                      <w:highlight w:val="none"/>
                    </w:rPr>
                    <w:t>120</w:t>
                  </w:r>
                </w:p>
              </w:tc>
              <w:tc>
                <w:tcPr>
                  <w:tcW w:w="750" w:type="dxa"/>
                  <w:noWrap w:val="0"/>
                  <w:vAlign w:val="center"/>
                </w:tcPr>
                <w:p w14:paraId="7AE5C824">
                  <w:pPr>
                    <w:adjustRightInd w:val="0"/>
                    <w:snapToGrid w:val="0"/>
                    <w:jc w:val="center"/>
                    <w:rPr>
                      <w:b/>
                      <w:color w:val="auto"/>
                      <w:kern w:val="0"/>
                      <w:szCs w:val="21"/>
                      <w:highlight w:val="none"/>
                    </w:rPr>
                  </w:pPr>
                  <w:r>
                    <w:rPr>
                      <w:rFonts w:hint="eastAsia"/>
                      <w:b/>
                      <w:color w:val="auto"/>
                      <w:kern w:val="0"/>
                      <w:szCs w:val="21"/>
                      <w:highlight w:val="none"/>
                    </w:rPr>
                    <w:t>140</w:t>
                  </w:r>
                </w:p>
              </w:tc>
              <w:tc>
                <w:tcPr>
                  <w:tcW w:w="777" w:type="dxa"/>
                  <w:noWrap w:val="0"/>
                  <w:vAlign w:val="center"/>
                </w:tcPr>
                <w:p w14:paraId="02997B58">
                  <w:pPr>
                    <w:adjustRightInd w:val="0"/>
                    <w:snapToGrid w:val="0"/>
                    <w:jc w:val="center"/>
                    <w:rPr>
                      <w:b/>
                      <w:color w:val="auto"/>
                      <w:kern w:val="0"/>
                      <w:szCs w:val="21"/>
                      <w:highlight w:val="none"/>
                    </w:rPr>
                  </w:pPr>
                  <w:r>
                    <w:rPr>
                      <w:rFonts w:hint="eastAsia"/>
                      <w:b/>
                      <w:color w:val="auto"/>
                      <w:kern w:val="0"/>
                      <w:szCs w:val="21"/>
                      <w:highlight w:val="none"/>
                    </w:rPr>
                    <w:t>160</w:t>
                  </w:r>
                </w:p>
              </w:tc>
              <w:tc>
                <w:tcPr>
                  <w:tcW w:w="764" w:type="dxa"/>
                  <w:noWrap w:val="0"/>
                  <w:vAlign w:val="center"/>
                </w:tcPr>
                <w:p w14:paraId="7475B10E">
                  <w:pPr>
                    <w:adjustRightInd w:val="0"/>
                    <w:snapToGrid w:val="0"/>
                    <w:jc w:val="center"/>
                    <w:rPr>
                      <w:b/>
                      <w:color w:val="auto"/>
                      <w:kern w:val="0"/>
                      <w:szCs w:val="21"/>
                      <w:highlight w:val="none"/>
                    </w:rPr>
                  </w:pPr>
                  <w:r>
                    <w:rPr>
                      <w:rFonts w:hint="eastAsia"/>
                      <w:b/>
                      <w:color w:val="auto"/>
                      <w:kern w:val="0"/>
                      <w:szCs w:val="21"/>
                      <w:highlight w:val="none"/>
                    </w:rPr>
                    <w:t>180</w:t>
                  </w:r>
                </w:p>
              </w:tc>
              <w:tc>
                <w:tcPr>
                  <w:tcW w:w="777" w:type="dxa"/>
                  <w:noWrap w:val="0"/>
                  <w:vAlign w:val="center"/>
                </w:tcPr>
                <w:p w14:paraId="278C1D1E">
                  <w:pPr>
                    <w:adjustRightInd w:val="0"/>
                    <w:snapToGrid w:val="0"/>
                    <w:jc w:val="center"/>
                    <w:rPr>
                      <w:b/>
                      <w:color w:val="auto"/>
                      <w:kern w:val="0"/>
                      <w:szCs w:val="21"/>
                      <w:highlight w:val="none"/>
                    </w:rPr>
                  </w:pPr>
                  <w:r>
                    <w:rPr>
                      <w:rFonts w:hint="eastAsia"/>
                      <w:b/>
                      <w:color w:val="auto"/>
                      <w:kern w:val="0"/>
                      <w:szCs w:val="21"/>
                      <w:highlight w:val="none"/>
                    </w:rPr>
                    <w:t>200</w:t>
                  </w:r>
                </w:p>
              </w:tc>
              <w:tc>
                <w:tcPr>
                  <w:tcW w:w="777" w:type="dxa"/>
                  <w:noWrap w:val="0"/>
                  <w:vAlign w:val="center"/>
                </w:tcPr>
                <w:p w14:paraId="74EE09F3">
                  <w:pPr>
                    <w:adjustRightInd w:val="0"/>
                    <w:snapToGrid w:val="0"/>
                    <w:jc w:val="center"/>
                    <w:rPr>
                      <w:b/>
                      <w:color w:val="auto"/>
                      <w:kern w:val="0"/>
                      <w:szCs w:val="21"/>
                      <w:highlight w:val="none"/>
                    </w:rPr>
                  </w:pPr>
                  <w:r>
                    <w:rPr>
                      <w:rFonts w:hint="eastAsia"/>
                      <w:b/>
                      <w:color w:val="auto"/>
                      <w:kern w:val="0"/>
                      <w:szCs w:val="21"/>
                      <w:highlight w:val="none"/>
                    </w:rPr>
                    <w:t>220</w:t>
                  </w:r>
                </w:p>
              </w:tc>
              <w:tc>
                <w:tcPr>
                  <w:tcW w:w="777" w:type="dxa"/>
                  <w:noWrap w:val="0"/>
                  <w:vAlign w:val="center"/>
                </w:tcPr>
                <w:p w14:paraId="41F6E230">
                  <w:pPr>
                    <w:adjustRightInd w:val="0"/>
                    <w:snapToGrid w:val="0"/>
                    <w:jc w:val="center"/>
                    <w:rPr>
                      <w:b/>
                      <w:color w:val="auto"/>
                      <w:kern w:val="0"/>
                      <w:szCs w:val="21"/>
                      <w:highlight w:val="none"/>
                    </w:rPr>
                  </w:pPr>
                  <w:r>
                    <w:rPr>
                      <w:rFonts w:hint="eastAsia"/>
                      <w:b/>
                      <w:color w:val="auto"/>
                      <w:kern w:val="0"/>
                      <w:szCs w:val="21"/>
                      <w:highlight w:val="none"/>
                    </w:rPr>
                    <w:t>240</w:t>
                  </w:r>
                </w:p>
              </w:tc>
              <w:tc>
                <w:tcPr>
                  <w:tcW w:w="711" w:type="dxa"/>
                  <w:noWrap w:val="0"/>
                  <w:vAlign w:val="center"/>
                </w:tcPr>
                <w:p w14:paraId="1962601D">
                  <w:pPr>
                    <w:adjustRightInd w:val="0"/>
                    <w:snapToGrid w:val="0"/>
                    <w:jc w:val="center"/>
                    <w:rPr>
                      <w:b/>
                      <w:color w:val="auto"/>
                      <w:kern w:val="0"/>
                      <w:szCs w:val="21"/>
                      <w:highlight w:val="none"/>
                    </w:rPr>
                  </w:pPr>
                  <w:r>
                    <w:rPr>
                      <w:rFonts w:hint="eastAsia"/>
                      <w:b/>
                      <w:color w:val="auto"/>
                      <w:kern w:val="0"/>
                      <w:szCs w:val="21"/>
                      <w:highlight w:val="none"/>
                    </w:rPr>
                    <w:t>260</w:t>
                  </w:r>
                </w:p>
              </w:tc>
            </w:tr>
            <w:tr w14:paraId="602E4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21" w:type="dxa"/>
                  <w:noWrap w:val="0"/>
                  <w:vAlign w:val="center"/>
                </w:tcPr>
                <w:p w14:paraId="182C1B5B">
                  <w:pPr>
                    <w:adjustRightInd w:val="0"/>
                    <w:snapToGrid w:val="0"/>
                    <w:jc w:val="center"/>
                    <w:rPr>
                      <w:bCs/>
                      <w:color w:val="auto"/>
                      <w:kern w:val="0"/>
                      <w:szCs w:val="21"/>
                      <w:highlight w:val="none"/>
                    </w:rPr>
                  </w:pPr>
                  <w:r>
                    <w:rPr>
                      <w:rFonts w:hint="eastAsia"/>
                      <w:bCs/>
                      <w:color w:val="auto"/>
                      <w:kern w:val="0"/>
                      <w:szCs w:val="21"/>
                      <w:highlight w:val="none"/>
                    </w:rPr>
                    <w:t>甲苯</w:t>
                  </w:r>
                </w:p>
              </w:tc>
              <w:tc>
                <w:tcPr>
                  <w:tcW w:w="722" w:type="dxa"/>
                  <w:noWrap w:val="0"/>
                  <w:vAlign w:val="center"/>
                </w:tcPr>
                <w:p w14:paraId="61307629">
                  <w:pPr>
                    <w:adjustRightInd w:val="0"/>
                    <w:snapToGrid w:val="0"/>
                    <w:jc w:val="center"/>
                    <w:rPr>
                      <w:bCs/>
                      <w:color w:val="auto"/>
                      <w:kern w:val="0"/>
                      <w:szCs w:val="21"/>
                      <w:highlight w:val="none"/>
                    </w:rPr>
                  </w:pPr>
                  <w:r>
                    <w:rPr>
                      <w:rFonts w:hint="eastAsia"/>
                      <w:bCs/>
                      <w:color w:val="auto"/>
                      <w:kern w:val="0"/>
                      <w:szCs w:val="21"/>
                      <w:highlight w:val="none"/>
                    </w:rPr>
                    <w:t>0.08</w:t>
                  </w:r>
                </w:p>
              </w:tc>
              <w:tc>
                <w:tcPr>
                  <w:tcW w:w="751" w:type="dxa"/>
                  <w:noWrap w:val="0"/>
                  <w:vAlign w:val="center"/>
                </w:tcPr>
                <w:p w14:paraId="1DE72626">
                  <w:pPr>
                    <w:adjustRightInd w:val="0"/>
                    <w:snapToGrid w:val="0"/>
                    <w:jc w:val="center"/>
                    <w:rPr>
                      <w:bCs/>
                      <w:color w:val="auto"/>
                      <w:kern w:val="0"/>
                      <w:szCs w:val="21"/>
                      <w:highlight w:val="none"/>
                    </w:rPr>
                  </w:pPr>
                  <w:r>
                    <w:rPr>
                      <w:rFonts w:hint="eastAsia"/>
                      <w:bCs/>
                      <w:color w:val="auto"/>
                      <w:kern w:val="0"/>
                      <w:szCs w:val="21"/>
                      <w:highlight w:val="none"/>
                    </w:rPr>
                    <w:t>0.14</w:t>
                  </w:r>
                </w:p>
              </w:tc>
              <w:tc>
                <w:tcPr>
                  <w:tcW w:w="777" w:type="dxa"/>
                  <w:noWrap w:val="0"/>
                  <w:vAlign w:val="center"/>
                </w:tcPr>
                <w:p w14:paraId="0492F7AF">
                  <w:pPr>
                    <w:adjustRightInd w:val="0"/>
                    <w:snapToGrid w:val="0"/>
                    <w:jc w:val="center"/>
                    <w:rPr>
                      <w:bCs/>
                      <w:color w:val="auto"/>
                      <w:kern w:val="0"/>
                      <w:szCs w:val="21"/>
                      <w:highlight w:val="none"/>
                    </w:rPr>
                  </w:pPr>
                  <w:r>
                    <w:rPr>
                      <w:rFonts w:hint="eastAsia"/>
                      <w:bCs/>
                      <w:color w:val="auto"/>
                      <w:kern w:val="0"/>
                      <w:szCs w:val="21"/>
                      <w:highlight w:val="none"/>
                    </w:rPr>
                    <w:t>0.20</w:t>
                  </w:r>
                </w:p>
              </w:tc>
              <w:tc>
                <w:tcPr>
                  <w:tcW w:w="750" w:type="dxa"/>
                  <w:noWrap w:val="0"/>
                  <w:vAlign w:val="center"/>
                </w:tcPr>
                <w:p w14:paraId="36524CAB">
                  <w:pPr>
                    <w:adjustRightInd w:val="0"/>
                    <w:snapToGrid w:val="0"/>
                    <w:jc w:val="center"/>
                    <w:rPr>
                      <w:bCs/>
                      <w:color w:val="auto"/>
                      <w:kern w:val="0"/>
                      <w:szCs w:val="21"/>
                      <w:highlight w:val="none"/>
                    </w:rPr>
                  </w:pPr>
                  <w:r>
                    <w:rPr>
                      <w:rFonts w:hint="eastAsia"/>
                      <w:bCs/>
                      <w:color w:val="auto"/>
                      <w:kern w:val="0"/>
                      <w:szCs w:val="21"/>
                      <w:highlight w:val="none"/>
                    </w:rPr>
                    <w:t>0.22</w:t>
                  </w:r>
                </w:p>
              </w:tc>
              <w:tc>
                <w:tcPr>
                  <w:tcW w:w="777" w:type="dxa"/>
                  <w:noWrap w:val="0"/>
                  <w:vAlign w:val="center"/>
                </w:tcPr>
                <w:p w14:paraId="43526DF9">
                  <w:pPr>
                    <w:adjustRightInd w:val="0"/>
                    <w:snapToGrid w:val="0"/>
                    <w:jc w:val="center"/>
                    <w:rPr>
                      <w:bCs/>
                      <w:color w:val="auto"/>
                      <w:kern w:val="0"/>
                      <w:szCs w:val="21"/>
                      <w:highlight w:val="none"/>
                    </w:rPr>
                  </w:pPr>
                  <w:r>
                    <w:rPr>
                      <w:rFonts w:hint="eastAsia"/>
                      <w:bCs/>
                      <w:color w:val="auto"/>
                      <w:kern w:val="0"/>
                      <w:szCs w:val="21"/>
                      <w:highlight w:val="none"/>
                    </w:rPr>
                    <w:t>0.73</w:t>
                  </w:r>
                </w:p>
              </w:tc>
              <w:tc>
                <w:tcPr>
                  <w:tcW w:w="764" w:type="dxa"/>
                  <w:noWrap w:val="0"/>
                  <w:vAlign w:val="center"/>
                </w:tcPr>
                <w:p w14:paraId="72F61E22">
                  <w:pPr>
                    <w:adjustRightInd w:val="0"/>
                    <w:snapToGrid w:val="0"/>
                    <w:jc w:val="center"/>
                    <w:rPr>
                      <w:bCs/>
                      <w:color w:val="auto"/>
                      <w:kern w:val="0"/>
                      <w:szCs w:val="21"/>
                      <w:highlight w:val="none"/>
                    </w:rPr>
                  </w:pPr>
                  <w:r>
                    <w:rPr>
                      <w:rFonts w:hint="eastAsia"/>
                      <w:bCs/>
                      <w:color w:val="auto"/>
                      <w:kern w:val="0"/>
                      <w:szCs w:val="21"/>
                      <w:highlight w:val="none"/>
                    </w:rPr>
                    <w:t>1.24</w:t>
                  </w:r>
                </w:p>
              </w:tc>
              <w:tc>
                <w:tcPr>
                  <w:tcW w:w="777" w:type="dxa"/>
                  <w:noWrap w:val="0"/>
                  <w:vAlign w:val="center"/>
                </w:tcPr>
                <w:p w14:paraId="73C2AF8F">
                  <w:pPr>
                    <w:adjustRightInd w:val="0"/>
                    <w:snapToGrid w:val="0"/>
                    <w:jc w:val="center"/>
                    <w:rPr>
                      <w:bCs/>
                      <w:color w:val="auto"/>
                      <w:kern w:val="0"/>
                      <w:szCs w:val="21"/>
                      <w:highlight w:val="none"/>
                    </w:rPr>
                  </w:pPr>
                  <w:r>
                    <w:rPr>
                      <w:rFonts w:hint="eastAsia"/>
                      <w:bCs/>
                      <w:color w:val="auto"/>
                      <w:kern w:val="0"/>
                      <w:szCs w:val="21"/>
                      <w:highlight w:val="none"/>
                    </w:rPr>
                    <w:t>2.28</w:t>
                  </w:r>
                </w:p>
              </w:tc>
              <w:tc>
                <w:tcPr>
                  <w:tcW w:w="777" w:type="dxa"/>
                  <w:noWrap w:val="0"/>
                  <w:vAlign w:val="center"/>
                </w:tcPr>
                <w:p w14:paraId="26B2968D">
                  <w:pPr>
                    <w:adjustRightInd w:val="0"/>
                    <w:snapToGrid w:val="0"/>
                    <w:jc w:val="center"/>
                    <w:rPr>
                      <w:bCs/>
                      <w:color w:val="auto"/>
                      <w:kern w:val="0"/>
                      <w:szCs w:val="21"/>
                      <w:highlight w:val="none"/>
                    </w:rPr>
                  </w:pPr>
                  <w:r>
                    <w:rPr>
                      <w:rFonts w:hint="eastAsia"/>
                      <w:bCs/>
                      <w:color w:val="auto"/>
                      <w:kern w:val="0"/>
                      <w:szCs w:val="21"/>
                      <w:highlight w:val="none"/>
                    </w:rPr>
                    <w:t>3.42</w:t>
                  </w:r>
                </w:p>
              </w:tc>
              <w:tc>
                <w:tcPr>
                  <w:tcW w:w="777" w:type="dxa"/>
                  <w:noWrap w:val="0"/>
                  <w:vAlign w:val="center"/>
                </w:tcPr>
                <w:p w14:paraId="6E5D0FF4">
                  <w:pPr>
                    <w:adjustRightInd w:val="0"/>
                    <w:snapToGrid w:val="0"/>
                    <w:jc w:val="center"/>
                    <w:rPr>
                      <w:bCs/>
                      <w:color w:val="auto"/>
                      <w:kern w:val="0"/>
                      <w:szCs w:val="21"/>
                      <w:highlight w:val="none"/>
                    </w:rPr>
                  </w:pPr>
                  <w:r>
                    <w:rPr>
                      <w:rFonts w:hint="eastAsia"/>
                      <w:bCs/>
                      <w:color w:val="auto"/>
                      <w:kern w:val="0"/>
                      <w:szCs w:val="21"/>
                      <w:highlight w:val="none"/>
                    </w:rPr>
                    <w:t>6.82</w:t>
                  </w:r>
                </w:p>
              </w:tc>
              <w:tc>
                <w:tcPr>
                  <w:tcW w:w="711" w:type="dxa"/>
                  <w:noWrap w:val="0"/>
                  <w:vAlign w:val="center"/>
                </w:tcPr>
                <w:p w14:paraId="0A531233">
                  <w:pPr>
                    <w:adjustRightInd w:val="0"/>
                    <w:snapToGrid w:val="0"/>
                    <w:jc w:val="center"/>
                    <w:rPr>
                      <w:bCs/>
                      <w:color w:val="auto"/>
                      <w:kern w:val="0"/>
                      <w:szCs w:val="21"/>
                      <w:highlight w:val="none"/>
                    </w:rPr>
                  </w:pPr>
                  <w:r>
                    <w:rPr>
                      <w:rFonts w:hint="eastAsia"/>
                      <w:bCs/>
                      <w:color w:val="auto"/>
                      <w:kern w:val="0"/>
                      <w:szCs w:val="21"/>
                      <w:highlight w:val="none"/>
                    </w:rPr>
                    <w:t>9.22</w:t>
                  </w:r>
                </w:p>
              </w:tc>
            </w:tr>
            <w:tr w14:paraId="3B432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21" w:type="dxa"/>
                  <w:noWrap w:val="0"/>
                  <w:vAlign w:val="center"/>
                </w:tcPr>
                <w:p w14:paraId="07FD4D4E">
                  <w:pPr>
                    <w:adjustRightInd w:val="0"/>
                    <w:snapToGrid w:val="0"/>
                    <w:jc w:val="center"/>
                    <w:rPr>
                      <w:rFonts w:hint="eastAsia"/>
                      <w:bCs/>
                      <w:color w:val="auto"/>
                      <w:kern w:val="0"/>
                      <w:szCs w:val="21"/>
                      <w:highlight w:val="none"/>
                    </w:rPr>
                  </w:pPr>
                  <w:r>
                    <w:rPr>
                      <w:rFonts w:hint="eastAsia"/>
                      <w:bCs/>
                      <w:color w:val="auto"/>
                      <w:kern w:val="0"/>
                      <w:szCs w:val="21"/>
                      <w:highlight w:val="none"/>
                    </w:rPr>
                    <w:t>乙苯</w:t>
                  </w:r>
                </w:p>
              </w:tc>
              <w:tc>
                <w:tcPr>
                  <w:tcW w:w="2250" w:type="dxa"/>
                  <w:gridSpan w:val="3"/>
                  <w:noWrap w:val="0"/>
                  <w:vAlign w:val="center"/>
                </w:tcPr>
                <w:p w14:paraId="510F58B7">
                  <w:pPr>
                    <w:adjustRightInd w:val="0"/>
                    <w:snapToGrid w:val="0"/>
                    <w:jc w:val="center"/>
                    <w:rPr>
                      <w:bCs/>
                      <w:color w:val="auto"/>
                      <w:kern w:val="0"/>
                      <w:szCs w:val="21"/>
                      <w:highlight w:val="none"/>
                    </w:rPr>
                  </w:pPr>
                  <w:r>
                    <w:rPr>
                      <w:rFonts w:hint="eastAsia"/>
                      <w:bCs/>
                      <w:color w:val="auto"/>
                      <w:kern w:val="0"/>
                      <w:szCs w:val="21"/>
                      <w:highlight w:val="none"/>
                    </w:rPr>
                    <w:t>未检出</w:t>
                  </w:r>
                </w:p>
              </w:tc>
              <w:tc>
                <w:tcPr>
                  <w:tcW w:w="750" w:type="dxa"/>
                  <w:noWrap w:val="0"/>
                  <w:vAlign w:val="center"/>
                </w:tcPr>
                <w:p w14:paraId="740B9D60">
                  <w:pPr>
                    <w:adjustRightInd w:val="0"/>
                    <w:snapToGrid w:val="0"/>
                    <w:jc w:val="center"/>
                    <w:rPr>
                      <w:bCs/>
                      <w:color w:val="auto"/>
                      <w:kern w:val="0"/>
                      <w:szCs w:val="21"/>
                      <w:highlight w:val="none"/>
                    </w:rPr>
                  </w:pPr>
                  <w:r>
                    <w:rPr>
                      <w:rFonts w:hint="eastAsia"/>
                      <w:bCs/>
                      <w:color w:val="auto"/>
                      <w:kern w:val="0"/>
                      <w:szCs w:val="21"/>
                      <w:highlight w:val="none"/>
                    </w:rPr>
                    <w:t>0.18</w:t>
                  </w:r>
                </w:p>
              </w:tc>
              <w:tc>
                <w:tcPr>
                  <w:tcW w:w="777" w:type="dxa"/>
                  <w:noWrap w:val="0"/>
                  <w:vAlign w:val="center"/>
                </w:tcPr>
                <w:p w14:paraId="797235BC">
                  <w:pPr>
                    <w:adjustRightInd w:val="0"/>
                    <w:snapToGrid w:val="0"/>
                    <w:jc w:val="center"/>
                    <w:rPr>
                      <w:bCs/>
                      <w:color w:val="auto"/>
                      <w:kern w:val="0"/>
                      <w:szCs w:val="21"/>
                      <w:highlight w:val="none"/>
                    </w:rPr>
                  </w:pPr>
                  <w:r>
                    <w:rPr>
                      <w:rFonts w:hint="eastAsia"/>
                      <w:bCs/>
                      <w:color w:val="auto"/>
                      <w:kern w:val="0"/>
                      <w:szCs w:val="21"/>
                      <w:highlight w:val="none"/>
                    </w:rPr>
                    <w:t>0.38</w:t>
                  </w:r>
                </w:p>
              </w:tc>
              <w:tc>
                <w:tcPr>
                  <w:tcW w:w="764" w:type="dxa"/>
                  <w:noWrap w:val="0"/>
                  <w:vAlign w:val="center"/>
                </w:tcPr>
                <w:p w14:paraId="4967186D">
                  <w:pPr>
                    <w:adjustRightInd w:val="0"/>
                    <w:snapToGrid w:val="0"/>
                    <w:jc w:val="center"/>
                    <w:rPr>
                      <w:bCs/>
                      <w:color w:val="auto"/>
                      <w:kern w:val="0"/>
                      <w:szCs w:val="21"/>
                      <w:highlight w:val="none"/>
                    </w:rPr>
                  </w:pPr>
                  <w:r>
                    <w:rPr>
                      <w:rFonts w:hint="eastAsia"/>
                      <w:bCs/>
                      <w:color w:val="auto"/>
                      <w:kern w:val="0"/>
                      <w:szCs w:val="21"/>
                      <w:highlight w:val="none"/>
                    </w:rPr>
                    <w:t>0.66</w:t>
                  </w:r>
                </w:p>
              </w:tc>
              <w:tc>
                <w:tcPr>
                  <w:tcW w:w="777" w:type="dxa"/>
                  <w:noWrap w:val="0"/>
                  <w:vAlign w:val="center"/>
                </w:tcPr>
                <w:p w14:paraId="28ED2D75">
                  <w:pPr>
                    <w:adjustRightInd w:val="0"/>
                    <w:snapToGrid w:val="0"/>
                    <w:jc w:val="center"/>
                    <w:rPr>
                      <w:bCs/>
                      <w:color w:val="auto"/>
                      <w:kern w:val="0"/>
                      <w:szCs w:val="21"/>
                      <w:highlight w:val="none"/>
                    </w:rPr>
                  </w:pPr>
                  <w:r>
                    <w:rPr>
                      <w:rFonts w:hint="eastAsia"/>
                      <w:bCs/>
                      <w:color w:val="auto"/>
                      <w:kern w:val="0"/>
                      <w:szCs w:val="21"/>
                      <w:highlight w:val="none"/>
                    </w:rPr>
                    <w:t>1.06</w:t>
                  </w:r>
                </w:p>
              </w:tc>
              <w:tc>
                <w:tcPr>
                  <w:tcW w:w="777" w:type="dxa"/>
                  <w:noWrap w:val="0"/>
                  <w:vAlign w:val="center"/>
                </w:tcPr>
                <w:p w14:paraId="4A817ED7">
                  <w:pPr>
                    <w:adjustRightInd w:val="0"/>
                    <w:snapToGrid w:val="0"/>
                    <w:jc w:val="center"/>
                    <w:rPr>
                      <w:bCs/>
                      <w:color w:val="auto"/>
                      <w:kern w:val="0"/>
                      <w:szCs w:val="21"/>
                      <w:highlight w:val="none"/>
                    </w:rPr>
                  </w:pPr>
                  <w:r>
                    <w:rPr>
                      <w:rFonts w:hint="eastAsia"/>
                      <w:bCs/>
                      <w:color w:val="auto"/>
                      <w:kern w:val="0"/>
                      <w:szCs w:val="21"/>
                      <w:highlight w:val="none"/>
                    </w:rPr>
                    <w:t>1.31</w:t>
                  </w:r>
                </w:p>
              </w:tc>
              <w:tc>
                <w:tcPr>
                  <w:tcW w:w="777" w:type="dxa"/>
                  <w:noWrap w:val="0"/>
                  <w:vAlign w:val="center"/>
                </w:tcPr>
                <w:p w14:paraId="34177A6D">
                  <w:pPr>
                    <w:adjustRightInd w:val="0"/>
                    <w:snapToGrid w:val="0"/>
                    <w:jc w:val="center"/>
                    <w:rPr>
                      <w:bCs/>
                      <w:color w:val="auto"/>
                      <w:kern w:val="0"/>
                      <w:szCs w:val="21"/>
                      <w:highlight w:val="none"/>
                    </w:rPr>
                  </w:pPr>
                  <w:r>
                    <w:rPr>
                      <w:rFonts w:hint="eastAsia"/>
                      <w:bCs/>
                      <w:color w:val="auto"/>
                      <w:kern w:val="0"/>
                      <w:szCs w:val="21"/>
                      <w:highlight w:val="none"/>
                    </w:rPr>
                    <w:t>2.56</w:t>
                  </w:r>
                </w:p>
              </w:tc>
              <w:tc>
                <w:tcPr>
                  <w:tcW w:w="711" w:type="dxa"/>
                  <w:noWrap w:val="0"/>
                  <w:vAlign w:val="center"/>
                </w:tcPr>
                <w:p w14:paraId="3E4861BC">
                  <w:pPr>
                    <w:adjustRightInd w:val="0"/>
                    <w:snapToGrid w:val="0"/>
                    <w:jc w:val="center"/>
                    <w:rPr>
                      <w:bCs/>
                      <w:color w:val="auto"/>
                      <w:kern w:val="0"/>
                      <w:szCs w:val="21"/>
                      <w:highlight w:val="none"/>
                    </w:rPr>
                  </w:pPr>
                  <w:r>
                    <w:rPr>
                      <w:rFonts w:hint="eastAsia"/>
                      <w:bCs/>
                      <w:color w:val="auto"/>
                      <w:kern w:val="0"/>
                      <w:szCs w:val="21"/>
                      <w:highlight w:val="none"/>
                    </w:rPr>
                    <w:t>5.81</w:t>
                  </w:r>
                </w:p>
              </w:tc>
            </w:tr>
            <w:tr w14:paraId="0435D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21" w:type="dxa"/>
                  <w:noWrap w:val="0"/>
                  <w:vAlign w:val="center"/>
                </w:tcPr>
                <w:p w14:paraId="5A01E0BF">
                  <w:pPr>
                    <w:adjustRightInd w:val="0"/>
                    <w:snapToGrid w:val="0"/>
                    <w:jc w:val="center"/>
                    <w:rPr>
                      <w:bCs/>
                      <w:color w:val="auto"/>
                      <w:kern w:val="0"/>
                      <w:szCs w:val="21"/>
                      <w:highlight w:val="none"/>
                    </w:rPr>
                  </w:pPr>
                  <w:r>
                    <w:rPr>
                      <w:rFonts w:hint="eastAsia"/>
                      <w:bCs/>
                      <w:color w:val="auto"/>
                      <w:kern w:val="0"/>
                      <w:szCs w:val="21"/>
                      <w:highlight w:val="none"/>
                    </w:rPr>
                    <w:t>苯乙烯</w:t>
                  </w:r>
                </w:p>
              </w:tc>
              <w:tc>
                <w:tcPr>
                  <w:tcW w:w="2250" w:type="dxa"/>
                  <w:gridSpan w:val="3"/>
                  <w:noWrap w:val="0"/>
                  <w:vAlign w:val="center"/>
                </w:tcPr>
                <w:p w14:paraId="06BD881B">
                  <w:pPr>
                    <w:adjustRightInd w:val="0"/>
                    <w:snapToGrid w:val="0"/>
                    <w:jc w:val="center"/>
                    <w:rPr>
                      <w:bCs/>
                      <w:color w:val="auto"/>
                      <w:kern w:val="0"/>
                      <w:szCs w:val="21"/>
                      <w:highlight w:val="none"/>
                    </w:rPr>
                  </w:pPr>
                  <w:r>
                    <w:rPr>
                      <w:rFonts w:hint="eastAsia"/>
                      <w:bCs/>
                      <w:color w:val="auto"/>
                      <w:kern w:val="0"/>
                      <w:szCs w:val="21"/>
                      <w:highlight w:val="none"/>
                    </w:rPr>
                    <w:t>未检出</w:t>
                  </w:r>
                </w:p>
              </w:tc>
              <w:tc>
                <w:tcPr>
                  <w:tcW w:w="750" w:type="dxa"/>
                  <w:noWrap w:val="0"/>
                  <w:vAlign w:val="center"/>
                </w:tcPr>
                <w:p w14:paraId="184A4783">
                  <w:pPr>
                    <w:adjustRightInd w:val="0"/>
                    <w:snapToGrid w:val="0"/>
                    <w:jc w:val="center"/>
                    <w:rPr>
                      <w:bCs/>
                      <w:color w:val="auto"/>
                      <w:kern w:val="0"/>
                      <w:szCs w:val="21"/>
                      <w:highlight w:val="none"/>
                    </w:rPr>
                  </w:pPr>
                  <w:r>
                    <w:rPr>
                      <w:rFonts w:hint="eastAsia"/>
                      <w:bCs/>
                      <w:color w:val="auto"/>
                      <w:kern w:val="0"/>
                      <w:szCs w:val="21"/>
                      <w:highlight w:val="none"/>
                    </w:rPr>
                    <w:t>0.10</w:t>
                  </w:r>
                </w:p>
              </w:tc>
              <w:tc>
                <w:tcPr>
                  <w:tcW w:w="777" w:type="dxa"/>
                  <w:noWrap w:val="0"/>
                  <w:vAlign w:val="center"/>
                </w:tcPr>
                <w:p w14:paraId="38EDA7B0">
                  <w:pPr>
                    <w:adjustRightInd w:val="0"/>
                    <w:snapToGrid w:val="0"/>
                    <w:jc w:val="center"/>
                    <w:rPr>
                      <w:bCs/>
                      <w:color w:val="auto"/>
                      <w:kern w:val="0"/>
                      <w:szCs w:val="21"/>
                      <w:highlight w:val="none"/>
                    </w:rPr>
                  </w:pPr>
                  <w:r>
                    <w:rPr>
                      <w:rFonts w:hint="eastAsia"/>
                      <w:bCs/>
                      <w:color w:val="auto"/>
                      <w:kern w:val="0"/>
                      <w:szCs w:val="21"/>
                      <w:highlight w:val="none"/>
                    </w:rPr>
                    <w:t>0.23</w:t>
                  </w:r>
                </w:p>
              </w:tc>
              <w:tc>
                <w:tcPr>
                  <w:tcW w:w="764" w:type="dxa"/>
                  <w:noWrap w:val="0"/>
                  <w:vAlign w:val="center"/>
                </w:tcPr>
                <w:p w14:paraId="4A38C1F8">
                  <w:pPr>
                    <w:adjustRightInd w:val="0"/>
                    <w:snapToGrid w:val="0"/>
                    <w:jc w:val="center"/>
                    <w:rPr>
                      <w:bCs/>
                      <w:color w:val="auto"/>
                      <w:kern w:val="0"/>
                      <w:szCs w:val="21"/>
                      <w:highlight w:val="none"/>
                    </w:rPr>
                  </w:pPr>
                  <w:r>
                    <w:rPr>
                      <w:rFonts w:hint="eastAsia"/>
                      <w:bCs/>
                      <w:color w:val="auto"/>
                      <w:kern w:val="0"/>
                      <w:szCs w:val="21"/>
                      <w:highlight w:val="none"/>
                    </w:rPr>
                    <w:t>0.42</w:t>
                  </w:r>
                </w:p>
              </w:tc>
              <w:tc>
                <w:tcPr>
                  <w:tcW w:w="777" w:type="dxa"/>
                  <w:noWrap w:val="0"/>
                  <w:vAlign w:val="center"/>
                </w:tcPr>
                <w:p w14:paraId="2443784A">
                  <w:pPr>
                    <w:adjustRightInd w:val="0"/>
                    <w:snapToGrid w:val="0"/>
                    <w:jc w:val="center"/>
                    <w:rPr>
                      <w:bCs/>
                      <w:color w:val="auto"/>
                      <w:kern w:val="0"/>
                      <w:szCs w:val="21"/>
                      <w:highlight w:val="none"/>
                    </w:rPr>
                  </w:pPr>
                  <w:r>
                    <w:rPr>
                      <w:rFonts w:hint="eastAsia"/>
                      <w:bCs/>
                      <w:color w:val="auto"/>
                      <w:kern w:val="0"/>
                      <w:szCs w:val="21"/>
                      <w:highlight w:val="none"/>
                    </w:rPr>
                    <w:t>0.64</w:t>
                  </w:r>
                </w:p>
              </w:tc>
              <w:tc>
                <w:tcPr>
                  <w:tcW w:w="777" w:type="dxa"/>
                  <w:noWrap w:val="0"/>
                  <w:vAlign w:val="center"/>
                </w:tcPr>
                <w:p w14:paraId="544420D5">
                  <w:pPr>
                    <w:adjustRightInd w:val="0"/>
                    <w:snapToGrid w:val="0"/>
                    <w:jc w:val="center"/>
                    <w:rPr>
                      <w:bCs/>
                      <w:color w:val="auto"/>
                      <w:kern w:val="0"/>
                      <w:szCs w:val="21"/>
                      <w:highlight w:val="none"/>
                    </w:rPr>
                  </w:pPr>
                  <w:r>
                    <w:rPr>
                      <w:rFonts w:hint="eastAsia"/>
                      <w:bCs/>
                      <w:color w:val="auto"/>
                      <w:kern w:val="0"/>
                      <w:szCs w:val="21"/>
                      <w:highlight w:val="none"/>
                    </w:rPr>
                    <w:t>1.13</w:t>
                  </w:r>
                </w:p>
              </w:tc>
              <w:tc>
                <w:tcPr>
                  <w:tcW w:w="777" w:type="dxa"/>
                  <w:noWrap w:val="0"/>
                  <w:vAlign w:val="center"/>
                </w:tcPr>
                <w:p w14:paraId="736960EC">
                  <w:pPr>
                    <w:adjustRightInd w:val="0"/>
                    <w:snapToGrid w:val="0"/>
                    <w:jc w:val="center"/>
                    <w:rPr>
                      <w:bCs/>
                      <w:color w:val="auto"/>
                      <w:kern w:val="0"/>
                      <w:szCs w:val="21"/>
                      <w:highlight w:val="none"/>
                    </w:rPr>
                  </w:pPr>
                  <w:r>
                    <w:rPr>
                      <w:rFonts w:hint="eastAsia"/>
                      <w:bCs/>
                      <w:color w:val="auto"/>
                      <w:kern w:val="0"/>
                      <w:szCs w:val="21"/>
                      <w:highlight w:val="none"/>
                    </w:rPr>
                    <w:t>2.06</w:t>
                  </w:r>
                </w:p>
              </w:tc>
              <w:tc>
                <w:tcPr>
                  <w:tcW w:w="711" w:type="dxa"/>
                  <w:noWrap w:val="0"/>
                  <w:vAlign w:val="center"/>
                </w:tcPr>
                <w:p w14:paraId="6C48E8E3">
                  <w:pPr>
                    <w:adjustRightInd w:val="0"/>
                    <w:snapToGrid w:val="0"/>
                    <w:jc w:val="center"/>
                    <w:rPr>
                      <w:bCs/>
                      <w:color w:val="auto"/>
                      <w:kern w:val="0"/>
                      <w:szCs w:val="21"/>
                      <w:highlight w:val="none"/>
                    </w:rPr>
                  </w:pPr>
                  <w:r>
                    <w:rPr>
                      <w:rFonts w:hint="eastAsia"/>
                      <w:bCs/>
                      <w:color w:val="auto"/>
                      <w:kern w:val="0"/>
                      <w:szCs w:val="21"/>
                      <w:highlight w:val="none"/>
                    </w:rPr>
                    <w:t>4.22</w:t>
                  </w:r>
                </w:p>
              </w:tc>
            </w:tr>
            <w:tr w14:paraId="7A1FA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4" w:type="dxa"/>
                  <w:gridSpan w:val="11"/>
                  <w:noWrap w:val="0"/>
                  <w:vAlign w:val="center"/>
                </w:tcPr>
                <w:p w14:paraId="7ADB2C74">
                  <w:pPr>
                    <w:adjustRightInd w:val="0"/>
                    <w:snapToGrid w:val="0"/>
                    <w:jc w:val="left"/>
                    <w:rPr>
                      <w:bCs/>
                      <w:color w:val="auto"/>
                      <w:kern w:val="0"/>
                      <w:szCs w:val="21"/>
                      <w:highlight w:val="none"/>
                    </w:rPr>
                  </w:pPr>
                  <w:r>
                    <w:rPr>
                      <w:rFonts w:hint="eastAsia"/>
                      <w:bCs/>
                      <w:color w:val="auto"/>
                      <w:kern w:val="0"/>
                      <w:szCs w:val="21"/>
                      <w:highlight w:val="none"/>
                    </w:rPr>
                    <w:t>备注：该实验用聚苯乙烯量为25g，电热干燥箱体积136L</w:t>
                  </w:r>
                </w:p>
              </w:tc>
            </w:tr>
          </w:tbl>
          <w:p w14:paraId="01306E0F">
            <w:pPr>
              <w:adjustRightInd w:val="0"/>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根据上表，本项目发泡</w:t>
            </w:r>
            <w:r>
              <w:rPr>
                <w:rFonts w:hint="eastAsia"/>
                <w:color w:val="auto"/>
                <w:sz w:val="24"/>
                <w:szCs w:val="24"/>
                <w:highlight w:val="none"/>
                <w:lang w:val="en-US" w:eastAsia="zh-CN"/>
              </w:rPr>
              <w:t>温度</w:t>
            </w:r>
            <w:r>
              <w:rPr>
                <w:rFonts w:hint="eastAsia"/>
                <w:color w:val="auto"/>
                <w:sz w:val="24"/>
                <w:szCs w:val="24"/>
                <w:highlight w:val="none"/>
              </w:rPr>
              <w:t>为</w:t>
            </w:r>
            <w:r>
              <w:rPr>
                <w:rFonts w:hint="eastAsia"/>
                <w:color w:val="auto"/>
                <w:sz w:val="24"/>
                <w:szCs w:val="24"/>
                <w:highlight w:val="none"/>
                <w:lang w:val="en-US" w:eastAsia="zh-CN"/>
              </w:rPr>
              <w:t>100</w:t>
            </w:r>
            <w:r>
              <w:rPr>
                <w:color w:val="auto"/>
                <w:sz w:val="24"/>
                <w:szCs w:val="24"/>
                <w:highlight w:val="none"/>
              </w:rPr>
              <w:t>℃</w:t>
            </w:r>
            <w:r>
              <w:rPr>
                <w:rFonts w:hint="eastAsia"/>
                <w:color w:val="auto"/>
                <w:sz w:val="24"/>
                <w:szCs w:val="24"/>
                <w:highlight w:val="none"/>
              </w:rPr>
              <w:t>，</w:t>
            </w:r>
            <w:r>
              <w:rPr>
                <w:rFonts w:hint="eastAsia"/>
                <w:color w:val="auto"/>
                <w:sz w:val="24"/>
                <w:szCs w:val="24"/>
                <w:highlight w:val="none"/>
                <w:lang w:val="en-US" w:eastAsia="zh-CN"/>
              </w:rPr>
              <w:t>此温度下</w:t>
            </w:r>
            <w:r>
              <w:rPr>
                <w:rFonts w:hint="eastAsia"/>
                <w:color w:val="auto"/>
                <w:sz w:val="24"/>
                <w:szCs w:val="24"/>
                <w:highlight w:val="none"/>
              </w:rPr>
              <w:t>聚苯乙烯分解产物未检出苯乙烯及乙苯，仅会分解产生</w:t>
            </w:r>
            <w:r>
              <w:rPr>
                <w:rFonts w:hint="eastAsia"/>
                <w:color w:val="auto"/>
                <w:sz w:val="24"/>
                <w:szCs w:val="24"/>
                <w:highlight w:val="none"/>
                <w:lang w:val="en-US" w:eastAsia="zh-CN"/>
              </w:rPr>
              <w:t>少量</w:t>
            </w:r>
            <w:r>
              <w:rPr>
                <w:rFonts w:hint="eastAsia"/>
                <w:color w:val="auto"/>
                <w:sz w:val="24"/>
                <w:szCs w:val="24"/>
                <w:highlight w:val="none"/>
              </w:rPr>
              <w:t>甲苯</w:t>
            </w:r>
            <w:r>
              <w:rPr>
                <w:rFonts w:hint="eastAsia"/>
                <w:color w:val="auto"/>
                <w:sz w:val="24"/>
                <w:szCs w:val="24"/>
                <w:highlight w:val="none"/>
                <w:lang w:eastAsia="zh-CN"/>
              </w:rPr>
              <w:t>；</w:t>
            </w:r>
            <w:r>
              <w:rPr>
                <w:rFonts w:hint="eastAsia"/>
                <w:color w:val="auto"/>
                <w:sz w:val="24"/>
                <w:szCs w:val="24"/>
                <w:highlight w:val="none"/>
              </w:rPr>
              <w:t>成型温度</w:t>
            </w:r>
            <w:r>
              <w:rPr>
                <w:rFonts w:hint="eastAsia"/>
                <w:color w:val="auto"/>
                <w:sz w:val="24"/>
                <w:szCs w:val="24"/>
                <w:highlight w:val="none"/>
                <w:lang w:val="en-US" w:eastAsia="zh-CN"/>
              </w:rPr>
              <w:t>为160</w:t>
            </w:r>
            <w:r>
              <w:rPr>
                <w:color w:val="auto"/>
                <w:sz w:val="24"/>
                <w:szCs w:val="24"/>
                <w:highlight w:val="none"/>
              </w:rPr>
              <w:t>℃</w:t>
            </w:r>
            <w:r>
              <w:rPr>
                <w:rFonts w:hint="eastAsia"/>
                <w:color w:val="auto"/>
                <w:sz w:val="24"/>
                <w:szCs w:val="24"/>
                <w:highlight w:val="none"/>
              </w:rPr>
              <w:t>，</w:t>
            </w:r>
            <w:r>
              <w:rPr>
                <w:rFonts w:hint="eastAsia"/>
                <w:color w:val="auto"/>
                <w:sz w:val="24"/>
                <w:szCs w:val="24"/>
                <w:highlight w:val="none"/>
                <w:lang w:val="en-US" w:eastAsia="zh-CN"/>
              </w:rPr>
              <w:t>此温度下</w:t>
            </w:r>
            <w:r>
              <w:rPr>
                <w:rFonts w:hint="eastAsia"/>
                <w:color w:val="auto"/>
                <w:sz w:val="24"/>
                <w:szCs w:val="24"/>
                <w:highlight w:val="none"/>
              </w:rPr>
              <w:t>聚苯乙烯</w:t>
            </w:r>
            <w:r>
              <w:rPr>
                <w:rFonts w:hint="eastAsia"/>
                <w:color w:val="auto"/>
                <w:sz w:val="24"/>
                <w:szCs w:val="24"/>
                <w:highlight w:val="none"/>
                <w:lang w:val="en-US" w:eastAsia="zh-CN"/>
              </w:rPr>
              <w:t>会</w:t>
            </w:r>
            <w:r>
              <w:rPr>
                <w:rFonts w:hint="eastAsia"/>
                <w:color w:val="auto"/>
                <w:sz w:val="24"/>
                <w:szCs w:val="24"/>
                <w:highlight w:val="none"/>
              </w:rPr>
              <w:t>分解</w:t>
            </w:r>
            <w:r>
              <w:rPr>
                <w:rFonts w:hint="eastAsia"/>
                <w:color w:val="auto"/>
                <w:sz w:val="24"/>
                <w:szCs w:val="24"/>
                <w:highlight w:val="none"/>
                <w:lang w:val="en-US" w:eastAsia="zh-CN"/>
              </w:rPr>
              <w:t>产生</w:t>
            </w:r>
            <w:r>
              <w:rPr>
                <w:rFonts w:hint="eastAsia"/>
                <w:color w:val="auto"/>
                <w:sz w:val="24"/>
                <w:szCs w:val="24"/>
                <w:highlight w:val="none"/>
              </w:rPr>
              <w:t>甲苯</w:t>
            </w:r>
            <w:r>
              <w:rPr>
                <w:rFonts w:hint="eastAsia"/>
                <w:color w:val="auto"/>
                <w:sz w:val="24"/>
                <w:szCs w:val="24"/>
                <w:highlight w:val="none"/>
                <w:lang w:eastAsia="zh-CN"/>
              </w:rPr>
              <w:t>、</w:t>
            </w:r>
            <w:r>
              <w:rPr>
                <w:rFonts w:hint="eastAsia"/>
                <w:color w:val="auto"/>
                <w:sz w:val="24"/>
                <w:szCs w:val="24"/>
                <w:highlight w:val="none"/>
              </w:rPr>
              <w:t>苯乙烯及乙苯。因项目发泡过后熟化冷却后又再次加热成型，故本次计算甲苯产</w:t>
            </w:r>
            <w:r>
              <w:rPr>
                <w:rFonts w:hint="eastAsia"/>
                <w:color w:val="auto"/>
                <w:sz w:val="24"/>
                <w:szCs w:val="24"/>
                <w:highlight w:val="none"/>
                <w:lang w:val="en-US" w:eastAsia="zh-CN"/>
              </w:rPr>
              <w:t>生</w:t>
            </w:r>
            <w:r>
              <w:rPr>
                <w:rFonts w:hint="eastAsia"/>
                <w:color w:val="auto"/>
                <w:sz w:val="24"/>
                <w:szCs w:val="24"/>
                <w:highlight w:val="none"/>
              </w:rPr>
              <w:t>量两次</w:t>
            </w:r>
            <w:r>
              <w:rPr>
                <w:rFonts w:hint="eastAsia"/>
                <w:color w:val="auto"/>
                <w:sz w:val="24"/>
                <w:szCs w:val="24"/>
                <w:lang w:eastAsia="zh-CN"/>
              </w:rPr>
              <w:t>。</w:t>
            </w:r>
          </w:p>
          <w:p w14:paraId="5867EB35">
            <w:pPr>
              <w:adjustRightInd w:val="0"/>
              <w:snapToGrid w:val="0"/>
              <w:spacing w:line="360" w:lineRule="auto"/>
              <w:ind w:firstLine="480" w:firstLineChars="200"/>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rPr>
              <w:t>由于上述资料的实验是在相同容积的情况下测得各项污染物的浓度，因此其浓度比值等于质量比值，则</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0℃时，甲苯占聚苯乙烯的质量比值=（0.08×136×10</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/（25×10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）≈0.000</w:t>
            </w: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kg/t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则</w:t>
            </w:r>
            <w:r>
              <w:rPr>
                <w:rFonts w:hint="default" w:ascii="Times New Roman" w:hAnsi="Times New Roman" w:cs="Times New Roman"/>
                <w:color w:val="auto"/>
                <w:sz w:val="24"/>
                <w:szCs w:val="24"/>
                <w:highlight w:val="none"/>
                <w:lang w:val="en-US" w:eastAsia="zh-CN"/>
              </w:rPr>
              <w:t>16</w:t>
            </w:r>
            <w:r>
              <w:rPr>
                <w:rFonts w:hint="default" w:ascii="Times New Roman" w:hAnsi="Times New Roman" w:cs="Times New Roman"/>
                <w:color w:val="auto"/>
                <w:sz w:val="24"/>
                <w:szCs w:val="24"/>
                <w:highlight w:val="none"/>
              </w:rPr>
              <w:t>0℃时，甲苯占聚苯乙烯的质量比值=（0.</w:t>
            </w:r>
            <w:r>
              <w:rPr>
                <w:rFonts w:hint="default" w:ascii="Times New Roman" w:hAnsi="Times New Roman" w:cs="Times New Roman"/>
                <w:color w:val="auto"/>
                <w:sz w:val="24"/>
                <w:szCs w:val="24"/>
                <w:highlight w:val="none"/>
                <w:lang w:val="en-US" w:eastAsia="zh-CN"/>
              </w:rPr>
              <w:t>73</w:t>
            </w:r>
            <w:r>
              <w:rPr>
                <w:rFonts w:hint="default" w:ascii="Times New Roman" w:hAnsi="Times New Roman" w:cs="Times New Roman"/>
                <w:color w:val="auto"/>
                <w:sz w:val="24"/>
                <w:szCs w:val="24"/>
                <w:highlight w:val="none"/>
              </w:rPr>
              <w:t>×136×10</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/（25×10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）≈0.00</w:t>
            </w:r>
            <w:r>
              <w:rPr>
                <w:rFonts w:hint="default" w:ascii="Times New Roman" w:hAnsi="Times New Roman" w:cs="Times New Roman"/>
                <w:color w:val="auto"/>
                <w:sz w:val="24"/>
                <w:szCs w:val="24"/>
                <w:highlight w:val="none"/>
                <w:lang w:val="en-US" w:eastAsia="zh-CN"/>
              </w:rPr>
              <w:t>40</w:t>
            </w:r>
            <w:r>
              <w:rPr>
                <w:rFonts w:hint="default" w:ascii="Times New Roman" w:hAnsi="Times New Roman" w:cs="Times New Roman"/>
                <w:color w:val="auto"/>
                <w:sz w:val="24"/>
                <w:szCs w:val="24"/>
                <w:highlight w:val="none"/>
              </w:rPr>
              <w:t>kg/t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乙</w:t>
            </w:r>
            <w:r>
              <w:rPr>
                <w:rFonts w:hint="default" w:ascii="Times New Roman" w:hAnsi="Times New Roman" w:cs="Times New Roman"/>
                <w:color w:val="auto"/>
                <w:sz w:val="24"/>
                <w:szCs w:val="24"/>
                <w:highlight w:val="none"/>
              </w:rPr>
              <w:t>苯占聚苯乙烯的质量比值=（0.</w:t>
            </w:r>
            <w:r>
              <w:rPr>
                <w:rFonts w:hint="default" w:ascii="Times New Roman" w:hAnsi="Times New Roman" w:cs="Times New Roman"/>
                <w:color w:val="auto"/>
                <w:sz w:val="24"/>
                <w:szCs w:val="24"/>
                <w:highlight w:val="none"/>
                <w:lang w:val="en-US" w:eastAsia="zh-CN"/>
              </w:rPr>
              <w:t>38</w:t>
            </w:r>
            <w:r>
              <w:rPr>
                <w:rFonts w:hint="default" w:ascii="Times New Roman" w:hAnsi="Times New Roman" w:cs="Times New Roman"/>
                <w:color w:val="auto"/>
                <w:sz w:val="24"/>
                <w:szCs w:val="24"/>
                <w:highlight w:val="none"/>
              </w:rPr>
              <w:t>×136×10</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/（25×10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）≈0.00</w:t>
            </w:r>
            <w:r>
              <w:rPr>
                <w:rFonts w:hint="default" w:ascii="Times New Roman" w:hAnsi="Times New Roman" w:cs="Times New Roman"/>
                <w:color w:val="auto"/>
                <w:sz w:val="24"/>
                <w:szCs w:val="24"/>
                <w:highlight w:val="none"/>
                <w:lang w:val="en-US" w:eastAsia="zh-CN"/>
              </w:rPr>
              <w:t>21</w:t>
            </w:r>
            <w:r>
              <w:rPr>
                <w:rFonts w:hint="default" w:ascii="Times New Roman" w:hAnsi="Times New Roman" w:cs="Times New Roman"/>
                <w:color w:val="auto"/>
                <w:sz w:val="24"/>
                <w:szCs w:val="24"/>
                <w:highlight w:val="none"/>
              </w:rPr>
              <w:t>kg/t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苯乙烯</w:t>
            </w:r>
            <w:r>
              <w:rPr>
                <w:rFonts w:hint="default" w:ascii="Times New Roman" w:hAnsi="Times New Roman" w:cs="Times New Roman"/>
                <w:color w:val="auto"/>
                <w:sz w:val="24"/>
                <w:szCs w:val="24"/>
                <w:highlight w:val="none"/>
              </w:rPr>
              <w:t>占聚苯乙烯的质量比值=（0.</w:t>
            </w:r>
            <w:r>
              <w:rPr>
                <w:rFonts w:hint="default" w:ascii="Times New Roman" w:hAnsi="Times New Roman" w:cs="Times New Roman"/>
                <w:color w:val="auto"/>
                <w:sz w:val="24"/>
                <w:szCs w:val="24"/>
                <w:highlight w:val="none"/>
                <w:lang w:val="en-US" w:eastAsia="zh-CN"/>
              </w:rPr>
              <w:t>23</w:t>
            </w:r>
            <w:r>
              <w:rPr>
                <w:rFonts w:hint="default" w:ascii="Times New Roman" w:hAnsi="Times New Roman" w:cs="Times New Roman"/>
                <w:color w:val="auto"/>
                <w:sz w:val="24"/>
                <w:szCs w:val="24"/>
                <w:highlight w:val="none"/>
              </w:rPr>
              <w:t>×136×10</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/（25×10</w:t>
            </w:r>
            <w:r>
              <w:rPr>
                <w:rFonts w:hint="default" w:ascii="Times New Roman" w:hAnsi="Times New Roman" w:cs="Times New Roman"/>
                <w:color w:val="auto"/>
                <w:sz w:val="24"/>
                <w:szCs w:val="24"/>
                <w:highlight w:val="none"/>
                <w:vertAlign w:val="superscript"/>
              </w:rPr>
              <w:t>-6</w:t>
            </w:r>
            <w:r>
              <w:rPr>
                <w:rFonts w:hint="default" w:ascii="Times New Roman" w:hAnsi="Times New Roman" w:cs="Times New Roman"/>
                <w:color w:val="auto"/>
                <w:sz w:val="24"/>
                <w:szCs w:val="24"/>
                <w:highlight w:val="none"/>
              </w:rPr>
              <w:t>）≈0.00</w:t>
            </w:r>
            <w:r>
              <w:rPr>
                <w:rFonts w:hint="default" w:ascii="Times New Roman" w:hAnsi="Times New Roman" w:cs="Times New Roman"/>
                <w:color w:val="auto"/>
                <w:sz w:val="24"/>
                <w:szCs w:val="24"/>
                <w:highlight w:val="none"/>
                <w:lang w:val="en-US" w:eastAsia="zh-CN"/>
              </w:rPr>
              <w:t>13</w:t>
            </w:r>
            <w:r>
              <w:rPr>
                <w:rFonts w:hint="default" w:ascii="Times New Roman" w:hAnsi="Times New Roman" w:cs="Times New Roman"/>
                <w:color w:val="auto"/>
                <w:sz w:val="24"/>
                <w:szCs w:val="24"/>
                <w:highlight w:val="none"/>
              </w:rPr>
              <w:t>kg/t</w:t>
            </w:r>
            <w:r>
              <w:rPr>
                <w:rFonts w:hint="default" w:ascii="Times New Roman" w:hAnsi="Times New Roman" w:cs="Times New Roman"/>
                <w:color w:val="auto"/>
                <w:sz w:val="24"/>
                <w:szCs w:val="24"/>
                <w:highlight w:val="none"/>
                <w:lang w:eastAsia="zh-CN"/>
              </w:rPr>
              <w:t>。</w:t>
            </w:r>
          </w:p>
          <w:p w14:paraId="33002862">
            <w:pPr>
              <w:adjustRightInd w:val="0"/>
              <w:snapToGrid w:val="0"/>
              <w:spacing w:line="360" w:lineRule="auto"/>
              <w:ind w:firstLine="482"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b/>
                <w:bCs/>
                <w:color w:val="auto"/>
                <w:sz w:val="24"/>
                <w:highlight w:val="none"/>
                <w:lang w:val="en-US" w:eastAsia="zh-CN"/>
              </w:rPr>
              <w:t>一期工程：</w:t>
            </w:r>
          </w:p>
          <w:p w14:paraId="04520603">
            <w:pPr>
              <w:adjustRightInd w:val="0"/>
              <w:snapToGrid w:val="0"/>
              <w:spacing w:line="360" w:lineRule="auto"/>
              <w:ind w:firstLine="480" w:firstLineChars="20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val="en-US" w:eastAsia="zh-CN"/>
              </w:rPr>
              <w:t>一期</w:t>
            </w:r>
            <w:r>
              <w:rPr>
                <w:rFonts w:hint="default" w:ascii="Times New Roman" w:hAnsi="Times New Roman" w:cs="Times New Roman"/>
                <w:color w:val="auto"/>
                <w:sz w:val="24"/>
                <w:highlight w:val="none"/>
              </w:rPr>
              <w:t>可发性聚苯乙烯颗粒（EPS）年用量为</w:t>
            </w:r>
            <w:r>
              <w:rPr>
                <w:rFonts w:hint="eastAsia" w:cs="Times New Roman"/>
                <w:color w:val="auto"/>
                <w:sz w:val="24"/>
                <w:highlight w:val="none"/>
                <w:lang w:val="en-US" w:eastAsia="zh-CN"/>
              </w:rPr>
              <w:t>428.41</w:t>
            </w:r>
            <w:r>
              <w:rPr>
                <w:rFonts w:hint="default" w:ascii="Times New Roman" w:hAnsi="Times New Roman" w:cs="Times New Roman"/>
                <w:color w:val="auto"/>
                <w:sz w:val="24"/>
                <w:highlight w:val="none"/>
              </w:rPr>
              <w:t>t/a，根据成分分析，聚苯乙烯占比约95%，</w:t>
            </w:r>
            <w:r>
              <w:rPr>
                <w:rFonts w:hint="default" w:ascii="Times New Roman" w:hAnsi="Times New Roman" w:cs="Times New Roman"/>
                <w:color w:val="auto"/>
                <w:sz w:val="24"/>
                <w:highlight w:val="none"/>
                <w:lang w:val="en-US" w:eastAsia="zh-CN"/>
              </w:rPr>
              <w:t>一期</w:t>
            </w:r>
            <w:r>
              <w:rPr>
                <w:rFonts w:hint="default" w:ascii="Times New Roman" w:hAnsi="Times New Roman" w:cs="Times New Roman"/>
                <w:color w:val="auto"/>
                <w:sz w:val="24"/>
                <w:highlight w:val="none"/>
              </w:rPr>
              <w:t>发泡</w:t>
            </w:r>
            <w:r>
              <w:rPr>
                <w:rFonts w:hint="default" w:ascii="Times New Roman" w:hAnsi="Times New Roman" w:cs="Times New Roman"/>
                <w:color w:val="auto"/>
                <w:sz w:val="24"/>
                <w:highlight w:val="none"/>
                <w:lang w:val="en-US" w:eastAsia="zh-CN"/>
              </w:rPr>
              <w:t>及</w:t>
            </w:r>
            <w:r>
              <w:rPr>
                <w:rFonts w:hint="default" w:ascii="Times New Roman" w:hAnsi="Times New Roman" w:cs="Times New Roman"/>
                <w:color w:val="auto"/>
                <w:sz w:val="24"/>
                <w:highlight w:val="none"/>
              </w:rPr>
              <w:t>成型工序甲苯产生量为</w:t>
            </w:r>
            <w:r>
              <w:rPr>
                <w:rFonts w:hint="eastAsia" w:cs="Times New Roman"/>
                <w:color w:val="auto"/>
                <w:sz w:val="24"/>
                <w:highlight w:val="none"/>
                <w:lang w:val="en-US" w:eastAsia="zh-CN"/>
              </w:rPr>
              <w:t>1.95</w:t>
            </w: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vertAlign w:val="superscript"/>
              </w:rPr>
              <w:t>-</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t/a，产生速率为</w:t>
            </w:r>
            <w:r>
              <w:rPr>
                <w:rFonts w:hint="eastAsia" w:cs="Times New Roman"/>
                <w:color w:val="auto"/>
                <w:sz w:val="24"/>
                <w:highlight w:val="none"/>
                <w:lang w:val="en-US" w:eastAsia="zh-CN"/>
              </w:rPr>
              <w:t>1.63</w:t>
            </w: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vertAlign w:val="superscript"/>
              </w:rPr>
              <w:t>-</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kg/h</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一期乙</w:t>
            </w:r>
            <w:r>
              <w:rPr>
                <w:rFonts w:hint="default" w:ascii="Times New Roman" w:hAnsi="Times New Roman" w:cs="Times New Roman"/>
                <w:color w:val="auto"/>
                <w:sz w:val="24"/>
                <w:highlight w:val="none"/>
              </w:rPr>
              <w:t>苯产生量为</w:t>
            </w:r>
            <w:r>
              <w:rPr>
                <w:rFonts w:hint="default" w:ascii="Times New Roman" w:hAnsi="Times New Roman" w:cs="Times New Roman"/>
                <w:color w:val="auto"/>
                <w:sz w:val="24"/>
                <w:highlight w:val="none"/>
                <w:lang w:val="en-US" w:eastAsia="zh-CN"/>
              </w:rPr>
              <w:t>0.8</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vertAlign w:val="superscript"/>
              </w:rPr>
              <w:t>-</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t/a，产生速率为</w:t>
            </w:r>
            <w:r>
              <w:rPr>
                <w:rFonts w:hint="default" w:ascii="Times New Roman" w:hAnsi="Times New Roman" w:cs="Times New Roman"/>
                <w:color w:val="auto"/>
                <w:sz w:val="24"/>
                <w:highlight w:val="none"/>
                <w:lang w:val="en-US" w:eastAsia="zh-CN"/>
              </w:rPr>
              <w:t>7.</w:t>
            </w:r>
            <w:r>
              <w:rPr>
                <w:rFonts w:hint="eastAsia" w:cs="Times New Roman"/>
                <w:color w:val="auto"/>
                <w:sz w:val="24"/>
                <w:highlight w:val="none"/>
                <w:lang w:val="en-US" w:eastAsia="zh-CN"/>
              </w:rPr>
              <w:t>12</w:t>
            </w: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vertAlign w:val="superscript"/>
              </w:rPr>
              <w:t>-</w:t>
            </w:r>
            <w:r>
              <w:rPr>
                <w:rFonts w:hint="default" w:ascii="Times New Roman" w:hAnsi="Times New Roman" w:cs="Times New Roman"/>
                <w:color w:val="auto"/>
                <w:sz w:val="24"/>
                <w:highlight w:val="none"/>
                <w:vertAlign w:val="superscript"/>
                <w:lang w:val="en-US" w:eastAsia="zh-CN"/>
              </w:rPr>
              <w:t>4</w:t>
            </w:r>
            <w:r>
              <w:rPr>
                <w:rFonts w:hint="default" w:ascii="Times New Roman" w:hAnsi="Times New Roman" w:cs="Times New Roman"/>
                <w:color w:val="auto"/>
                <w:sz w:val="24"/>
                <w:highlight w:val="none"/>
              </w:rPr>
              <w:t>kg/h</w:t>
            </w:r>
            <w:r>
              <w:rPr>
                <w:rFonts w:hint="default" w:ascii="Times New Roman" w:hAnsi="Times New Roman" w:cs="Times New Roman"/>
                <w:color w:val="auto"/>
                <w:sz w:val="24"/>
                <w:highlight w:val="none"/>
                <w:lang w:eastAsia="zh-CN"/>
              </w:rPr>
              <w:t>；</w:t>
            </w:r>
            <w:r>
              <w:rPr>
                <w:rFonts w:hint="eastAsia"/>
                <w:color w:val="auto"/>
                <w:sz w:val="24"/>
                <w:highlight w:val="none"/>
                <w:lang w:val="en-US" w:eastAsia="zh-CN"/>
              </w:rPr>
              <w:t>一期</w:t>
            </w:r>
            <w:r>
              <w:rPr>
                <w:rFonts w:hint="eastAsia"/>
                <w:color w:val="auto"/>
                <w:sz w:val="24"/>
                <w:highlight w:val="none"/>
              </w:rPr>
              <w:t>苯乙烯产生量为</w:t>
            </w:r>
            <w:r>
              <w:rPr>
                <w:rFonts w:hint="eastAsia"/>
                <w:color w:val="auto"/>
                <w:sz w:val="24"/>
                <w:highlight w:val="none"/>
                <w:lang w:val="en-US" w:eastAsia="zh-CN"/>
              </w:rPr>
              <w:t>0.53</w:t>
            </w:r>
            <w:r>
              <w:rPr>
                <w:color w:val="auto"/>
                <w:sz w:val="24"/>
                <w:highlight w:val="none"/>
              </w:rPr>
              <w:t>×</w:t>
            </w:r>
            <w:r>
              <w:rPr>
                <w:rFonts w:hint="eastAsia"/>
                <w:color w:val="auto"/>
                <w:sz w:val="24"/>
                <w:highlight w:val="none"/>
              </w:rPr>
              <w:t>10</w:t>
            </w:r>
            <w:r>
              <w:rPr>
                <w:rFonts w:hint="eastAsia"/>
                <w:color w:val="auto"/>
                <w:sz w:val="24"/>
                <w:highlight w:val="none"/>
                <w:vertAlign w:val="superscript"/>
              </w:rPr>
              <w:t>-</w:t>
            </w:r>
            <w:r>
              <w:rPr>
                <w:rFonts w:hint="eastAsia"/>
                <w:color w:val="auto"/>
                <w:sz w:val="24"/>
                <w:highlight w:val="none"/>
                <w:vertAlign w:val="superscript"/>
                <w:lang w:val="en-US" w:eastAsia="zh-CN"/>
              </w:rPr>
              <w:t>3</w:t>
            </w:r>
            <w:r>
              <w:rPr>
                <w:rFonts w:hint="eastAsia"/>
                <w:color w:val="auto"/>
                <w:sz w:val="24"/>
                <w:highlight w:val="none"/>
              </w:rPr>
              <w:t>t/a，产生速率为</w:t>
            </w:r>
            <w:r>
              <w:rPr>
                <w:rFonts w:hint="eastAsia"/>
                <w:color w:val="auto"/>
                <w:sz w:val="24"/>
                <w:highlight w:val="none"/>
                <w:lang w:val="en-US" w:eastAsia="zh-CN"/>
              </w:rPr>
              <w:t>4.41</w:t>
            </w:r>
            <w:r>
              <w:rPr>
                <w:color w:val="auto"/>
                <w:sz w:val="24"/>
                <w:highlight w:val="none"/>
              </w:rPr>
              <w:t>×</w:t>
            </w:r>
            <w:r>
              <w:rPr>
                <w:rFonts w:hint="eastAsia"/>
                <w:color w:val="auto"/>
                <w:sz w:val="24"/>
                <w:highlight w:val="none"/>
              </w:rPr>
              <w:t>10</w:t>
            </w:r>
            <w:r>
              <w:rPr>
                <w:rFonts w:hint="eastAsia"/>
                <w:color w:val="auto"/>
                <w:sz w:val="24"/>
                <w:highlight w:val="none"/>
                <w:vertAlign w:val="superscript"/>
              </w:rPr>
              <w:t>-</w:t>
            </w:r>
            <w:r>
              <w:rPr>
                <w:rFonts w:hint="eastAsia"/>
                <w:color w:val="auto"/>
                <w:sz w:val="24"/>
                <w:highlight w:val="none"/>
                <w:vertAlign w:val="superscript"/>
                <w:lang w:val="en-US" w:eastAsia="zh-CN"/>
              </w:rPr>
              <w:t>4</w:t>
            </w:r>
            <w:r>
              <w:rPr>
                <w:rFonts w:hint="eastAsia"/>
                <w:color w:val="auto"/>
                <w:sz w:val="24"/>
                <w:highlight w:val="none"/>
              </w:rPr>
              <w:t>kg/h</w:t>
            </w:r>
            <w:r>
              <w:rPr>
                <w:rFonts w:hint="eastAsia"/>
                <w:color w:val="auto"/>
                <w:sz w:val="24"/>
                <w:highlight w:val="none"/>
                <w:lang w:eastAsia="zh-CN"/>
              </w:rPr>
              <w:t>。</w:t>
            </w:r>
          </w:p>
          <w:p w14:paraId="26B21BF0">
            <w:pPr>
              <w:adjustRightInd w:val="0"/>
              <w:snapToGrid w:val="0"/>
              <w:spacing w:line="360" w:lineRule="auto"/>
              <w:ind w:firstLine="482" w:firstLineChars="200"/>
              <w:rPr>
                <w:rFonts w:hint="default"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二期工程：</w:t>
            </w:r>
          </w:p>
          <w:p w14:paraId="2A736D5B">
            <w:pPr>
              <w:adjustRightInd w:val="0"/>
              <w:snapToGrid w:val="0"/>
              <w:spacing w:line="360" w:lineRule="auto"/>
              <w:ind w:firstLine="480" w:firstLineChars="200"/>
              <w:rPr>
                <w:rFonts w:hint="eastAsia"/>
                <w:color w:val="auto"/>
                <w:sz w:val="24"/>
                <w:highlight w:val="none"/>
              </w:rPr>
            </w:pPr>
            <w:r>
              <w:rPr>
                <w:rFonts w:hint="eastAsia" w:ascii="Times New Roman" w:hAnsi="Times New Roman" w:cs="Times New Roman"/>
                <w:color w:val="auto"/>
                <w:sz w:val="24"/>
                <w:highlight w:val="none"/>
                <w:lang w:val="en-US" w:eastAsia="zh-CN"/>
              </w:rPr>
              <w:t>本项目</w:t>
            </w:r>
            <w:r>
              <w:rPr>
                <w:rFonts w:hint="default" w:ascii="Times New Roman" w:hAnsi="Times New Roman" w:cs="Times New Roman"/>
                <w:color w:val="auto"/>
                <w:sz w:val="24"/>
                <w:highlight w:val="none"/>
                <w:lang w:val="en-US" w:eastAsia="zh-CN"/>
              </w:rPr>
              <w:t>二期</w:t>
            </w:r>
            <w:r>
              <w:rPr>
                <w:rFonts w:hint="default" w:ascii="Times New Roman" w:hAnsi="Times New Roman" w:cs="Times New Roman"/>
                <w:color w:val="auto"/>
                <w:sz w:val="24"/>
                <w:highlight w:val="none"/>
              </w:rPr>
              <w:t>可发性聚苯乙烯颗粒（EPS）年用量为</w:t>
            </w:r>
            <w:r>
              <w:rPr>
                <w:rFonts w:hint="eastAsia" w:cs="Times New Roman"/>
                <w:color w:val="auto"/>
                <w:sz w:val="24"/>
                <w:highlight w:val="none"/>
                <w:lang w:val="en-US" w:eastAsia="zh-CN"/>
              </w:rPr>
              <w:t>856.82</w:t>
            </w:r>
            <w:r>
              <w:rPr>
                <w:rFonts w:hint="default" w:ascii="Times New Roman" w:hAnsi="Times New Roman" w:cs="Times New Roman"/>
                <w:color w:val="auto"/>
                <w:sz w:val="24"/>
                <w:highlight w:val="none"/>
              </w:rPr>
              <w:t>t/a，根据成分分析，聚苯乙烯占比约95%，</w:t>
            </w:r>
            <w:r>
              <w:rPr>
                <w:rFonts w:hint="default" w:ascii="Times New Roman" w:hAnsi="Times New Roman" w:cs="Times New Roman"/>
                <w:color w:val="auto"/>
                <w:sz w:val="24"/>
                <w:highlight w:val="none"/>
                <w:lang w:val="en-US" w:eastAsia="zh-CN"/>
              </w:rPr>
              <w:t>二期</w:t>
            </w:r>
            <w:r>
              <w:rPr>
                <w:rFonts w:hint="default" w:ascii="Times New Roman" w:hAnsi="Times New Roman" w:cs="Times New Roman"/>
                <w:color w:val="auto"/>
                <w:sz w:val="24"/>
                <w:highlight w:val="none"/>
              </w:rPr>
              <w:t>发泡</w:t>
            </w:r>
            <w:r>
              <w:rPr>
                <w:rFonts w:hint="default" w:ascii="Times New Roman" w:hAnsi="Times New Roman" w:cs="Times New Roman"/>
                <w:color w:val="auto"/>
                <w:sz w:val="24"/>
                <w:highlight w:val="none"/>
                <w:lang w:val="en-US" w:eastAsia="zh-CN"/>
              </w:rPr>
              <w:t>及</w:t>
            </w:r>
            <w:r>
              <w:rPr>
                <w:rFonts w:hint="default" w:ascii="Times New Roman" w:hAnsi="Times New Roman" w:cs="Times New Roman"/>
                <w:color w:val="auto"/>
                <w:sz w:val="24"/>
                <w:highlight w:val="none"/>
              </w:rPr>
              <w:t>成型工序甲苯产生量为</w:t>
            </w:r>
            <w:r>
              <w:rPr>
                <w:rFonts w:hint="eastAsia" w:cs="Times New Roman"/>
                <w:color w:val="auto"/>
                <w:sz w:val="24"/>
                <w:highlight w:val="none"/>
                <w:lang w:val="en-US" w:eastAsia="zh-CN"/>
              </w:rPr>
              <w:t>3.91</w:t>
            </w: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vertAlign w:val="superscript"/>
              </w:rPr>
              <w:t>-</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t/a，产生速率为</w:t>
            </w:r>
            <w:r>
              <w:rPr>
                <w:rFonts w:hint="default" w:ascii="Times New Roman" w:hAnsi="Times New Roman" w:cs="Times New Roman"/>
                <w:color w:val="auto"/>
                <w:sz w:val="24"/>
                <w:highlight w:val="none"/>
                <w:lang w:val="en-US" w:eastAsia="zh-CN"/>
              </w:rPr>
              <w:t>3.</w:t>
            </w:r>
            <w:r>
              <w:rPr>
                <w:rFonts w:hint="eastAsia" w:cs="Times New Roman"/>
                <w:color w:val="auto"/>
                <w:sz w:val="24"/>
                <w:highlight w:val="none"/>
                <w:lang w:val="en-US" w:eastAsia="zh-CN"/>
              </w:rPr>
              <w:t>26</w:t>
            </w:r>
            <w:r>
              <w:rPr>
                <w:rFonts w:hint="default" w:ascii="Times New Roman" w:hAnsi="Times New Roman" w:cs="Times New Roman"/>
                <w:color w:val="auto"/>
                <w:sz w:val="24"/>
                <w:highlight w:val="none"/>
              </w:rPr>
              <w:t>×10</w:t>
            </w:r>
            <w:r>
              <w:rPr>
                <w:rFonts w:hint="default" w:ascii="Times New Roman" w:hAnsi="Times New Roman" w:cs="Times New Roman"/>
                <w:color w:val="auto"/>
                <w:sz w:val="24"/>
                <w:highlight w:val="none"/>
                <w:vertAlign w:val="superscript"/>
              </w:rPr>
              <w:t>-</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kg/h</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二期乙</w:t>
            </w:r>
            <w:r>
              <w:rPr>
                <w:rFonts w:hint="default" w:ascii="Times New Roman" w:hAnsi="Times New Roman" w:cs="Times New Roman"/>
                <w:color w:val="auto"/>
                <w:sz w:val="24"/>
                <w:highlight w:val="none"/>
              </w:rPr>
              <w:t>苯产生量为</w:t>
            </w:r>
            <w:r>
              <w:rPr>
                <w:rFonts w:hint="default" w:ascii="Times New Roman" w:hAnsi="Times New Roman" w:cs="Times New Roman"/>
                <w:color w:val="auto"/>
                <w:sz w:val="24"/>
                <w:highlight w:val="none"/>
                <w:lang w:val="en-US" w:eastAsia="zh-CN"/>
              </w:rPr>
              <w:t>1</w:t>
            </w:r>
            <w:r>
              <w:rPr>
                <w:rFonts w:hint="eastAsia"/>
                <w:color w:val="auto"/>
                <w:sz w:val="24"/>
                <w:highlight w:val="none"/>
                <w:lang w:val="en-US" w:eastAsia="zh-CN"/>
              </w:rPr>
              <w:t>.71</w:t>
            </w:r>
            <w:r>
              <w:rPr>
                <w:color w:val="auto"/>
                <w:sz w:val="24"/>
                <w:highlight w:val="none"/>
              </w:rPr>
              <w:t>×</w:t>
            </w:r>
            <w:r>
              <w:rPr>
                <w:rFonts w:hint="eastAsia"/>
                <w:color w:val="auto"/>
                <w:sz w:val="24"/>
                <w:highlight w:val="none"/>
              </w:rPr>
              <w:t>10</w:t>
            </w:r>
            <w:r>
              <w:rPr>
                <w:rFonts w:hint="eastAsia"/>
                <w:color w:val="auto"/>
                <w:sz w:val="24"/>
                <w:highlight w:val="none"/>
                <w:vertAlign w:val="superscript"/>
              </w:rPr>
              <w:t>-</w:t>
            </w:r>
            <w:r>
              <w:rPr>
                <w:rFonts w:hint="eastAsia"/>
                <w:color w:val="auto"/>
                <w:sz w:val="24"/>
                <w:highlight w:val="none"/>
                <w:vertAlign w:val="superscript"/>
                <w:lang w:val="en-US" w:eastAsia="zh-CN"/>
              </w:rPr>
              <w:t>3</w:t>
            </w:r>
            <w:r>
              <w:rPr>
                <w:rFonts w:hint="eastAsia"/>
                <w:color w:val="auto"/>
                <w:sz w:val="24"/>
                <w:highlight w:val="none"/>
              </w:rPr>
              <w:t>t/a，产生速率为</w:t>
            </w:r>
            <w:r>
              <w:rPr>
                <w:rFonts w:hint="eastAsia"/>
                <w:color w:val="auto"/>
                <w:sz w:val="24"/>
                <w:highlight w:val="none"/>
                <w:lang w:val="en-US" w:eastAsia="zh-CN"/>
              </w:rPr>
              <w:t>1.42</w:t>
            </w:r>
            <w:r>
              <w:rPr>
                <w:color w:val="auto"/>
                <w:sz w:val="24"/>
                <w:highlight w:val="none"/>
              </w:rPr>
              <w:t>×</w:t>
            </w:r>
            <w:r>
              <w:rPr>
                <w:rFonts w:hint="eastAsia"/>
                <w:color w:val="auto"/>
                <w:sz w:val="24"/>
                <w:highlight w:val="none"/>
              </w:rPr>
              <w:t>10</w:t>
            </w:r>
            <w:r>
              <w:rPr>
                <w:rFonts w:hint="eastAsia"/>
                <w:color w:val="auto"/>
                <w:sz w:val="24"/>
                <w:highlight w:val="none"/>
                <w:vertAlign w:val="superscript"/>
              </w:rPr>
              <w:t>-</w:t>
            </w:r>
            <w:r>
              <w:rPr>
                <w:rFonts w:hint="eastAsia"/>
                <w:color w:val="auto"/>
                <w:sz w:val="24"/>
                <w:highlight w:val="none"/>
                <w:vertAlign w:val="superscript"/>
                <w:lang w:val="en-US" w:eastAsia="zh-CN"/>
              </w:rPr>
              <w:t>3</w:t>
            </w:r>
            <w:r>
              <w:rPr>
                <w:rFonts w:hint="eastAsia"/>
                <w:color w:val="auto"/>
                <w:sz w:val="24"/>
                <w:highlight w:val="none"/>
              </w:rPr>
              <w:t>kg/h</w:t>
            </w:r>
            <w:r>
              <w:rPr>
                <w:rFonts w:hint="eastAsia"/>
                <w:color w:val="auto"/>
                <w:sz w:val="24"/>
                <w:highlight w:val="none"/>
                <w:lang w:eastAsia="zh-CN"/>
              </w:rPr>
              <w:t>；</w:t>
            </w:r>
            <w:r>
              <w:rPr>
                <w:rFonts w:hint="eastAsia"/>
                <w:color w:val="auto"/>
                <w:sz w:val="24"/>
                <w:highlight w:val="none"/>
                <w:lang w:val="en-US" w:eastAsia="zh-CN"/>
              </w:rPr>
              <w:t>二期</w:t>
            </w:r>
            <w:r>
              <w:rPr>
                <w:rFonts w:hint="eastAsia"/>
                <w:color w:val="auto"/>
                <w:sz w:val="24"/>
                <w:highlight w:val="none"/>
              </w:rPr>
              <w:t>苯乙烯产生量为</w:t>
            </w:r>
            <w:r>
              <w:rPr>
                <w:rFonts w:hint="eastAsia"/>
                <w:color w:val="auto"/>
                <w:sz w:val="24"/>
                <w:highlight w:val="none"/>
                <w:lang w:val="en-US" w:eastAsia="zh-CN"/>
              </w:rPr>
              <w:t>1.06</w:t>
            </w:r>
            <w:r>
              <w:rPr>
                <w:color w:val="auto"/>
                <w:sz w:val="24"/>
                <w:highlight w:val="none"/>
              </w:rPr>
              <w:t>×</w:t>
            </w:r>
            <w:r>
              <w:rPr>
                <w:rFonts w:hint="eastAsia"/>
                <w:color w:val="auto"/>
                <w:sz w:val="24"/>
                <w:highlight w:val="none"/>
              </w:rPr>
              <w:t>10</w:t>
            </w:r>
            <w:r>
              <w:rPr>
                <w:rFonts w:hint="eastAsia"/>
                <w:color w:val="auto"/>
                <w:sz w:val="24"/>
                <w:highlight w:val="none"/>
                <w:vertAlign w:val="superscript"/>
              </w:rPr>
              <w:t>-</w:t>
            </w:r>
            <w:r>
              <w:rPr>
                <w:rFonts w:hint="eastAsia"/>
                <w:color w:val="auto"/>
                <w:sz w:val="24"/>
                <w:highlight w:val="none"/>
                <w:vertAlign w:val="superscript"/>
                <w:lang w:val="en-US" w:eastAsia="zh-CN"/>
              </w:rPr>
              <w:t>3</w:t>
            </w:r>
            <w:r>
              <w:rPr>
                <w:rFonts w:hint="eastAsia"/>
                <w:color w:val="auto"/>
                <w:sz w:val="24"/>
                <w:highlight w:val="none"/>
              </w:rPr>
              <w:t>t/a，产生速率为</w:t>
            </w:r>
            <w:r>
              <w:rPr>
                <w:rFonts w:hint="eastAsia"/>
                <w:color w:val="auto"/>
                <w:sz w:val="24"/>
                <w:highlight w:val="none"/>
                <w:lang w:val="en-US" w:eastAsia="zh-CN"/>
              </w:rPr>
              <w:t>8.82</w:t>
            </w:r>
            <w:r>
              <w:rPr>
                <w:color w:val="auto"/>
                <w:sz w:val="24"/>
                <w:highlight w:val="none"/>
              </w:rPr>
              <w:t>×</w:t>
            </w:r>
            <w:r>
              <w:rPr>
                <w:rFonts w:hint="eastAsia"/>
                <w:color w:val="auto"/>
                <w:sz w:val="24"/>
                <w:highlight w:val="none"/>
              </w:rPr>
              <w:t>10</w:t>
            </w:r>
            <w:r>
              <w:rPr>
                <w:rFonts w:hint="eastAsia"/>
                <w:color w:val="auto"/>
                <w:sz w:val="24"/>
                <w:highlight w:val="none"/>
                <w:vertAlign w:val="superscript"/>
              </w:rPr>
              <w:t>-</w:t>
            </w:r>
            <w:r>
              <w:rPr>
                <w:rFonts w:hint="eastAsia"/>
                <w:color w:val="auto"/>
                <w:sz w:val="24"/>
                <w:highlight w:val="none"/>
                <w:vertAlign w:val="superscript"/>
                <w:lang w:val="en-US" w:eastAsia="zh-CN"/>
              </w:rPr>
              <w:t>4</w:t>
            </w:r>
            <w:r>
              <w:rPr>
                <w:rFonts w:hint="eastAsia"/>
                <w:color w:val="auto"/>
                <w:sz w:val="24"/>
                <w:highlight w:val="none"/>
              </w:rPr>
              <w:t>kg/h。</w:t>
            </w:r>
          </w:p>
          <w:p w14:paraId="1D63FF67">
            <w:pPr>
              <w:adjustRightInd w:val="0"/>
              <w:snapToGrid w:val="0"/>
              <w:spacing w:line="360" w:lineRule="auto"/>
              <w:ind w:firstLine="482" w:firstLineChars="200"/>
              <w:rPr>
                <w:b/>
                <w:bCs/>
                <w:color w:val="auto"/>
                <w:sz w:val="24"/>
                <w:highlight w:val="none"/>
              </w:rPr>
            </w:pPr>
            <w:r>
              <w:rPr>
                <w:rFonts w:hint="eastAsia"/>
                <w:b/>
                <w:bCs/>
                <w:color w:val="auto"/>
                <w:sz w:val="24"/>
                <w:highlight w:val="none"/>
              </w:rPr>
              <w:fldChar w:fldCharType="begin"/>
            </w:r>
            <w:r>
              <w:rPr>
                <w:rFonts w:hint="eastAsia"/>
                <w:b/>
                <w:bCs/>
                <w:color w:val="auto"/>
                <w:sz w:val="24"/>
                <w:highlight w:val="none"/>
              </w:rPr>
              <w:instrText xml:space="preserve"> = 2 \* GB4 \* MERGEFORMAT </w:instrText>
            </w:r>
            <w:r>
              <w:rPr>
                <w:rFonts w:hint="eastAsia"/>
                <w:b/>
                <w:bCs/>
                <w:color w:val="auto"/>
                <w:sz w:val="24"/>
                <w:highlight w:val="none"/>
              </w:rPr>
              <w:fldChar w:fldCharType="separate"/>
            </w:r>
            <w:r>
              <w:rPr>
                <w:rFonts w:hint="eastAsia"/>
                <w:b/>
                <w:bCs/>
                <w:color w:val="auto"/>
                <w:sz w:val="24"/>
                <w:highlight w:val="none"/>
              </w:rPr>
              <w:t>㈡</w:t>
            </w:r>
            <w:r>
              <w:rPr>
                <w:rFonts w:hint="eastAsia"/>
                <w:b/>
                <w:bCs/>
                <w:color w:val="auto"/>
                <w:sz w:val="24"/>
                <w:highlight w:val="none"/>
              </w:rPr>
              <w:fldChar w:fldCharType="end"/>
            </w:r>
            <w:r>
              <w:rPr>
                <w:rFonts w:hint="eastAsia" w:ascii="Times New Roman" w:hAnsi="Times New Roman" w:eastAsia="宋体" w:cs="Times New Roman"/>
                <w:b/>
                <w:bCs/>
                <w:color w:val="auto"/>
                <w:sz w:val="24"/>
                <w:highlight w:val="none"/>
              </w:rPr>
              <w:t>非甲</w:t>
            </w:r>
            <w:r>
              <w:rPr>
                <w:rFonts w:hint="eastAsia"/>
                <w:b/>
                <w:bCs/>
                <w:color w:val="auto"/>
                <w:sz w:val="24"/>
                <w:highlight w:val="none"/>
              </w:rPr>
              <w:t>烷总烃</w:t>
            </w:r>
          </w:p>
          <w:p w14:paraId="6B5CCBC8">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根据原辅材料性质及工艺流程，本项目可发性聚苯乙烯颗粒（EPS）的成分中含有约5%的发泡剂（戊烷），物料在预发泡及成型过程中，发泡剂（戊烷）因高温会进行一定程度的挥发，挥发的废气以非甲烷总烃计。</w:t>
            </w:r>
          </w:p>
          <w:p w14:paraId="64518672">
            <w:pPr>
              <w:adjustRightInd w:val="0"/>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本项目发泡温度为100</w:t>
            </w:r>
            <w:r>
              <w:rPr>
                <w:color w:val="auto"/>
                <w:sz w:val="24"/>
                <w:highlight w:val="none"/>
              </w:rPr>
              <w:t>℃</w:t>
            </w:r>
            <w:r>
              <w:rPr>
                <w:rFonts w:hint="eastAsia"/>
                <w:color w:val="auto"/>
                <w:sz w:val="24"/>
                <w:highlight w:val="none"/>
                <w:lang w:eastAsia="zh-CN"/>
              </w:rPr>
              <w:t>，</w:t>
            </w:r>
            <w:r>
              <w:rPr>
                <w:rFonts w:hint="eastAsia"/>
                <w:color w:val="auto"/>
                <w:sz w:val="24"/>
                <w:highlight w:val="none"/>
                <w:lang w:val="en-US" w:eastAsia="zh-CN"/>
              </w:rPr>
              <w:t>成型温</w:t>
            </w:r>
            <w:r>
              <w:rPr>
                <w:rFonts w:hint="eastAsia"/>
                <w:color w:val="auto"/>
                <w:sz w:val="24"/>
                <w:szCs w:val="24"/>
                <w:highlight w:val="none"/>
                <w:lang w:val="en-US" w:eastAsia="zh-CN"/>
              </w:rPr>
              <w:t>度为160</w:t>
            </w:r>
            <w:r>
              <w:rPr>
                <w:color w:val="auto"/>
                <w:sz w:val="24"/>
                <w:szCs w:val="24"/>
                <w:highlight w:val="none"/>
              </w:rPr>
              <w:t>℃</w:t>
            </w:r>
            <w:r>
              <w:rPr>
                <w:rFonts w:hint="eastAsia"/>
                <w:color w:val="auto"/>
                <w:sz w:val="24"/>
                <w:highlight w:val="none"/>
              </w:rPr>
              <w:t>，且该过程分解产生的甲苯及挥发的发泡剂（戊烷）不再返回物料中，属于一次性挥发，故本次将发泡和成型过程产生的废气一同进行核算，主要污染因子以非甲烷总烃计。</w:t>
            </w:r>
          </w:p>
          <w:p w14:paraId="4BA21404">
            <w:pPr>
              <w:autoSpaceDE w:val="0"/>
              <w:autoSpaceDN w:val="0"/>
              <w:adjustRightInd w:val="0"/>
              <w:snapToGrid w:val="0"/>
              <w:spacing w:line="360" w:lineRule="auto"/>
              <w:ind w:firstLine="480" w:firstLineChars="200"/>
              <w:rPr>
                <w:color w:val="auto"/>
                <w:kern w:val="0"/>
                <w:sz w:val="24"/>
                <w:highlight w:val="none"/>
              </w:rPr>
            </w:pPr>
            <w:r>
              <w:rPr>
                <w:rFonts w:hint="eastAsia"/>
                <w:color w:val="auto"/>
                <w:sz w:val="24"/>
                <w:highlight w:val="none"/>
              </w:rPr>
              <w:t>本次参照《排放源统计调查产排污核算方法和系数手册》中</w:t>
            </w:r>
            <w:r>
              <w:rPr>
                <w:rFonts w:hint="eastAsia"/>
                <w:color w:val="auto"/>
                <w:sz w:val="24"/>
                <w:highlight w:val="none"/>
                <w:lang w:eastAsia="zh-CN"/>
              </w:rPr>
              <w:t>“</w:t>
            </w:r>
            <w:r>
              <w:rPr>
                <w:rFonts w:hint="eastAsia"/>
                <w:color w:val="auto"/>
                <w:sz w:val="24"/>
                <w:highlight w:val="none"/>
              </w:rPr>
              <w:t>292塑料制品行业系数手册</w:t>
            </w:r>
            <w:r>
              <w:rPr>
                <w:rFonts w:hint="eastAsia"/>
                <w:color w:val="auto"/>
                <w:sz w:val="24"/>
                <w:highlight w:val="none"/>
                <w:lang w:eastAsia="zh-CN"/>
              </w:rPr>
              <w:t>”</w:t>
            </w:r>
            <w:r>
              <w:rPr>
                <w:rFonts w:hint="eastAsia"/>
                <w:color w:val="auto"/>
                <w:sz w:val="24"/>
                <w:highlight w:val="none"/>
              </w:rPr>
              <w:t>的挥发性有机物（以非甲烷总烃计）产污系数进行源强核算，具体见下表4-</w:t>
            </w:r>
            <w:r>
              <w:rPr>
                <w:rFonts w:hint="eastAsia"/>
                <w:color w:val="auto"/>
                <w:sz w:val="24"/>
                <w:highlight w:val="none"/>
                <w:lang w:val="en-US" w:eastAsia="zh-CN"/>
              </w:rPr>
              <w:t>5</w:t>
            </w:r>
            <w:r>
              <w:rPr>
                <w:rFonts w:hint="eastAsia"/>
                <w:color w:val="auto"/>
                <w:sz w:val="24"/>
                <w:highlight w:val="none"/>
              </w:rPr>
              <w:t>。</w:t>
            </w:r>
          </w:p>
          <w:p w14:paraId="7BFAFA63">
            <w:pPr>
              <w:adjustRightInd w:val="0"/>
              <w:snapToGrid w:val="0"/>
              <w:ind w:firstLine="436" w:firstLineChars="200"/>
              <w:rPr>
                <w:color w:val="auto"/>
                <w:sz w:val="24"/>
                <w:highlight w:val="none"/>
              </w:rPr>
            </w:pPr>
            <w:r>
              <w:rPr>
                <w:color w:val="auto"/>
                <w:spacing w:val="4"/>
                <w:szCs w:val="21"/>
                <w:highlight w:val="none"/>
              </w:rPr>
              <w:t>表</w:t>
            </w:r>
            <w:r>
              <w:rPr>
                <w:rFonts w:hint="eastAsia"/>
                <w:color w:val="auto"/>
                <w:spacing w:val="4"/>
                <w:szCs w:val="21"/>
                <w:highlight w:val="none"/>
              </w:rPr>
              <w:t>4-</w:t>
            </w:r>
            <w:r>
              <w:rPr>
                <w:rFonts w:hint="eastAsia"/>
                <w:color w:val="auto"/>
                <w:spacing w:val="4"/>
                <w:szCs w:val="21"/>
                <w:highlight w:val="none"/>
                <w:lang w:val="en-US" w:eastAsia="zh-CN"/>
              </w:rPr>
              <w:t>5</w:t>
            </w:r>
            <w:r>
              <w:rPr>
                <w:rFonts w:hint="eastAsia"/>
                <w:color w:val="auto"/>
                <w:spacing w:val="4"/>
                <w:szCs w:val="21"/>
                <w:highlight w:val="none"/>
              </w:rPr>
              <w:t xml:space="preserve"> </w:t>
            </w:r>
            <w:r>
              <w:rPr>
                <w:color w:val="auto"/>
                <w:spacing w:val="4"/>
                <w:szCs w:val="21"/>
                <w:highlight w:val="none"/>
              </w:rPr>
              <w:t xml:space="preserve">   </w:t>
            </w:r>
            <w:r>
              <w:rPr>
                <w:rFonts w:hint="eastAsia"/>
                <w:color w:val="auto"/>
                <w:spacing w:val="4"/>
                <w:szCs w:val="21"/>
                <w:highlight w:val="none"/>
              </w:rPr>
              <w:t xml:space="preserve">    </w:t>
            </w:r>
            <w:r>
              <w:rPr>
                <w:color w:val="auto"/>
                <w:spacing w:val="4"/>
                <w:szCs w:val="21"/>
                <w:highlight w:val="none"/>
              </w:rPr>
              <w:t xml:space="preserve"> </w:t>
            </w:r>
            <w:r>
              <w:rPr>
                <w:rFonts w:hint="eastAsia"/>
                <w:b/>
                <w:bCs/>
                <w:color w:val="auto"/>
                <w:sz w:val="24"/>
                <w:highlight w:val="none"/>
              </w:rPr>
              <w:t>发泡、成型工序参考</w:t>
            </w:r>
            <w:r>
              <w:rPr>
                <w:b/>
                <w:bCs/>
                <w:color w:val="auto"/>
                <w:sz w:val="24"/>
                <w:highlight w:val="none"/>
              </w:rPr>
              <w:t>产排污系数一览表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503"/>
              <w:gridCol w:w="1117"/>
              <w:gridCol w:w="1138"/>
              <w:gridCol w:w="615"/>
              <w:gridCol w:w="898"/>
              <w:gridCol w:w="782"/>
              <w:gridCol w:w="1104"/>
            </w:tblGrid>
            <w:tr w14:paraId="7D025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pct"/>
                  <w:noWrap w:val="0"/>
                  <w:vAlign w:val="center"/>
                </w:tcPr>
                <w:p w14:paraId="43B06A04">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
                      <w:color w:val="auto"/>
                      <w:sz w:val="21"/>
                      <w:szCs w:val="21"/>
                      <w:highlight w:val="none"/>
                    </w:rPr>
                  </w:pPr>
                  <w:r>
                    <w:rPr>
                      <w:rFonts w:hint="eastAsia"/>
                      <w:b/>
                      <w:color w:val="auto"/>
                      <w:sz w:val="21"/>
                      <w:szCs w:val="21"/>
                      <w:highlight w:val="none"/>
                    </w:rPr>
                    <w:t>产品名称</w:t>
                  </w:r>
                </w:p>
              </w:tc>
              <w:tc>
                <w:tcPr>
                  <w:tcW w:w="907" w:type="pct"/>
                  <w:noWrap w:val="0"/>
                  <w:vAlign w:val="center"/>
                </w:tcPr>
                <w:p w14:paraId="1C6D760F">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
                      <w:color w:val="auto"/>
                      <w:sz w:val="21"/>
                      <w:szCs w:val="21"/>
                      <w:highlight w:val="none"/>
                    </w:rPr>
                  </w:pPr>
                  <w:r>
                    <w:rPr>
                      <w:b/>
                      <w:color w:val="auto"/>
                      <w:sz w:val="21"/>
                      <w:szCs w:val="21"/>
                      <w:highlight w:val="none"/>
                    </w:rPr>
                    <w:t>原料名称</w:t>
                  </w:r>
                </w:p>
              </w:tc>
              <w:tc>
                <w:tcPr>
                  <w:tcW w:w="674" w:type="pct"/>
                  <w:noWrap w:val="0"/>
                  <w:vAlign w:val="center"/>
                </w:tcPr>
                <w:p w14:paraId="37EEB15A">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
                      <w:color w:val="auto"/>
                      <w:sz w:val="21"/>
                      <w:szCs w:val="21"/>
                      <w:highlight w:val="none"/>
                    </w:rPr>
                  </w:pPr>
                  <w:r>
                    <w:rPr>
                      <w:rFonts w:hint="eastAsia"/>
                      <w:b/>
                      <w:color w:val="auto"/>
                      <w:sz w:val="21"/>
                      <w:szCs w:val="21"/>
                      <w:highlight w:val="none"/>
                    </w:rPr>
                    <w:t>工艺名称</w:t>
                  </w:r>
                </w:p>
              </w:tc>
              <w:tc>
                <w:tcPr>
                  <w:tcW w:w="687" w:type="pct"/>
                  <w:noWrap w:val="0"/>
                  <w:vAlign w:val="center"/>
                </w:tcPr>
                <w:p w14:paraId="46C8C82E">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rFonts w:hint="eastAsia"/>
                      <w:b/>
                      <w:color w:val="auto"/>
                      <w:sz w:val="21"/>
                      <w:szCs w:val="21"/>
                      <w:highlight w:val="none"/>
                    </w:rPr>
                  </w:pPr>
                  <w:r>
                    <w:rPr>
                      <w:rFonts w:hint="eastAsia"/>
                      <w:b/>
                      <w:color w:val="auto"/>
                      <w:sz w:val="21"/>
                      <w:szCs w:val="21"/>
                      <w:highlight w:val="none"/>
                    </w:rPr>
                    <w:t>规模等级</w:t>
                  </w:r>
                </w:p>
              </w:tc>
              <w:tc>
                <w:tcPr>
                  <w:tcW w:w="913" w:type="pct"/>
                  <w:gridSpan w:val="2"/>
                  <w:noWrap w:val="0"/>
                  <w:vAlign w:val="center"/>
                </w:tcPr>
                <w:p w14:paraId="6E8D5FFF">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
                      <w:color w:val="auto"/>
                      <w:sz w:val="21"/>
                      <w:szCs w:val="21"/>
                      <w:highlight w:val="none"/>
                    </w:rPr>
                  </w:pPr>
                  <w:r>
                    <w:rPr>
                      <w:b/>
                      <w:color w:val="auto"/>
                      <w:sz w:val="21"/>
                      <w:szCs w:val="21"/>
                      <w:highlight w:val="none"/>
                    </w:rPr>
                    <w:t>污染物指标</w:t>
                  </w:r>
                </w:p>
              </w:tc>
              <w:tc>
                <w:tcPr>
                  <w:tcW w:w="472" w:type="pct"/>
                  <w:noWrap w:val="0"/>
                  <w:vAlign w:val="center"/>
                </w:tcPr>
                <w:p w14:paraId="26D961BC">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
                      <w:color w:val="auto"/>
                      <w:sz w:val="21"/>
                      <w:szCs w:val="21"/>
                      <w:highlight w:val="none"/>
                    </w:rPr>
                  </w:pPr>
                  <w:r>
                    <w:rPr>
                      <w:b/>
                      <w:color w:val="auto"/>
                      <w:sz w:val="21"/>
                      <w:szCs w:val="21"/>
                      <w:highlight w:val="none"/>
                    </w:rPr>
                    <w:t>单位</w:t>
                  </w:r>
                </w:p>
              </w:tc>
              <w:tc>
                <w:tcPr>
                  <w:tcW w:w="666" w:type="pct"/>
                  <w:noWrap w:val="0"/>
                  <w:vAlign w:val="center"/>
                </w:tcPr>
                <w:p w14:paraId="13C5D827">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
                      <w:color w:val="auto"/>
                      <w:sz w:val="21"/>
                      <w:szCs w:val="21"/>
                      <w:highlight w:val="none"/>
                    </w:rPr>
                  </w:pPr>
                  <w:r>
                    <w:rPr>
                      <w:b/>
                      <w:color w:val="auto"/>
                      <w:sz w:val="21"/>
                      <w:szCs w:val="21"/>
                      <w:highlight w:val="none"/>
                    </w:rPr>
                    <w:t>产污系数</w:t>
                  </w:r>
                </w:p>
              </w:tc>
            </w:tr>
            <w:tr w14:paraId="24A59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pct"/>
                  <w:noWrap w:val="0"/>
                  <w:vAlign w:val="center"/>
                </w:tcPr>
                <w:p w14:paraId="3B1CB132">
                  <w:pPr>
                    <w:pStyle w:val="11"/>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szCs w:val="21"/>
                      <w:highlight w:val="none"/>
                    </w:rPr>
                  </w:pPr>
                  <w:r>
                    <w:rPr>
                      <w:rFonts w:hint="eastAsia"/>
                      <w:color w:val="auto"/>
                      <w:sz w:val="21"/>
                      <w:szCs w:val="21"/>
                      <w:highlight w:val="none"/>
                    </w:rPr>
                    <w:t>泡沫塑料</w:t>
                  </w:r>
                </w:p>
              </w:tc>
              <w:tc>
                <w:tcPr>
                  <w:tcW w:w="907" w:type="pct"/>
                  <w:noWrap w:val="0"/>
                  <w:vAlign w:val="center"/>
                </w:tcPr>
                <w:p w14:paraId="1697702B">
                  <w:pPr>
                    <w:pStyle w:val="11"/>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szCs w:val="21"/>
                      <w:highlight w:val="none"/>
                    </w:rPr>
                  </w:pPr>
                  <w:r>
                    <w:rPr>
                      <w:rFonts w:hint="eastAsia"/>
                      <w:color w:val="auto"/>
                      <w:sz w:val="21"/>
                      <w:szCs w:val="21"/>
                      <w:highlight w:val="none"/>
                    </w:rPr>
                    <w:t>树脂、助剂</w:t>
                  </w:r>
                </w:p>
              </w:tc>
              <w:tc>
                <w:tcPr>
                  <w:tcW w:w="674" w:type="pct"/>
                  <w:noWrap w:val="0"/>
                  <w:vAlign w:val="center"/>
                </w:tcPr>
                <w:p w14:paraId="5B472A50">
                  <w:pPr>
                    <w:pStyle w:val="11"/>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szCs w:val="21"/>
                      <w:highlight w:val="none"/>
                    </w:rPr>
                  </w:pPr>
                  <w:r>
                    <w:rPr>
                      <w:rFonts w:hint="eastAsia"/>
                      <w:color w:val="auto"/>
                      <w:sz w:val="21"/>
                      <w:szCs w:val="21"/>
                      <w:highlight w:val="none"/>
                    </w:rPr>
                    <w:t>挤出发泡</w:t>
                  </w:r>
                </w:p>
              </w:tc>
              <w:tc>
                <w:tcPr>
                  <w:tcW w:w="687" w:type="pct"/>
                  <w:noWrap w:val="0"/>
                  <w:vAlign w:val="center"/>
                </w:tcPr>
                <w:p w14:paraId="518566A6">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rFonts w:hint="eastAsia"/>
                      <w:bCs/>
                      <w:color w:val="auto"/>
                      <w:sz w:val="21"/>
                      <w:szCs w:val="21"/>
                      <w:highlight w:val="none"/>
                    </w:rPr>
                  </w:pPr>
                  <w:r>
                    <w:rPr>
                      <w:rFonts w:hint="eastAsia"/>
                      <w:bCs/>
                      <w:color w:val="auto"/>
                      <w:sz w:val="21"/>
                      <w:szCs w:val="21"/>
                      <w:highlight w:val="none"/>
                    </w:rPr>
                    <w:t>所有规模</w:t>
                  </w:r>
                </w:p>
              </w:tc>
              <w:tc>
                <w:tcPr>
                  <w:tcW w:w="371" w:type="pct"/>
                  <w:noWrap w:val="0"/>
                  <w:vAlign w:val="center"/>
                </w:tcPr>
                <w:p w14:paraId="422D512D">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Cs/>
                      <w:color w:val="auto"/>
                      <w:sz w:val="21"/>
                      <w:szCs w:val="21"/>
                      <w:highlight w:val="none"/>
                    </w:rPr>
                  </w:pPr>
                  <w:r>
                    <w:rPr>
                      <w:rFonts w:hint="eastAsia"/>
                      <w:bCs/>
                      <w:color w:val="auto"/>
                      <w:sz w:val="21"/>
                      <w:szCs w:val="21"/>
                      <w:highlight w:val="none"/>
                    </w:rPr>
                    <w:t>废气</w:t>
                  </w:r>
                </w:p>
              </w:tc>
              <w:tc>
                <w:tcPr>
                  <w:tcW w:w="542" w:type="pct"/>
                  <w:noWrap w:val="0"/>
                  <w:vAlign w:val="center"/>
                </w:tcPr>
                <w:p w14:paraId="1170F1BB">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rFonts w:hint="eastAsia"/>
                      <w:bCs/>
                      <w:color w:val="auto"/>
                      <w:sz w:val="21"/>
                      <w:szCs w:val="21"/>
                      <w:highlight w:val="none"/>
                    </w:rPr>
                  </w:pPr>
                  <w:r>
                    <w:rPr>
                      <w:rFonts w:hint="eastAsia"/>
                      <w:bCs/>
                      <w:color w:val="auto"/>
                      <w:sz w:val="21"/>
                      <w:szCs w:val="21"/>
                      <w:highlight w:val="none"/>
                    </w:rPr>
                    <w:t>挥发性有机物</w:t>
                  </w:r>
                </w:p>
              </w:tc>
              <w:tc>
                <w:tcPr>
                  <w:tcW w:w="472" w:type="pct"/>
                  <w:noWrap w:val="0"/>
                  <w:vAlign w:val="center"/>
                </w:tcPr>
                <w:p w14:paraId="4D8F31F0">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rFonts w:hint="eastAsia"/>
                      <w:bCs/>
                      <w:color w:val="auto"/>
                      <w:sz w:val="21"/>
                      <w:szCs w:val="21"/>
                      <w:highlight w:val="none"/>
                    </w:rPr>
                  </w:pPr>
                  <w:r>
                    <w:rPr>
                      <w:rFonts w:hint="eastAsia"/>
                      <w:bCs/>
                      <w:color w:val="auto"/>
                      <w:sz w:val="21"/>
                      <w:szCs w:val="21"/>
                      <w:highlight w:val="none"/>
                    </w:rPr>
                    <w:t>kg</w:t>
                  </w:r>
                  <w:r>
                    <w:rPr>
                      <w:bCs/>
                      <w:color w:val="auto"/>
                      <w:sz w:val="21"/>
                      <w:szCs w:val="21"/>
                      <w:highlight w:val="none"/>
                    </w:rPr>
                    <w:t>/</w:t>
                  </w:r>
                  <w:r>
                    <w:rPr>
                      <w:rFonts w:hint="eastAsia"/>
                      <w:bCs/>
                      <w:color w:val="auto"/>
                      <w:sz w:val="21"/>
                      <w:szCs w:val="21"/>
                      <w:highlight w:val="none"/>
                    </w:rPr>
                    <w:t>t-产品</w:t>
                  </w:r>
                </w:p>
              </w:tc>
              <w:tc>
                <w:tcPr>
                  <w:tcW w:w="666" w:type="pct"/>
                  <w:noWrap w:val="0"/>
                  <w:vAlign w:val="center"/>
                </w:tcPr>
                <w:p w14:paraId="778017A1">
                  <w:pPr>
                    <w:keepNext w:val="0"/>
                    <w:keepLines w:val="0"/>
                    <w:pageBreakBefore w:val="0"/>
                    <w:widowControl w:val="0"/>
                    <w:kinsoku/>
                    <w:wordWrap/>
                    <w:overflowPunct/>
                    <w:topLinePunct w:val="0"/>
                    <w:autoSpaceDE/>
                    <w:autoSpaceDN/>
                    <w:bidi w:val="0"/>
                    <w:adjustRightInd w:val="0"/>
                    <w:snapToGrid w:val="0"/>
                    <w:ind w:firstLineChars="0"/>
                    <w:jc w:val="center"/>
                    <w:textAlignment w:val="auto"/>
                    <w:rPr>
                      <w:bCs/>
                      <w:color w:val="auto"/>
                      <w:sz w:val="21"/>
                      <w:szCs w:val="21"/>
                      <w:highlight w:val="none"/>
                    </w:rPr>
                  </w:pPr>
                  <w:r>
                    <w:rPr>
                      <w:rFonts w:hint="eastAsia"/>
                      <w:bCs/>
                      <w:color w:val="auto"/>
                      <w:sz w:val="21"/>
                      <w:szCs w:val="21"/>
                      <w:highlight w:val="none"/>
                    </w:rPr>
                    <w:t>1.5</w:t>
                  </w:r>
                </w:p>
              </w:tc>
            </w:tr>
          </w:tbl>
          <w:p w14:paraId="79B279E9">
            <w:pPr>
              <w:adjustRightInd w:val="0"/>
              <w:snapToGrid w:val="0"/>
              <w:spacing w:line="360" w:lineRule="auto"/>
              <w:ind w:firstLine="482" w:firstLineChars="200"/>
              <w:rPr>
                <w:rFonts w:hint="eastAsia"/>
                <w:color w:val="auto"/>
                <w:sz w:val="24"/>
                <w:highlight w:val="none"/>
                <w:lang w:eastAsia="zh-CN"/>
              </w:rPr>
            </w:pPr>
            <w:r>
              <w:rPr>
                <w:rFonts w:hint="eastAsia"/>
                <w:b/>
                <w:bCs/>
                <w:color w:val="auto"/>
                <w:sz w:val="24"/>
                <w:highlight w:val="none"/>
                <w:lang w:val="en-US" w:eastAsia="zh-CN"/>
              </w:rPr>
              <w:t>一期工程：</w:t>
            </w:r>
            <w:r>
              <w:rPr>
                <w:rFonts w:hint="eastAsia" w:ascii="Times New Roman" w:hAnsi="Times New Roman" w:eastAsia="宋体" w:cs="Times New Roman"/>
                <w:color w:val="auto"/>
                <w:sz w:val="24"/>
                <w:highlight w:val="none"/>
                <w:lang w:val="en-US" w:eastAsia="zh-CN"/>
              </w:rPr>
              <w:t>本项目</w:t>
            </w:r>
            <w:r>
              <w:rPr>
                <w:rFonts w:hint="eastAsia"/>
                <w:color w:val="auto"/>
                <w:sz w:val="24"/>
                <w:highlight w:val="none"/>
                <w:lang w:val="en-US" w:eastAsia="zh-CN"/>
              </w:rPr>
              <w:t>一期生产426t泡沫箱，</w:t>
            </w:r>
            <w:r>
              <w:rPr>
                <w:rFonts w:hint="eastAsia"/>
                <w:color w:val="auto"/>
                <w:sz w:val="24"/>
                <w:highlight w:val="none"/>
              </w:rPr>
              <w:t>发泡和成型过程非甲烷总烃产生量为</w:t>
            </w:r>
            <w:r>
              <w:rPr>
                <w:rFonts w:hint="eastAsia"/>
                <w:color w:val="auto"/>
                <w:sz w:val="24"/>
                <w:highlight w:val="none"/>
                <w:lang w:val="en-US" w:eastAsia="zh-CN"/>
              </w:rPr>
              <w:t>0.64</w:t>
            </w:r>
            <w:r>
              <w:rPr>
                <w:rFonts w:hint="eastAsia"/>
                <w:color w:val="auto"/>
                <w:sz w:val="24"/>
                <w:highlight w:val="none"/>
              </w:rPr>
              <w:t>t/a，产生速率为0.</w:t>
            </w:r>
            <w:r>
              <w:rPr>
                <w:rFonts w:hint="eastAsia"/>
                <w:color w:val="auto"/>
                <w:sz w:val="24"/>
                <w:highlight w:val="none"/>
                <w:lang w:val="en-US" w:eastAsia="zh-CN"/>
              </w:rPr>
              <w:t>53</w:t>
            </w:r>
            <w:r>
              <w:rPr>
                <w:rFonts w:hint="eastAsia"/>
                <w:color w:val="auto"/>
                <w:sz w:val="24"/>
                <w:highlight w:val="none"/>
              </w:rPr>
              <w:t>kg/h</w:t>
            </w:r>
            <w:r>
              <w:rPr>
                <w:rFonts w:hint="eastAsia"/>
                <w:color w:val="auto"/>
                <w:sz w:val="24"/>
                <w:highlight w:val="none"/>
                <w:lang w:eastAsia="zh-CN"/>
              </w:rPr>
              <w:t>。</w:t>
            </w:r>
          </w:p>
          <w:p w14:paraId="181F902D">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由于发泡机和成型机进出口仅为物料的进出，无法另接管道收集废气，故本次拟在</w:t>
            </w:r>
            <w:r>
              <w:rPr>
                <w:rFonts w:hint="eastAsia"/>
                <w:color w:val="auto"/>
                <w:sz w:val="24"/>
                <w:szCs w:val="24"/>
                <w:highlight w:val="none"/>
                <w:lang w:val="en-US" w:eastAsia="zh-CN"/>
              </w:rPr>
              <w:t>一期2</w:t>
            </w:r>
            <w:r>
              <w:rPr>
                <w:rFonts w:hint="eastAsia"/>
                <w:color w:val="auto"/>
                <w:sz w:val="24"/>
                <w:szCs w:val="24"/>
                <w:highlight w:val="none"/>
              </w:rPr>
              <w:t>台发泡机及</w:t>
            </w:r>
            <w:r>
              <w:rPr>
                <w:rFonts w:hint="eastAsia"/>
                <w:color w:val="auto"/>
                <w:sz w:val="24"/>
                <w:szCs w:val="24"/>
                <w:highlight w:val="none"/>
                <w:lang w:val="en-US" w:eastAsia="zh-CN"/>
              </w:rPr>
              <w:t>6</w:t>
            </w:r>
            <w:r>
              <w:rPr>
                <w:rFonts w:hint="eastAsia"/>
                <w:color w:val="auto"/>
                <w:sz w:val="24"/>
                <w:szCs w:val="24"/>
                <w:highlight w:val="none"/>
              </w:rPr>
              <w:t>台成型机上方各设1台集气罩（共</w:t>
            </w:r>
            <w:r>
              <w:rPr>
                <w:rFonts w:hint="eastAsia"/>
                <w:color w:val="auto"/>
                <w:sz w:val="24"/>
                <w:szCs w:val="24"/>
                <w:highlight w:val="none"/>
                <w:lang w:val="en-US" w:eastAsia="zh-CN"/>
              </w:rPr>
              <w:t>8</w:t>
            </w:r>
            <w:r>
              <w:rPr>
                <w:rFonts w:hint="eastAsia"/>
                <w:color w:val="auto"/>
                <w:sz w:val="24"/>
                <w:szCs w:val="24"/>
                <w:highlight w:val="none"/>
              </w:rPr>
              <w:t>台，收集率约90%），发泡、成型废气经收集后由风机（风量</w:t>
            </w:r>
            <w:r>
              <w:rPr>
                <w:rFonts w:hint="eastAsia"/>
                <w:color w:val="auto"/>
                <w:sz w:val="24"/>
                <w:szCs w:val="24"/>
                <w:highlight w:val="none"/>
                <w:lang w:val="en-US" w:eastAsia="zh-CN"/>
              </w:rPr>
              <w:t>8</w:t>
            </w:r>
            <w:r>
              <w:rPr>
                <w:rFonts w:hint="eastAsia"/>
                <w:color w:val="auto"/>
                <w:sz w:val="24"/>
                <w:szCs w:val="24"/>
                <w:highlight w:val="none"/>
              </w:rPr>
              <w:t>000m</w:t>
            </w:r>
            <w:r>
              <w:rPr>
                <w:rFonts w:hint="eastAsia"/>
                <w:color w:val="auto"/>
                <w:sz w:val="24"/>
                <w:szCs w:val="24"/>
                <w:highlight w:val="none"/>
                <w:vertAlign w:val="superscript"/>
              </w:rPr>
              <w:t>3</w:t>
            </w:r>
            <w:r>
              <w:rPr>
                <w:rFonts w:hint="eastAsia"/>
                <w:color w:val="auto"/>
                <w:sz w:val="24"/>
                <w:szCs w:val="24"/>
                <w:highlight w:val="none"/>
              </w:rPr>
              <w:t>/h）进行收集，则有组织非甲烷总烃产生量为</w:t>
            </w:r>
            <w:r>
              <w:rPr>
                <w:rFonts w:hint="eastAsia"/>
                <w:color w:val="auto"/>
                <w:sz w:val="24"/>
                <w:szCs w:val="24"/>
                <w:highlight w:val="none"/>
                <w:lang w:val="en-US" w:eastAsia="zh-CN"/>
              </w:rPr>
              <w:t>0.58</w:t>
            </w:r>
            <w:r>
              <w:rPr>
                <w:rFonts w:hint="eastAsia"/>
                <w:color w:val="auto"/>
                <w:sz w:val="24"/>
                <w:szCs w:val="24"/>
                <w:highlight w:val="none"/>
              </w:rPr>
              <w:t>t/a，产生速率为0.4</w:t>
            </w:r>
            <w:r>
              <w:rPr>
                <w:rFonts w:hint="eastAsia"/>
                <w:color w:val="auto"/>
                <w:sz w:val="24"/>
                <w:szCs w:val="24"/>
                <w:highlight w:val="none"/>
                <w:lang w:val="en-US" w:eastAsia="zh-CN"/>
              </w:rPr>
              <w:t>8</w:t>
            </w:r>
            <w:r>
              <w:rPr>
                <w:rFonts w:hint="eastAsia"/>
                <w:color w:val="auto"/>
                <w:sz w:val="24"/>
                <w:szCs w:val="24"/>
                <w:highlight w:val="none"/>
              </w:rPr>
              <w:t>kg/h，产生浓度为</w:t>
            </w:r>
            <w:r>
              <w:rPr>
                <w:rFonts w:hint="eastAsia"/>
                <w:color w:val="auto"/>
                <w:sz w:val="24"/>
                <w:szCs w:val="24"/>
                <w:highlight w:val="none"/>
                <w:lang w:val="en-US" w:eastAsia="zh-CN"/>
              </w:rPr>
              <w:t>59.63</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rPr>
              <w:t>；有组织甲苯产生量为</w:t>
            </w:r>
            <w:r>
              <w:rPr>
                <w:rFonts w:hint="eastAsia"/>
                <w:color w:val="auto"/>
                <w:sz w:val="24"/>
                <w:szCs w:val="24"/>
                <w:highlight w:val="none"/>
                <w:lang w:val="en-US" w:eastAsia="zh-CN"/>
              </w:rPr>
              <w:t>1.76</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3</w:t>
            </w:r>
            <w:r>
              <w:rPr>
                <w:rFonts w:hint="eastAsia"/>
                <w:color w:val="auto"/>
                <w:sz w:val="24"/>
                <w:szCs w:val="24"/>
                <w:highlight w:val="none"/>
              </w:rPr>
              <w:t>t/a，产生速率为</w:t>
            </w:r>
            <w:r>
              <w:rPr>
                <w:rFonts w:hint="eastAsia"/>
                <w:color w:val="auto"/>
                <w:sz w:val="24"/>
                <w:szCs w:val="24"/>
                <w:highlight w:val="none"/>
                <w:lang w:val="en-US" w:eastAsia="zh-CN"/>
              </w:rPr>
              <w:t>1.47</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3</w:t>
            </w:r>
            <w:r>
              <w:rPr>
                <w:rFonts w:hint="eastAsia"/>
                <w:color w:val="auto"/>
                <w:sz w:val="24"/>
                <w:szCs w:val="24"/>
                <w:highlight w:val="none"/>
              </w:rPr>
              <w:t>kg/h，产生浓度为0</w:t>
            </w:r>
            <w:r>
              <w:rPr>
                <w:rFonts w:hint="eastAsia"/>
                <w:color w:val="auto"/>
                <w:sz w:val="24"/>
                <w:szCs w:val="24"/>
                <w:highlight w:val="none"/>
                <w:lang w:val="en-US" w:eastAsia="zh-CN"/>
              </w:rPr>
              <w:t>.18</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rPr>
              <w:t>有组织</w:t>
            </w:r>
            <w:r>
              <w:rPr>
                <w:rFonts w:hint="eastAsia"/>
                <w:color w:val="auto"/>
                <w:sz w:val="24"/>
                <w:szCs w:val="24"/>
                <w:highlight w:val="none"/>
                <w:lang w:val="en-US" w:eastAsia="zh-CN"/>
              </w:rPr>
              <w:t>乙</w:t>
            </w:r>
            <w:r>
              <w:rPr>
                <w:rFonts w:hint="eastAsia"/>
                <w:color w:val="auto"/>
                <w:sz w:val="24"/>
                <w:szCs w:val="24"/>
                <w:highlight w:val="none"/>
              </w:rPr>
              <w:t>苯产生量为</w:t>
            </w:r>
            <w:r>
              <w:rPr>
                <w:rFonts w:hint="eastAsia"/>
                <w:color w:val="auto"/>
                <w:sz w:val="24"/>
                <w:szCs w:val="24"/>
                <w:highlight w:val="none"/>
                <w:lang w:val="en-US" w:eastAsia="zh-CN"/>
              </w:rPr>
              <w:t>7.74</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t/a，产生速率为</w:t>
            </w:r>
            <w:r>
              <w:rPr>
                <w:rFonts w:hint="eastAsia"/>
                <w:color w:val="auto"/>
                <w:sz w:val="24"/>
                <w:szCs w:val="24"/>
                <w:highlight w:val="none"/>
                <w:lang w:val="en-US" w:eastAsia="zh-CN"/>
              </w:rPr>
              <w:t>6.41</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kg/h，产生浓度为0</w:t>
            </w:r>
            <w:r>
              <w:rPr>
                <w:rFonts w:hint="eastAsia"/>
                <w:color w:val="auto"/>
                <w:sz w:val="24"/>
                <w:szCs w:val="24"/>
                <w:highlight w:val="none"/>
                <w:lang w:val="en-US" w:eastAsia="zh-CN"/>
              </w:rPr>
              <w:t>.08</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rPr>
              <w:t>有组织</w:t>
            </w:r>
            <w:r>
              <w:rPr>
                <w:rFonts w:hint="eastAsia"/>
                <w:color w:val="auto"/>
                <w:sz w:val="24"/>
                <w:szCs w:val="24"/>
                <w:highlight w:val="none"/>
                <w:lang w:val="en-US" w:eastAsia="zh-CN"/>
              </w:rPr>
              <w:t>苯乙烯</w:t>
            </w:r>
            <w:r>
              <w:rPr>
                <w:rFonts w:hint="eastAsia"/>
                <w:color w:val="auto"/>
                <w:sz w:val="24"/>
                <w:szCs w:val="24"/>
                <w:highlight w:val="none"/>
              </w:rPr>
              <w:t>产生量为</w:t>
            </w:r>
            <w:r>
              <w:rPr>
                <w:rFonts w:hint="eastAsia"/>
                <w:color w:val="auto"/>
                <w:sz w:val="24"/>
                <w:szCs w:val="24"/>
                <w:highlight w:val="none"/>
                <w:lang w:val="en-US" w:eastAsia="zh-CN"/>
              </w:rPr>
              <w:t>4.77</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t/a，产生速率为</w:t>
            </w:r>
            <w:r>
              <w:rPr>
                <w:rFonts w:hint="eastAsia"/>
                <w:color w:val="auto"/>
                <w:sz w:val="24"/>
                <w:szCs w:val="24"/>
                <w:highlight w:val="none"/>
                <w:lang w:val="en-US" w:eastAsia="zh-CN"/>
              </w:rPr>
              <w:t>3.97</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kg/h，产生浓度为0</w:t>
            </w:r>
            <w:r>
              <w:rPr>
                <w:rFonts w:hint="eastAsia"/>
                <w:color w:val="auto"/>
                <w:sz w:val="24"/>
                <w:szCs w:val="24"/>
                <w:highlight w:val="none"/>
                <w:lang w:val="en-US" w:eastAsia="zh-CN"/>
              </w:rPr>
              <w:t>.05</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rPr>
              <w:t>。收集后的废气经1套</w:t>
            </w:r>
            <w:r>
              <w:rPr>
                <w:rFonts w:hint="eastAsia"/>
                <w:color w:val="auto"/>
                <w:sz w:val="24"/>
                <w:szCs w:val="24"/>
                <w:highlight w:val="none"/>
                <w:lang w:eastAsia="zh-CN"/>
              </w:rPr>
              <w:t>“</w:t>
            </w:r>
            <w:r>
              <w:rPr>
                <w:rFonts w:hint="eastAsia"/>
                <w:color w:val="auto"/>
                <w:sz w:val="24"/>
                <w:szCs w:val="24"/>
                <w:highlight w:val="none"/>
              </w:rPr>
              <w:t>二级活性炭吸附装置</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lang w:eastAsia="zh-CN"/>
              </w:rPr>
              <w:t>处理效率为75</w:t>
            </w:r>
            <w:r>
              <w:rPr>
                <w:rFonts w:hint="eastAsia"/>
                <w:color w:val="auto"/>
                <w:sz w:val="24"/>
                <w:szCs w:val="24"/>
                <w:highlight w:val="none"/>
              </w:rPr>
              <w:t>%）处理后，非甲烷总烃排放量为0.1</w:t>
            </w:r>
            <w:r>
              <w:rPr>
                <w:rFonts w:hint="eastAsia"/>
                <w:color w:val="auto"/>
                <w:sz w:val="24"/>
                <w:szCs w:val="24"/>
                <w:highlight w:val="none"/>
                <w:lang w:val="en-US" w:eastAsia="zh-CN"/>
              </w:rPr>
              <w:t>4</w:t>
            </w:r>
            <w:r>
              <w:rPr>
                <w:rFonts w:hint="eastAsia"/>
                <w:color w:val="auto"/>
                <w:sz w:val="24"/>
                <w:szCs w:val="24"/>
                <w:highlight w:val="none"/>
              </w:rPr>
              <w:t>t/a，排放速率为0.1</w:t>
            </w:r>
            <w:r>
              <w:rPr>
                <w:rFonts w:hint="eastAsia"/>
                <w:color w:val="auto"/>
                <w:sz w:val="24"/>
                <w:szCs w:val="24"/>
                <w:highlight w:val="none"/>
                <w:lang w:val="en-US" w:eastAsia="zh-CN"/>
              </w:rPr>
              <w:t>2</w:t>
            </w:r>
            <w:r>
              <w:rPr>
                <w:rFonts w:hint="eastAsia"/>
                <w:color w:val="auto"/>
                <w:sz w:val="24"/>
                <w:szCs w:val="24"/>
                <w:highlight w:val="none"/>
              </w:rPr>
              <w:t>kg/h，排放浓度为</w:t>
            </w:r>
            <w:r>
              <w:rPr>
                <w:rFonts w:hint="eastAsia"/>
                <w:color w:val="auto"/>
                <w:sz w:val="24"/>
                <w:szCs w:val="24"/>
                <w:highlight w:val="none"/>
                <w:lang w:val="en-US" w:eastAsia="zh-CN"/>
              </w:rPr>
              <w:t>14.91</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甲苯排放量为4.39</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t/a，</w:t>
            </w:r>
            <w:r>
              <w:rPr>
                <w:color w:val="auto"/>
                <w:sz w:val="24"/>
                <w:szCs w:val="24"/>
                <w:highlight w:val="none"/>
              </w:rPr>
              <w:t>排放速率为</w:t>
            </w:r>
            <w:r>
              <w:rPr>
                <w:rFonts w:hint="eastAsia"/>
                <w:color w:val="auto"/>
                <w:sz w:val="24"/>
                <w:szCs w:val="24"/>
                <w:highlight w:val="none"/>
                <w:lang w:val="en-US" w:eastAsia="zh-CN"/>
              </w:rPr>
              <w:t>3.67</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kg/h，排放浓度为</w:t>
            </w:r>
            <w:r>
              <w:rPr>
                <w:rFonts w:hint="eastAsia"/>
                <w:color w:val="auto"/>
                <w:sz w:val="24"/>
                <w:szCs w:val="24"/>
                <w:highlight w:val="none"/>
              </w:rPr>
              <w:t>0.0</w:t>
            </w:r>
            <w:r>
              <w:rPr>
                <w:rFonts w:hint="eastAsia"/>
                <w:color w:val="auto"/>
                <w:sz w:val="24"/>
                <w:szCs w:val="24"/>
                <w:highlight w:val="none"/>
                <w:lang w:val="en-US" w:eastAsia="zh-CN"/>
              </w:rPr>
              <w:t>5</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lang w:eastAsia="zh-CN"/>
              </w:rPr>
              <w:t>；</w:t>
            </w:r>
            <w:r>
              <w:rPr>
                <w:rFonts w:hint="eastAsia"/>
                <w:color w:val="auto"/>
                <w:sz w:val="24"/>
                <w:szCs w:val="24"/>
                <w:highlight w:val="none"/>
                <w:lang w:val="en-US" w:eastAsia="zh-CN"/>
              </w:rPr>
              <w:t>乙苯</w:t>
            </w:r>
            <w:r>
              <w:rPr>
                <w:rFonts w:hint="eastAsia"/>
                <w:color w:val="auto"/>
                <w:sz w:val="24"/>
                <w:szCs w:val="24"/>
                <w:highlight w:val="none"/>
              </w:rPr>
              <w:t>排放量为</w:t>
            </w:r>
            <w:r>
              <w:rPr>
                <w:rFonts w:hint="eastAsia"/>
                <w:color w:val="auto"/>
                <w:sz w:val="24"/>
                <w:szCs w:val="24"/>
                <w:highlight w:val="none"/>
                <w:lang w:val="en-US" w:eastAsia="zh-CN"/>
              </w:rPr>
              <w:t>1.94</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t/a，排放速率为</w:t>
            </w:r>
            <w:r>
              <w:rPr>
                <w:rFonts w:hint="eastAsia"/>
                <w:color w:val="auto"/>
                <w:sz w:val="24"/>
                <w:szCs w:val="24"/>
                <w:highlight w:val="none"/>
                <w:lang w:val="en-US" w:eastAsia="zh-CN"/>
              </w:rPr>
              <w:t>1.60</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kg/h，排放浓度为</w:t>
            </w:r>
            <w:r>
              <w:rPr>
                <w:rFonts w:hint="eastAsia"/>
                <w:color w:val="auto"/>
                <w:sz w:val="24"/>
                <w:szCs w:val="24"/>
                <w:highlight w:val="none"/>
              </w:rPr>
              <w:t>0.0</w:t>
            </w:r>
            <w:r>
              <w:rPr>
                <w:rFonts w:hint="eastAsia"/>
                <w:color w:val="auto"/>
                <w:sz w:val="24"/>
                <w:szCs w:val="24"/>
                <w:highlight w:val="none"/>
                <w:lang w:val="en-US" w:eastAsia="zh-CN"/>
              </w:rPr>
              <w:t>2</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lang w:eastAsia="zh-CN"/>
              </w:rPr>
              <w:t>；</w:t>
            </w:r>
            <w:r>
              <w:rPr>
                <w:rFonts w:hint="eastAsia"/>
                <w:color w:val="auto"/>
                <w:sz w:val="24"/>
                <w:szCs w:val="24"/>
                <w:highlight w:val="none"/>
                <w:lang w:val="en-US" w:eastAsia="zh-CN"/>
              </w:rPr>
              <w:t>苯乙烯</w:t>
            </w:r>
            <w:r>
              <w:rPr>
                <w:rFonts w:hint="eastAsia"/>
                <w:color w:val="auto"/>
                <w:sz w:val="24"/>
                <w:szCs w:val="24"/>
                <w:highlight w:val="none"/>
              </w:rPr>
              <w:t>排放量为</w:t>
            </w:r>
            <w:r>
              <w:rPr>
                <w:rFonts w:hint="eastAsia"/>
                <w:color w:val="auto"/>
                <w:sz w:val="24"/>
                <w:szCs w:val="24"/>
                <w:highlight w:val="none"/>
                <w:lang w:val="en-US" w:eastAsia="zh-CN"/>
              </w:rPr>
              <w:t>1.19</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t/a，排放速率为</w:t>
            </w:r>
            <w:r>
              <w:rPr>
                <w:rFonts w:hint="eastAsia"/>
                <w:color w:val="auto"/>
                <w:sz w:val="24"/>
                <w:szCs w:val="24"/>
                <w:highlight w:val="none"/>
                <w:lang w:val="en-US" w:eastAsia="zh-CN"/>
              </w:rPr>
              <w:t>1.0</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kg/h，排放浓度为</w:t>
            </w:r>
            <w:r>
              <w:rPr>
                <w:rFonts w:hint="eastAsia"/>
                <w:color w:val="auto"/>
                <w:sz w:val="24"/>
                <w:szCs w:val="24"/>
                <w:highlight w:val="none"/>
              </w:rPr>
              <w:t>0.0</w:t>
            </w:r>
            <w:r>
              <w:rPr>
                <w:rFonts w:hint="eastAsia"/>
                <w:color w:val="auto"/>
                <w:sz w:val="24"/>
                <w:szCs w:val="24"/>
                <w:highlight w:val="none"/>
                <w:lang w:val="en-US" w:eastAsia="zh-CN"/>
              </w:rPr>
              <w:t>1</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lang w:eastAsia="zh-CN"/>
              </w:rPr>
              <w:t>；</w:t>
            </w:r>
            <w:r>
              <w:rPr>
                <w:rFonts w:hint="eastAsia"/>
                <w:color w:val="auto"/>
                <w:sz w:val="24"/>
                <w:szCs w:val="24"/>
                <w:highlight w:val="none"/>
              </w:rPr>
              <w:t>经1根15m高的排气筒（DA00</w:t>
            </w:r>
            <w:r>
              <w:rPr>
                <w:rFonts w:hint="eastAsia"/>
                <w:color w:val="auto"/>
                <w:sz w:val="24"/>
                <w:szCs w:val="24"/>
                <w:highlight w:val="none"/>
                <w:lang w:val="en-US" w:eastAsia="zh-CN"/>
              </w:rPr>
              <w:t>1</w:t>
            </w:r>
            <w:r>
              <w:rPr>
                <w:rFonts w:hint="eastAsia"/>
                <w:color w:val="auto"/>
                <w:sz w:val="24"/>
                <w:szCs w:val="24"/>
                <w:highlight w:val="none"/>
              </w:rPr>
              <w:t>）排放。</w:t>
            </w:r>
          </w:p>
          <w:p w14:paraId="6929D6A0">
            <w:pPr>
              <w:adjustRightInd w:val="0"/>
              <w:snapToGrid w:val="0"/>
              <w:spacing w:line="360" w:lineRule="auto"/>
              <w:ind w:firstLine="480" w:firstLineChars="200"/>
              <w:rPr>
                <w:rFonts w:hint="eastAsia"/>
                <w:color w:val="auto"/>
                <w:sz w:val="24"/>
                <w:szCs w:val="24"/>
                <w:lang w:val="en-US" w:eastAsia="zh-CN"/>
              </w:rPr>
            </w:pPr>
            <w:r>
              <w:rPr>
                <w:rFonts w:hint="eastAsia"/>
                <w:color w:val="auto"/>
                <w:sz w:val="24"/>
                <w:szCs w:val="24"/>
                <w:highlight w:val="none"/>
                <w:lang w:val="en-US" w:eastAsia="zh-CN"/>
              </w:rPr>
              <w:t>未</w:t>
            </w:r>
            <w:r>
              <w:rPr>
                <w:color w:val="auto"/>
                <w:sz w:val="24"/>
                <w:szCs w:val="24"/>
                <w:highlight w:val="none"/>
              </w:rPr>
              <w:t>被</w:t>
            </w:r>
            <w:r>
              <w:rPr>
                <w:rFonts w:hint="eastAsia"/>
                <w:color w:val="auto"/>
                <w:sz w:val="24"/>
                <w:szCs w:val="24"/>
                <w:highlight w:val="none"/>
                <w:lang w:val="en-US" w:eastAsia="zh-CN"/>
              </w:rPr>
              <w:t>集气罩</w:t>
            </w:r>
            <w:r>
              <w:rPr>
                <w:color w:val="auto"/>
                <w:sz w:val="24"/>
                <w:szCs w:val="24"/>
                <w:highlight w:val="none"/>
              </w:rPr>
              <w:t>收集的</w:t>
            </w:r>
            <w:r>
              <w:rPr>
                <w:rFonts w:hint="eastAsia"/>
                <w:color w:val="auto"/>
                <w:sz w:val="24"/>
                <w:szCs w:val="24"/>
                <w:highlight w:val="none"/>
              </w:rPr>
              <w:t>废气</w:t>
            </w:r>
            <w:r>
              <w:rPr>
                <w:color w:val="auto"/>
                <w:sz w:val="24"/>
                <w:szCs w:val="24"/>
                <w:highlight w:val="none"/>
              </w:rPr>
              <w:t>无组织排放，</w:t>
            </w:r>
            <w:r>
              <w:rPr>
                <w:rFonts w:hint="eastAsia"/>
                <w:color w:val="auto"/>
                <w:sz w:val="24"/>
                <w:szCs w:val="24"/>
                <w:highlight w:val="none"/>
                <w:lang w:val="en-US" w:eastAsia="zh-CN"/>
              </w:rPr>
              <w:t>一期</w:t>
            </w:r>
            <w:r>
              <w:rPr>
                <w:rFonts w:hint="eastAsia"/>
                <w:color w:val="auto"/>
                <w:sz w:val="24"/>
                <w:szCs w:val="24"/>
                <w:highlight w:val="none"/>
              </w:rPr>
              <w:t>非甲烷总烃</w:t>
            </w:r>
            <w:r>
              <w:rPr>
                <w:color w:val="auto"/>
                <w:sz w:val="24"/>
                <w:szCs w:val="24"/>
                <w:highlight w:val="none"/>
              </w:rPr>
              <w:t>无组织排放量为</w:t>
            </w:r>
            <w:r>
              <w:rPr>
                <w:rFonts w:hint="eastAsia"/>
                <w:color w:val="auto"/>
                <w:sz w:val="24"/>
                <w:szCs w:val="24"/>
                <w:highlight w:val="none"/>
              </w:rPr>
              <w:t>0.0</w:t>
            </w:r>
            <w:r>
              <w:rPr>
                <w:rFonts w:hint="eastAsia"/>
                <w:color w:val="auto"/>
                <w:sz w:val="24"/>
                <w:szCs w:val="24"/>
                <w:highlight w:val="none"/>
                <w:lang w:val="en-US" w:eastAsia="zh-CN"/>
              </w:rPr>
              <w:t>6</w:t>
            </w:r>
            <w:r>
              <w:rPr>
                <w:color w:val="auto"/>
                <w:sz w:val="24"/>
                <w:szCs w:val="24"/>
                <w:highlight w:val="none"/>
              </w:rPr>
              <w:t>t/a，排放速率</w:t>
            </w:r>
            <w:r>
              <w:rPr>
                <w:rFonts w:hint="default" w:ascii="Times New Roman" w:hAnsi="Times New Roman" w:cs="Times New Roman"/>
                <w:color w:val="auto"/>
                <w:sz w:val="24"/>
                <w:szCs w:val="24"/>
                <w:highlight w:val="none"/>
              </w:rPr>
              <w:t>为0.0</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kg/h；甲苯无组织排放量为</w:t>
            </w:r>
            <w:r>
              <w:rPr>
                <w:rFonts w:hint="eastAsia" w:cs="Times New Roman"/>
                <w:color w:val="auto"/>
                <w:sz w:val="24"/>
                <w:szCs w:val="24"/>
                <w:highlight w:val="none"/>
                <w:lang w:val="en-US" w:eastAsia="zh-CN"/>
              </w:rPr>
              <w:t>1.95</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default" w:ascii="Times New Roman" w:hAnsi="Times New Roman" w:cs="Times New Roman"/>
                <w:color w:val="auto"/>
                <w:sz w:val="24"/>
                <w:szCs w:val="24"/>
                <w:highlight w:val="none"/>
                <w:vertAlign w:val="superscript"/>
                <w:lang w:val="en-US" w:eastAsia="zh-CN"/>
              </w:rPr>
              <w:t>4</w:t>
            </w:r>
            <w:r>
              <w:rPr>
                <w:rFonts w:hint="default" w:ascii="Times New Roman" w:hAnsi="Times New Roman" w:cs="Times New Roman"/>
                <w:color w:val="auto"/>
                <w:sz w:val="24"/>
                <w:szCs w:val="24"/>
                <w:highlight w:val="none"/>
              </w:rPr>
              <w:t>t/a，排放速率为</w:t>
            </w:r>
            <w:r>
              <w:rPr>
                <w:rFonts w:hint="default"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63</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default" w:ascii="Times New Roman" w:hAnsi="Times New Roman" w:cs="Times New Roman"/>
                <w:color w:val="auto"/>
                <w:sz w:val="24"/>
                <w:szCs w:val="24"/>
                <w:highlight w:val="none"/>
                <w:vertAlign w:val="superscript"/>
                <w:lang w:val="en-US" w:eastAsia="zh-CN"/>
              </w:rPr>
              <w:t>4</w:t>
            </w:r>
            <w:r>
              <w:rPr>
                <w:rFonts w:hint="default" w:ascii="Times New Roman" w:hAnsi="Times New Roman" w:cs="Times New Roman"/>
                <w:color w:val="auto"/>
                <w:sz w:val="24"/>
                <w:szCs w:val="24"/>
                <w:highlight w:val="none"/>
              </w:rPr>
              <w:t>kg/h</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乙</w:t>
            </w:r>
            <w:r>
              <w:rPr>
                <w:rFonts w:hint="default" w:ascii="Times New Roman" w:hAnsi="Times New Roman" w:cs="Times New Roman"/>
                <w:color w:val="auto"/>
                <w:sz w:val="24"/>
                <w:szCs w:val="24"/>
                <w:highlight w:val="none"/>
              </w:rPr>
              <w:t>苯无组织排放量为</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default" w:ascii="Times New Roman" w:hAnsi="Times New Roman" w:cs="Times New Roman"/>
                <w:color w:val="auto"/>
                <w:sz w:val="24"/>
                <w:szCs w:val="24"/>
                <w:highlight w:val="none"/>
                <w:vertAlign w:val="superscript"/>
                <w:lang w:val="en-US" w:eastAsia="zh-CN"/>
              </w:rPr>
              <w:t>5</w:t>
            </w:r>
            <w:r>
              <w:rPr>
                <w:rFonts w:hint="default" w:ascii="Times New Roman" w:hAnsi="Times New Roman" w:cs="Times New Roman"/>
                <w:color w:val="auto"/>
                <w:sz w:val="24"/>
                <w:szCs w:val="24"/>
                <w:highlight w:val="none"/>
              </w:rPr>
              <w:t>t/a，排放速率为</w:t>
            </w:r>
            <w:r>
              <w:rPr>
                <w:rFonts w:hint="default" w:ascii="Times New Roman" w:hAnsi="Times New Roman" w:cs="Times New Roman"/>
                <w:color w:val="auto"/>
                <w:sz w:val="24"/>
                <w:szCs w:val="24"/>
                <w:highlight w:val="none"/>
                <w:lang w:val="en-US" w:eastAsia="zh-CN"/>
              </w:rPr>
              <w:t>7.</w:t>
            </w:r>
            <w:r>
              <w:rPr>
                <w:rFonts w:hint="eastAsia" w:cs="Times New Roman"/>
                <w:color w:val="auto"/>
                <w:sz w:val="24"/>
                <w:szCs w:val="24"/>
                <w:highlight w:val="none"/>
                <w:lang w:val="en-US" w:eastAsia="zh-CN"/>
              </w:rPr>
              <w:t>12</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-5</w:t>
            </w:r>
            <w:r>
              <w:rPr>
                <w:rFonts w:hint="default" w:ascii="Times New Roman" w:hAnsi="Times New Roman" w:cs="Times New Roman"/>
                <w:color w:val="auto"/>
                <w:sz w:val="24"/>
                <w:szCs w:val="24"/>
                <w:highlight w:val="none"/>
              </w:rPr>
              <w:t>kg/h</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苯乙烯</w:t>
            </w:r>
            <w:r>
              <w:rPr>
                <w:rFonts w:hint="default" w:ascii="Times New Roman" w:hAnsi="Times New Roman" w:cs="Times New Roman"/>
                <w:color w:val="auto"/>
                <w:sz w:val="24"/>
                <w:szCs w:val="24"/>
                <w:highlight w:val="none"/>
              </w:rPr>
              <w:t>无组织排放量为</w:t>
            </w:r>
            <w:r>
              <w:rPr>
                <w:rFonts w:hint="default" w:ascii="Times New Roman" w:hAnsi="Times New Roman" w:cs="Times New Roman"/>
                <w:color w:val="auto"/>
                <w:sz w:val="24"/>
                <w:szCs w:val="24"/>
                <w:highlight w:val="none"/>
                <w:lang w:val="en-US" w:eastAsia="zh-CN"/>
              </w:rPr>
              <w:t>5.</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-5</w:t>
            </w:r>
            <w:r>
              <w:rPr>
                <w:rFonts w:hint="default" w:ascii="Times New Roman" w:hAnsi="Times New Roman" w:cs="Times New Roman"/>
                <w:color w:val="auto"/>
                <w:sz w:val="24"/>
                <w:szCs w:val="24"/>
                <w:highlight w:val="none"/>
              </w:rPr>
              <w:t>t/a，排放速率为</w:t>
            </w:r>
            <w:r>
              <w:rPr>
                <w:rFonts w:hint="default" w:ascii="Times New Roman" w:hAnsi="Times New Roman" w:cs="Times New Roman"/>
                <w:color w:val="auto"/>
                <w:sz w:val="24"/>
                <w:szCs w:val="24"/>
                <w:highlight w:val="none"/>
                <w:lang w:val="en-US" w:eastAsia="zh-CN"/>
              </w:rPr>
              <w:t>4.</w:t>
            </w:r>
            <w:r>
              <w:rPr>
                <w:rFonts w:hint="eastAsia" w:cs="Times New Roman"/>
                <w:color w:val="auto"/>
                <w:sz w:val="24"/>
                <w:szCs w:val="24"/>
                <w:highlight w:val="none"/>
                <w:lang w:val="en-US" w:eastAsia="zh-CN"/>
              </w:rPr>
              <w:t>41</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-5</w:t>
            </w:r>
            <w:r>
              <w:rPr>
                <w:rFonts w:hint="default" w:ascii="Times New Roman" w:hAnsi="Times New Roman" w:cs="Times New Roman"/>
                <w:color w:val="auto"/>
                <w:sz w:val="24"/>
                <w:szCs w:val="24"/>
                <w:highlight w:val="none"/>
              </w:rPr>
              <w:t>kg/h。</w:t>
            </w:r>
          </w:p>
          <w:p w14:paraId="61B541FD">
            <w:pPr>
              <w:adjustRightInd w:val="0"/>
              <w:snapToGrid w:val="0"/>
              <w:spacing w:line="360" w:lineRule="auto"/>
              <w:ind w:firstLine="482" w:firstLineChars="200"/>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二期工程：</w:t>
            </w:r>
            <w:r>
              <w:rPr>
                <w:rFonts w:hint="eastAsia"/>
                <w:b w:val="0"/>
                <w:bCs w:val="0"/>
                <w:color w:val="auto"/>
                <w:sz w:val="24"/>
                <w:szCs w:val="24"/>
                <w:highlight w:val="none"/>
                <w:lang w:val="en-US" w:eastAsia="zh-CN"/>
              </w:rPr>
              <w:t>本项目二期</w:t>
            </w:r>
            <w:r>
              <w:rPr>
                <w:rFonts w:hint="eastAsia"/>
                <w:color w:val="auto"/>
                <w:sz w:val="24"/>
                <w:szCs w:val="24"/>
                <w:highlight w:val="none"/>
                <w:lang w:val="en-US" w:eastAsia="zh-CN"/>
              </w:rPr>
              <w:t>生产852t泡沫箱，</w:t>
            </w:r>
            <w:r>
              <w:rPr>
                <w:rFonts w:hint="eastAsia"/>
                <w:color w:val="auto"/>
                <w:sz w:val="24"/>
                <w:szCs w:val="24"/>
                <w:highlight w:val="none"/>
              </w:rPr>
              <w:t>发泡和成型过程非甲烷总烃产生量为</w:t>
            </w:r>
            <w:r>
              <w:rPr>
                <w:rFonts w:hint="eastAsia"/>
                <w:color w:val="auto"/>
                <w:sz w:val="24"/>
                <w:szCs w:val="24"/>
                <w:highlight w:val="none"/>
                <w:lang w:val="en-US" w:eastAsia="zh-CN"/>
              </w:rPr>
              <w:t>1.28</w:t>
            </w:r>
            <w:r>
              <w:rPr>
                <w:rFonts w:hint="eastAsia"/>
                <w:color w:val="auto"/>
                <w:sz w:val="24"/>
                <w:szCs w:val="24"/>
                <w:highlight w:val="none"/>
              </w:rPr>
              <w:t>t/a，产生速率为</w:t>
            </w:r>
            <w:r>
              <w:rPr>
                <w:rFonts w:hint="eastAsia"/>
                <w:color w:val="auto"/>
                <w:sz w:val="24"/>
                <w:szCs w:val="24"/>
                <w:highlight w:val="none"/>
                <w:lang w:val="en-US" w:eastAsia="zh-CN"/>
              </w:rPr>
              <w:t>1.07</w:t>
            </w:r>
            <w:r>
              <w:rPr>
                <w:rFonts w:hint="eastAsia"/>
                <w:color w:val="auto"/>
                <w:sz w:val="24"/>
                <w:szCs w:val="24"/>
                <w:highlight w:val="none"/>
              </w:rPr>
              <w:t>kg/h。</w:t>
            </w:r>
          </w:p>
          <w:p w14:paraId="50205FD3">
            <w:pPr>
              <w:adjustRightInd w:val="0"/>
              <w:snapToGrid w:val="0"/>
              <w:spacing w:line="360" w:lineRule="auto"/>
              <w:ind w:firstLine="480" w:firstLineChars="200"/>
              <w:rPr>
                <w:rFonts w:hint="eastAsia"/>
                <w:color w:val="auto"/>
                <w:sz w:val="24"/>
                <w:szCs w:val="24"/>
                <w:highlight w:val="none"/>
              </w:rPr>
            </w:pPr>
            <w:r>
              <w:rPr>
                <w:rFonts w:hint="default" w:ascii="Times New Roman" w:hAnsi="Times New Roman" w:cs="Times New Roman"/>
                <w:color w:val="auto"/>
                <w:sz w:val="24"/>
                <w:szCs w:val="24"/>
                <w:highlight w:val="none"/>
              </w:rPr>
              <w:t>在</w:t>
            </w:r>
            <w:r>
              <w:rPr>
                <w:rFonts w:hint="default" w:ascii="Times New Roman" w:hAnsi="Times New Roman" w:cs="Times New Roman"/>
                <w:color w:val="auto"/>
                <w:sz w:val="24"/>
                <w:szCs w:val="24"/>
                <w:highlight w:val="none"/>
                <w:lang w:val="en-US" w:eastAsia="zh-CN"/>
              </w:rPr>
              <w:t>二期10台成型机、4台发泡机上方各设1台集气罩（共14台，</w:t>
            </w:r>
            <w:r>
              <w:rPr>
                <w:rFonts w:hint="default" w:ascii="Times New Roman" w:hAnsi="Times New Roman" w:cs="Times New Roman"/>
                <w:color w:val="auto"/>
                <w:sz w:val="24"/>
                <w:szCs w:val="24"/>
                <w:highlight w:val="none"/>
              </w:rPr>
              <w:t>收集率约90%</w:t>
            </w:r>
            <w:r>
              <w:rPr>
                <w:rFonts w:hint="default" w:ascii="Times New Roman" w:hAnsi="Times New Roman" w:cs="Times New Roman"/>
                <w:color w:val="auto"/>
                <w:sz w:val="24"/>
                <w:szCs w:val="24"/>
                <w:highlight w:val="none"/>
                <w:lang w:val="en-US" w:eastAsia="zh-CN"/>
              </w:rPr>
              <w:t>），</w:t>
            </w:r>
            <w:r>
              <w:rPr>
                <w:rFonts w:hint="eastAsia"/>
                <w:color w:val="auto"/>
                <w:sz w:val="24"/>
                <w:szCs w:val="24"/>
                <w:highlight w:val="none"/>
              </w:rPr>
              <w:t>发泡、成型废气经收集后由风机（风量</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rPr>
              <w:t>000m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/h）</w:t>
            </w:r>
            <w:r>
              <w:rPr>
                <w:rFonts w:hint="eastAsia"/>
                <w:color w:val="auto"/>
                <w:sz w:val="24"/>
                <w:szCs w:val="24"/>
                <w:highlight w:val="none"/>
              </w:rPr>
              <w:t>进行收集，则有组织非甲烷总烃产生量为</w:t>
            </w:r>
            <w:r>
              <w:rPr>
                <w:rFonts w:hint="eastAsia"/>
                <w:color w:val="auto"/>
                <w:sz w:val="24"/>
                <w:szCs w:val="24"/>
                <w:highlight w:val="none"/>
                <w:lang w:val="en-US" w:eastAsia="zh-CN"/>
              </w:rPr>
              <w:t>1.15</w:t>
            </w:r>
            <w:r>
              <w:rPr>
                <w:rFonts w:hint="eastAsia"/>
                <w:color w:val="auto"/>
                <w:sz w:val="24"/>
                <w:szCs w:val="24"/>
                <w:highlight w:val="none"/>
              </w:rPr>
              <w:t>t/a，产生速率为</w:t>
            </w:r>
            <w:r>
              <w:rPr>
                <w:rFonts w:hint="eastAsia"/>
                <w:color w:val="auto"/>
                <w:sz w:val="24"/>
                <w:szCs w:val="24"/>
                <w:highlight w:val="none"/>
                <w:lang w:val="en-US" w:eastAsia="zh-CN"/>
              </w:rPr>
              <w:t>0.96</w:t>
            </w:r>
            <w:r>
              <w:rPr>
                <w:rFonts w:hint="eastAsia"/>
                <w:color w:val="auto"/>
                <w:sz w:val="24"/>
                <w:szCs w:val="24"/>
                <w:highlight w:val="none"/>
              </w:rPr>
              <w:t>kg/h，产生浓度为</w:t>
            </w:r>
            <w:r>
              <w:rPr>
                <w:rFonts w:hint="eastAsia"/>
                <w:color w:val="auto"/>
                <w:sz w:val="24"/>
                <w:szCs w:val="24"/>
                <w:highlight w:val="none"/>
                <w:lang w:val="en-US" w:eastAsia="zh-CN"/>
              </w:rPr>
              <w:t>120.38</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rPr>
              <w:t>；有组织甲苯产生量为</w:t>
            </w:r>
            <w:r>
              <w:rPr>
                <w:rFonts w:hint="eastAsia"/>
                <w:color w:val="auto"/>
                <w:sz w:val="24"/>
                <w:szCs w:val="24"/>
                <w:highlight w:val="none"/>
                <w:lang w:val="en-US" w:eastAsia="zh-CN"/>
              </w:rPr>
              <w:t>3.52</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3</w:t>
            </w:r>
            <w:r>
              <w:rPr>
                <w:rFonts w:hint="eastAsia"/>
                <w:color w:val="auto"/>
                <w:sz w:val="24"/>
                <w:szCs w:val="24"/>
                <w:highlight w:val="none"/>
              </w:rPr>
              <w:t>t/a，产生速率为</w:t>
            </w:r>
            <w:r>
              <w:rPr>
                <w:rFonts w:hint="eastAsia"/>
                <w:color w:val="auto"/>
                <w:sz w:val="24"/>
                <w:szCs w:val="24"/>
                <w:highlight w:val="none"/>
                <w:lang w:val="en-US" w:eastAsia="zh-CN"/>
              </w:rPr>
              <w:t>2.93</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3</w:t>
            </w:r>
            <w:r>
              <w:rPr>
                <w:rFonts w:hint="eastAsia"/>
                <w:color w:val="auto"/>
                <w:sz w:val="24"/>
                <w:szCs w:val="24"/>
                <w:highlight w:val="none"/>
              </w:rPr>
              <w:t>kg/h，产生浓度为0</w:t>
            </w:r>
            <w:r>
              <w:rPr>
                <w:rFonts w:hint="eastAsia"/>
                <w:color w:val="auto"/>
                <w:sz w:val="24"/>
                <w:szCs w:val="24"/>
                <w:highlight w:val="none"/>
                <w:lang w:val="en-US" w:eastAsia="zh-CN"/>
              </w:rPr>
              <w:t>.37</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rPr>
              <w:t>有组织</w:t>
            </w:r>
            <w:r>
              <w:rPr>
                <w:rFonts w:hint="eastAsia"/>
                <w:color w:val="auto"/>
                <w:sz w:val="24"/>
                <w:szCs w:val="24"/>
                <w:highlight w:val="none"/>
                <w:lang w:val="en-US" w:eastAsia="zh-CN"/>
              </w:rPr>
              <w:t>乙</w:t>
            </w:r>
            <w:r>
              <w:rPr>
                <w:rFonts w:hint="eastAsia"/>
                <w:color w:val="auto"/>
                <w:sz w:val="24"/>
                <w:szCs w:val="24"/>
                <w:highlight w:val="none"/>
              </w:rPr>
              <w:t>苯产生量为</w:t>
            </w:r>
            <w:r>
              <w:rPr>
                <w:rFonts w:hint="eastAsia"/>
                <w:color w:val="auto"/>
                <w:sz w:val="24"/>
                <w:szCs w:val="24"/>
                <w:highlight w:val="none"/>
                <w:lang w:val="en-US" w:eastAsia="zh-CN"/>
              </w:rPr>
              <w:t>1.54</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3</w:t>
            </w:r>
            <w:r>
              <w:rPr>
                <w:rFonts w:hint="eastAsia"/>
                <w:color w:val="auto"/>
                <w:sz w:val="24"/>
                <w:szCs w:val="24"/>
                <w:highlight w:val="none"/>
              </w:rPr>
              <w:t>t/a，产生速率为</w:t>
            </w:r>
            <w:r>
              <w:rPr>
                <w:rFonts w:hint="eastAsia"/>
                <w:color w:val="auto"/>
                <w:sz w:val="24"/>
                <w:szCs w:val="24"/>
                <w:highlight w:val="none"/>
                <w:lang w:val="en-US" w:eastAsia="zh-CN"/>
              </w:rPr>
              <w:t>1.28</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3</w:t>
            </w:r>
            <w:r>
              <w:rPr>
                <w:rFonts w:hint="eastAsia"/>
                <w:color w:val="auto"/>
                <w:sz w:val="24"/>
                <w:szCs w:val="24"/>
                <w:highlight w:val="none"/>
              </w:rPr>
              <w:t>kg/h，产生浓度为0</w:t>
            </w:r>
            <w:r>
              <w:rPr>
                <w:rFonts w:hint="eastAsia"/>
                <w:color w:val="auto"/>
                <w:sz w:val="24"/>
                <w:szCs w:val="24"/>
                <w:highlight w:val="none"/>
                <w:lang w:val="en-US" w:eastAsia="zh-CN"/>
              </w:rPr>
              <w:t>.16</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rPr>
              <w:t>有组织</w:t>
            </w:r>
            <w:r>
              <w:rPr>
                <w:rFonts w:hint="eastAsia"/>
                <w:color w:val="auto"/>
                <w:sz w:val="24"/>
                <w:szCs w:val="24"/>
                <w:highlight w:val="none"/>
                <w:lang w:val="en-US" w:eastAsia="zh-CN"/>
              </w:rPr>
              <w:t>苯乙烯</w:t>
            </w:r>
            <w:r>
              <w:rPr>
                <w:rFonts w:hint="eastAsia"/>
                <w:color w:val="auto"/>
                <w:sz w:val="24"/>
                <w:szCs w:val="24"/>
                <w:highlight w:val="none"/>
              </w:rPr>
              <w:t>产生量为</w:t>
            </w:r>
            <w:r>
              <w:rPr>
                <w:rFonts w:hint="eastAsia"/>
                <w:color w:val="auto"/>
                <w:sz w:val="24"/>
                <w:szCs w:val="24"/>
                <w:highlight w:val="none"/>
                <w:lang w:val="en-US" w:eastAsia="zh-CN"/>
              </w:rPr>
              <w:t>9.54</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t/a，产生速率为</w:t>
            </w:r>
            <w:r>
              <w:rPr>
                <w:rFonts w:hint="eastAsia"/>
                <w:color w:val="auto"/>
                <w:sz w:val="24"/>
                <w:szCs w:val="24"/>
                <w:highlight w:val="none"/>
                <w:lang w:val="en-US" w:eastAsia="zh-CN"/>
              </w:rPr>
              <w:t>7.94</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kg/h，产生浓度为0</w:t>
            </w:r>
            <w:r>
              <w:rPr>
                <w:rFonts w:hint="eastAsia"/>
                <w:color w:val="auto"/>
                <w:sz w:val="24"/>
                <w:szCs w:val="24"/>
                <w:highlight w:val="none"/>
                <w:lang w:val="en-US" w:eastAsia="zh-CN"/>
              </w:rPr>
              <w:t>.10</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rPr>
              <w:t>。收集后的废气经1套</w:t>
            </w:r>
            <w:r>
              <w:rPr>
                <w:rFonts w:hint="eastAsia"/>
                <w:color w:val="auto"/>
                <w:sz w:val="24"/>
                <w:szCs w:val="24"/>
                <w:highlight w:val="none"/>
                <w:lang w:eastAsia="zh-CN"/>
              </w:rPr>
              <w:t>“</w:t>
            </w:r>
            <w:r>
              <w:rPr>
                <w:rFonts w:hint="eastAsia"/>
                <w:color w:val="auto"/>
                <w:sz w:val="24"/>
                <w:szCs w:val="24"/>
                <w:highlight w:val="none"/>
              </w:rPr>
              <w:t>二级活性炭吸附装置</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lang w:eastAsia="zh-CN"/>
              </w:rPr>
              <w:t>处理效率为75</w:t>
            </w:r>
            <w:r>
              <w:rPr>
                <w:rFonts w:hint="eastAsia"/>
                <w:color w:val="auto"/>
                <w:sz w:val="24"/>
                <w:szCs w:val="24"/>
                <w:highlight w:val="none"/>
              </w:rPr>
              <w:t>%）处理后，非甲烷总烃排放量为</w:t>
            </w:r>
            <w:r>
              <w:rPr>
                <w:rFonts w:hint="eastAsia"/>
                <w:color w:val="auto"/>
                <w:sz w:val="24"/>
                <w:szCs w:val="24"/>
                <w:highlight w:val="none"/>
                <w:lang w:val="en-US" w:eastAsia="zh-CN"/>
              </w:rPr>
              <w:t>0.29</w:t>
            </w:r>
            <w:r>
              <w:rPr>
                <w:rFonts w:hint="eastAsia"/>
                <w:color w:val="auto"/>
                <w:sz w:val="24"/>
                <w:szCs w:val="24"/>
                <w:highlight w:val="none"/>
              </w:rPr>
              <w:t>t/a，排放速率为0.</w:t>
            </w:r>
            <w:r>
              <w:rPr>
                <w:rFonts w:hint="eastAsia"/>
                <w:color w:val="auto"/>
                <w:sz w:val="24"/>
                <w:szCs w:val="24"/>
                <w:highlight w:val="none"/>
                <w:lang w:val="en-US" w:eastAsia="zh-CN"/>
              </w:rPr>
              <w:t>24</w:t>
            </w:r>
            <w:r>
              <w:rPr>
                <w:rFonts w:hint="eastAsia"/>
                <w:color w:val="auto"/>
                <w:sz w:val="24"/>
                <w:szCs w:val="24"/>
                <w:highlight w:val="none"/>
              </w:rPr>
              <w:t>kg/h，排放浓度为</w:t>
            </w:r>
            <w:r>
              <w:rPr>
                <w:rFonts w:hint="eastAsia"/>
                <w:color w:val="auto"/>
                <w:sz w:val="24"/>
                <w:szCs w:val="24"/>
                <w:highlight w:val="none"/>
                <w:lang w:val="en-US" w:eastAsia="zh-CN"/>
              </w:rPr>
              <w:t>30.09</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甲苯排放量为8.80</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w:t>
            </w:r>
            <w:r>
              <w:rPr>
                <w:rFonts w:hint="eastAsia"/>
                <w:color w:val="auto"/>
                <w:sz w:val="24"/>
                <w:szCs w:val="24"/>
                <w:highlight w:val="none"/>
                <w:vertAlign w:val="superscript"/>
                <w:lang w:val="en-US" w:eastAsia="zh-CN"/>
              </w:rPr>
              <w:t>4</w:t>
            </w:r>
            <w:r>
              <w:rPr>
                <w:rFonts w:hint="eastAsia"/>
                <w:color w:val="auto"/>
                <w:sz w:val="24"/>
                <w:szCs w:val="24"/>
                <w:highlight w:val="none"/>
              </w:rPr>
              <w:t>t/a，</w:t>
            </w:r>
            <w:r>
              <w:rPr>
                <w:color w:val="auto"/>
                <w:sz w:val="24"/>
                <w:szCs w:val="24"/>
                <w:highlight w:val="none"/>
              </w:rPr>
              <w:t>排放速率为</w:t>
            </w:r>
            <w:r>
              <w:rPr>
                <w:rFonts w:hint="eastAsia"/>
                <w:color w:val="auto"/>
                <w:sz w:val="24"/>
                <w:szCs w:val="24"/>
                <w:highlight w:val="none"/>
                <w:lang w:val="en-US" w:eastAsia="zh-CN"/>
              </w:rPr>
              <w:t>7.34</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kg/h，排放浓度为</w:t>
            </w:r>
            <w:r>
              <w:rPr>
                <w:rFonts w:hint="eastAsia"/>
                <w:color w:val="auto"/>
                <w:sz w:val="24"/>
                <w:szCs w:val="24"/>
                <w:highlight w:val="none"/>
              </w:rPr>
              <w:t>0.0</w:t>
            </w:r>
            <w:r>
              <w:rPr>
                <w:rFonts w:hint="eastAsia"/>
                <w:color w:val="auto"/>
                <w:sz w:val="24"/>
                <w:szCs w:val="24"/>
                <w:highlight w:val="none"/>
                <w:lang w:val="en-US" w:eastAsia="zh-CN"/>
              </w:rPr>
              <w:t>9</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lang w:eastAsia="zh-CN"/>
              </w:rPr>
              <w:t>；</w:t>
            </w:r>
            <w:r>
              <w:rPr>
                <w:rFonts w:hint="eastAsia"/>
                <w:color w:val="auto"/>
                <w:sz w:val="24"/>
                <w:szCs w:val="24"/>
                <w:highlight w:val="none"/>
                <w:lang w:val="en-US" w:eastAsia="zh-CN"/>
              </w:rPr>
              <w:t>乙苯</w:t>
            </w:r>
            <w:r>
              <w:rPr>
                <w:rFonts w:hint="eastAsia"/>
                <w:color w:val="auto"/>
                <w:sz w:val="24"/>
                <w:szCs w:val="24"/>
                <w:highlight w:val="none"/>
              </w:rPr>
              <w:t>排放量为</w:t>
            </w:r>
            <w:r>
              <w:rPr>
                <w:rFonts w:hint="eastAsia"/>
                <w:color w:val="auto"/>
                <w:sz w:val="24"/>
                <w:szCs w:val="24"/>
                <w:highlight w:val="none"/>
                <w:lang w:val="en-US" w:eastAsia="zh-CN"/>
              </w:rPr>
              <w:t>3.85</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t/a，排放速率为</w:t>
            </w:r>
            <w:r>
              <w:rPr>
                <w:rFonts w:hint="eastAsia"/>
                <w:color w:val="auto"/>
                <w:sz w:val="24"/>
                <w:szCs w:val="24"/>
                <w:highlight w:val="none"/>
                <w:lang w:val="en-US" w:eastAsia="zh-CN"/>
              </w:rPr>
              <w:t>3.20</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kg/h，排放浓度为</w:t>
            </w:r>
            <w:r>
              <w:rPr>
                <w:rFonts w:hint="eastAsia"/>
                <w:color w:val="auto"/>
                <w:sz w:val="24"/>
                <w:szCs w:val="24"/>
                <w:highlight w:val="none"/>
              </w:rPr>
              <w:t>0.0</w:t>
            </w:r>
            <w:r>
              <w:rPr>
                <w:rFonts w:hint="eastAsia"/>
                <w:color w:val="auto"/>
                <w:sz w:val="24"/>
                <w:szCs w:val="24"/>
                <w:highlight w:val="none"/>
                <w:lang w:val="en-US" w:eastAsia="zh-CN"/>
              </w:rPr>
              <w:t>4</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lang w:eastAsia="zh-CN"/>
              </w:rPr>
              <w:t>；</w:t>
            </w:r>
            <w:r>
              <w:rPr>
                <w:rFonts w:hint="eastAsia"/>
                <w:color w:val="auto"/>
                <w:sz w:val="24"/>
                <w:szCs w:val="24"/>
                <w:highlight w:val="none"/>
                <w:lang w:val="en-US" w:eastAsia="zh-CN"/>
              </w:rPr>
              <w:t>苯乙烯</w:t>
            </w:r>
            <w:r>
              <w:rPr>
                <w:rFonts w:hint="eastAsia"/>
                <w:color w:val="auto"/>
                <w:sz w:val="24"/>
                <w:szCs w:val="24"/>
                <w:highlight w:val="none"/>
              </w:rPr>
              <w:t>排放量为</w:t>
            </w:r>
            <w:r>
              <w:rPr>
                <w:rFonts w:hint="eastAsia"/>
                <w:color w:val="auto"/>
                <w:sz w:val="24"/>
                <w:szCs w:val="24"/>
                <w:highlight w:val="none"/>
                <w:lang w:val="en-US" w:eastAsia="zh-CN"/>
              </w:rPr>
              <w:t>2.39</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t/a，排放速率为</w:t>
            </w:r>
            <w:r>
              <w:rPr>
                <w:rFonts w:hint="eastAsia"/>
                <w:color w:val="auto"/>
                <w:sz w:val="24"/>
                <w:szCs w:val="24"/>
                <w:highlight w:val="none"/>
                <w:lang w:val="en-US" w:eastAsia="zh-CN"/>
              </w:rPr>
              <w:t>2.00</w:t>
            </w:r>
            <w:r>
              <w:rPr>
                <w:color w:val="auto"/>
                <w:sz w:val="24"/>
                <w:szCs w:val="24"/>
                <w:highlight w:val="none"/>
              </w:rPr>
              <w:t>×10</w:t>
            </w:r>
            <w:r>
              <w:rPr>
                <w:color w:val="auto"/>
                <w:sz w:val="24"/>
                <w:szCs w:val="24"/>
                <w:highlight w:val="none"/>
                <w:vertAlign w:val="superscript"/>
              </w:rPr>
              <w:t>-</w:t>
            </w:r>
            <w:r>
              <w:rPr>
                <w:rFonts w:hint="eastAsia"/>
                <w:color w:val="auto"/>
                <w:sz w:val="24"/>
                <w:szCs w:val="24"/>
                <w:highlight w:val="none"/>
                <w:vertAlign w:val="superscript"/>
                <w:lang w:val="en-US" w:eastAsia="zh-CN"/>
              </w:rPr>
              <w:t>4</w:t>
            </w:r>
            <w:r>
              <w:rPr>
                <w:color w:val="auto"/>
                <w:sz w:val="24"/>
                <w:szCs w:val="24"/>
                <w:highlight w:val="none"/>
              </w:rPr>
              <w:t>kg/h，排放浓度为</w:t>
            </w:r>
            <w:r>
              <w:rPr>
                <w:rFonts w:hint="eastAsia"/>
                <w:color w:val="auto"/>
                <w:sz w:val="24"/>
                <w:szCs w:val="24"/>
                <w:highlight w:val="none"/>
              </w:rPr>
              <w:t>0.0</w:t>
            </w:r>
            <w:r>
              <w:rPr>
                <w:rFonts w:hint="eastAsia"/>
                <w:color w:val="auto"/>
                <w:sz w:val="24"/>
                <w:szCs w:val="24"/>
                <w:highlight w:val="none"/>
                <w:lang w:val="en-US" w:eastAsia="zh-CN"/>
              </w:rPr>
              <w:t>25</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lang w:eastAsia="zh-CN"/>
              </w:rPr>
              <w:t>；</w:t>
            </w:r>
            <w:r>
              <w:rPr>
                <w:rFonts w:hint="eastAsia"/>
                <w:color w:val="auto"/>
                <w:sz w:val="24"/>
                <w:szCs w:val="24"/>
                <w:highlight w:val="none"/>
              </w:rPr>
              <w:t>经1根15m高的排气筒（DA00</w:t>
            </w:r>
            <w:r>
              <w:rPr>
                <w:rFonts w:hint="eastAsia"/>
                <w:color w:val="auto"/>
                <w:sz w:val="24"/>
                <w:szCs w:val="24"/>
                <w:highlight w:val="none"/>
                <w:lang w:val="en-US" w:eastAsia="zh-CN"/>
              </w:rPr>
              <w:t>2</w:t>
            </w:r>
            <w:r>
              <w:rPr>
                <w:rFonts w:hint="eastAsia"/>
                <w:color w:val="auto"/>
                <w:sz w:val="24"/>
                <w:szCs w:val="24"/>
                <w:highlight w:val="none"/>
              </w:rPr>
              <w:t>）排放。</w:t>
            </w:r>
          </w:p>
          <w:p w14:paraId="476329AC">
            <w:pPr>
              <w:adjustRightInd w:val="0"/>
              <w:snapToGrid w:val="0"/>
              <w:spacing w:line="360" w:lineRule="auto"/>
              <w:ind w:firstLine="480" w:firstLineChars="200"/>
              <w:rPr>
                <w:rFonts w:hint="eastAsia"/>
                <w:color w:val="auto"/>
                <w:sz w:val="24"/>
                <w:szCs w:val="24"/>
                <w:highlight w:val="none"/>
              </w:rPr>
            </w:pPr>
            <w:r>
              <w:rPr>
                <w:color w:val="auto"/>
                <w:sz w:val="24"/>
                <w:szCs w:val="24"/>
                <w:highlight w:val="none"/>
              </w:rPr>
              <w:t>未被</w:t>
            </w:r>
            <w:r>
              <w:rPr>
                <w:rFonts w:hint="eastAsia"/>
                <w:color w:val="auto"/>
                <w:sz w:val="24"/>
                <w:szCs w:val="24"/>
                <w:highlight w:val="none"/>
                <w:lang w:val="en-US" w:eastAsia="zh-CN"/>
              </w:rPr>
              <w:t>集气罩</w:t>
            </w:r>
            <w:r>
              <w:rPr>
                <w:color w:val="auto"/>
                <w:sz w:val="24"/>
                <w:szCs w:val="24"/>
                <w:highlight w:val="none"/>
              </w:rPr>
              <w:t>收集的</w:t>
            </w:r>
            <w:r>
              <w:rPr>
                <w:rFonts w:hint="eastAsia"/>
                <w:color w:val="auto"/>
                <w:sz w:val="24"/>
                <w:szCs w:val="24"/>
                <w:highlight w:val="none"/>
              </w:rPr>
              <w:t>废气</w:t>
            </w:r>
            <w:r>
              <w:rPr>
                <w:color w:val="auto"/>
                <w:sz w:val="24"/>
                <w:szCs w:val="24"/>
                <w:highlight w:val="none"/>
              </w:rPr>
              <w:t>无组织排放，</w:t>
            </w:r>
            <w:r>
              <w:rPr>
                <w:rFonts w:hint="eastAsia"/>
                <w:color w:val="auto"/>
                <w:sz w:val="24"/>
                <w:szCs w:val="24"/>
                <w:highlight w:val="none"/>
                <w:lang w:val="en-US" w:eastAsia="zh-CN"/>
              </w:rPr>
              <w:t>二期</w:t>
            </w:r>
            <w:r>
              <w:rPr>
                <w:rFonts w:hint="eastAsia"/>
                <w:color w:val="auto"/>
                <w:sz w:val="24"/>
                <w:szCs w:val="24"/>
                <w:highlight w:val="none"/>
              </w:rPr>
              <w:t>非甲烷总烃</w:t>
            </w:r>
            <w:r>
              <w:rPr>
                <w:color w:val="auto"/>
                <w:sz w:val="24"/>
                <w:szCs w:val="24"/>
                <w:highlight w:val="none"/>
              </w:rPr>
              <w:t>无组织排放量为</w:t>
            </w:r>
            <w:r>
              <w:rPr>
                <w:rFonts w:hint="eastAsia"/>
                <w:color w:val="auto"/>
                <w:sz w:val="24"/>
                <w:szCs w:val="24"/>
                <w:highlight w:val="none"/>
                <w:lang w:val="en-US" w:eastAsia="zh-CN"/>
              </w:rPr>
              <w:t>0.13</w:t>
            </w:r>
            <w:r>
              <w:rPr>
                <w:color w:val="auto"/>
                <w:sz w:val="24"/>
                <w:szCs w:val="24"/>
                <w:highlight w:val="none"/>
              </w:rPr>
              <w:t>t/a，排放速率</w:t>
            </w:r>
            <w:r>
              <w:rPr>
                <w:rFonts w:hint="default" w:ascii="Times New Roman" w:hAnsi="Times New Roman" w:cs="Times New Roman"/>
                <w:color w:val="auto"/>
                <w:sz w:val="24"/>
                <w:szCs w:val="24"/>
                <w:highlight w:val="none"/>
              </w:rPr>
              <w:t>为</w:t>
            </w:r>
            <w:r>
              <w:rPr>
                <w:rFonts w:hint="eastAsia" w:ascii="Times New Roman" w:hAnsi="Times New Roman" w:cs="Times New Roman"/>
                <w:color w:val="auto"/>
                <w:sz w:val="24"/>
                <w:szCs w:val="24"/>
                <w:highlight w:val="none"/>
                <w:lang w:val="en-US" w:eastAsia="zh-CN"/>
              </w:rPr>
              <w:t>0.11</w:t>
            </w:r>
            <w:r>
              <w:rPr>
                <w:rFonts w:hint="default" w:ascii="Times New Roman" w:hAnsi="Times New Roman" w:cs="Times New Roman"/>
                <w:color w:val="auto"/>
                <w:sz w:val="24"/>
                <w:szCs w:val="24"/>
                <w:highlight w:val="none"/>
              </w:rPr>
              <w:t>kg/h；甲苯无组织排放量为</w:t>
            </w:r>
            <w:r>
              <w:rPr>
                <w:rFonts w:hint="eastAsia" w:cs="Times New Roman"/>
                <w:color w:val="auto"/>
                <w:sz w:val="24"/>
                <w:szCs w:val="24"/>
                <w:highlight w:val="none"/>
                <w:lang w:val="en-US" w:eastAsia="zh-CN"/>
              </w:rPr>
              <w:t>3.91</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eastAsia" w:cs="Times New Roman"/>
                <w:color w:val="auto"/>
                <w:sz w:val="24"/>
                <w:szCs w:val="24"/>
                <w:highlight w:val="none"/>
                <w:vertAlign w:val="superscript"/>
                <w:lang w:val="en-US" w:eastAsia="zh-CN"/>
              </w:rPr>
              <w:t>4</w:t>
            </w:r>
            <w:r>
              <w:rPr>
                <w:rFonts w:hint="default" w:ascii="Times New Roman" w:hAnsi="Times New Roman" w:cs="Times New Roman"/>
                <w:color w:val="auto"/>
                <w:sz w:val="24"/>
                <w:szCs w:val="24"/>
                <w:highlight w:val="none"/>
              </w:rPr>
              <w:t>t/a，排放速率为</w:t>
            </w:r>
            <w:r>
              <w:rPr>
                <w:rFonts w:hint="eastAsia" w:cs="Times New Roman"/>
                <w:color w:val="auto"/>
                <w:sz w:val="24"/>
                <w:szCs w:val="24"/>
                <w:highlight w:val="none"/>
                <w:lang w:val="en-US" w:eastAsia="zh-CN"/>
              </w:rPr>
              <w:t>3.26</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eastAsia" w:cs="Times New Roman"/>
                <w:color w:val="auto"/>
                <w:sz w:val="24"/>
                <w:szCs w:val="24"/>
                <w:highlight w:val="none"/>
                <w:vertAlign w:val="superscript"/>
                <w:lang w:val="en-US" w:eastAsia="zh-CN"/>
              </w:rPr>
              <w:t>4</w:t>
            </w:r>
            <w:r>
              <w:rPr>
                <w:rFonts w:hint="default" w:ascii="Times New Roman" w:hAnsi="Times New Roman" w:cs="Times New Roman"/>
                <w:color w:val="auto"/>
                <w:sz w:val="24"/>
                <w:szCs w:val="24"/>
                <w:highlight w:val="none"/>
              </w:rPr>
              <w:t>kg/h</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乙</w:t>
            </w:r>
            <w:r>
              <w:rPr>
                <w:rFonts w:hint="default" w:ascii="Times New Roman" w:hAnsi="Times New Roman" w:cs="Times New Roman"/>
                <w:color w:val="auto"/>
                <w:sz w:val="24"/>
                <w:szCs w:val="24"/>
                <w:highlight w:val="none"/>
              </w:rPr>
              <w:t>苯无组织排放量为</w:t>
            </w:r>
            <w:r>
              <w:rPr>
                <w:rFonts w:hint="eastAsia" w:cs="Times New Roman"/>
                <w:color w:val="auto"/>
                <w:sz w:val="24"/>
                <w:szCs w:val="24"/>
                <w:highlight w:val="none"/>
                <w:lang w:val="en-US" w:eastAsia="zh-CN"/>
              </w:rPr>
              <w:t>1.71</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eastAsia" w:ascii="Times New Roman" w:hAnsi="Times New Roman" w:cs="Times New Roman"/>
                <w:color w:val="auto"/>
                <w:sz w:val="24"/>
                <w:szCs w:val="24"/>
                <w:highlight w:val="none"/>
                <w:vertAlign w:val="superscript"/>
                <w:lang w:val="en-US" w:eastAsia="zh-CN"/>
              </w:rPr>
              <w:t>4</w:t>
            </w:r>
            <w:r>
              <w:rPr>
                <w:rFonts w:hint="default" w:ascii="Times New Roman" w:hAnsi="Times New Roman" w:cs="Times New Roman"/>
                <w:color w:val="auto"/>
                <w:sz w:val="24"/>
                <w:szCs w:val="24"/>
                <w:highlight w:val="none"/>
              </w:rPr>
              <w:t>t/a，排放速率为</w:t>
            </w:r>
            <w:r>
              <w:rPr>
                <w:rFonts w:hint="eastAsia" w:cs="Times New Roman"/>
                <w:color w:val="auto"/>
                <w:sz w:val="24"/>
                <w:szCs w:val="24"/>
                <w:highlight w:val="none"/>
                <w:lang w:val="en-US" w:eastAsia="zh-CN"/>
              </w:rPr>
              <w:t>1.42</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eastAsia" w:ascii="Times New Roman" w:hAnsi="Times New Roman" w:cs="Times New Roman"/>
                <w:color w:val="auto"/>
                <w:sz w:val="24"/>
                <w:szCs w:val="24"/>
                <w:highlight w:val="none"/>
                <w:vertAlign w:val="superscript"/>
                <w:lang w:val="en-US" w:eastAsia="zh-CN"/>
              </w:rPr>
              <w:t>4</w:t>
            </w:r>
            <w:r>
              <w:rPr>
                <w:rFonts w:hint="default" w:ascii="Times New Roman" w:hAnsi="Times New Roman" w:cs="Times New Roman"/>
                <w:color w:val="auto"/>
                <w:sz w:val="24"/>
                <w:szCs w:val="24"/>
                <w:highlight w:val="none"/>
              </w:rPr>
              <w:t>kg/h</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苯乙烯</w:t>
            </w:r>
            <w:r>
              <w:rPr>
                <w:rFonts w:hint="default" w:ascii="Times New Roman" w:hAnsi="Times New Roman" w:cs="Times New Roman"/>
                <w:color w:val="auto"/>
                <w:sz w:val="24"/>
                <w:szCs w:val="24"/>
                <w:highlight w:val="none"/>
              </w:rPr>
              <w:t>无组织排放量为</w:t>
            </w:r>
            <w:r>
              <w:rPr>
                <w:rFonts w:hint="eastAsia" w:ascii="Times New Roman" w:hAnsi="Times New Roman" w:cs="Times New Roman"/>
                <w:color w:val="auto"/>
                <w:sz w:val="24"/>
                <w:szCs w:val="24"/>
                <w:highlight w:val="none"/>
                <w:lang w:val="en-US" w:eastAsia="zh-CN"/>
              </w:rPr>
              <w:t>1.</w:t>
            </w:r>
            <w:r>
              <w:rPr>
                <w:rFonts w:hint="eastAsia" w:cs="Times New Roman"/>
                <w:color w:val="auto"/>
                <w:sz w:val="24"/>
                <w:szCs w:val="24"/>
                <w:highlight w:val="none"/>
                <w:lang w:val="en-US" w:eastAsia="zh-CN"/>
              </w:rPr>
              <w:t>06</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eastAsia" w:ascii="Times New Roman" w:hAnsi="Times New Roman" w:cs="Times New Roman"/>
                <w:color w:val="auto"/>
                <w:sz w:val="24"/>
                <w:szCs w:val="24"/>
                <w:highlight w:val="none"/>
                <w:vertAlign w:val="superscript"/>
                <w:lang w:val="en-US" w:eastAsia="zh-CN"/>
              </w:rPr>
              <w:t>4</w:t>
            </w:r>
            <w:r>
              <w:rPr>
                <w:rFonts w:hint="default" w:ascii="Times New Roman" w:hAnsi="Times New Roman" w:cs="Times New Roman"/>
                <w:color w:val="auto"/>
                <w:sz w:val="24"/>
                <w:szCs w:val="24"/>
                <w:highlight w:val="none"/>
              </w:rPr>
              <w:t>t/a，排放速率为</w:t>
            </w:r>
            <w:r>
              <w:rPr>
                <w:rFonts w:hint="eastAsia" w:cs="Times New Roman"/>
                <w:color w:val="auto"/>
                <w:sz w:val="24"/>
                <w:szCs w:val="24"/>
                <w:highlight w:val="none"/>
                <w:lang w:val="en-US" w:eastAsia="zh-CN"/>
              </w:rPr>
              <w:t>8.82</w:t>
            </w:r>
            <w:r>
              <w:rPr>
                <w:rFonts w:hint="default"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vertAlign w:val="superscript"/>
              </w:rPr>
              <w:t>-</w:t>
            </w:r>
            <w:r>
              <w:rPr>
                <w:rFonts w:hint="eastAsia" w:cs="Times New Roman"/>
                <w:color w:val="auto"/>
                <w:sz w:val="24"/>
                <w:szCs w:val="24"/>
                <w:highlight w:val="none"/>
                <w:vertAlign w:val="superscript"/>
                <w:lang w:val="en-US" w:eastAsia="zh-CN"/>
              </w:rPr>
              <w:t>5</w:t>
            </w:r>
            <w:r>
              <w:rPr>
                <w:rFonts w:hint="default" w:ascii="Times New Roman" w:hAnsi="Times New Roman" w:cs="Times New Roman"/>
                <w:color w:val="auto"/>
                <w:sz w:val="24"/>
                <w:szCs w:val="24"/>
                <w:highlight w:val="none"/>
              </w:rPr>
              <w:t>kg/h。</w:t>
            </w:r>
          </w:p>
          <w:p w14:paraId="37E067D3">
            <w:pPr>
              <w:adjustRightInd w:val="0"/>
              <w:snapToGrid w:val="0"/>
              <w:spacing w:line="360" w:lineRule="auto"/>
              <w:ind w:firstLine="482" w:firstLineChars="200"/>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fldChar w:fldCharType="begin"/>
            </w:r>
            <w:r>
              <w:rPr>
                <w:rFonts w:hint="eastAsia" w:ascii="Times New Roman" w:hAnsi="Times New Roman" w:eastAsia="宋体" w:cs="Times New Roman"/>
                <w:b/>
                <w:bCs/>
                <w:color w:val="auto"/>
                <w:sz w:val="24"/>
                <w:highlight w:val="none"/>
              </w:rPr>
              <w:instrText xml:space="preserve"> = 3 \* GB4 \* MERGEFORMAT </w:instrText>
            </w:r>
            <w:r>
              <w:rPr>
                <w:rFonts w:hint="eastAsia" w:ascii="Times New Roman" w:hAnsi="Times New Roman" w:eastAsia="宋体" w:cs="Times New Roman"/>
                <w:b/>
                <w:bCs/>
                <w:color w:val="auto"/>
                <w:sz w:val="24"/>
                <w:highlight w:val="none"/>
              </w:rPr>
              <w:fldChar w:fldCharType="separate"/>
            </w:r>
            <w:r>
              <w:rPr>
                <w:rFonts w:hint="eastAsia" w:ascii="Times New Roman" w:hAnsi="Times New Roman" w:eastAsia="宋体" w:cs="Times New Roman"/>
                <w:b/>
                <w:bCs/>
                <w:color w:val="auto"/>
                <w:sz w:val="24"/>
                <w:highlight w:val="none"/>
              </w:rPr>
              <w:t>㈢</w:t>
            </w:r>
            <w:r>
              <w:rPr>
                <w:rFonts w:hint="eastAsia" w:ascii="Times New Roman" w:hAnsi="Times New Roman" w:eastAsia="宋体" w:cs="Times New Roman"/>
                <w:b/>
                <w:bCs/>
                <w:color w:val="auto"/>
                <w:sz w:val="24"/>
                <w:highlight w:val="none"/>
              </w:rPr>
              <w:fldChar w:fldCharType="end"/>
            </w:r>
            <w:r>
              <w:rPr>
                <w:rFonts w:hint="eastAsia" w:ascii="Times New Roman" w:hAnsi="Times New Roman" w:eastAsia="宋体" w:cs="Times New Roman"/>
                <w:b/>
                <w:bCs/>
                <w:color w:val="auto"/>
                <w:sz w:val="24"/>
                <w:highlight w:val="none"/>
              </w:rPr>
              <w:t>恶臭气体</w:t>
            </w:r>
          </w:p>
          <w:p w14:paraId="6B9E6D2B">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本项目发泡和成型过程会产生异味，即为恶臭，根据恶臭污染物的定义，恶臭污染物主要指一切刺激嗅觉器官引起人们不愉快及损害生活环境的气体物质。恶臭为人们对恶臭物质所感知的一种污染指标，其主要物质种类达上万种之多。由于其各种物质之间的相互作用（相加、协同、抵消及掩饰作用等），加之人类的嗅觉功能和恶臭物质取样分析等因素，迄今还难以对大多数恶臭物质作出浓度标准。</w:t>
            </w:r>
          </w:p>
          <w:p w14:paraId="46BC90F5">
            <w:pPr>
              <w:adjustRightInd w:val="0"/>
              <w:snapToGrid w:val="0"/>
              <w:spacing w:line="360" w:lineRule="auto"/>
              <w:ind w:firstLine="480" w:firstLineChars="200"/>
              <w:rPr>
                <w:color w:val="auto"/>
                <w:sz w:val="24"/>
                <w:highlight w:val="none"/>
              </w:rPr>
            </w:pPr>
            <w:r>
              <w:rPr>
                <w:rFonts w:hint="eastAsia"/>
                <w:color w:val="auto"/>
                <w:sz w:val="24"/>
                <w:highlight w:val="none"/>
              </w:rPr>
              <w:t>北京环境监测中心在吸取国外经验的基础上提出了恶臭6级分级法，该分级法以感受器-嗅觉的感觉和人的主观感觉特征两个方面来描述各级特征，即明确了各级的差别，也提高了分级的准确程度。具体见下表。</w:t>
            </w:r>
          </w:p>
          <w:p w14:paraId="4C4071A8">
            <w:pPr>
              <w:pStyle w:val="11"/>
              <w:adjustRightInd w:val="0"/>
              <w:snapToGrid w:val="0"/>
              <w:spacing w:after="0"/>
              <w:ind w:left="0" w:leftChars="0" w:firstLine="431"/>
              <w:rPr>
                <w:b/>
                <w:bCs/>
                <w:color w:val="auto"/>
                <w:highlight w:val="none"/>
              </w:rPr>
            </w:pPr>
            <w:r>
              <w:rPr>
                <w:color w:val="auto"/>
                <w:sz w:val="21"/>
                <w:szCs w:val="21"/>
                <w:highlight w:val="none"/>
              </w:rPr>
              <w:t>表</w:t>
            </w:r>
            <w:r>
              <w:rPr>
                <w:rFonts w:hint="eastAsia"/>
                <w:color w:val="auto"/>
                <w:sz w:val="21"/>
                <w:szCs w:val="21"/>
                <w:highlight w:val="none"/>
              </w:rPr>
              <w:t>4-</w:t>
            </w:r>
            <w:r>
              <w:rPr>
                <w:rFonts w:hint="eastAsia"/>
                <w:color w:val="auto"/>
                <w:sz w:val="21"/>
                <w:szCs w:val="21"/>
                <w:highlight w:val="none"/>
                <w:lang w:val="en-US" w:eastAsia="zh-CN"/>
              </w:rPr>
              <w:t>6</w:t>
            </w:r>
            <w:r>
              <w:rPr>
                <w:rFonts w:hint="eastAsia"/>
                <w:b/>
                <w:bCs/>
                <w:color w:val="auto"/>
                <w:highlight w:val="none"/>
              </w:rPr>
              <w:t xml:space="preserve"> </w:t>
            </w:r>
            <w:r>
              <w:rPr>
                <w:b/>
                <w:bCs/>
                <w:color w:val="auto"/>
                <w:highlight w:val="none"/>
              </w:rPr>
              <w:t xml:space="preserve">         </w:t>
            </w:r>
            <w:r>
              <w:rPr>
                <w:rFonts w:hint="eastAsia"/>
                <w:b/>
                <w:bCs/>
                <w:color w:val="auto"/>
                <w:highlight w:val="none"/>
              </w:rPr>
              <w:t xml:space="preserve">     </w:t>
            </w:r>
            <w:r>
              <w:rPr>
                <w:rFonts w:hint="eastAsia"/>
                <w:b/>
                <w:bCs/>
                <w:color w:val="auto"/>
                <w:highlight w:val="none"/>
                <w:lang w:val="en-US" w:eastAsia="zh-CN"/>
              </w:rPr>
              <w:t xml:space="preserve">     </w:t>
            </w:r>
            <w:r>
              <w:rPr>
                <w:rFonts w:hint="eastAsia"/>
                <w:b/>
                <w:bCs/>
                <w:color w:val="auto"/>
                <w:highlight w:val="none"/>
              </w:rPr>
              <w:t xml:space="preserve">   </w:t>
            </w:r>
            <w:r>
              <w:rPr>
                <w:rFonts w:hint="eastAsia"/>
                <w:b/>
                <w:bCs/>
                <w:color w:val="auto"/>
                <w:sz w:val="24"/>
                <w:szCs w:val="24"/>
                <w:highlight w:val="none"/>
              </w:rPr>
              <w:t>恶臭6级分级法</w:t>
            </w:r>
          </w:p>
          <w:tbl>
            <w:tblPr>
              <w:tblStyle w:val="30"/>
              <w:tblW w:w="827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632"/>
              <w:gridCol w:w="6645"/>
            </w:tblGrid>
            <w:tr w14:paraId="308978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587" w:type="dxa"/>
                  <w:noWrap w:val="0"/>
                  <w:vAlign w:val="center"/>
                </w:tcPr>
                <w:p w14:paraId="70B01028">
                  <w:pPr>
                    <w:widowControl/>
                    <w:adjustRightInd w:val="0"/>
                    <w:snapToGrid w:val="0"/>
                    <w:jc w:val="center"/>
                    <w:textAlignment w:val="center"/>
                    <w:rPr>
                      <w:b/>
                      <w:color w:val="auto"/>
                      <w:kern w:val="0"/>
                      <w:szCs w:val="21"/>
                      <w:highlight w:val="none"/>
                      <w:lang w:bidi="ar"/>
                    </w:rPr>
                  </w:pPr>
                  <w:r>
                    <w:rPr>
                      <w:b/>
                      <w:color w:val="auto"/>
                      <w:kern w:val="0"/>
                      <w:szCs w:val="21"/>
                      <w:highlight w:val="none"/>
                      <w:lang w:bidi="ar"/>
                    </w:rPr>
                    <w:t>恶臭强度级</w:t>
                  </w:r>
                </w:p>
              </w:tc>
              <w:tc>
                <w:tcPr>
                  <w:tcW w:w="6463" w:type="dxa"/>
                  <w:noWrap w:val="0"/>
                  <w:tcMar>
                    <w:top w:w="12" w:type="dxa"/>
                    <w:left w:w="12" w:type="dxa"/>
                    <w:right w:w="12" w:type="dxa"/>
                  </w:tcMar>
                  <w:vAlign w:val="center"/>
                </w:tcPr>
                <w:p w14:paraId="74B88C30">
                  <w:pPr>
                    <w:widowControl/>
                    <w:adjustRightInd w:val="0"/>
                    <w:snapToGrid w:val="0"/>
                    <w:jc w:val="center"/>
                    <w:textAlignment w:val="center"/>
                    <w:rPr>
                      <w:b/>
                      <w:color w:val="auto"/>
                      <w:kern w:val="0"/>
                      <w:szCs w:val="21"/>
                      <w:highlight w:val="none"/>
                      <w:lang w:bidi="ar"/>
                    </w:rPr>
                  </w:pPr>
                  <w:r>
                    <w:rPr>
                      <w:b/>
                      <w:color w:val="auto"/>
                      <w:kern w:val="0"/>
                      <w:szCs w:val="21"/>
                      <w:highlight w:val="none"/>
                      <w:lang w:bidi="ar"/>
                    </w:rPr>
                    <w:t>特征</w:t>
                  </w:r>
                </w:p>
              </w:tc>
            </w:tr>
            <w:tr w14:paraId="2F7DB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587" w:type="dxa"/>
                  <w:noWrap w:val="0"/>
                  <w:vAlign w:val="center"/>
                </w:tcPr>
                <w:p w14:paraId="1F3A7216">
                  <w:pPr>
                    <w:widowControl/>
                    <w:adjustRightInd w:val="0"/>
                    <w:snapToGrid w:val="0"/>
                    <w:jc w:val="center"/>
                    <w:rPr>
                      <w:color w:val="auto"/>
                      <w:kern w:val="0"/>
                      <w:szCs w:val="21"/>
                      <w:highlight w:val="none"/>
                    </w:rPr>
                  </w:pPr>
                  <w:r>
                    <w:rPr>
                      <w:color w:val="auto"/>
                      <w:kern w:val="0"/>
                      <w:szCs w:val="21"/>
                      <w:highlight w:val="none"/>
                    </w:rPr>
                    <w:t>0</w:t>
                  </w:r>
                </w:p>
              </w:tc>
              <w:tc>
                <w:tcPr>
                  <w:tcW w:w="6463" w:type="dxa"/>
                  <w:noWrap w:val="0"/>
                  <w:tcMar>
                    <w:top w:w="12" w:type="dxa"/>
                    <w:left w:w="12" w:type="dxa"/>
                    <w:right w:w="12" w:type="dxa"/>
                  </w:tcMar>
                  <w:vAlign w:val="center"/>
                </w:tcPr>
                <w:p w14:paraId="1C25AD34">
                  <w:pPr>
                    <w:widowControl/>
                    <w:adjustRightInd w:val="0"/>
                    <w:snapToGrid w:val="0"/>
                    <w:jc w:val="center"/>
                    <w:rPr>
                      <w:color w:val="auto"/>
                      <w:kern w:val="0"/>
                      <w:szCs w:val="21"/>
                      <w:highlight w:val="none"/>
                    </w:rPr>
                  </w:pPr>
                  <w:r>
                    <w:rPr>
                      <w:color w:val="auto"/>
                      <w:kern w:val="0"/>
                      <w:szCs w:val="21"/>
                      <w:highlight w:val="none"/>
                    </w:rPr>
                    <w:t>未闻到有任何气味，无任何反应</w:t>
                  </w:r>
                </w:p>
              </w:tc>
            </w:tr>
            <w:tr w14:paraId="073585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587" w:type="dxa"/>
                  <w:noWrap w:val="0"/>
                  <w:vAlign w:val="center"/>
                </w:tcPr>
                <w:p w14:paraId="09A9B3CF">
                  <w:pPr>
                    <w:widowControl/>
                    <w:adjustRightInd w:val="0"/>
                    <w:snapToGrid w:val="0"/>
                    <w:jc w:val="center"/>
                    <w:rPr>
                      <w:color w:val="auto"/>
                      <w:kern w:val="0"/>
                      <w:szCs w:val="21"/>
                      <w:highlight w:val="none"/>
                    </w:rPr>
                  </w:pPr>
                  <w:r>
                    <w:rPr>
                      <w:color w:val="auto"/>
                      <w:kern w:val="0"/>
                      <w:szCs w:val="21"/>
                      <w:highlight w:val="none"/>
                    </w:rPr>
                    <w:t>1</w:t>
                  </w:r>
                </w:p>
              </w:tc>
              <w:tc>
                <w:tcPr>
                  <w:tcW w:w="6463" w:type="dxa"/>
                  <w:noWrap w:val="0"/>
                  <w:tcMar>
                    <w:top w:w="12" w:type="dxa"/>
                    <w:left w:w="12" w:type="dxa"/>
                    <w:right w:w="12" w:type="dxa"/>
                  </w:tcMar>
                  <w:vAlign w:val="center"/>
                </w:tcPr>
                <w:p w14:paraId="1A3EDFCB">
                  <w:pPr>
                    <w:widowControl/>
                    <w:adjustRightInd w:val="0"/>
                    <w:snapToGrid w:val="0"/>
                    <w:jc w:val="center"/>
                    <w:rPr>
                      <w:color w:val="auto"/>
                      <w:kern w:val="0"/>
                      <w:szCs w:val="21"/>
                      <w:highlight w:val="none"/>
                    </w:rPr>
                  </w:pPr>
                  <w:r>
                    <w:rPr>
                      <w:color w:val="auto"/>
                      <w:kern w:val="0"/>
                      <w:szCs w:val="21"/>
                      <w:highlight w:val="none"/>
                    </w:rPr>
                    <w:t>勉强能闻到有气味，但不宜辨认气温性质（感觉阈值）认为无所谓</w:t>
                  </w:r>
                </w:p>
              </w:tc>
            </w:tr>
            <w:tr w14:paraId="4C2A72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587" w:type="dxa"/>
                  <w:noWrap w:val="0"/>
                  <w:vAlign w:val="center"/>
                </w:tcPr>
                <w:p w14:paraId="030D47E3">
                  <w:pPr>
                    <w:widowControl/>
                    <w:adjustRightInd w:val="0"/>
                    <w:snapToGrid w:val="0"/>
                    <w:jc w:val="center"/>
                    <w:rPr>
                      <w:color w:val="auto"/>
                      <w:kern w:val="0"/>
                      <w:szCs w:val="21"/>
                      <w:highlight w:val="none"/>
                    </w:rPr>
                  </w:pPr>
                  <w:r>
                    <w:rPr>
                      <w:color w:val="auto"/>
                      <w:kern w:val="0"/>
                      <w:szCs w:val="21"/>
                      <w:highlight w:val="none"/>
                    </w:rPr>
                    <w:t>2</w:t>
                  </w:r>
                </w:p>
              </w:tc>
              <w:tc>
                <w:tcPr>
                  <w:tcW w:w="6463" w:type="dxa"/>
                  <w:noWrap w:val="0"/>
                  <w:tcMar>
                    <w:top w:w="12" w:type="dxa"/>
                    <w:left w:w="12" w:type="dxa"/>
                    <w:right w:w="12" w:type="dxa"/>
                  </w:tcMar>
                  <w:vAlign w:val="center"/>
                </w:tcPr>
                <w:p w14:paraId="55C08BF7">
                  <w:pPr>
                    <w:widowControl/>
                    <w:adjustRightInd w:val="0"/>
                    <w:snapToGrid w:val="0"/>
                    <w:jc w:val="center"/>
                    <w:rPr>
                      <w:color w:val="auto"/>
                      <w:kern w:val="0"/>
                      <w:szCs w:val="21"/>
                      <w:highlight w:val="none"/>
                    </w:rPr>
                  </w:pPr>
                  <w:r>
                    <w:rPr>
                      <w:color w:val="auto"/>
                      <w:kern w:val="0"/>
                      <w:szCs w:val="21"/>
                      <w:highlight w:val="none"/>
                    </w:rPr>
                    <w:t>能闻到气味，且能辨认气味的性质（识别阈值），但感到很正常</w:t>
                  </w:r>
                </w:p>
              </w:tc>
            </w:tr>
            <w:tr w14:paraId="6594AE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587" w:type="dxa"/>
                  <w:noWrap w:val="0"/>
                  <w:vAlign w:val="center"/>
                </w:tcPr>
                <w:p w14:paraId="372EC7B2">
                  <w:pPr>
                    <w:widowControl/>
                    <w:adjustRightInd w:val="0"/>
                    <w:snapToGrid w:val="0"/>
                    <w:jc w:val="center"/>
                    <w:rPr>
                      <w:color w:val="auto"/>
                      <w:kern w:val="0"/>
                      <w:szCs w:val="21"/>
                      <w:highlight w:val="none"/>
                    </w:rPr>
                  </w:pPr>
                  <w:r>
                    <w:rPr>
                      <w:color w:val="auto"/>
                      <w:kern w:val="0"/>
                      <w:szCs w:val="21"/>
                      <w:highlight w:val="none"/>
                    </w:rPr>
                    <w:t>3</w:t>
                  </w:r>
                </w:p>
              </w:tc>
              <w:tc>
                <w:tcPr>
                  <w:tcW w:w="6463" w:type="dxa"/>
                  <w:noWrap w:val="0"/>
                  <w:tcMar>
                    <w:top w:w="12" w:type="dxa"/>
                    <w:left w:w="12" w:type="dxa"/>
                    <w:right w:w="12" w:type="dxa"/>
                  </w:tcMar>
                  <w:vAlign w:val="center"/>
                </w:tcPr>
                <w:p w14:paraId="6CC833FD">
                  <w:pPr>
                    <w:widowControl/>
                    <w:adjustRightInd w:val="0"/>
                    <w:snapToGrid w:val="0"/>
                    <w:jc w:val="center"/>
                    <w:rPr>
                      <w:color w:val="auto"/>
                      <w:kern w:val="0"/>
                      <w:szCs w:val="21"/>
                      <w:highlight w:val="none"/>
                    </w:rPr>
                  </w:pPr>
                  <w:r>
                    <w:rPr>
                      <w:color w:val="auto"/>
                      <w:kern w:val="0"/>
                      <w:szCs w:val="21"/>
                      <w:highlight w:val="none"/>
                    </w:rPr>
                    <w:t>很容易闻到气味，有所不快，但不反感</w:t>
                  </w:r>
                </w:p>
              </w:tc>
            </w:tr>
            <w:tr w14:paraId="341F53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587" w:type="dxa"/>
                  <w:noWrap w:val="0"/>
                  <w:vAlign w:val="center"/>
                </w:tcPr>
                <w:p w14:paraId="61E9A342">
                  <w:pPr>
                    <w:widowControl/>
                    <w:adjustRightInd w:val="0"/>
                    <w:snapToGrid w:val="0"/>
                    <w:jc w:val="center"/>
                    <w:rPr>
                      <w:color w:val="auto"/>
                      <w:kern w:val="0"/>
                      <w:szCs w:val="21"/>
                      <w:highlight w:val="none"/>
                    </w:rPr>
                  </w:pPr>
                  <w:r>
                    <w:rPr>
                      <w:color w:val="auto"/>
                      <w:kern w:val="0"/>
                      <w:szCs w:val="21"/>
                      <w:highlight w:val="none"/>
                    </w:rPr>
                    <w:t>4</w:t>
                  </w:r>
                </w:p>
              </w:tc>
              <w:tc>
                <w:tcPr>
                  <w:tcW w:w="6463" w:type="dxa"/>
                  <w:noWrap w:val="0"/>
                  <w:tcMar>
                    <w:top w:w="12" w:type="dxa"/>
                    <w:left w:w="12" w:type="dxa"/>
                    <w:right w:w="12" w:type="dxa"/>
                  </w:tcMar>
                  <w:vAlign w:val="center"/>
                </w:tcPr>
                <w:p w14:paraId="10E6C5F8">
                  <w:pPr>
                    <w:widowControl/>
                    <w:adjustRightInd w:val="0"/>
                    <w:snapToGrid w:val="0"/>
                    <w:jc w:val="center"/>
                    <w:rPr>
                      <w:color w:val="auto"/>
                      <w:kern w:val="0"/>
                      <w:szCs w:val="21"/>
                      <w:highlight w:val="none"/>
                    </w:rPr>
                  </w:pPr>
                  <w:r>
                    <w:rPr>
                      <w:color w:val="auto"/>
                      <w:kern w:val="0"/>
                      <w:szCs w:val="21"/>
                      <w:highlight w:val="none"/>
                    </w:rPr>
                    <w:t>有很强的气味，而且很反感，想离开</w:t>
                  </w:r>
                </w:p>
              </w:tc>
            </w:tr>
            <w:tr w14:paraId="109DE0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587" w:type="dxa"/>
                  <w:noWrap w:val="0"/>
                  <w:vAlign w:val="center"/>
                </w:tcPr>
                <w:p w14:paraId="2300BBC9">
                  <w:pPr>
                    <w:widowControl/>
                    <w:adjustRightInd w:val="0"/>
                    <w:snapToGrid w:val="0"/>
                    <w:jc w:val="center"/>
                    <w:rPr>
                      <w:color w:val="auto"/>
                      <w:kern w:val="0"/>
                      <w:szCs w:val="21"/>
                      <w:highlight w:val="none"/>
                    </w:rPr>
                  </w:pPr>
                  <w:r>
                    <w:rPr>
                      <w:color w:val="auto"/>
                      <w:kern w:val="0"/>
                      <w:szCs w:val="21"/>
                      <w:highlight w:val="none"/>
                    </w:rPr>
                    <w:t>5</w:t>
                  </w:r>
                </w:p>
              </w:tc>
              <w:tc>
                <w:tcPr>
                  <w:tcW w:w="6463" w:type="dxa"/>
                  <w:noWrap w:val="0"/>
                  <w:tcMar>
                    <w:top w:w="12" w:type="dxa"/>
                    <w:left w:w="12" w:type="dxa"/>
                    <w:right w:w="12" w:type="dxa"/>
                  </w:tcMar>
                  <w:vAlign w:val="center"/>
                </w:tcPr>
                <w:p w14:paraId="6D1BC7DB">
                  <w:pPr>
                    <w:widowControl/>
                    <w:adjustRightInd w:val="0"/>
                    <w:snapToGrid w:val="0"/>
                    <w:jc w:val="center"/>
                    <w:rPr>
                      <w:color w:val="auto"/>
                      <w:kern w:val="0"/>
                      <w:szCs w:val="21"/>
                      <w:highlight w:val="none"/>
                    </w:rPr>
                  </w:pPr>
                  <w:r>
                    <w:rPr>
                      <w:color w:val="auto"/>
                      <w:kern w:val="0"/>
                      <w:szCs w:val="21"/>
                      <w:highlight w:val="none"/>
                    </w:rPr>
                    <w:t>有极强的气味，无法忍受，立即逃跑</w:t>
                  </w:r>
                </w:p>
              </w:tc>
            </w:tr>
          </w:tbl>
          <w:p w14:paraId="630FE685">
            <w:pPr>
              <w:adjustRightInd w:val="0"/>
              <w:snapToGrid w:val="0"/>
              <w:spacing w:line="360" w:lineRule="auto"/>
              <w:ind w:firstLine="480" w:firstLineChars="200"/>
              <w:rPr>
                <w:rFonts w:hint="eastAsia"/>
                <w:color w:val="auto"/>
                <w:sz w:val="24"/>
                <w:highlight w:val="none"/>
              </w:rPr>
            </w:pPr>
            <w:r>
              <w:rPr>
                <w:color w:val="auto"/>
                <w:sz w:val="24"/>
                <w:highlight w:val="none"/>
              </w:rPr>
              <w:t>本项目</w:t>
            </w:r>
            <w:r>
              <w:rPr>
                <w:rFonts w:hint="eastAsia"/>
                <w:color w:val="auto"/>
                <w:sz w:val="24"/>
                <w:highlight w:val="none"/>
              </w:rPr>
              <w:t>臭气浓度进入废气处理设施，少量未被收集的无组织排放，</w:t>
            </w:r>
            <w:r>
              <w:rPr>
                <w:color w:val="auto"/>
                <w:sz w:val="24"/>
                <w:highlight w:val="none"/>
              </w:rPr>
              <w:t>车间恶臭等级在2</w:t>
            </w:r>
            <w:r>
              <w:rPr>
                <w:rFonts w:hint="eastAsia"/>
                <w:color w:val="auto"/>
                <w:sz w:val="24"/>
                <w:highlight w:val="none"/>
              </w:rPr>
              <w:t>~</w:t>
            </w:r>
            <w:r>
              <w:rPr>
                <w:color w:val="auto"/>
                <w:sz w:val="24"/>
                <w:highlight w:val="none"/>
              </w:rPr>
              <w:t>3级，车间外恶臭等级在1</w:t>
            </w:r>
            <w:r>
              <w:rPr>
                <w:rFonts w:hint="eastAsia"/>
                <w:color w:val="auto"/>
                <w:sz w:val="24"/>
                <w:highlight w:val="none"/>
              </w:rPr>
              <w:t>~</w:t>
            </w:r>
            <w:r>
              <w:rPr>
                <w:color w:val="auto"/>
                <w:sz w:val="24"/>
                <w:highlight w:val="none"/>
              </w:rPr>
              <w:t>2级左右，距离车间20</w:t>
            </w:r>
            <w:r>
              <w:rPr>
                <w:rFonts w:hint="eastAsia"/>
                <w:color w:val="auto"/>
                <w:sz w:val="24"/>
                <w:highlight w:val="none"/>
              </w:rPr>
              <w:t>~</w:t>
            </w:r>
            <w:r>
              <w:rPr>
                <w:color w:val="auto"/>
                <w:sz w:val="24"/>
                <w:highlight w:val="none"/>
              </w:rPr>
              <w:t>30m范围内恶臭等级在0</w:t>
            </w:r>
            <w:r>
              <w:rPr>
                <w:rFonts w:hint="eastAsia"/>
                <w:color w:val="auto"/>
                <w:sz w:val="24"/>
                <w:highlight w:val="none"/>
              </w:rPr>
              <w:t>~</w:t>
            </w:r>
            <w:r>
              <w:rPr>
                <w:color w:val="auto"/>
                <w:sz w:val="24"/>
                <w:highlight w:val="none"/>
              </w:rPr>
              <w:t>1级左右，距离车间50m外基本无异味，</w:t>
            </w:r>
            <w:r>
              <w:rPr>
                <w:rFonts w:hint="eastAsia"/>
                <w:color w:val="auto"/>
                <w:sz w:val="24"/>
                <w:highlight w:val="none"/>
              </w:rPr>
              <w:t>本次仅进行定性分析。同时，本项目</w:t>
            </w:r>
            <w:r>
              <w:rPr>
                <w:rFonts w:hint="eastAsia"/>
                <w:color w:val="auto"/>
                <w:sz w:val="24"/>
                <w:highlight w:val="none"/>
                <w:lang w:val="en-US" w:eastAsia="zh-CN"/>
              </w:rPr>
              <w:t>分别在一期、二期厂房</w:t>
            </w:r>
            <w:r>
              <w:rPr>
                <w:rFonts w:hint="eastAsia"/>
                <w:color w:val="auto"/>
                <w:sz w:val="24"/>
                <w:highlight w:val="none"/>
              </w:rPr>
              <w:t>设置1套</w:t>
            </w:r>
            <w:r>
              <w:rPr>
                <w:rFonts w:hint="eastAsia"/>
                <w:color w:val="auto"/>
                <w:sz w:val="24"/>
                <w:highlight w:val="none"/>
                <w:lang w:eastAsia="zh-CN"/>
              </w:rPr>
              <w:t>“</w:t>
            </w:r>
            <w:r>
              <w:rPr>
                <w:rFonts w:hint="eastAsia"/>
                <w:color w:val="auto"/>
                <w:sz w:val="24"/>
                <w:highlight w:val="none"/>
              </w:rPr>
              <w:t>二级活性炭吸附装置</w:t>
            </w:r>
            <w:r>
              <w:rPr>
                <w:rFonts w:hint="eastAsia"/>
                <w:color w:val="auto"/>
                <w:sz w:val="24"/>
                <w:highlight w:val="none"/>
                <w:lang w:eastAsia="zh-CN"/>
              </w:rPr>
              <w:t>”</w:t>
            </w:r>
            <w:r>
              <w:rPr>
                <w:rFonts w:hint="eastAsia"/>
                <w:color w:val="auto"/>
                <w:sz w:val="24"/>
                <w:highlight w:val="none"/>
              </w:rPr>
              <w:t>处理车间废气，该装置对恶臭去除具有一定效果，处理后臭气浓度可满足《恶臭污染物排放标准》（GB14554-93）中标准要求，经1根15m高的排气筒（</w:t>
            </w:r>
            <w:r>
              <w:rPr>
                <w:rFonts w:hint="eastAsia"/>
                <w:color w:val="auto"/>
                <w:sz w:val="24"/>
                <w:highlight w:val="none"/>
                <w:lang w:val="en-US" w:eastAsia="zh-CN"/>
              </w:rPr>
              <w:t>一期</w:t>
            </w:r>
            <w:r>
              <w:rPr>
                <w:rFonts w:hint="eastAsia"/>
                <w:color w:val="auto"/>
                <w:sz w:val="24"/>
                <w:highlight w:val="none"/>
              </w:rPr>
              <w:t>DA00</w:t>
            </w:r>
            <w:r>
              <w:rPr>
                <w:rFonts w:hint="eastAsia"/>
                <w:color w:val="auto"/>
                <w:sz w:val="24"/>
                <w:highlight w:val="none"/>
                <w:lang w:val="en-US" w:eastAsia="zh-CN"/>
              </w:rPr>
              <w:t>1、二期DA002</w:t>
            </w:r>
            <w:r>
              <w:rPr>
                <w:rFonts w:hint="eastAsia"/>
                <w:color w:val="auto"/>
                <w:sz w:val="24"/>
                <w:highlight w:val="none"/>
              </w:rPr>
              <w:t>）排放，</w:t>
            </w:r>
            <w:r>
              <w:rPr>
                <w:color w:val="auto"/>
                <w:sz w:val="24"/>
                <w:highlight w:val="none"/>
              </w:rPr>
              <w:t>对周围环境影响较小</w:t>
            </w:r>
            <w:r>
              <w:rPr>
                <w:rFonts w:hint="eastAsia"/>
                <w:color w:val="auto"/>
                <w:sz w:val="24"/>
                <w:highlight w:val="none"/>
              </w:rPr>
              <w:t>。</w:t>
            </w:r>
          </w:p>
          <w:p w14:paraId="01A44CB3">
            <w:pPr>
              <w:spacing w:line="360" w:lineRule="auto"/>
              <w:ind w:firstLine="480" w:firstLineChars="200"/>
              <w:rPr>
                <w:rFonts w:hint="eastAsia"/>
                <w:color w:val="auto"/>
                <w:sz w:val="24"/>
                <w:highlight w:val="none"/>
              </w:rPr>
            </w:pPr>
            <w:r>
              <w:rPr>
                <w:rFonts w:hint="eastAsia"/>
                <w:color w:val="auto"/>
                <w:sz w:val="24"/>
                <w:highlight w:val="none"/>
              </w:rPr>
              <w:t>②治理措施可行性分析</w:t>
            </w:r>
          </w:p>
          <w:p w14:paraId="1754D4D5">
            <w:pPr>
              <w:adjustRightInd w:val="0"/>
              <w:snapToGrid w:val="0"/>
              <w:spacing w:line="360" w:lineRule="auto"/>
              <w:ind w:firstLine="480" w:firstLineChars="200"/>
              <w:rPr>
                <w:color w:val="auto"/>
                <w:sz w:val="24"/>
                <w:highlight w:val="none"/>
              </w:rPr>
            </w:pPr>
            <w:r>
              <w:rPr>
                <w:rFonts w:hint="eastAsia"/>
                <w:color w:val="auto"/>
                <w:sz w:val="24"/>
                <w:highlight w:val="none"/>
              </w:rPr>
              <w:t>本次依据《排污许可证申请与核发技术规范 橡胶和塑料制品工业》（HJ1122-2020）中排污单位废气污染防治可行技术进行符合性分析，具体见</w:t>
            </w:r>
            <w:r>
              <w:rPr>
                <w:color w:val="auto"/>
                <w:sz w:val="24"/>
                <w:highlight w:val="none"/>
              </w:rPr>
              <w:t>下表。</w:t>
            </w:r>
          </w:p>
          <w:p w14:paraId="0F55A78A">
            <w:pPr>
              <w:adjustRightInd w:val="0"/>
              <w:snapToGrid w:val="0"/>
              <w:ind w:firstLine="431"/>
              <w:rPr>
                <w:rFonts w:hint="eastAsia"/>
                <w:b/>
                <w:color w:val="auto"/>
                <w:szCs w:val="21"/>
                <w:highlight w:val="none"/>
              </w:rPr>
            </w:pPr>
            <w:r>
              <w:rPr>
                <w:bCs/>
                <w:color w:val="auto"/>
                <w:szCs w:val="21"/>
                <w:highlight w:val="none"/>
              </w:rPr>
              <w:t>表</w:t>
            </w:r>
            <w:r>
              <w:rPr>
                <w:rFonts w:hint="eastAsia"/>
                <w:bCs/>
                <w:color w:val="auto"/>
                <w:szCs w:val="21"/>
                <w:highlight w:val="none"/>
              </w:rPr>
              <w:t>4-</w:t>
            </w:r>
            <w:r>
              <w:rPr>
                <w:rFonts w:hint="eastAsia"/>
                <w:bCs/>
                <w:color w:val="auto"/>
                <w:szCs w:val="21"/>
                <w:highlight w:val="none"/>
                <w:lang w:val="en-US" w:eastAsia="zh-CN"/>
              </w:rPr>
              <w:t>7</w:t>
            </w:r>
            <w:r>
              <w:rPr>
                <w:rFonts w:hint="eastAsia"/>
                <w:b/>
                <w:color w:val="auto"/>
                <w:szCs w:val="21"/>
                <w:highlight w:val="none"/>
              </w:rPr>
              <w:t xml:space="preserve">          </w:t>
            </w:r>
            <w:r>
              <w:rPr>
                <w:rFonts w:hint="eastAsia"/>
                <w:b/>
                <w:color w:val="auto"/>
                <w:sz w:val="24"/>
                <w:highlight w:val="none"/>
              </w:rPr>
              <w:t xml:space="preserve"> 本项目废气治理措施可行性分析</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886"/>
              <w:gridCol w:w="3103"/>
              <w:gridCol w:w="1650"/>
              <w:gridCol w:w="746"/>
            </w:tblGrid>
            <w:tr w14:paraId="4E454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92" w:type="dxa"/>
                  <w:noWrap w:val="0"/>
                  <w:vAlign w:val="center"/>
                </w:tcPr>
                <w:p w14:paraId="163399EE">
                  <w:pPr>
                    <w:pStyle w:val="105"/>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产排污环节</w:t>
                  </w:r>
                </w:p>
              </w:tc>
              <w:tc>
                <w:tcPr>
                  <w:tcW w:w="1886" w:type="dxa"/>
                  <w:noWrap w:val="0"/>
                  <w:vAlign w:val="center"/>
                </w:tcPr>
                <w:p w14:paraId="75529885">
                  <w:pPr>
                    <w:pStyle w:val="105"/>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主要污染物</w:t>
                  </w:r>
                </w:p>
              </w:tc>
              <w:tc>
                <w:tcPr>
                  <w:tcW w:w="3103" w:type="dxa"/>
                  <w:noWrap w:val="0"/>
                  <w:vAlign w:val="center"/>
                </w:tcPr>
                <w:p w14:paraId="1ED1BD1F">
                  <w:pPr>
                    <w:pStyle w:val="105"/>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可行技术</w:t>
                  </w:r>
                </w:p>
              </w:tc>
              <w:tc>
                <w:tcPr>
                  <w:tcW w:w="1650" w:type="dxa"/>
                  <w:noWrap w:val="0"/>
                  <w:vAlign w:val="center"/>
                </w:tcPr>
                <w:p w14:paraId="769ABBA0">
                  <w:pPr>
                    <w:pStyle w:val="72"/>
                    <w:adjustRightInd w:val="0"/>
                    <w:snapToGrid w:val="0"/>
                    <w:spacing w:line="240" w:lineRule="auto"/>
                    <w:ind w:firstLine="0"/>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z w:val="21"/>
                      <w:szCs w:val="21"/>
                      <w:highlight w:val="none"/>
                    </w:rPr>
                    <w:t>本项目情况</w:t>
                  </w:r>
                </w:p>
              </w:tc>
              <w:tc>
                <w:tcPr>
                  <w:tcW w:w="746" w:type="dxa"/>
                  <w:noWrap w:val="0"/>
                  <w:vAlign w:val="center"/>
                </w:tcPr>
                <w:p w14:paraId="4050329F">
                  <w:pPr>
                    <w:pStyle w:val="72"/>
                    <w:adjustRightInd w:val="0"/>
                    <w:snapToGrid w:val="0"/>
                    <w:spacing w:line="240" w:lineRule="auto"/>
                    <w:ind w:firstLine="0"/>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z w:val="21"/>
                      <w:szCs w:val="21"/>
                      <w:highlight w:val="none"/>
                    </w:rPr>
                    <w:t>是否符合</w:t>
                  </w:r>
                </w:p>
              </w:tc>
            </w:tr>
            <w:tr w14:paraId="0A848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Merge w:val="restart"/>
                  <w:noWrap w:val="0"/>
                  <w:vAlign w:val="center"/>
                </w:tcPr>
                <w:p w14:paraId="726ED661">
                  <w:pPr>
                    <w:pStyle w:val="105"/>
                    <w:rPr>
                      <w:rFonts w:hint="default" w:ascii="Times New Roman" w:hAnsi="Times New Roman" w:eastAsia="宋体" w:cs="Times New Roman"/>
                      <w:bCs/>
                      <w:color w:val="auto"/>
                      <w:spacing w:val="-6"/>
                      <w:sz w:val="21"/>
                      <w:szCs w:val="21"/>
                      <w:highlight w:val="none"/>
                    </w:rPr>
                  </w:pPr>
                  <w:r>
                    <w:rPr>
                      <w:rFonts w:hint="default" w:ascii="Times New Roman" w:hAnsi="Times New Roman" w:eastAsia="宋体" w:cs="Times New Roman"/>
                      <w:bCs/>
                      <w:color w:val="auto"/>
                      <w:sz w:val="21"/>
                      <w:szCs w:val="21"/>
                      <w:highlight w:val="none"/>
                    </w:rPr>
                    <w:t>泡沫塑料制造废气</w:t>
                  </w:r>
                </w:p>
              </w:tc>
              <w:tc>
                <w:tcPr>
                  <w:tcW w:w="1886" w:type="dxa"/>
                  <w:noWrap w:val="0"/>
                  <w:vAlign w:val="center"/>
                </w:tcPr>
                <w:p w14:paraId="002097AD">
                  <w:pPr>
                    <w:pStyle w:val="105"/>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非甲烷总烃、甲苯</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苯乙烯及乙苯</w:t>
                  </w:r>
                </w:p>
              </w:tc>
              <w:tc>
                <w:tcPr>
                  <w:tcW w:w="3103" w:type="dxa"/>
                  <w:noWrap w:val="0"/>
                  <w:vAlign w:val="center"/>
                </w:tcPr>
                <w:p w14:paraId="1EA706B9">
                  <w:pPr>
                    <w:pStyle w:val="105"/>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喷淋；吸附；吸附浓缩+热力燃烧/催化燃烧</w:t>
                  </w:r>
                </w:p>
              </w:tc>
              <w:tc>
                <w:tcPr>
                  <w:tcW w:w="1650" w:type="dxa"/>
                  <w:vMerge w:val="restart"/>
                  <w:noWrap w:val="0"/>
                  <w:vAlign w:val="center"/>
                </w:tcPr>
                <w:p w14:paraId="5806E473">
                  <w:pPr>
                    <w:pStyle w:val="72"/>
                    <w:adjustRightInd w:val="0"/>
                    <w:snapToGrid w:val="0"/>
                    <w:spacing w:line="240" w:lineRule="auto"/>
                    <w:ind w:firstLine="0"/>
                    <w:rPr>
                      <w:rFonts w:hint="default"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一期工程、二期工程分别设置</w:t>
                  </w:r>
                  <w:r>
                    <w:rPr>
                      <w:rFonts w:hint="default" w:ascii="Times New Roman" w:hAnsi="Times New Roman" w:eastAsia="宋体" w:cs="Times New Roman"/>
                      <w:bCs/>
                      <w:color w:val="auto"/>
                      <w:sz w:val="21"/>
                      <w:szCs w:val="21"/>
                      <w:highlight w:val="none"/>
                    </w:rPr>
                    <w:t>1套</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二级活性炭吸附装置</w:t>
                  </w:r>
                  <w:r>
                    <w:rPr>
                      <w:rFonts w:hint="eastAsia" w:ascii="Times New Roman" w:hAnsi="Times New Roman" w:eastAsia="宋体" w:cs="Times New Roman"/>
                      <w:bCs/>
                      <w:color w:val="auto"/>
                      <w:sz w:val="21"/>
                      <w:szCs w:val="21"/>
                      <w:highlight w:val="none"/>
                      <w:lang w:eastAsia="zh-CN"/>
                    </w:rPr>
                    <w:t>”</w:t>
                  </w:r>
                </w:p>
              </w:tc>
              <w:tc>
                <w:tcPr>
                  <w:tcW w:w="746" w:type="dxa"/>
                  <w:noWrap w:val="0"/>
                  <w:vAlign w:val="center"/>
                </w:tcPr>
                <w:p w14:paraId="39DD4F7C">
                  <w:pPr>
                    <w:pStyle w:val="72"/>
                    <w:adjustRightInd w:val="0"/>
                    <w:snapToGrid w:val="0"/>
                    <w:spacing w:line="240" w:lineRule="auto"/>
                    <w:ind w:firstLine="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r w14:paraId="1C871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Merge w:val="continue"/>
                  <w:noWrap w:val="0"/>
                  <w:vAlign w:val="center"/>
                </w:tcPr>
                <w:p w14:paraId="4B7181BD">
                  <w:pPr>
                    <w:pStyle w:val="105"/>
                    <w:rPr>
                      <w:rFonts w:hint="default" w:ascii="Times New Roman" w:hAnsi="Times New Roman" w:eastAsia="宋体" w:cs="Times New Roman"/>
                      <w:bCs/>
                      <w:color w:val="auto"/>
                      <w:sz w:val="21"/>
                      <w:szCs w:val="21"/>
                      <w:highlight w:val="none"/>
                    </w:rPr>
                  </w:pPr>
                </w:p>
              </w:tc>
              <w:tc>
                <w:tcPr>
                  <w:tcW w:w="1886" w:type="dxa"/>
                  <w:noWrap w:val="0"/>
                  <w:vAlign w:val="center"/>
                </w:tcPr>
                <w:p w14:paraId="4F0B3AC2">
                  <w:pPr>
                    <w:pStyle w:val="105"/>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臭气浓度</w:t>
                  </w:r>
                </w:p>
              </w:tc>
              <w:tc>
                <w:tcPr>
                  <w:tcW w:w="3103" w:type="dxa"/>
                  <w:noWrap w:val="0"/>
                  <w:vAlign w:val="center"/>
                </w:tcPr>
                <w:p w14:paraId="0C620E89">
                  <w:pPr>
                    <w:pStyle w:val="105"/>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喷淋、吸附、低温等离子体、UV光氧化/光催化、生物法两种及以上组合技术</w:t>
                  </w:r>
                </w:p>
              </w:tc>
              <w:tc>
                <w:tcPr>
                  <w:tcW w:w="1650" w:type="dxa"/>
                  <w:vMerge w:val="continue"/>
                  <w:noWrap w:val="0"/>
                  <w:vAlign w:val="center"/>
                </w:tcPr>
                <w:p w14:paraId="00B59988">
                  <w:pPr>
                    <w:pStyle w:val="72"/>
                    <w:adjustRightInd w:val="0"/>
                    <w:snapToGrid w:val="0"/>
                    <w:spacing w:line="240" w:lineRule="auto"/>
                    <w:ind w:firstLine="0"/>
                    <w:rPr>
                      <w:rFonts w:hint="default" w:ascii="Times New Roman" w:hAnsi="Times New Roman" w:eastAsia="宋体" w:cs="Times New Roman"/>
                      <w:bCs/>
                      <w:color w:val="auto"/>
                      <w:sz w:val="21"/>
                      <w:szCs w:val="21"/>
                      <w:highlight w:val="none"/>
                    </w:rPr>
                  </w:pPr>
                </w:p>
              </w:tc>
              <w:tc>
                <w:tcPr>
                  <w:tcW w:w="746" w:type="dxa"/>
                  <w:noWrap w:val="0"/>
                  <w:vAlign w:val="center"/>
                </w:tcPr>
                <w:p w14:paraId="4E088003">
                  <w:pPr>
                    <w:pStyle w:val="72"/>
                    <w:adjustRightInd w:val="0"/>
                    <w:snapToGrid w:val="0"/>
                    <w:spacing w:line="240" w:lineRule="auto"/>
                    <w:ind w:firstLine="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符合</w:t>
                  </w:r>
                </w:p>
              </w:tc>
            </w:tr>
          </w:tbl>
          <w:p w14:paraId="24FAC67B">
            <w:pPr>
              <w:adjustRightInd w:val="0"/>
              <w:snapToGrid w:val="0"/>
              <w:spacing w:line="360" w:lineRule="auto"/>
              <w:ind w:firstLine="480" w:firstLineChars="200"/>
              <w:rPr>
                <w:color w:val="auto"/>
                <w:sz w:val="24"/>
                <w:highlight w:val="none"/>
              </w:rPr>
            </w:pPr>
            <w:r>
              <w:rPr>
                <w:color w:val="auto"/>
                <w:sz w:val="24"/>
                <w:highlight w:val="none"/>
              </w:rPr>
              <w:t>根据上述对比结果可知，《排污许可证申请与核发技术规范 橡胶和塑料制品工业》（HJ1122-2020）中针对泡沫塑料制造废气给出的可行技术包含吸附等，因此本项目发泡、成型过程废气采用</w:t>
            </w:r>
            <w:r>
              <w:rPr>
                <w:rFonts w:hint="eastAsia"/>
                <w:color w:val="auto"/>
                <w:sz w:val="24"/>
                <w:highlight w:val="none"/>
                <w:lang w:eastAsia="zh-CN"/>
              </w:rPr>
              <w:t>“</w:t>
            </w:r>
            <w:r>
              <w:rPr>
                <w:color w:val="auto"/>
                <w:sz w:val="24"/>
                <w:highlight w:val="none"/>
              </w:rPr>
              <w:t>二级活性炭吸附装置</w:t>
            </w:r>
            <w:r>
              <w:rPr>
                <w:rFonts w:hint="eastAsia"/>
                <w:color w:val="auto"/>
                <w:sz w:val="24"/>
                <w:highlight w:val="none"/>
                <w:lang w:eastAsia="zh-CN"/>
              </w:rPr>
              <w:t>”</w:t>
            </w:r>
            <w:r>
              <w:rPr>
                <w:color w:val="auto"/>
                <w:sz w:val="24"/>
                <w:highlight w:val="none"/>
              </w:rPr>
              <w:t>处理可行。</w:t>
            </w:r>
          </w:p>
          <w:p w14:paraId="390C9DEE">
            <w:pPr>
              <w:adjustRightInd w:val="0"/>
              <w:snapToGrid w:val="0"/>
              <w:spacing w:line="360" w:lineRule="auto"/>
              <w:ind w:firstLine="480" w:firstLineChars="200"/>
              <w:rPr>
                <w:rFonts w:hint="eastAsia"/>
                <w:color w:val="auto"/>
                <w:sz w:val="24"/>
                <w:highlight w:val="none"/>
              </w:rPr>
            </w:pPr>
            <w:r>
              <w:rPr>
                <w:rFonts w:hint="eastAsia"/>
                <w:color w:val="auto"/>
                <w:sz w:val="24"/>
                <w:highlight w:val="none"/>
              </w:rPr>
              <w:t>③达标排放分析</w:t>
            </w:r>
          </w:p>
          <w:p w14:paraId="45BF0F57">
            <w:pPr>
              <w:adjustRightInd w:val="0"/>
              <w:snapToGrid w:val="0"/>
              <w:spacing w:line="360" w:lineRule="auto"/>
              <w:ind w:firstLine="480" w:firstLineChars="200"/>
              <w:rPr>
                <w:rFonts w:hint="eastAsia"/>
                <w:color w:val="auto"/>
                <w:sz w:val="24"/>
                <w:szCs w:val="24"/>
                <w:lang w:eastAsia="zh-CN"/>
              </w:rPr>
            </w:pPr>
            <w:r>
              <w:rPr>
                <w:rFonts w:hint="eastAsia"/>
                <w:color w:val="auto"/>
                <w:sz w:val="24"/>
                <w:highlight w:val="none"/>
              </w:rPr>
              <w:t>本项目</w:t>
            </w:r>
            <w:r>
              <w:rPr>
                <w:rFonts w:hint="eastAsia"/>
                <w:color w:val="auto"/>
                <w:sz w:val="24"/>
                <w:highlight w:val="none"/>
                <w:lang w:val="en-US" w:eastAsia="zh-CN"/>
              </w:rPr>
              <w:t>一期</w:t>
            </w:r>
            <w:r>
              <w:rPr>
                <w:rFonts w:hint="eastAsia"/>
                <w:color w:val="auto"/>
                <w:sz w:val="24"/>
                <w:highlight w:val="none"/>
              </w:rPr>
              <w:t>发泡、成型工序非甲烷总烃排放浓度为</w:t>
            </w:r>
            <w:r>
              <w:rPr>
                <w:rFonts w:hint="eastAsia"/>
                <w:color w:val="auto"/>
                <w:sz w:val="24"/>
                <w:highlight w:val="none"/>
                <w:lang w:val="en-US" w:eastAsia="zh-CN"/>
              </w:rPr>
              <w:t>14.91</w:t>
            </w:r>
            <w:r>
              <w:rPr>
                <w:rFonts w:hint="eastAsia"/>
                <w:color w:val="auto"/>
                <w:sz w:val="24"/>
                <w:highlight w:val="none"/>
              </w:rPr>
              <w:t>mg/m</w:t>
            </w:r>
            <w:r>
              <w:rPr>
                <w:rFonts w:hint="eastAsia"/>
                <w:color w:val="auto"/>
                <w:sz w:val="24"/>
                <w:highlight w:val="none"/>
                <w:vertAlign w:val="superscript"/>
              </w:rPr>
              <w:t>3</w:t>
            </w:r>
            <w:r>
              <w:rPr>
                <w:rFonts w:hint="eastAsia"/>
                <w:color w:val="auto"/>
                <w:sz w:val="24"/>
                <w:highlight w:val="none"/>
              </w:rPr>
              <w:t>，甲苯排放浓度为</w:t>
            </w:r>
            <w:r>
              <w:rPr>
                <w:rFonts w:hint="eastAsia"/>
                <w:color w:val="auto"/>
                <w:sz w:val="24"/>
                <w:highlight w:val="none"/>
                <w:lang w:val="en-US" w:eastAsia="zh-CN"/>
              </w:rPr>
              <w:t>0.05</w:t>
            </w:r>
            <w:r>
              <w:rPr>
                <w:color w:val="auto"/>
                <w:sz w:val="24"/>
                <w:highlight w:val="none"/>
              </w:rPr>
              <w:t>mg</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w:t>
            </w:r>
            <w:r>
              <w:rPr>
                <w:rFonts w:hint="eastAsia"/>
                <w:color w:val="auto"/>
                <w:sz w:val="24"/>
                <w:highlight w:val="none"/>
                <w:lang w:val="en-US" w:eastAsia="zh-CN"/>
              </w:rPr>
              <w:t>乙</w:t>
            </w:r>
            <w:r>
              <w:rPr>
                <w:rFonts w:hint="eastAsia"/>
                <w:color w:val="auto"/>
                <w:sz w:val="24"/>
                <w:highlight w:val="none"/>
              </w:rPr>
              <w:t>苯排放浓度为</w:t>
            </w:r>
            <w:r>
              <w:rPr>
                <w:rFonts w:hint="eastAsia"/>
                <w:color w:val="auto"/>
                <w:sz w:val="24"/>
                <w:highlight w:val="none"/>
                <w:lang w:val="en-US" w:eastAsia="zh-CN"/>
              </w:rPr>
              <w:t>0.02</w:t>
            </w:r>
            <w:r>
              <w:rPr>
                <w:color w:val="auto"/>
                <w:sz w:val="24"/>
                <w:highlight w:val="none"/>
              </w:rPr>
              <w:t>mg</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w:t>
            </w:r>
            <w:r>
              <w:rPr>
                <w:rFonts w:hint="eastAsia"/>
                <w:color w:val="auto"/>
                <w:sz w:val="24"/>
                <w:highlight w:val="none"/>
                <w:lang w:val="en-US" w:eastAsia="zh-CN"/>
              </w:rPr>
              <w:t>苯乙烯</w:t>
            </w:r>
            <w:r>
              <w:rPr>
                <w:rFonts w:hint="eastAsia"/>
                <w:color w:val="auto"/>
                <w:sz w:val="24"/>
                <w:highlight w:val="none"/>
              </w:rPr>
              <w:t>排放浓度为</w:t>
            </w:r>
            <w:r>
              <w:rPr>
                <w:rFonts w:hint="eastAsia"/>
                <w:color w:val="auto"/>
                <w:sz w:val="24"/>
                <w:highlight w:val="none"/>
                <w:lang w:val="en-US" w:eastAsia="zh-CN"/>
              </w:rPr>
              <w:t>0.01</w:t>
            </w:r>
            <w:r>
              <w:rPr>
                <w:color w:val="auto"/>
                <w:sz w:val="24"/>
                <w:highlight w:val="none"/>
              </w:rPr>
              <w:t>mg</w:t>
            </w:r>
            <w:r>
              <w:rPr>
                <w:rFonts w:hint="eastAsia"/>
                <w:color w:val="auto"/>
                <w:sz w:val="24"/>
                <w:highlight w:val="none"/>
              </w:rPr>
              <w:t>/m</w:t>
            </w:r>
            <w:r>
              <w:rPr>
                <w:rFonts w:hint="eastAsia"/>
                <w:color w:val="auto"/>
                <w:sz w:val="24"/>
                <w:highlight w:val="none"/>
                <w:vertAlign w:val="superscript"/>
              </w:rPr>
              <w:t>3</w:t>
            </w:r>
            <w:r>
              <w:rPr>
                <w:rFonts w:hint="eastAsia"/>
                <w:color w:val="auto"/>
                <w:sz w:val="24"/>
                <w:highlight w:val="none"/>
              </w:rPr>
              <w:t>，单位产品非甲烷总烃排放量为0.3</w:t>
            </w:r>
            <w:r>
              <w:rPr>
                <w:rFonts w:hint="eastAsia"/>
                <w:color w:val="auto"/>
                <w:sz w:val="24"/>
                <w:highlight w:val="none"/>
                <w:lang w:val="en-US" w:eastAsia="zh-CN"/>
              </w:rPr>
              <w:t>4</w:t>
            </w:r>
            <w:r>
              <w:rPr>
                <w:rFonts w:hint="eastAsia"/>
                <w:color w:val="auto"/>
                <w:sz w:val="24"/>
                <w:highlight w:val="none"/>
              </w:rPr>
              <w:t>kg/t-产品</w:t>
            </w:r>
            <w:r>
              <w:rPr>
                <w:rFonts w:hint="eastAsia"/>
                <w:color w:val="auto"/>
                <w:sz w:val="24"/>
                <w:szCs w:val="24"/>
                <w:highlight w:val="none"/>
              </w:rPr>
              <w:t>，</w:t>
            </w:r>
            <w:r>
              <w:rPr>
                <w:rFonts w:hint="eastAsia"/>
                <w:color w:val="auto"/>
                <w:sz w:val="24"/>
                <w:szCs w:val="24"/>
                <w:highlight w:val="none"/>
                <w:lang w:val="en-US" w:eastAsia="zh-CN"/>
              </w:rPr>
              <w:t>二期</w:t>
            </w:r>
            <w:r>
              <w:rPr>
                <w:rFonts w:hint="eastAsia"/>
                <w:color w:val="auto"/>
                <w:sz w:val="24"/>
                <w:szCs w:val="24"/>
                <w:highlight w:val="none"/>
              </w:rPr>
              <w:t>发泡、成型工序非甲烷总烃排放浓度为</w:t>
            </w:r>
            <w:r>
              <w:rPr>
                <w:rFonts w:hint="eastAsia"/>
                <w:color w:val="auto"/>
                <w:sz w:val="24"/>
                <w:szCs w:val="24"/>
                <w:highlight w:val="none"/>
                <w:lang w:val="en-US" w:eastAsia="zh-CN"/>
              </w:rPr>
              <w:t>30.09</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rPr>
              <w:t>，甲苯排放浓度为</w:t>
            </w:r>
            <w:r>
              <w:rPr>
                <w:rFonts w:hint="eastAsia"/>
                <w:color w:val="auto"/>
                <w:sz w:val="24"/>
                <w:szCs w:val="24"/>
                <w:highlight w:val="none"/>
                <w:lang w:val="en-US" w:eastAsia="zh-CN"/>
              </w:rPr>
              <w:t>0.09</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w:t>
            </w:r>
            <w:r>
              <w:rPr>
                <w:rFonts w:hint="eastAsia"/>
                <w:color w:val="auto"/>
                <w:sz w:val="24"/>
                <w:szCs w:val="24"/>
                <w:highlight w:val="none"/>
                <w:lang w:val="en-US" w:eastAsia="zh-CN"/>
              </w:rPr>
              <w:t>乙</w:t>
            </w:r>
            <w:r>
              <w:rPr>
                <w:rFonts w:hint="eastAsia"/>
                <w:color w:val="auto"/>
                <w:sz w:val="24"/>
                <w:szCs w:val="24"/>
                <w:highlight w:val="none"/>
              </w:rPr>
              <w:t>苯排放浓度为</w:t>
            </w:r>
            <w:r>
              <w:rPr>
                <w:rFonts w:hint="eastAsia"/>
                <w:color w:val="auto"/>
                <w:sz w:val="24"/>
                <w:szCs w:val="24"/>
                <w:highlight w:val="none"/>
                <w:lang w:val="en-US" w:eastAsia="zh-CN"/>
              </w:rPr>
              <w:t>0.04</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w:t>
            </w:r>
            <w:r>
              <w:rPr>
                <w:rFonts w:hint="eastAsia"/>
                <w:color w:val="auto"/>
                <w:sz w:val="24"/>
                <w:szCs w:val="24"/>
                <w:highlight w:val="none"/>
                <w:lang w:val="en-US" w:eastAsia="zh-CN"/>
              </w:rPr>
              <w:t>苯乙烯</w:t>
            </w:r>
            <w:r>
              <w:rPr>
                <w:rFonts w:hint="eastAsia"/>
                <w:color w:val="auto"/>
                <w:sz w:val="24"/>
                <w:szCs w:val="24"/>
                <w:highlight w:val="none"/>
              </w:rPr>
              <w:t>排放浓度为</w:t>
            </w:r>
            <w:r>
              <w:rPr>
                <w:rFonts w:hint="eastAsia"/>
                <w:color w:val="auto"/>
                <w:sz w:val="24"/>
                <w:szCs w:val="24"/>
                <w:highlight w:val="none"/>
                <w:lang w:val="en-US" w:eastAsia="zh-CN"/>
              </w:rPr>
              <w:t>0.03</w:t>
            </w:r>
            <w:r>
              <w:rPr>
                <w:color w:val="auto"/>
                <w:sz w:val="24"/>
                <w:szCs w:val="24"/>
                <w:highlight w:val="none"/>
              </w:rPr>
              <w:t>mg</w:t>
            </w:r>
            <w:r>
              <w:rPr>
                <w:rFonts w:hint="eastAsia"/>
                <w:color w:val="auto"/>
                <w:sz w:val="24"/>
                <w:szCs w:val="24"/>
                <w:highlight w:val="none"/>
              </w:rPr>
              <w:t>/m</w:t>
            </w:r>
            <w:r>
              <w:rPr>
                <w:rFonts w:hint="eastAsia"/>
                <w:color w:val="auto"/>
                <w:sz w:val="24"/>
                <w:szCs w:val="24"/>
                <w:highlight w:val="none"/>
                <w:vertAlign w:val="superscript"/>
              </w:rPr>
              <w:t>3</w:t>
            </w:r>
            <w:r>
              <w:rPr>
                <w:rFonts w:hint="eastAsia"/>
                <w:color w:val="auto"/>
                <w:sz w:val="24"/>
                <w:szCs w:val="24"/>
                <w:highlight w:val="none"/>
              </w:rPr>
              <w:t>，单位产品非甲烷总烃排放量为0.3</w:t>
            </w:r>
            <w:r>
              <w:rPr>
                <w:rFonts w:hint="eastAsia"/>
                <w:color w:val="auto"/>
                <w:sz w:val="24"/>
                <w:szCs w:val="24"/>
                <w:highlight w:val="none"/>
                <w:lang w:val="en-US" w:eastAsia="zh-CN"/>
              </w:rPr>
              <w:t>4</w:t>
            </w:r>
            <w:r>
              <w:rPr>
                <w:rFonts w:hint="eastAsia"/>
                <w:color w:val="auto"/>
                <w:sz w:val="24"/>
                <w:szCs w:val="24"/>
                <w:highlight w:val="none"/>
              </w:rPr>
              <w:t>kg/t-产品</w:t>
            </w:r>
            <w:r>
              <w:rPr>
                <w:rFonts w:hint="eastAsia"/>
                <w:color w:val="auto"/>
                <w:sz w:val="24"/>
                <w:szCs w:val="24"/>
                <w:lang w:eastAsia="zh-CN"/>
              </w:rPr>
              <w:t>。</w:t>
            </w:r>
          </w:p>
          <w:p w14:paraId="0A0B9BFD">
            <w:pPr>
              <w:adjustRightInd w:val="0"/>
              <w:snapToGrid w:val="0"/>
              <w:spacing w:line="360" w:lineRule="auto"/>
              <w:ind w:firstLine="480" w:firstLineChars="200"/>
              <w:rPr>
                <w:rFonts w:hint="eastAsia"/>
                <w:color w:val="auto"/>
                <w:sz w:val="24"/>
                <w:highlight w:val="none"/>
              </w:rPr>
            </w:pPr>
            <w:r>
              <w:rPr>
                <w:rFonts w:hint="eastAsia"/>
                <w:color w:val="auto"/>
                <w:sz w:val="24"/>
                <w:szCs w:val="24"/>
                <w:highlight w:val="none"/>
                <w:lang w:val="en-US" w:eastAsia="zh-CN"/>
              </w:rPr>
              <w:t>二期建成后全厂</w:t>
            </w:r>
            <w:r>
              <w:rPr>
                <w:rFonts w:hint="eastAsia"/>
                <w:color w:val="auto"/>
                <w:sz w:val="24"/>
                <w:szCs w:val="24"/>
                <w:highlight w:val="none"/>
              </w:rPr>
              <w:t>非甲烷总烃</w:t>
            </w:r>
            <w:r>
              <w:rPr>
                <w:rFonts w:hint="eastAsia"/>
                <w:color w:val="auto"/>
                <w:sz w:val="24"/>
                <w:szCs w:val="24"/>
                <w:highlight w:val="none"/>
                <w:lang w:val="en-US" w:eastAsia="zh-CN"/>
              </w:rPr>
              <w:t>有组织</w:t>
            </w:r>
            <w:r>
              <w:rPr>
                <w:rFonts w:hint="eastAsia"/>
                <w:color w:val="auto"/>
                <w:sz w:val="24"/>
                <w:szCs w:val="24"/>
                <w:highlight w:val="none"/>
              </w:rPr>
              <w:t>排放</w:t>
            </w:r>
            <w:r>
              <w:rPr>
                <w:rFonts w:hint="eastAsia"/>
                <w:color w:val="auto"/>
                <w:sz w:val="24"/>
                <w:szCs w:val="24"/>
                <w:highlight w:val="none"/>
                <w:lang w:val="en-US" w:eastAsia="zh-CN"/>
              </w:rPr>
              <w:t>量</w:t>
            </w:r>
            <w:r>
              <w:rPr>
                <w:rFonts w:hint="eastAsia"/>
                <w:color w:val="auto"/>
                <w:sz w:val="24"/>
                <w:szCs w:val="24"/>
                <w:highlight w:val="none"/>
              </w:rPr>
              <w:t>为</w:t>
            </w:r>
            <w:r>
              <w:rPr>
                <w:rFonts w:hint="eastAsia"/>
                <w:color w:val="auto"/>
                <w:sz w:val="24"/>
                <w:szCs w:val="24"/>
                <w:highlight w:val="none"/>
                <w:lang w:val="en-US" w:eastAsia="zh-CN"/>
              </w:rPr>
              <w:t>0.43t/a</w:t>
            </w:r>
            <w:r>
              <w:rPr>
                <w:rFonts w:hint="eastAsia"/>
                <w:color w:val="auto"/>
                <w:sz w:val="24"/>
                <w:szCs w:val="24"/>
                <w:highlight w:val="none"/>
              </w:rPr>
              <w:t>，</w:t>
            </w:r>
            <w:r>
              <w:rPr>
                <w:rFonts w:hint="eastAsia"/>
                <w:color w:val="auto"/>
                <w:sz w:val="24"/>
                <w:szCs w:val="24"/>
                <w:highlight w:val="none"/>
                <w:lang w:val="en-US" w:eastAsia="zh-CN"/>
              </w:rPr>
              <w:t>全厂</w:t>
            </w:r>
            <w:r>
              <w:rPr>
                <w:rFonts w:hint="eastAsia"/>
                <w:color w:val="auto"/>
                <w:sz w:val="24"/>
                <w:highlight w:val="none"/>
              </w:rPr>
              <w:t>单位产品非甲烷总烃排放量为0.</w:t>
            </w:r>
            <w:r>
              <w:rPr>
                <w:rFonts w:hint="eastAsia"/>
                <w:color w:val="auto"/>
                <w:sz w:val="24"/>
                <w:highlight w:val="none"/>
                <w:lang w:val="en-US" w:eastAsia="zh-CN"/>
              </w:rPr>
              <w:t>34</w:t>
            </w:r>
            <w:r>
              <w:rPr>
                <w:rFonts w:hint="eastAsia"/>
                <w:color w:val="auto"/>
                <w:sz w:val="24"/>
                <w:highlight w:val="none"/>
              </w:rPr>
              <w:t>kg/t-产品</w:t>
            </w:r>
            <w:r>
              <w:rPr>
                <w:rFonts w:hint="eastAsia"/>
                <w:color w:val="auto"/>
                <w:sz w:val="24"/>
                <w:highlight w:val="none"/>
                <w:lang w:eastAsia="zh-CN"/>
              </w:rPr>
              <w:t>，</w:t>
            </w:r>
            <w:r>
              <w:rPr>
                <w:rFonts w:hint="eastAsia"/>
                <w:color w:val="auto"/>
                <w:sz w:val="24"/>
                <w:highlight w:val="none"/>
              </w:rPr>
              <w:t>可满足《合成树脂工业污染物排放标准》（</w:t>
            </w:r>
            <w:r>
              <w:rPr>
                <w:rFonts w:hint="eastAsia" w:ascii="Times New Roman" w:hAnsi="Times New Roman" w:eastAsia="宋体" w:cs="Times New Roman"/>
                <w:color w:val="auto"/>
                <w:kern w:val="0"/>
                <w:sz w:val="24"/>
                <w:highlight w:val="none"/>
              </w:rPr>
              <w:t>（GB31572-2015及2024年修改单）</w:t>
            </w:r>
            <w:r>
              <w:rPr>
                <w:rFonts w:hint="eastAsia"/>
                <w:color w:val="auto"/>
                <w:sz w:val="24"/>
                <w:highlight w:val="none"/>
              </w:rPr>
              <w:t>）中表4和表9的标准限值要求；有组织排放臭气浓度及厂界无组织排放臭气浓度</w:t>
            </w:r>
            <w:r>
              <w:rPr>
                <w:rFonts w:hint="eastAsia"/>
                <w:color w:val="auto"/>
                <w:kern w:val="0"/>
                <w:sz w:val="24"/>
                <w:highlight w:val="none"/>
                <w:lang w:eastAsia="zh-CN"/>
              </w:rPr>
              <w:t>、</w:t>
            </w:r>
            <w:r>
              <w:rPr>
                <w:rFonts w:hint="eastAsia"/>
                <w:color w:val="auto"/>
                <w:kern w:val="0"/>
                <w:sz w:val="24"/>
                <w:highlight w:val="none"/>
                <w:lang w:val="en-US" w:eastAsia="zh-CN"/>
              </w:rPr>
              <w:t>苯乙烯</w:t>
            </w:r>
            <w:r>
              <w:rPr>
                <w:rFonts w:hint="eastAsia"/>
                <w:color w:val="auto"/>
                <w:sz w:val="24"/>
                <w:highlight w:val="none"/>
              </w:rPr>
              <w:t>可满足《恶臭污染物排放标准》（GB14554-93）表1中厂界浓度限值要求及表2排放标准限值要求。</w:t>
            </w:r>
          </w:p>
          <w:p w14:paraId="469B17C2">
            <w:pPr>
              <w:adjustRightInd w:val="0"/>
              <w:snapToGrid w:val="0"/>
              <w:spacing w:line="360" w:lineRule="auto"/>
              <w:ind w:firstLine="482" w:firstLineChars="200"/>
              <w:jc w:val="both"/>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2、排放口基本情况</w:t>
            </w:r>
          </w:p>
          <w:p w14:paraId="03175CB5">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本项目共设置</w:t>
            </w:r>
            <w:r>
              <w:rPr>
                <w:rFonts w:hint="eastAsia" w:ascii="Times New Roman" w:hAnsi="Times New Roman" w:eastAsia="宋体" w:cs="Times New Roman"/>
                <w:color w:val="auto"/>
                <w:kern w:val="0"/>
                <w:sz w:val="24"/>
                <w:lang w:val="en-US" w:eastAsia="zh-CN"/>
              </w:rPr>
              <w:t>2个</w:t>
            </w:r>
            <w:r>
              <w:rPr>
                <w:rFonts w:hint="default" w:ascii="Times New Roman" w:hAnsi="Times New Roman" w:eastAsia="宋体" w:cs="Times New Roman"/>
                <w:color w:val="auto"/>
                <w:kern w:val="0"/>
                <w:sz w:val="24"/>
              </w:rPr>
              <w:t>排气筒排放口，具体设置情况见下表</w:t>
            </w:r>
            <w:r>
              <w:rPr>
                <w:rFonts w:hint="eastAsia" w:ascii="Times New Roman" w:hAnsi="Times New Roman" w:eastAsia="宋体" w:cs="Times New Roman"/>
                <w:color w:val="auto"/>
                <w:kern w:val="0"/>
                <w:sz w:val="24"/>
                <w:lang w:val="en-US" w:eastAsia="zh-CN"/>
              </w:rPr>
              <w:t>4-8</w:t>
            </w:r>
            <w:r>
              <w:rPr>
                <w:rFonts w:hint="default" w:ascii="Times New Roman" w:hAnsi="Times New Roman" w:eastAsia="宋体" w:cs="Times New Roman"/>
                <w:color w:val="auto"/>
                <w:kern w:val="0"/>
                <w:sz w:val="24"/>
              </w:rPr>
              <w:t>。</w:t>
            </w:r>
          </w:p>
          <w:p w14:paraId="1BA8E2EE">
            <w:pPr>
              <w:snapToGrid w:val="0"/>
              <w:ind w:firstLine="630" w:firstLineChars="300"/>
              <w:jc w:val="both"/>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rPr>
              <w:t>表</w:t>
            </w:r>
            <w:r>
              <w:rPr>
                <w:rFonts w:hint="eastAsia" w:ascii="Times New Roman" w:hAnsi="Times New Roman" w:eastAsia="宋体" w:cs="Times New Roman"/>
                <w:bCs/>
                <w:color w:val="auto"/>
                <w:lang w:val="en-US" w:eastAsia="zh-CN"/>
              </w:rPr>
              <w:t>4-8</w:t>
            </w:r>
            <w:r>
              <w:rPr>
                <w:rFonts w:hint="default" w:ascii="Times New Roman" w:hAnsi="Times New Roman" w:eastAsia="宋体" w:cs="Times New Roman"/>
                <w:bCs/>
                <w:color w:val="auto"/>
              </w:rPr>
              <w:t xml:space="preserve"> </w:t>
            </w:r>
            <w:r>
              <w:rPr>
                <w:rFonts w:hint="default" w:ascii="Times New Roman" w:hAnsi="Times New Roman" w:eastAsia="宋体" w:cs="Times New Roman"/>
                <w:b/>
                <w:bCs/>
                <w:color w:val="auto"/>
              </w:rPr>
              <w:t xml:space="preserve">       </w:t>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本项目排放口基本情况一览表</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088"/>
              <w:gridCol w:w="1000"/>
              <w:gridCol w:w="1043"/>
              <w:gridCol w:w="1047"/>
              <w:gridCol w:w="1048"/>
              <w:gridCol w:w="1240"/>
              <w:gridCol w:w="1808"/>
            </w:tblGrid>
            <w:tr w14:paraId="31D6EC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657" w:type="pct"/>
                  <w:noWrap w:val="0"/>
                  <w:vAlign w:val="center"/>
                </w:tcPr>
                <w:p w14:paraId="0B75E2AB">
                  <w:pPr>
                    <w:widowControl/>
                    <w:jc w:val="center"/>
                    <w:textAlignment w:val="center"/>
                    <w:rPr>
                      <w:rFonts w:hint="default" w:ascii="Times New Roman" w:hAnsi="Times New Roman" w:eastAsia="宋体" w:cs="Times New Roman"/>
                      <w:b/>
                      <w:color w:val="auto"/>
                      <w:kern w:val="0"/>
                      <w:lang w:bidi="ar"/>
                    </w:rPr>
                  </w:pPr>
                  <w:r>
                    <w:rPr>
                      <w:rFonts w:hint="default" w:ascii="Times New Roman" w:hAnsi="Times New Roman" w:eastAsia="宋体" w:cs="Times New Roman"/>
                      <w:b/>
                      <w:color w:val="auto"/>
                      <w:kern w:val="0"/>
                      <w:lang w:bidi="ar"/>
                    </w:rPr>
                    <w:t>排放口编号</w:t>
                  </w:r>
                </w:p>
              </w:tc>
              <w:tc>
                <w:tcPr>
                  <w:tcW w:w="604" w:type="pct"/>
                  <w:noWrap w:val="0"/>
                  <w:tcMar>
                    <w:top w:w="12" w:type="dxa"/>
                    <w:left w:w="12" w:type="dxa"/>
                    <w:right w:w="12" w:type="dxa"/>
                  </w:tcMar>
                  <w:vAlign w:val="center"/>
                </w:tcPr>
                <w:p w14:paraId="0F94A233">
                  <w:pPr>
                    <w:widowControl/>
                    <w:jc w:val="center"/>
                    <w:textAlignment w:val="center"/>
                    <w:rPr>
                      <w:rFonts w:hint="default" w:ascii="Times New Roman" w:hAnsi="Times New Roman" w:eastAsia="宋体" w:cs="Times New Roman"/>
                      <w:b/>
                      <w:color w:val="auto"/>
                      <w:kern w:val="0"/>
                      <w:lang w:bidi="ar"/>
                    </w:rPr>
                  </w:pPr>
                  <w:r>
                    <w:rPr>
                      <w:rFonts w:hint="default" w:ascii="Times New Roman" w:hAnsi="Times New Roman" w:eastAsia="宋体" w:cs="Times New Roman"/>
                      <w:b/>
                      <w:color w:val="auto"/>
                      <w:kern w:val="0"/>
                      <w:lang w:bidi="ar"/>
                    </w:rPr>
                    <w:t>高度/m</w:t>
                  </w:r>
                </w:p>
              </w:tc>
              <w:tc>
                <w:tcPr>
                  <w:tcW w:w="630" w:type="pct"/>
                  <w:noWrap w:val="0"/>
                  <w:tcMar>
                    <w:top w:w="12" w:type="dxa"/>
                    <w:left w:w="12" w:type="dxa"/>
                    <w:right w:w="12" w:type="dxa"/>
                  </w:tcMar>
                  <w:vAlign w:val="center"/>
                </w:tcPr>
                <w:p w14:paraId="70F2B631">
                  <w:pPr>
                    <w:widowControl/>
                    <w:jc w:val="center"/>
                    <w:textAlignment w:val="center"/>
                    <w:rPr>
                      <w:rFonts w:hint="default" w:ascii="Times New Roman" w:hAnsi="Times New Roman" w:eastAsia="宋体" w:cs="Times New Roman"/>
                      <w:b/>
                      <w:color w:val="auto"/>
                      <w:kern w:val="0"/>
                      <w:lang w:bidi="ar"/>
                    </w:rPr>
                  </w:pPr>
                  <w:r>
                    <w:rPr>
                      <w:rFonts w:hint="default" w:ascii="Times New Roman" w:hAnsi="Times New Roman" w:eastAsia="宋体" w:cs="Times New Roman"/>
                      <w:b/>
                      <w:color w:val="auto"/>
                      <w:kern w:val="0"/>
                      <w:lang w:bidi="ar"/>
                    </w:rPr>
                    <w:t>内径/m</w:t>
                  </w:r>
                </w:p>
              </w:tc>
              <w:tc>
                <w:tcPr>
                  <w:tcW w:w="632" w:type="pct"/>
                  <w:noWrap w:val="0"/>
                  <w:vAlign w:val="center"/>
                </w:tcPr>
                <w:p w14:paraId="50FE6DA0">
                  <w:pPr>
                    <w:widowControl/>
                    <w:jc w:val="center"/>
                    <w:textAlignment w:val="center"/>
                    <w:rPr>
                      <w:rFonts w:hint="default" w:ascii="Times New Roman" w:hAnsi="Times New Roman" w:eastAsia="宋体" w:cs="Times New Roman"/>
                      <w:b/>
                      <w:color w:val="auto"/>
                      <w:kern w:val="0"/>
                      <w:lang w:bidi="ar"/>
                    </w:rPr>
                  </w:pPr>
                  <w:r>
                    <w:rPr>
                      <w:rFonts w:hint="default" w:ascii="Times New Roman" w:hAnsi="Times New Roman" w:eastAsia="宋体" w:cs="Times New Roman"/>
                      <w:b/>
                      <w:color w:val="auto"/>
                      <w:kern w:val="0"/>
                      <w:lang w:bidi="ar"/>
                    </w:rPr>
                    <w:t>风量/m</w:t>
                  </w:r>
                  <w:r>
                    <w:rPr>
                      <w:rFonts w:hint="default" w:ascii="Times New Roman" w:hAnsi="Times New Roman" w:eastAsia="宋体" w:cs="Times New Roman"/>
                      <w:b/>
                      <w:color w:val="auto"/>
                      <w:kern w:val="0"/>
                      <w:vertAlign w:val="superscript"/>
                      <w:lang w:bidi="ar"/>
                    </w:rPr>
                    <w:t>3</w:t>
                  </w:r>
                  <w:r>
                    <w:rPr>
                      <w:rFonts w:hint="default" w:ascii="Times New Roman" w:hAnsi="Times New Roman" w:eastAsia="宋体" w:cs="Times New Roman"/>
                      <w:b/>
                      <w:color w:val="auto"/>
                      <w:kern w:val="0"/>
                      <w:lang w:bidi="ar"/>
                    </w:rPr>
                    <w:t>/h</w:t>
                  </w:r>
                </w:p>
              </w:tc>
              <w:tc>
                <w:tcPr>
                  <w:tcW w:w="633" w:type="pct"/>
                  <w:noWrap w:val="0"/>
                  <w:tcMar>
                    <w:top w:w="12" w:type="dxa"/>
                    <w:left w:w="12" w:type="dxa"/>
                    <w:right w:w="12" w:type="dxa"/>
                  </w:tcMar>
                  <w:vAlign w:val="center"/>
                </w:tcPr>
                <w:p w14:paraId="0DB4F099">
                  <w:pPr>
                    <w:widowControl/>
                    <w:jc w:val="center"/>
                    <w:textAlignment w:val="center"/>
                    <w:rPr>
                      <w:rFonts w:hint="default" w:ascii="Times New Roman" w:hAnsi="Times New Roman" w:eastAsia="宋体" w:cs="Times New Roman"/>
                      <w:b/>
                      <w:color w:val="auto"/>
                      <w:kern w:val="0"/>
                      <w:lang w:bidi="ar"/>
                    </w:rPr>
                  </w:pPr>
                  <w:r>
                    <w:rPr>
                      <w:rFonts w:hint="default" w:ascii="Times New Roman" w:hAnsi="Times New Roman" w:eastAsia="宋体" w:cs="Times New Roman"/>
                      <w:b/>
                      <w:color w:val="auto"/>
                      <w:kern w:val="0"/>
                      <w:lang w:bidi="ar"/>
                    </w:rPr>
                    <w:t>温度/℃</w:t>
                  </w:r>
                </w:p>
              </w:tc>
              <w:tc>
                <w:tcPr>
                  <w:tcW w:w="749" w:type="pct"/>
                  <w:noWrap w:val="0"/>
                  <w:tcMar>
                    <w:top w:w="12" w:type="dxa"/>
                    <w:left w:w="12" w:type="dxa"/>
                    <w:right w:w="12" w:type="dxa"/>
                  </w:tcMar>
                  <w:vAlign w:val="center"/>
                </w:tcPr>
                <w:p w14:paraId="32D27FF3">
                  <w:pPr>
                    <w:widowControl/>
                    <w:jc w:val="center"/>
                    <w:textAlignment w:val="center"/>
                    <w:rPr>
                      <w:rFonts w:hint="default" w:ascii="Times New Roman" w:hAnsi="Times New Roman" w:eastAsia="宋体" w:cs="Times New Roman"/>
                      <w:b/>
                      <w:color w:val="auto"/>
                      <w:kern w:val="0"/>
                      <w:lang w:bidi="ar"/>
                    </w:rPr>
                  </w:pPr>
                  <w:r>
                    <w:rPr>
                      <w:rFonts w:hint="default" w:ascii="Times New Roman" w:hAnsi="Times New Roman" w:eastAsia="宋体" w:cs="Times New Roman"/>
                      <w:b/>
                      <w:color w:val="auto"/>
                      <w:kern w:val="0"/>
                      <w:lang w:bidi="ar"/>
                    </w:rPr>
                    <w:t>类型</w:t>
                  </w:r>
                </w:p>
              </w:tc>
              <w:tc>
                <w:tcPr>
                  <w:tcW w:w="1091" w:type="pct"/>
                  <w:noWrap w:val="0"/>
                  <w:tcMar>
                    <w:top w:w="12" w:type="dxa"/>
                    <w:left w:w="12" w:type="dxa"/>
                    <w:right w:w="12" w:type="dxa"/>
                  </w:tcMar>
                  <w:vAlign w:val="center"/>
                </w:tcPr>
                <w:p w14:paraId="7346A6A8">
                  <w:pPr>
                    <w:widowControl/>
                    <w:jc w:val="center"/>
                    <w:textAlignment w:val="center"/>
                    <w:rPr>
                      <w:rFonts w:hint="default" w:ascii="Times New Roman" w:hAnsi="Times New Roman" w:eastAsia="宋体" w:cs="Times New Roman"/>
                      <w:b/>
                      <w:color w:val="auto"/>
                      <w:kern w:val="0"/>
                      <w:lang w:bidi="ar"/>
                    </w:rPr>
                  </w:pPr>
                  <w:r>
                    <w:rPr>
                      <w:rFonts w:hint="default" w:ascii="Times New Roman" w:hAnsi="Times New Roman" w:eastAsia="宋体" w:cs="Times New Roman"/>
                      <w:b/>
                      <w:color w:val="auto"/>
                      <w:kern w:val="0"/>
                      <w:lang w:bidi="ar"/>
                    </w:rPr>
                    <w:t>地理坐标</w:t>
                  </w:r>
                </w:p>
              </w:tc>
            </w:tr>
            <w:tr w14:paraId="35B414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657" w:type="pct"/>
                  <w:noWrap w:val="0"/>
                  <w:vAlign w:val="center"/>
                </w:tcPr>
                <w:p w14:paraId="5ADD7392">
                  <w:pPr>
                    <w:widowControl/>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DA001</w:t>
                  </w:r>
                </w:p>
              </w:tc>
              <w:tc>
                <w:tcPr>
                  <w:tcW w:w="604" w:type="pct"/>
                  <w:noWrap w:val="0"/>
                  <w:tcMar>
                    <w:top w:w="12" w:type="dxa"/>
                    <w:left w:w="12" w:type="dxa"/>
                    <w:right w:w="12" w:type="dxa"/>
                  </w:tcMar>
                  <w:vAlign w:val="center"/>
                </w:tcPr>
                <w:p w14:paraId="27F24E79">
                  <w:pPr>
                    <w:widowControl/>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15</w:t>
                  </w:r>
                </w:p>
              </w:tc>
              <w:tc>
                <w:tcPr>
                  <w:tcW w:w="630" w:type="pct"/>
                  <w:noWrap w:val="0"/>
                  <w:tcMar>
                    <w:top w:w="12" w:type="dxa"/>
                    <w:left w:w="12" w:type="dxa"/>
                    <w:right w:w="12" w:type="dxa"/>
                  </w:tcMar>
                  <w:vAlign w:val="center"/>
                </w:tcPr>
                <w:p w14:paraId="1E9DDFF2">
                  <w:pPr>
                    <w:widowControl/>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0.</w:t>
                  </w:r>
                  <w:r>
                    <w:rPr>
                      <w:rFonts w:hint="eastAsia" w:cs="Times New Roman"/>
                      <w:color w:val="auto"/>
                      <w:kern w:val="0"/>
                      <w:lang w:val="en-US" w:eastAsia="zh-CN"/>
                    </w:rPr>
                    <w:t>4</w:t>
                  </w:r>
                </w:p>
              </w:tc>
              <w:tc>
                <w:tcPr>
                  <w:tcW w:w="632" w:type="pct"/>
                  <w:noWrap w:val="0"/>
                  <w:vAlign w:val="center"/>
                </w:tcPr>
                <w:p w14:paraId="447E4193">
                  <w:pPr>
                    <w:widowControl/>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8000</w:t>
                  </w:r>
                </w:p>
              </w:tc>
              <w:tc>
                <w:tcPr>
                  <w:tcW w:w="633" w:type="pct"/>
                  <w:noWrap w:val="0"/>
                  <w:tcMar>
                    <w:top w:w="12" w:type="dxa"/>
                    <w:left w:w="12" w:type="dxa"/>
                    <w:right w:w="12" w:type="dxa"/>
                  </w:tcMar>
                  <w:vAlign w:val="center"/>
                </w:tcPr>
                <w:p w14:paraId="056755FF">
                  <w:pPr>
                    <w:widowControl/>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常温</w:t>
                  </w:r>
                </w:p>
              </w:tc>
              <w:tc>
                <w:tcPr>
                  <w:tcW w:w="749" w:type="pct"/>
                  <w:noWrap w:val="0"/>
                  <w:tcMar>
                    <w:top w:w="12" w:type="dxa"/>
                    <w:left w:w="12" w:type="dxa"/>
                    <w:right w:w="12" w:type="dxa"/>
                  </w:tcMar>
                  <w:vAlign w:val="center"/>
                </w:tcPr>
                <w:p w14:paraId="06C189F4">
                  <w:pPr>
                    <w:widowControl/>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一般排放口</w:t>
                  </w:r>
                </w:p>
              </w:tc>
              <w:tc>
                <w:tcPr>
                  <w:tcW w:w="1091" w:type="pct"/>
                  <w:noWrap w:val="0"/>
                  <w:tcMar>
                    <w:top w:w="12" w:type="dxa"/>
                    <w:left w:w="12" w:type="dxa"/>
                    <w:right w:w="12" w:type="dxa"/>
                  </w:tcMar>
                  <w:vAlign w:val="center"/>
                </w:tcPr>
                <w:p w14:paraId="69FFC422">
                  <w:pPr>
                    <w:widowControl/>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106°09′26.99″</w:t>
                  </w:r>
                  <w:r>
                    <w:rPr>
                      <w:rFonts w:hint="eastAsia" w:ascii="Times New Roman" w:hAnsi="Times New Roman" w:eastAsia="宋体" w:cs="Times New Roman"/>
                      <w:color w:val="auto"/>
                      <w:kern w:val="0"/>
                      <w:lang w:eastAsia="zh-CN"/>
                    </w:rPr>
                    <w:t>，</w:t>
                  </w:r>
                  <w:r>
                    <w:rPr>
                      <w:rFonts w:hint="default" w:ascii="Times New Roman" w:hAnsi="Times New Roman" w:eastAsia="宋体" w:cs="Times New Roman"/>
                      <w:color w:val="auto"/>
                      <w:kern w:val="0"/>
                    </w:rPr>
                    <w:t>36°10′39.26″</w:t>
                  </w:r>
                </w:p>
              </w:tc>
            </w:tr>
            <w:tr w14:paraId="56DA2A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657" w:type="pct"/>
                  <w:noWrap w:val="0"/>
                  <w:vAlign w:val="center"/>
                </w:tcPr>
                <w:p w14:paraId="5B9E288C">
                  <w:pPr>
                    <w:widowControl/>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DA002</w:t>
                  </w:r>
                </w:p>
              </w:tc>
              <w:tc>
                <w:tcPr>
                  <w:tcW w:w="604" w:type="pct"/>
                  <w:noWrap w:val="0"/>
                  <w:tcMar>
                    <w:top w:w="12" w:type="dxa"/>
                    <w:left w:w="12" w:type="dxa"/>
                    <w:right w:w="12" w:type="dxa"/>
                  </w:tcMar>
                  <w:vAlign w:val="center"/>
                </w:tcPr>
                <w:p w14:paraId="77E28AE7">
                  <w:pPr>
                    <w:widowControl/>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15</w:t>
                  </w:r>
                </w:p>
              </w:tc>
              <w:tc>
                <w:tcPr>
                  <w:tcW w:w="630" w:type="pct"/>
                  <w:noWrap w:val="0"/>
                  <w:tcMar>
                    <w:top w:w="12" w:type="dxa"/>
                    <w:left w:w="12" w:type="dxa"/>
                    <w:right w:w="12" w:type="dxa"/>
                  </w:tcMar>
                  <w:vAlign w:val="center"/>
                </w:tcPr>
                <w:p w14:paraId="737FD32D">
                  <w:pPr>
                    <w:widowControl/>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0</w:t>
                  </w:r>
                  <w:r>
                    <w:rPr>
                      <w:rFonts w:hint="eastAsia" w:cs="Times New Roman"/>
                      <w:color w:val="auto"/>
                      <w:kern w:val="0"/>
                      <w:lang w:val="en-US" w:eastAsia="zh-CN"/>
                    </w:rPr>
                    <w:t>.4</w:t>
                  </w:r>
                </w:p>
              </w:tc>
              <w:tc>
                <w:tcPr>
                  <w:tcW w:w="632" w:type="pct"/>
                  <w:noWrap w:val="0"/>
                  <w:vAlign w:val="center"/>
                </w:tcPr>
                <w:p w14:paraId="081282ED">
                  <w:pPr>
                    <w:widowControl/>
                    <w:jc w:val="center"/>
                    <w:rPr>
                      <w:rFonts w:hint="default"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8000</w:t>
                  </w:r>
                </w:p>
              </w:tc>
              <w:tc>
                <w:tcPr>
                  <w:tcW w:w="633" w:type="pct"/>
                  <w:noWrap w:val="0"/>
                  <w:tcMar>
                    <w:top w:w="12" w:type="dxa"/>
                    <w:left w:w="12" w:type="dxa"/>
                    <w:right w:w="12" w:type="dxa"/>
                  </w:tcMar>
                  <w:vAlign w:val="center"/>
                </w:tcPr>
                <w:p w14:paraId="3B497118">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rPr>
                    <w:t>常温</w:t>
                  </w:r>
                </w:p>
              </w:tc>
              <w:tc>
                <w:tcPr>
                  <w:tcW w:w="749" w:type="pct"/>
                  <w:noWrap w:val="0"/>
                  <w:tcMar>
                    <w:top w:w="12" w:type="dxa"/>
                    <w:left w:w="12" w:type="dxa"/>
                    <w:right w:w="12" w:type="dxa"/>
                  </w:tcMar>
                  <w:vAlign w:val="center"/>
                </w:tcPr>
                <w:p w14:paraId="35BF911F">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rPr>
                    <w:t>一般排放口</w:t>
                  </w:r>
                </w:p>
              </w:tc>
              <w:tc>
                <w:tcPr>
                  <w:tcW w:w="1091" w:type="pct"/>
                  <w:noWrap w:val="0"/>
                  <w:tcMar>
                    <w:top w:w="12" w:type="dxa"/>
                    <w:left w:w="12" w:type="dxa"/>
                    <w:right w:w="12" w:type="dxa"/>
                  </w:tcMar>
                  <w:vAlign w:val="center"/>
                </w:tcPr>
                <w:p w14:paraId="776442CE">
                  <w:pPr>
                    <w:widowControl/>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106°09′30.58″</w:t>
                  </w:r>
                  <w:r>
                    <w:rPr>
                      <w:rFonts w:hint="eastAsia" w:ascii="Times New Roman" w:hAnsi="Times New Roman" w:eastAsia="宋体" w:cs="Times New Roman"/>
                      <w:color w:val="auto"/>
                      <w:kern w:val="0"/>
                      <w:lang w:eastAsia="zh-CN"/>
                    </w:rPr>
                    <w:t>，</w:t>
                  </w:r>
                  <w:r>
                    <w:rPr>
                      <w:rFonts w:hint="default" w:ascii="Times New Roman" w:hAnsi="Times New Roman" w:eastAsia="宋体" w:cs="Times New Roman"/>
                      <w:color w:val="auto"/>
                      <w:kern w:val="0"/>
                    </w:rPr>
                    <w:t>36°10′41.63″</w:t>
                  </w:r>
                </w:p>
              </w:tc>
            </w:tr>
          </w:tbl>
          <w:p w14:paraId="783318BE">
            <w:pPr>
              <w:keepNext w:val="0"/>
              <w:keepLines w:val="0"/>
              <w:pageBreakBefore w:val="0"/>
              <w:widowControl w:val="0"/>
              <w:kinsoku/>
              <w:wordWrap/>
              <w:overflowPunct/>
              <w:topLinePunct w:val="0"/>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3、非正常工况分析</w:t>
            </w:r>
          </w:p>
          <w:p w14:paraId="3822965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非正常工况下主要指开停车、设备检修、环保设施得不到有效处置等状况下污染物排放。在无严格控制措施或措施失效的情况下，往往成为污染环境的重要因素。建设单位应在非正常工况、重污染天气时停止生产或减量生产，减少非正常工况对环境空气的不良影响。</w:t>
            </w:r>
          </w:p>
          <w:p w14:paraId="38851CB3">
            <w:pPr>
              <w:autoSpaceDE w:val="0"/>
              <w:autoSpaceDN w:val="0"/>
              <w:adjustRightInd w:val="0"/>
              <w:snapToGrid w:val="0"/>
              <w:spacing w:line="360" w:lineRule="auto"/>
              <w:ind w:firstLine="480" w:firstLineChars="200"/>
              <w:rPr>
                <w:color w:val="auto"/>
                <w:kern w:val="0"/>
                <w:sz w:val="24"/>
                <w:highlight w:val="none"/>
              </w:rPr>
            </w:pPr>
            <w:r>
              <w:rPr>
                <w:color w:val="auto"/>
                <w:kern w:val="0"/>
                <w:sz w:val="24"/>
                <w:highlight w:val="none"/>
              </w:rPr>
              <w:t>本次评价非正常工况下</w:t>
            </w:r>
            <w:r>
              <w:rPr>
                <w:rFonts w:hint="eastAsia"/>
                <w:color w:val="auto"/>
                <w:kern w:val="0"/>
                <w:sz w:val="24"/>
                <w:highlight w:val="none"/>
              </w:rPr>
              <w:t>发泡、成型工序</w:t>
            </w:r>
            <w:r>
              <w:rPr>
                <w:color w:val="auto"/>
                <w:kern w:val="0"/>
                <w:sz w:val="24"/>
                <w:highlight w:val="none"/>
              </w:rPr>
              <w:t>废气的排放，项目采用</w:t>
            </w:r>
            <w:r>
              <w:rPr>
                <w:rFonts w:hint="eastAsia"/>
                <w:color w:val="auto"/>
                <w:sz w:val="24"/>
                <w:highlight w:val="none"/>
              </w:rPr>
              <w:t>“二级活性炭装置”</w:t>
            </w:r>
            <w:r>
              <w:rPr>
                <w:color w:val="auto"/>
                <w:sz w:val="24"/>
                <w:highlight w:val="none"/>
              </w:rPr>
              <w:t>对</w:t>
            </w:r>
            <w:r>
              <w:rPr>
                <w:rFonts w:hint="eastAsia"/>
                <w:color w:val="auto"/>
                <w:sz w:val="24"/>
                <w:highlight w:val="none"/>
              </w:rPr>
              <w:t>非甲烷总烃</w:t>
            </w:r>
            <w:r>
              <w:rPr>
                <w:rFonts w:hint="eastAsia"/>
                <w:color w:val="auto"/>
                <w:sz w:val="24"/>
                <w:highlight w:val="none"/>
                <w:lang w:eastAsia="zh-CN"/>
              </w:rPr>
              <w:t>、</w:t>
            </w:r>
            <w:r>
              <w:rPr>
                <w:rFonts w:hint="eastAsia"/>
                <w:color w:val="auto"/>
                <w:sz w:val="24"/>
                <w:highlight w:val="none"/>
              </w:rPr>
              <w:t>甲苯</w:t>
            </w:r>
            <w:r>
              <w:rPr>
                <w:rFonts w:hint="eastAsia"/>
                <w:color w:val="auto"/>
                <w:sz w:val="24"/>
                <w:highlight w:val="none"/>
                <w:lang w:eastAsia="zh-CN"/>
              </w:rPr>
              <w:t>、</w:t>
            </w:r>
            <w:r>
              <w:rPr>
                <w:rFonts w:hint="eastAsia"/>
                <w:color w:val="auto"/>
                <w:sz w:val="24"/>
                <w:highlight w:val="none"/>
              </w:rPr>
              <w:t>苯乙烯及乙苯</w:t>
            </w:r>
            <w:r>
              <w:rPr>
                <w:color w:val="auto"/>
                <w:kern w:val="0"/>
                <w:sz w:val="24"/>
                <w:highlight w:val="none"/>
              </w:rPr>
              <w:t>进行处理，本次按照此套处理设施处理效率下降至</w:t>
            </w:r>
            <w:r>
              <w:rPr>
                <w:rFonts w:hint="eastAsia"/>
                <w:color w:val="auto"/>
                <w:kern w:val="0"/>
                <w:sz w:val="24"/>
                <w:highlight w:val="none"/>
                <w:lang w:val="en-US" w:eastAsia="zh-CN"/>
              </w:rPr>
              <w:t>一级活性炭</w:t>
            </w:r>
            <w:r>
              <w:rPr>
                <w:color w:val="auto"/>
                <w:kern w:val="0"/>
                <w:sz w:val="24"/>
                <w:highlight w:val="none"/>
              </w:rPr>
              <w:t>进行计算，则</w:t>
            </w:r>
            <w:r>
              <w:rPr>
                <w:rFonts w:hint="eastAsia"/>
                <w:color w:val="auto"/>
                <w:kern w:val="0"/>
                <w:sz w:val="24"/>
                <w:highlight w:val="none"/>
              </w:rPr>
              <w:t>在此</w:t>
            </w:r>
            <w:r>
              <w:rPr>
                <w:color w:val="auto"/>
                <w:kern w:val="0"/>
                <w:sz w:val="24"/>
                <w:highlight w:val="none"/>
              </w:rPr>
              <w:t>非正常工况下废气排放情况见下表</w:t>
            </w:r>
            <w:r>
              <w:rPr>
                <w:rFonts w:hint="eastAsia"/>
                <w:color w:val="auto"/>
                <w:kern w:val="0"/>
                <w:sz w:val="24"/>
                <w:highlight w:val="none"/>
              </w:rPr>
              <w:t>4-</w:t>
            </w:r>
            <w:r>
              <w:rPr>
                <w:rFonts w:hint="eastAsia"/>
                <w:color w:val="auto"/>
                <w:kern w:val="0"/>
                <w:sz w:val="24"/>
                <w:highlight w:val="none"/>
                <w:lang w:val="en-US" w:eastAsia="zh-CN"/>
              </w:rPr>
              <w:t>9</w:t>
            </w:r>
            <w:r>
              <w:rPr>
                <w:color w:val="auto"/>
                <w:kern w:val="0"/>
                <w:sz w:val="24"/>
                <w:highlight w:val="none"/>
              </w:rPr>
              <w:t>。</w:t>
            </w:r>
          </w:p>
          <w:p w14:paraId="7FFEEADA">
            <w:pPr>
              <w:snapToGrid w:val="0"/>
              <w:ind w:firstLine="420" w:firstLineChars="200"/>
              <w:rPr>
                <w:b/>
                <w:bCs/>
                <w:color w:val="auto"/>
                <w:sz w:val="24"/>
                <w:highlight w:val="none"/>
              </w:rPr>
            </w:pPr>
            <w:r>
              <w:rPr>
                <w:bCs/>
                <w:color w:val="auto"/>
                <w:szCs w:val="21"/>
                <w:highlight w:val="none"/>
              </w:rPr>
              <w:t>表</w:t>
            </w:r>
            <w:r>
              <w:rPr>
                <w:rFonts w:hint="eastAsia"/>
                <w:bCs/>
                <w:color w:val="auto"/>
                <w:szCs w:val="21"/>
                <w:highlight w:val="none"/>
              </w:rPr>
              <w:t>4-</w:t>
            </w:r>
            <w:r>
              <w:rPr>
                <w:rFonts w:hint="eastAsia"/>
                <w:bCs/>
                <w:color w:val="auto"/>
                <w:szCs w:val="21"/>
                <w:highlight w:val="none"/>
                <w:lang w:val="en-US" w:eastAsia="zh-CN"/>
              </w:rPr>
              <w:t>9</w:t>
            </w:r>
            <w:r>
              <w:rPr>
                <w:b/>
                <w:bCs/>
                <w:color w:val="auto"/>
                <w:highlight w:val="none"/>
              </w:rPr>
              <w:t xml:space="preserve">         </w:t>
            </w:r>
            <w:r>
              <w:rPr>
                <w:rFonts w:hint="eastAsia"/>
                <w:b/>
                <w:bCs/>
                <w:color w:val="auto"/>
                <w:highlight w:val="none"/>
              </w:rPr>
              <w:t xml:space="preserve">   </w:t>
            </w:r>
            <w:r>
              <w:rPr>
                <w:b/>
                <w:bCs/>
                <w:color w:val="auto"/>
                <w:highlight w:val="none"/>
              </w:rPr>
              <w:t xml:space="preserve">  </w:t>
            </w:r>
            <w:r>
              <w:rPr>
                <w:b/>
                <w:bCs/>
                <w:color w:val="auto"/>
                <w:sz w:val="24"/>
                <w:highlight w:val="none"/>
              </w:rPr>
              <w:t xml:space="preserve"> 本项目非正常工况一览表</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643"/>
              <w:gridCol w:w="904"/>
              <w:gridCol w:w="1146"/>
              <w:gridCol w:w="1116"/>
              <w:gridCol w:w="768"/>
              <w:gridCol w:w="814"/>
              <w:gridCol w:w="1041"/>
              <w:gridCol w:w="1188"/>
            </w:tblGrid>
            <w:tr w14:paraId="6D6FDC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tcBorders>
                    <w:tl2br w:val="nil"/>
                  </w:tcBorders>
                  <w:noWrap w:val="0"/>
                  <w:tcMar>
                    <w:top w:w="12" w:type="dxa"/>
                    <w:left w:w="12" w:type="dxa"/>
                    <w:right w:w="12" w:type="dxa"/>
                  </w:tcMar>
                  <w:vAlign w:val="center"/>
                </w:tcPr>
                <w:p w14:paraId="447D6295">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污染源</w:t>
                  </w:r>
                </w:p>
              </w:tc>
              <w:tc>
                <w:tcPr>
                  <w:tcW w:w="371" w:type="pct"/>
                  <w:noWrap w:val="0"/>
                  <w:tcMar>
                    <w:top w:w="12" w:type="dxa"/>
                    <w:left w:w="12" w:type="dxa"/>
                    <w:right w:w="12" w:type="dxa"/>
                  </w:tcMar>
                  <w:vAlign w:val="center"/>
                </w:tcPr>
                <w:p w14:paraId="71F8E430">
                  <w:pPr>
                    <w:widowControl/>
                    <w:jc w:val="center"/>
                    <w:textAlignment w:val="center"/>
                    <w:rPr>
                      <w:b/>
                      <w:bCs w:val="0"/>
                      <w:color w:val="auto"/>
                      <w:kern w:val="0"/>
                      <w:sz w:val="21"/>
                      <w:szCs w:val="21"/>
                      <w:highlight w:val="none"/>
                      <w:lang w:bidi="ar"/>
                    </w:rPr>
                  </w:pPr>
                  <w:r>
                    <w:rPr>
                      <w:rFonts w:hint="eastAsia"/>
                      <w:b/>
                      <w:bCs w:val="0"/>
                      <w:color w:val="auto"/>
                      <w:kern w:val="0"/>
                      <w:sz w:val="21"/>
                      <w:szCs w:val="21"/>
                      <w:highlight w:val="none"/>
                      <w:lang w:bidi="ar"/>
                    </w:rPr>
                    <w:t>产污环节</w:t>
                  </w:r>
                </w:p>
              </w:tc>
              <w:tc>
                <w:tcPr>
                  <w:tcW w:w="548" w:type="pct"/>
                  <w:noWrap w:val="0"/>
                  <w:tcMar>
                    <w:top w:w="12" w:type="dxa"/>
                    <w:left w:w="12" w:type="dxa"/>
                    <w:right w:w="12" w:type="dxa"/>
                  </w:tcMar>
                  <w:vAlign w:val="center"/>
                </w:tcPr>
                <w:p w14:paraId="11C2759C">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非正常排放原因</w:t>
                  </w:r>
                </w:p>
              </w:tc>
              <w:tc>
                <w:tcPr>
                  <w:tcW w:w="694" w:type="pct"/>
                  <w:noWrap w:val="0"/>
                  <w:tcMar>
                    <w:top w:w="12" w:type="dxa"/>
                    <w:left w:w="12" w:type="dxa"/>
                    <w:right w:w="12" w:type="dxa"/>
                  </w:tcMar>
                  <w:vAlign w:val="center"/>
                </w:tcPr>
                <w:p w14:paraId="6E7F75D6">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污染物</w:t>
                  </w:r>
                </w:p>
              </w:tc>
              <w:tc>
                <w:tcPr>
                  <w:tcW w:w="676" w:type="pct"/>
                  <w:noWrap w:val="0"/>
                  <w:tcMar>
                    <w:top w:w="12" w:type="dxa"/>
                    <w:left w:w="12" w:type="dxa"/>
                    <w:right w:w="12" w:type="dxa"/>
                  </w:tcMar>
                  <w:vAlign w:val="center"/>
                </w:tcPr>
                <w:p w14:paraId="069349C8">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排放</w:t>
                  </w:r>
                  <w:r>
                    <w:rPr>
                      <w:rFonts w:hint="eastAsia"/>
                      <w:b/>
                      <w:bCs w:val="0"/>
                      <w:color w:val="auto"/>
                      <w:kern w:val="0"/>
                      <w:sz w:val="21"/>
                      <w:szCs w:val="21"/>
                      <w:highlight w:val="none"/>
                      <w:lang w:bidi="ar"/>
                    </w:rPr>
                    <w:t>速率</w:t>
                  </w:r>
                  <w:r>
                    <w:rPr>
                      <w:rFonts w:hint="eastAsia"/>
                      <w:b/>
                      <w:bCs w:val="0"/>
                      <w:color w:val="auto"/>
                      <w:sz w:val="21"/>
                      <w:szCs w:val="21"/>
                      <w:highlight w:val="none"/>
                    </w:rPr>
                    <w:t>k</w:t>
                  </w:r>
                  <w:r>
                    <w:rPr>
                      <w:b/>
                      <w:bCs w:val="0"/>
                      <w:color w:val="auto"/>
                      <w:sz w:val="21"/>
                      <w:szCs w:val="21"/>
                      <w:highlight w:val="none"/>
                    </w:rPr>
                    <w:t>g/h</w:t>
                  </w:r>
                </w:p>
              </w:tc>
              <w:tc>
                <w:tcPr>
                  <w:tcW w:w="466" w:type="pct"/>
                  <w:noWrap w:val="0"/>
                  <w:tcMar>
                    <w:top w:w="12" w:type="dxa"/>
                    <w:left w:w="12" w:type="dxa"/>
                    <w:right w:w="12" w:type="dxa"/>
                  </w:tcMar>
                  <w:vAlign w:val="center"/>
                </w:tcPr>
                <w:p w14:paraId="0D575CAB">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排放频次/次</w:t>
                  </w:r>
                </w:p>
              </w:tc>
              <w:tc>
                <w:tcPr>
                  <w:tcW w:w="493" w:type="pct"/>
                  <w:noWrap w:val="0"/>
                  <w:tcMar>
                    <w:top w:w="12" w:type="dxa"/>
                    <w:left w:w="12" w:type="dxa"/>
                    <w:right w:w="12" w:type="dxa"/>
                  </w:tcMar>
                  <w:vAlign w:val="center"/>
                </w:tcPr>
                <w:p w14:paraId="6F3F875C">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持续时间/h</w:t>
                  </w:r>
                </w:p>
              </w:tc>
              <w:tc>
                <w:tcPr>
                  <w:tcW w:w="630" w:type="pct"/>
                  <w:noWrap w:val="0"/>
                  <w:tcMar>
                    <w:top w:w="12" w:type="dxa"/>
                    <w:left w:w="12" w:type="dxa"/>
                    <w:right w:w="12" w:type="dxa"/>
                  </w:tcMar>
                  <w:vAlign w:val="center"/>
                </w:tcPr>
                <w:p w14:paraId="31BB2101">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排放量/kg</w:t>
                  </w:r>
                </w:p>
              </w:tc>
              <w:tc>
                <w:tcPr>
                  <w:tcW w:w="719" w:type="pct"/>
                  <w:noWrap w:val="0"/>
                  <w:tcMar>
                    <w:top w:w="12" w:type="dxa"/>
                    <w:left w:w="12" w:type="dxa"/>
                    <w:right w:w="12" w:type="dxa"/>
                  </w:tcMar>
                  <w:vAlign w:val="center"/>
                </w:tcPr>
                <w:p w14:paraId="10BB81F3">
                  <w:pPr>
                    <w:widowControl/>
                    <w:jc w:val="center"/>
                    <w:textAlignment w:val="center"/>
                    <w:rPr>
                      <w:b/>
                      <w:bCs w:val="0"/>
                      <w:color w:val="auto"/>
                      <w:kern w:val="0"/>
                      <w:sz w:val="21"/>
                      <w:szCs w:val="21"/>
                      <w:highlight w:val="none"/>
                      <w:lang w:bidi="ar"/>
                    </w:rPr>
                  </w:pPr>
                  <w:r>
                    <w:rPr>
                      <w:b/>
                      <w:bCs w:val="0"/>
                      <w:color w:val="auto"/>
                      <w:kern w:val="0"/>
                      <w:sz w:val="21"/>
                      <w:szCs w:val="21"/>
                      <w:highlight w:val="none"/>
                      <w:lang w:bidi="ar"/>
                    </w:rPr>
                    <w:t>应对措施</w:t>
                  </w:r>
                </w:p>
              </w:tc>
            </w:tr>
            <w:tr w14:paraId="14A541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restart"/>
                  <w:noWrap w:val="0"/>
                  <w:tcMar>
                    <w:top w:w="12" w:type="dxa"/>
                    <w:left w:w="12" w:type="dxa"/>
                    <w:right w:w="12" w:type="dxa"/>
                  </w:tcMar>
                  <w:vAlign w:val="center"/>
                </w:tcPr>
                <w:p w14:paraId="5E157207">
                  <w:pPr>
                    <w:widowControl/>
                    <w:jc w:val="center"/>
                    <w:rPr>
                      <w:b w:val="0"/>
                      <w:color w:val="auto"/>
                      <w:kern w:val="0"/>
                      <w:sz w:val="21"/>
                      <w:szCs w:val="21"/>
                      <w:highlight w:val="none"/>
                    </w:rPr>
                  </w:pPr>
                  <w:r>
                    <w:rPr>
                      <w:rFonts w:hint="eastAsia"/>
                      <w:b w:val="0"/>
                      <w:color w:val="auto"/>
                      <w:kern w:val="0"/>
                      <w:sz w:val="21"/>
                      <w:szCs w:val="21"/>
                      <w:highlight w:val="none"/>
                    </w:rPr>
                    <w:t>发泡、成型</w:t>
                  </w:r>
                  <w:r>
                    <w:rPr>
                      <w:b w:val="0"/>
                      <w:color w:val="auto"/>
                      <w:kern w:val="0"/>
                      <w:sz w:val="21"/>
                      <w:szCs w:val="21"/>
                      <w:highlight w:val="none"/>
                    </w:rPr>
                    <w:t>工序</w:t>
                  </w:r>
                </w:p>
              </w:tc>
              <w:tc>
                <w:tcPr>
                  <w:tcW w:w="371" w:type="pct"/>
                  <w:vMerge w:val="restart"/>
                  <w:noWrap w:val="0"/>
                  <w:tcMar>
                    <w:top w:w="12" w:type="dxa"/>
                    <w:left w:w="12" w:type="dxa"/>
                    <w:right w:w="12" w:type="dxa"/>
                  </w:tcMar>
                  <w:vAlign w:val="center"/>
                </w:tcPr>
                <w:p w14:paraId="61AFA131">
                  <w:pPr>
                    <w:widowControl/>
                    <w:jc w:val="center"/>
                    <w:rPr>
                      <w:rFonts w:hint="eastAsia" w:eastAsia="宋体"/>
                      <w:b w:val="0"/>
                      <w:color w:val="auto"/>
                      <w:kern w:val="0"/>
                      <w:sz w:val="21"/>
                      <w:szCs w:val="21"/>
                      <w:highlight w:val="none"/>
                      <w:lang w:eastAsia="zh-CN"/>
                    </w:rPr>
                  </w:pPr>
                  <w:r>
                    <w:rPr>
                      <w:rFonts w:hint="eastAsia"/>
                      <w:b w:val="0"/>
                      <w:color w:val="auto"/>
                      <w:kern w:val="0"/>
                      <w:sz w:val="21"/>
                      <w:szCs w:val="21"/>
                      <w:highlight w:val="none"/>
                    </w:rPr>
                    <w:t>DA00</w:t>
                  </w:r>
                  <w:r>
                    <w:rPr>
                      <w:rFonts w:hint="eastAsia"/>
                      <w:b w:val="0"/>
                      <w:color w:val="auto"/>
                      <w:kern w:val="0"/>
                      <w:sz w:val="21"/>
                      <w:szCs w:val="21"/>
                      <w:highlight w:val="none"/>
                      <w:lang w:val="en-US" w:eastAsia="zh-CN"/>
                    </w:rPr>
                    <w:t>1（一期）</w:t>
                  </w:r>
                </w:p>
              </w:tc>
              <w:tc>
                <w:tcPr>
                  <w:tcW w:w="548" w:type="pct"/>
                  <w:vMerge w:val="restart"/>
                  <w:noWrap w:val="0"/>
                  <w:tcMar>
                    <w:top w:w="12" w:type="dxa"/>
                    <w:left w:w="12" w:type="dxa"/>
                    <w:right w:w="12" w:type="dxa"/>
                  </w:tcMar>
                  <w:vAlign w:val="center"/>
                </w:tcPr>
                <w:p w14:paraId="13FB4B96">
                  <w:pPr>
                    <w:widowControl/>
                    <w:jc w:val="center"/>
                    <w:rPr>
                      <w:b w:val="0"/>
                      <w:color w:val="auto"/>
                      <w:kern w:val="0"/>
                      <w:sz w:val="21"/>
                      <w:szCs w:val="21"/>
                      <w:highlight w:val="none"/>
                    </w:rPr>
                  </w:pPr>
                  <w:r>
                    <w:rPr>
                      <w:b w:val="0"/>
                      <w:color w:val="auto"/>
                      <w:kern w:val="0"/>
                      <w:sz w:val="21"/>
                      <w:szCs w:val="21"/>
                      <w:highlight w:val="none"/>
                    </w:rPr>
                    <w:t>装置处理效率降低</w:t>
                  </w:r>
                </w:p>
              </w:tc>
              <w:tc>
                <w:tcPr>
                  <w:tcW w:w="694" w:type="pct"/>
                  <w:tcBorders>
                    <w:bottom w:val="single" w:color="000000" w:sz="4" w:space="0"/>
                  </w:tcBorders>
                  <w:noWrap w:val="0"/>
                  <w:tcMar>
                    <w:top w:w="12" w:type="dxa"/>
                    <w:left w:w="12" w:type="dxa"/>
                    <w:right w:w="12" w:type="dxa"/>
                  </w:tcMar>
                  <w:vAlign w:val="center"/>
                </w:tcPr>
                <w:p w14:paraId="39BBBD38">
                  <w:pPr>
                    <w:adjustRightInd w:val="0"/>
                    <w:snapToGrid w:val="0"/>
                    <w:jc w:val="center"/>
                    <w:rPr>
                      <w:b w:val="0"/>
                      <w:color w:val="auto"/>
                      <w:kern w:val="0"/>
                      <w:sz w:val="21"/>
                      <w:szCs w:val="21"/>
                      <w:highlight w:val="none"/>
                    </w:rPr>
                  </w:pPr>
                  <w:r>
                    <w:rPr>
                      <w:rFonts w:hint="eastAsia"/>
                      <w:b w:val="0"/>
                      <w:color w:val="auto"/>
                      <w:sz w:val="21"/>
                      <w:szCs w:val="21"/>
                      <w:highlight w:val="none"/>
                    </w:rPr>
                    <w:t>非甲烷总烃</w:t>
                  </w:r>
                </w:p>
              </w:tc>
              <w:tc>
                <w:tcPr>
                  <w:tcW w:w="676" w:type="pct"/>
                  <w:tcBorders>
                    <w:bottom w:val="single" w:color="000000" w:sz="4" w:space="0"/>
                  </w:tcBorders>
                  <w:noWrap w:val="0"/>
                  <w:tcMar>
                    <w:top w:w="12" w:type="dxa"/>
                    <w:left w:w="12" w:type="dxa"/>
                    <w:right w:w="12" w:type="dxa"/>
                  </w:tcMar>
                  <w:vAlign w:val="center"/>
                </w:tcPr>
                <w:p w14:paraId="33CDA762">
                  <w:pPr>
                    <w:widowControl/>
                    <w:jc w:val="center"/>
                    <w:rPr>
                      <w:rFonts w:hint="default" w:eastAsia="宋体"/>
                      <w:b w:val="0"/>
                      <w:color w:val="auto"/>
                      <w:kern w:val="0"/>
                      <w:sz w:val="21"/>
                      <w:szCs w:val="21"/>
                      <w:highlight w:val="none"/>
                      <w:lang w:val="en-US" w:eastAsia="zh-CN"/>
                    </w:rPr>
                  </w:pPr>
                  <w:r>
                    <w:rPr>
                      <w:rFonts w:hint="eastAsia" w:eastAsia="宋体"/>
                      <w:b w:val="0"/>
                      <w:color w:val="auto"/>
                      <w:kern w:val="0"/>
                      <w:sz w:val="21"/>
                      <w:szCs w:val="21"/>
                      <w:highlight w:val="none"/>
                      <w:lang w:val="en-US" w:eastAsia="zh-CN"/>
                    </w:rPr>
                    <w:t>0.48</w:t>
                  </w:r>
                </w:p>
              </w:tc>
              <w:tc>
                <w:tcPr>
                  <w:tcW w:w="466" w:type="pct"/>
                  <w:tcBorders>
                    <w:bottom w:val="single" w:color="000000" w:sz="4" w:space="0"/>
                  </w:tcBorders>
                  <w:noWrap w:val="0"/>
                  <w:tcMar>
                    <w:top w:w="12" w:type="dxa"/>
                    <w:left w:w="12" w:type="dxa"/>
                    <w:right w:w="12" w:type="dxa"/>
                  </w:tcMar>
                  <w:vAlign w:val="center"/>
                </w:tcPr>
                <w:p w14:paraId="46505E05">
                  <w:pPr>
                    <w:widowControl/>
                    <w:jc w:val="center"/>
                    <w:rPr>
                      <w:b w:val="0"/>
                      <w:color w:val="auto"/>
                      <w:kern w:val="0"/>
                      <w:sz w:val="21"/>
                      <w:szCs w:val="21"/>
                      <w:highlight w:val="none"/>
                    </w:rPr>
                  </w:pPr>
                  <w:r>
                    <w:rPr>
                      <w:b w:val="0"/>
                      <w:color w:val="auto"/>
                      <w:kern w:val="0"/>
                      <w:sz w:val="21"/>
                      <w:szCs w:val="21"/>
                      <w:highlight w:val="none"/>
                    </w:rPr>
                    <w:t>1</w:t>
                  </w:r>
                </w:p>
              </w:tc>
              <w:tc>
                <w:tcPr>
                  <w:tcW w:w="493" w:type="pct"/>
                  <w:tcBorders>
                    <w:bottom w:val="single" w:color="000000" w:sz="4" w:space="0"/>
                  </w:tcBorders>
                  <w:noWrap w:val="0"/>
                  <w:tcMar>
                    <w:top w:w="12" w:type="dxa"/>
                    <w:left w:w="12" w:type="dxa"/>
                    <w:right w:w="12" w:type="dxa"/>
                  </w:tcMar>
                  <w:vAlign w:val="center"/>
                </w:tcPr>
                <w:p w14:paraId="02EB35C3">
                  <w:pPr>
                    <w:widowControl/>
                    <w:jc w:val="center"/>
                    <w:rPr>
                      <w:b w:val="0"/>
                      <w:color w:val="auto"/>
                      <w:kern w:val="0"/>
                      <w:sz w:val="21"/>
                      <w:szCs w:val="21"/>
                      <w:highlight w:val="none"/>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bottom w:val="single" w:color="000000" w:sz="4" w:space="0"/>
                  </w:tcBorders>
                  <w:noWrap w:val="0"/>
                  <w:tcMar>
                    <w:top w:w="12" w:type="dxa"/>
                    <w:left w:w="12" w:type="dxa"/>
                    <w:right w:w="12" w:type="dxa"/>
                  </w:tcMar>
                  <w:vAlign w:val="center"/>
                </w:tcPr>
                <w:p w14:paraId="3B6D5397">
                  <w:pPr>
                    <w:widowControl/>
                    <w:jc w:val="center"/>
                    <w:rPr>
                      <w:rFonts w:hint="default" w:eastAsia="宋体"/>
                      <w:b w:val="0"/>
                      <w:color w:val="auto"/>
                      <w:kern w:val="0"/>
                      <w:sz w:val="21"/>
                      <w:szCs w:val="21"/>
                      <w:highlight w:val="none"/>
                      <w:lang w:val="en-US" w:eastAsia="zh-CN"/>
                    </w:rPr>
                  </w:pPr>
                  <w:r>
                    <w:rPr>
                      <w:rFonts w:hint="eastAsia"/>
                      <w:b w:val="0"/>
                      <w:color w:val="auto"/>
                      <w:kern w:val="0"/>
                      <w:sz w:val="21"/>
                      <w:szCs w:val="21"/>
                      <w:highlight w:val="none"/>
                      <w:lang w:val="en-US" w:eastAsia="zh-CN"/>
                    </w:rPr>
                    <w:t>0.48</w:t>
                  </w:r>
                </w:p>
              </w:tc>
              <w:tc>
                <w:tcPr>
                  <w:tcW w:w="719" w:type="pct"/>
                  <w:vMerge w:val="restart"/>
                  <w:noWrap w:val="0"/>
                  <w:tcMar>
                    <w:top w:w="12" w:type="dxa"/>
                    <w:left w:w="12" w:type="dxa"/>
                    <w:right w:w="12" w:type="dxa"/>
                  </w:tcMar>
                  <w:vAlign w:val="center"/>
                </w:tcPr>
                <w:p w14:paraId="7F654A1E">
                  <w:pPr>
                    <w:widowControl/>
                    <w:jc w:val="center"/>
                    <w:rPr>
                      <w:b w:val="0"/>
                      <w:color w:val="auto"/>
                      <w:kern w:val="0"/>
                      <w:sz w:val="21"/>
                      <w:szCs w:val="21"/>
                      <w:highlight w:val="none"/>
                    </w:rPr>
                  </w:pPr>
                  <w:r>
                    <w:rPr>
                      <w:b w:val="0"/>
                      <w:color w:val="auto"/>
                      <w:kern w:val="0"/>
                      <w:sz w:val="21"/>
                      <w:szCs w:val="21"/>
                      <w:highlight w:val="none"/>
                    </w:rPr>
                    <w:t>及时检修</w:t>
                  </w:r>
                  <w:r>
                    <w:rPr>
                      <w:rFonts w:hint="eastAsia"/>
                      <w:b w:val="0"/>
                      <w:color w:val="auto"/>
                      <w:kern w:val="0"/>
                      <w:sz w:val="21"/>
                      <w:szCs w:val="21"/>
                      <w:highlight w:val="none"/>
                      <w:lang w:val="en-US" w:eastAsia="zh-CN"/>
                    </w:rPr>
                    <w:t>活性炭吸附装置</w:t>
                  </w:r>
                  <w:r>
                    <w:rPr>
                      <w:b w:val="0"/>
                      <w:color w:val="auto"/>
                      <w:kern w:val="0"/>
                      <w:sz w:val="21"/>
                      <w:szCs w:val="21"/>
                      <w:highlight w:val="none"/>
                    </w:rPr>
                    <w:t>，</w:t>
                  </w:r>
                  <w:r>
                    <w:rPr>
                      <w:rFonts w:hint="eastAsia"/>
                      <w:b w:val="0"/>
                      <w:color w:val="auto"/>
                      <w:kern w:val="0"/>
                      <w:sz w:val="21"/>
                      <w:szCs w:val="21"/>
                      <w:highlight w:val="none"/>
                      <w:lang w:val="en-US" w:eastAsia="zh-CN"/>
                    </w:rPr>
                    <w:t>更换失效活性炭；检修期间停止对应工序生产，避免污染物持续排放；检修后进行排放监测，达标后方可恢复生产</w:t>
                  </w:r>
                </w:p>
              </w:tc>
            </w:tr>
            <w:tr w14:paraId="3BAD04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continue"/>
                  <w:noWrap w:val="0"/>
                  <w:tcMar>
                    <w:top w:w="12" w:type="dxa"/>
                    <w:left w:w="12" w:type="dxa"/>
                    <w:right w:w="12" w:type="dxa"/>
                  </w:tcMar>
                  <w:vAlign w:val="center"/>
                </w:tcPr>
                <w:p w14:paraId="7642F6A0">
                  <w:pPr>
                    <w:widowControl/>
                    <w:jc w:val="center"/>
                    <w:rPr>
                      <w:b w:val="0"/>
                      <w:color w:val="auto"/>
                      <w:kern w:val="0"/>
                      <w:sz w:val="21"/>
                      <w:szCs w:val="21"/>
                      <w:highlight w:val="none"/>
                    </w:rPr>
                  </w:pPr>
                </w:p>
              </w:tc>
              <w:tc>
                <w:tcPr>
                  <w:tcW w:w="371" w:type="pct"/>
                  <w:vMerge w:val="continue"/>
                  <w:noWrap w:val="0"/>
                  <w:tcMar>
                    <w:top w:w="12" w:type="dxa"/>
                    <w:left w:w="12" w:type="dxa"/>
                    <w:right w:w="12" w:type="dxa"/>
                  </w:tcMar>
                  <w:vAlign w:val="center"/>
                </w:tcPr>
                <w:p w14:paraId="6C2C8BCE">
                  <w:pPr>
                    <w:widowControl/>
                    <w:jc w:val="center"/>
                    <w:rPr>
                      <w:rFonts w:hint="eastAsia"/>
                      <w:b w:val="0"/>
                      <w:color w:val="auto"/>
                      <w:kern w:val="0"/>
                      <w:sz w:val="21"/>
                      <w:szCs w:val="21"/>
                      <w:highlight w:val="none"/>
                    </w:rPr>
                  </w:pPr>
                </w:p>
              </w:tc>
              <w:tc>
                <w:tcPr>
                  <w:tcW w:w="548" w:type="pct"/>
                  <w:vMerge w:val="continue"/>
                  <w:noWrap w:val="0"/>
                  <w:tcMar>
                    <w:top w:w="12" w:type="dxa"/>
                    <w:left w:w="12" w:type="dxa"/>
                    <w:right w:w="12" w:type="dxa"/>
                  </w:tcMar>
                  <w:vAlign w:val="center"/>
                </w:tcPr>
                <w:p w14:paraId="5A0467EC">
                  <w:pPr>
                    <w:widowControl/>
                    <w:jc w:val="center"/>
                    <w:rPr>
                      <w:b w:val="0"/>
                      <w:color w:val="auto"/>
                      <w:kern w:val="0"/>
                      <w:sz w:val="21"/>
                      <w:szCs w:val="21"/>
                      <w:highlight w:val="none"/>
                    </w:rPr>
                  </w:pPr>
                </w:p>
              </w:tc>
              <w:tc>
                <w:tcPr>
                  <w:tcW w:w="694" w:type="pct"/>
                  <w:tcBorders>
                    <w:top w:val="single" w:color="000000" w:sz="4" w:space="0"/>
                    <w:bottom w:val="single" w:color="000000" w:sz="4" w:space="0"/>
                  </w:tcBorders>
                  <w:noWrap w:val="0"/>
                  <w:tcMar>
                    <w:top w:w="12" w:type="dxa"/>
                    <w:left w:w="12" w:type="dxa"/>
                    <w:right w:w="12" w:type="dxa"/>
                  </w:tcMar>
                  <w:vAlign w:val="center"/>
                </w:tcPr>
                <w:p w14:paraId="3ECB1133">
                  <w:pPr>
                    <w:adjustRightInd w:val="0"/>
                    <w:snapToGrid w:val="0"/>
                    <w:jc w:val="center"/>
                    <w:rPr>
                      <w:b w:val="0"/>
                      <w:color w:val="auto"/>
                      <w:kern w:val="0"/>
                      <w:sz w:val="21"/>
                      <w:szCs w:val="21"/>
                      <w:highlight w:val="none"/>
                    </w:rPr>
                  </w:pPr>
                  <w:r>
                    <w:rPr>
                      <w:rFonts w:hint="eastAsia"/>
                      <w:b w:val="0"/>
                      <w:color w:val="auto"/>
                      <w:sz w:val="21"/>
                      <w:szCs w:val="21"/>
                      <w:highlight w:val="none"/>
                    </w:rPr>
                    <w:t>甲苯</w:t>
                  </w:r>
                </w:p>
              </w:tc>
              <w:tc>
                <w:tcPr>
                  <w:tcW w:w="676" w:type="pct"/>
                  <w:tcBorders>
                    <w:top w:val="single" w:color="000000" w:sz="4" w:space="0"/>
                    <w:bottom w:val="single" w:color="000000" w:sz="4" w:space="0"/>
                  </w:tcBorders>
                  <w:noWrap w:val="0"/>
                  <w:tcMar>
                    <w:top w:w="12" w:type="dxa"/>
                    <w:left w:w="12" w:type="dxa"/>
                    <w:right w:w="12" w:type="dxa"/>
                  </w:tcMar>
                  <w:vAlign w:val="center"/>
                </w:tcPr>
                <w:p w14:paraId="74B9CDB1">
                  <w:pPr>
                    <w:widowControl/>
                    <w:jc w:val="center"/>
                    <w:rPr>
                      <w:rFonts w:hint="default" w:eastAsia="宋体"/>
                      <w:b w:val="0"/>
                      <w:color w:val="auto"/>
                      <w:kern w:val="0"/>
                      <w:sz w:val="21"/>
                      <w:szCs w:val="21"/>
                      <w:highlight w:val="none"/>
                      <w:lang w:val="en-US" w:eastAsia="zh-CN"/>
                    </w:rPr>
                  </w:pPr>
                  <w:r>
                    <w:rPr>
                      <w:rFonts w:hint="eastAsia" w:eastAsia="宋体"/>
                      <w:b w:val="0"/>
                      <w:color w:val="auto"/>
                      <w:kern w:val="0"/>
                      <w:sz w:val="21"/>
                      <w:szCs w:val="21"/>
                      <w:highlight w:val="none"/>
                      <w:lang w:val="en-US" w:eastAsia="zh-CN"/>
                    </w:rPr>
                    <w:t>1.54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466" w:type="pct"/>
                  <w:tcBorders>
                    <w:top w:val="single" w:color="000000" w:sz="4" w:space="0"/>
                    <w:bottom w:val="single" w:color="000000" w:sz="4" w:space="0"/>
                  </w:tcBorders>
                  <w:noWrap w:val="0"/>
                  <w:tcMar>
                    <w:top w:w="12" w:type="dxa"/>
                    <w:left w:w="12" w:type="dxa"/>
                    <w:right w:w="12" w:type="dxa"/>
                  </w:tcMar>
                  <w:vAlign w:val="center"/>
                </w:tcPr>
                <w:p w14:paraId="2984A7E5">
                  <w:pPr>
                    <w:widowControl/>
                    <w:jc w:val="center"/>
                    <w:rPr>
                      <w:b w:val="0"/>
                      <w:color w:val="auto"/>
                      <w:kern w:val="0"/>
                      <w:sz w:val="21"/>
                      <w:szCs w:val="21"/>
                      <w:highlight w:val="none"/>
                    </w:rPr>
                  </w:pPr>
                  <w:r>
                    <w:rPr>
                      <w:b w:val="0"/>
                      <w:color w:val="auto"/>
                      <w:kern w:val="0"/>
                      <w:sz w:val="21"/>
                      <w:szCs w:val="21"/>
                      <w:highlight w:val="none"/>
                    </w:rPr>
                    <w:t>1</w:t>
                  </w:r>
                </w:p>
              </w:tc>
              <w:tc>
                <w:tcPr>
                  <w:tcW w:w="493" w:type="pct"/>
                  <w:tcBorders>
                    <w:top w:val="single" w:color="000000" w:sz="4" w:space="0"/>
                    <w:bottom w:val="single" w:color="000000" w:sz="4" w:space="0"/>
                  </w:tcBorders>
                  <w:noWrap w:val="0"/>
                  <w:tcMar>
                    <w:top w:w="12" w:type="dxa"/>
                    <w:left w:w="12" w:type="dxa"/>
                    <w:right w:w="12" w:type="dxa"/>
                  </w:tcMar>
                  <w:vAlign w:val="center"/>
                </w:tcPr>
                <w:p w14:paraId="25A059EC">
                  <w:pPr>
                    <w:widowControl/>
                    <w:jc w:val="center"/>
                    <w:rPr>
                      <w:rFonts w:hint="eastAsia"/>
                      <w:b w:val="0"/>
                      <w:color w:val="auto"/>
                      <w:kern w:val="0"/>
                      <w:sz w:val="21"/>
                      <w:szCs w:val="21"/>
                      <w:highlight w:val="none"/>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top w:val="single" w:color="000000" w:sz="4" w:space="0"/>
                    <w:bottom w:val="single" w:color="000000" w:sz="4" w:space="0"/>
                  </w:tcBorders>
                  <w:noWrap w:val="0"/>
                  <w:tcMar>
                    <w:top w:w="12" w:type="dxa"/>
                    <w:left w:w="12" w:type="dxa"/>
                    <w:right w:w="12" w:type="dxa"/>
                  </w:tcMar>
                  <w:vAlign w:val="center"/>
                </w:tcPr>
                <w:p w14:paraId="373244BC">
                  <w:pPr>
                    <w:widowControl/>
                    <w:jc w:val="center"/>
                    <w:rPr>
                      <w:rFonts w:hint="eastAsia"/>
                      <w:b w:val="0"/>
                      <w:color w:val="auto"/>
                      <w:kern w:val="0"/>
                      <w:sz w:val="21"/>
                      <w:szCs w:val="21"/>
                      <w:highlight w:val="none"/>
                    </w:rPr>
                  </w:pPr>
                  <w:r>
                    <w:rPr>
                      <w:rFonts w:hint="eastAsia" w:eastAsia="宋体"/>
                      <w:b w:val="0"/>
                      <w:color w:val="auto"/>
                      <w:kern w:val="0"/>
                      <w:sz w:val="21"/>
                      <w:szCs w:val="21"/>
                      <w:highlight w:val="none"/>
                      <w:lang w:val="en-US" w:eastAsia="zh-CN"/>
                    </w:rPr>
                    <w:t>1.54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719" w:type="pct"/>
                  <w:vMerge w:val="continue"/>
                  <w:noWrap w:val="0"/>
                  <w:tcMar>
                    <w:top w:w="12" w:type="dxa"/>
                    <w:left w:w="12" w:type="dxa"/>
                    <w:right w:w="12" w:type="dxa"/>
                  </w:tcMar>
                  <w:vAlign w:val="center"/>
                </w:tcPr>
                <w:p w14:paraId="2C4D7FC2">
                  <w:pPr>
                    <w:widowControl/>
                    <w:jc w:val="center"/>
                    <w:rPr>
                      <w:b w:val="0"/>
                      <w:color w:val="auto"/>
                      <w:kern w:val="0"/>
                      <w:sz w:val="21"/>
                      <w:szCs w:val="21"/>
                      <w:highlight w:val="none"/>
                    </w:rPr>
                  </w:pPr>
                </w:p>
              </w:tc>
            </w:tr>
            <w:tr w14:paraId="20CBF0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continue"/>
                  <w:noWrap w:val="0"/>
                  <w:tcMar>
                    <w:top w:w="12" w:type="dxa"/>
                    <w:left w:w="12" w:type="dxa"/>
                    <w:right w:w="12" w:type="dxa"/>
                  </w:tcMar>
                  <w:vAlign w:val="center"/>
                </w:tcPr>
                <w:p w14:paraId="5CCEF7F7">
                  <w:pPr>
                    <w:widowControl/>
                    <w:jc w:val="center"/>
                    <w:rPr>
                      <w:b w:val="0"/>
                      <w:color w:val="auto"/>
                      <w:kern w:val="0"/>
                      <w:sz w:val="21"/>
                      <w:szCs w:val="21"/>
                      <w:highlight w:val="none"/>
                    </w:rPr>
                  </w:pPr>
                </w:p>
              </w:tc>
              <w:tc>
                <w:tcPr>
                  <w:tcW w:w="371" w:type="pct"/>
                  <w:vMerge w:val="continue"/>
                  <w:noWrap w:val="0"/>
                  <w:tcMar>
                    <w:top w:w="12" w:type="dxa"/>
                    <w:left w:w="12" w:type="dxa"/>
                    <w:right w:w="12" w:type="dxa"/>
                  </w:tcMar>
                  <w:vAlign w:val="center"/>
                </w:tcPr>
                <w:p w14:paraId="3858F31A">
                  <w:pPr>
                    <w:widowControl/>
                    <w:jc w:val="center"/>
                    <w:rPr>
                      <w:rFonts w:hint="eastAsia"/>
                      <w:b w:val="0"/>
                      <w:color w:val="auto"/>
                      <w:kern w:val="0"/>
                      <w:sz w:val="21"/>
                      <w:szCs w:val="21"/>
                      <w:highlight w:val="none"/>
                    </w:rPr>
                  </w:pPr>
                </w:p>
              </w:tc>
              <w:tc>
                <w:tcPr>
                  <w:tcW w:w="548" w:type="pct"/>
                  <w:vMerge w:val="continue"/>
                  <w:noWrap w:val="0"/>
                  <w:tcMar>
                    <w:top w:w="12" w:type="dxa"/>
                    <w:left w:w="12" w:type="dxa"/>
                    <w:right w:w="12" w:type="dxa"/>
                  </w:tcMar>
                  <w:vAlign w:val="center"/>
                </w:tcPr>
                <w:p w14:paraId="7D003EF8">
                  <w:pPr>
                    <w:widowControl/>
                    <w:jc w:val="center"/>
                    <w:rPr>
                      <w:b w:val="0"/>
                      <w:color w:val="auto"/>
                      <w:kern w:val="0"/>
                      <w:sz w:val="21"/>
                      <w:szCs w:val="21"/>
                      <w:highlight w:val="none"/>
                    </w:rPr>
                  </w:pPr>
                </w:p>
              </w:tc>
              <w:tc>
                <w:tcPr>
                  <w:tcW w:w="694" w:type="pct"/>
                  <w:tcBorders>
                    <w:top w:val="single" w:color="000000" w:sz="4" w:space="0"/>
                    <w:bottom w:val="single" w:color="000000" w:sz="4" w:space="0"/>
                  </w:tcBorders>
                  <w:noWrap w:val="0"/>
                  <w:tcMar>
                    <w:top w:w="12" w:type="dxa"/>
                    <w:left w:w="12" w:type="dxa"/>
                    <w:right w:w="12" w:type="dxa"/>
                  </w:tcMar>
                  <w:vAlign w:val="center"/>
                </w:tcPr>
                <w:p w14:paraId="1956C1FF">
                  <w:pPr>
                    <w:adjustRightInd w:val="0"/>
                    <w:snapToGrid w:val="0"/>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乙苯</w:t>
                  </w:r>
                </w:p>
              </w:tc>
              <w:tc>
                <w:tcPr>
                  <w:tcW w:w="676" w:type="pct"/>
                  <w:tcBorders>
                    <w:top w:val="single" w:color="000000" w:sz="4" w:space="0"/>
                    <w:bottom w:val="single" w:color="000000" w:sz="4" w:space="0"/>
                  </w:tcBorders>
                  <w:noWrap w:val="0"/>
                  <w:tcMar>
                    <w:top w:w="12" w:type="dxa"/>
                    <w:left w:w="12" w:type="dxa"/>
                    <w:right w:w="12" w:type="dxa"/>
                  </w:tcMar>
                  <w:vAlign w:val="center"/>
                </w:tcPr>
                <w:p w14:paraId="1E2D4A5C">
                  <w:pPr>
                    <w:widowControl/>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6.80</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466" w:type="pct"/>
                  <w:tcBorders>
                    <w:top w:val="single" w:color="000000" w:sz="4" w:space="0"/>
                    <w:bottom w:val="single" w:color="000000" w:sz="4" w:space="0"/>
                  </w:tcBorders>
                  <w:noWrap w:val="0"/>
                  <w:tcMar>
                    <w:top w:w="12" w:type="dxa"/>
                    <w:left w:w="12" w:type="dxa"/>
                    <w:right w:w="12" w:type="dxa"/>
                  </w:tcMar>
                  <w:vAlign w:val="center"/>
                </w:tcPr>
                <w:p w14:paraId="0A7DEF2D">
                  <w:pPr>
                    <w:widowControl/>
                    <w:jc w:val="center"/>
                    <w:rPr>
                      <w:b w:val="0"/>
                      <w:color w:val="auto"/>
                      <w:kern w:val="0"/>
                      <w:sz w:val="21"/>
                      <w:szCs w:val="21"/>
                      <w:highlight w:val="none"/>
                    </w:rPr>
                  </w:pPr>
                  <w:r>
                    <w:rPr>
                      <w:b w:val="0"/>
                      <w:color w:val="auto"/>
                      <w:kern w:val="0"/>
                      <w:sz w:val="21"/>
                      <w:szCs w:val="21"/>
                      <w:highlight w:val="none"/>
                    </w:rPr>
                    <w:t>1</w:t>
                  </w:r>
                </w:p>
              </w:tc>
              <w:tc>
                <w:tcPr>
                  <w:tcW w:w="493" w:type="pct"/>
                  <w:tcBorders>
                    <w:top w:val="single" w:color="000000" w:sz="4" w:space="0"/>
                    <w:bottom w:val="single" w:color="000000" w:sz="4" w:space="0"/>
                  </w:tcBorders>
                  <w:noWrap w:val="0"/>
                  <w:tcMar>
                    <w:top w:w="12" w:type="dxa"/>
                    <w:left w:w="12" w:type="dxa"/>
                    <w:right w:w="12" w:type="dxa"/>
                  </w:tcMar>
                  <w:vAlign w:val="center"/>
                </w:tcPr>
                <w:p w14:paraId="40DE4FDF">
                  <w:pPr>
                    <w:widowControl/>
                    <w:jc w:val="center"/>
                    <w:rPr>
                      <w:rFonts w:hint="eastAsia"/>
                      <w:b w:val="0"/>
                      <w:color w:val="auto"/>
                      <w:kern w:val="0"/>
                      <w:sz w:val="21"/>
                      <w:szCs w:val="21"/>
                      <w:highlight w:val="none"/>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top w:val="single" w:color="000000" w:sz="4" w:space="0"/>
                    <w:bottom w:val="single" w:color="000000" w:sz="4" w:space="0"/>
                  </w:tcBorders>
                  <w:noWrap w:val="0"/>
                  <w:tcMar>
                    <w:top w:w="12" w:type="dxa"/>
                    <w:left w:w="12" w:type="dxa"/>
                    <w:right w:w="12" w:type="dxa"/>
                  </w:tcMar>
                  <w:vAlign w:val="center"/>
                </w:tcPr>
                <w:p w14:paraId="5418693F">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6.80</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719" w:type="pct"/>
                  <w:vMerge w:val="continue"/>
                  <w:noWrap w:val="0"/>
                  <w:tcMar>
                    <w:top w:w="12" w:type="dxa"/>
                    <w:left w:w="12" w:type="dxa"/>
                    <w:right w:w="12" w:type="dxa"/>
                  </w:tcMar>
                  <w:vAlign w:val="center"/>
                </w:tcPr>
                <w:p w14:paraId="0F1B9AC7">
                  <w:pPr>
                    <w:widowControl/>
                    <w:jc w:val="center"/>
                    <w:rPr>
                      <w:b w:val="0"/>
                      <w:color w:val="auto"/>
                      <w:kern w:val="0"/>
                      <w:sz w:val="21"/>
                      <w:szCs w:val="21"/>
                      <w:highlight w:val="none"/>
                    </w:rPr>
                  </w:pPr>
                </w:p>
              </w:tc>
            </w:tr>
            <w:tr w14:paraId="21BB18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continue"/>
                  <w:noWrap w:val="0"/>
                  <w:tcMar>
                    <w:top w:w="12" w:type="dxa"/>
                    <w:left w:w="12" w:type="dxa"/>
                    <w:right w:w="12" w:type="dxa"/>
                  </w:tcMar>
                  <w:vAlign w:val="center"/>
                </w:tcPr>
                <w:p w14:paraId="5070CB70">
                  <w:pPr>
                    <w:widowControl/>
                    <w:jc w:val="center"/>
                    <w:rPr>
                      <w:b w:val="0"/>
                      <w:color w:val="auto"/>
                      <w:kern w:val="0"/>
                      <w:sz w:val="21"/>
                      <w:szCs w:val="21"/>
                      <w:highlight w:val="none"/>
                    </w:rPr>
                  </w:pPr>
                </w:p>
              </w:tc>
              <w:tc>
                <w:tcPr>
                  <w:tcW w:w="371" w:type="pct"/>
                  <w:vMerge w:val="continue"/>
                  <w:noWrap w:val="0"/>
                  <w:tcMar>
                    <w:top w:w="12" w:type="dxa"/>
                    <w:left w:w="12" w:type="dxa"/>
                    <w:right w:w="12" w:type="dxa"/>
                  </w:tcMar>
                  <w:vAlign w:val="center"/>
                </w:tcPr>
                <w:p w14:paraId="6B650436">
                  <w:pPr>
                    <w:widowControl/>
                    <w:jc w:val="center"/>
                    <w:rPr>
                      <w:rFonts w:hint="eastAsia"/>
                      <w:b w:val="0"/>
                      <w:color w:val="auto"/>
                      <w:kern w:val="0"/>
                      <w:sz w:val="21"/>
                      <w:szCs w:val="21"/>
                      <w:highlight w:val="none"/>
                    </w:rPr>
                  </w:pPr>
                </w:p>
              </w:tc>
              <w:tc>
                <w:tcPr>
                  <w:tcW w:w="548" w:type="pct"/>
                  <w:vMerge w:val="continue"/>
                  <w:noWrap w:val="0"/>
                  <w:tcMar>
                    <w:top w:w="12" w:type="dxa"/>
                    <w:left w:w="12" w:type="dxa"/>
                    <w:right w:w="12" w:type="dxa"/>
                  </w:tcMar>
                  <w:vAlign w:val="center"/>
                </w:tcPr>
                <w:p w14:paraId="26556E40">
                  <w:pPr>
                    <w:widowControl/>
                    <w:jc w:val="center"/>
                    <w:rPr>
                      <w:b w:val="0"/>
                      <w:color w:val="auto"/>
                      <w:kern w:val="0"/>
                      <w:sz w:val="21"/>
                      <w:szCs w:val="21"/>
                      <w:highlight w:val="none"/>
                    </w:rPr>
                  </w:pPr>
                </w:p>
              </w:tc>
              <w:tc>
                <w:tcPr>
                  <w:tcW w:w="694" w:type="pct"/>
                  <w:tcBorders>
                    <w:top w:val="single" w:color="000000" w:sz="4" w:space="0"/>
                    <w:bottom w:val="single" w:color="000000" w:sz="4" w:space="0"/>
                  </w:tcBorders>
                  <w:noWrap w:val="0"/>
                  <w:tcMar>
                    <w:top w:w="12" w:type="dxa"/>
                    <w:left w:w="12" w:type="dxa"/>
                    <w:right w:w="12" w:type="dxa"/>
                  </w:tcMar>
                  <w:vAlign w:val="center"/>
                </w:tcPr>
                <w:p w14:paraId="29C6D934">
                  <w:pPr>
                    <w:adjustRightInd w:val="0"/>
                    <w:snapToGrid w:val="0"/>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苯乙烯</w:t>
                  </w:r>
                </w:p>
              </w:tc>
              <w:tc>
                <w:tcPr>
                  <w:tcW w:w="676" w:type="pct"/>
                  <w:tcBorders>
                    <w:top w:val="single" w:color="000000" w:sz="4" w:space="0"/>
                    <w:bottom w:val="single" w:color="000000" w:sz="4" w:space="0"/>
                  </w:tcBorders>
                  <w:noWrap w:val="0"/>
                  <w:tcMar>
                    <w:top w:w="12" w:type="dxa"/>
                    <w:left w:w="12" w:type="dxa"/>
                    <w:right w:w="12" w:type="dxa"/>
                  </w:tcMar>
                  <w:vAlign w:val="center"/>
                </w:tcPr>
                <w:p w14:paraId="7661098F">
                  <w:pPr>
                    <w:widowControl/>
                    <w:jc w:val="center"/>
                    <w:rPr>
                      <w:rFonts w:hint="default"/>
                      <w:b w:val="0"/>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4.17</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466" w:type="pct"/>
                  <w:tcBorders>
                    <w:top w:val="single" w:color="000000" w:sz="4" w:space="0"/>
                    <w:bottom w:val="single" w:color="000000" w:sz="4" w:space="0"/>
                  </w:tcBorders>
                  <w:noWrap w:val="0"/>
                  <w:tcMar>
                    <w:top w:w="12" w:type="dxa"/>
                    <w:left w:w="12" w:type="dxa"/>
                    <w:right w:w="12" w:type="dxa"/>
                  </w:tcMar>
                  <w:vAlign w:val="center"/>
                </w:tcPr>
                <w:p w14:paraId="7C96ABC9">
                  <w:pPr>
                    <w:widowControl/>
                    <w:jc w:val="center"/>
                    <w:rPr>
                      <w:b w:val="0"/>
                      <w:color w:val="auto"/>
                      <w:kern w:val="0"/>
                      <w:sz w:val="21"/>
                      <w:szCs w:val="21"/>
                      <w:highlight w:val="none"/>
                    </w:rPr>
                  </w:pPr>
                  <w:r>
                    <w:rPr>
                      <w:b w:val="0"/>
                      <w:color w:val="auto"/>
                      <w:kern w:val="0"/>
                      <w:sz w:val="21"/>
                      <w:szCs w:val="21"/>
                      <w:highlight w:val="none"/>
                    </w:rPr>
                    <w:t>1</w:t>
                  </w:r>
                </w:p>
              </w:tc>
              <w:tc>
                <w:tcPr>
                  <w:tcW w:w="493" w:type="pct"/>
                  <w:tcBorders>
                    <w:top w:val="single" w:color="000000" w:sz="4" w:space="0"/>
                    <w:bottom w:val="single" w:color="000000" w:sz="4" w:space="0"/>
                  </w:tcBorders>
                  <w:noWrap w:val="0"/>
                  <w:tcMar>
                    <w:top w:w="12" w:type="dxa"/>
                    <w:left w:w="12" w:type="dxa"/>
                    <w:right w:w="12" w:type="dxa"/>
                  </w:tcMar>
                  <w:vAlign w:val="center"/>
                </w:tcPr>
                <w:p w14:paraId="3D3D819C">
                  <w:pPr>
                    <w:widowControl/>
                    <w:jc w:val="center"/>
                    <w:rPr>
                      <w:rFonts w:hint="eastAsia"/>
                      <w:b w:val="0"/>
                      <w:color w:val="auto"/>
                      <w:kern w:val="0"/>
                      <w:sz w:val="21"/>
                      <w:szCs w:val="21"/>
                      <w:highlight w:val="none"/>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top w:val="single" w:color="000000" w:sz="4" w:space="0"/>
                    <w:bottom w:val="single" w:color="000000" w:sz="4" w:space="0"/>
                  </w:tcBorders>
                  <w:noWrap w:val="0"/>
                  <w:tcMar>
                    <w:top w:w="12" w:type="dxa"/>
                    <w:left w:w="12" w:type="dxa"/>
                    <w:right w:w="12" w:type="dxa"/>
                  </w:tcMar>
                  <w:vAlign w:val="center"/>
                </w:tcPr>
                <w:p w14:paraId="2FEA5033">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4.17</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719" w:type="pct"/>
                  <w:vMerge w:val="continue"/>
                  <w:noWrap w:val="0"/>
                  <w:tcMar>
                    <w:top w:w="12" w:type="dxa"/>
                    <w:left w:w="12" w:type="dxa"/>
                    <w:right w:w="12" w:type="dxa"/>
                  </w:tcMar>
                  <w:vAlign w:val="center"/>
                </w:tcPr>
                <w:p w14:paraId="42BB3547">
                  <w:pPr>
                    <w:widowControl/>
                    <w:jc w:val="center"/>
                    <w:rPr>
                      <w:b w:val="0"/>
                      <w:color w:val="auto"/>
                      <w:kern w:val="0"/>
                      <w:sz w:val="21"/>
                      <w:szCs w:val="21"/>
                      <w:highlight w:val="none"/>
                    </w:rPr>
                  </w:pPr>
                </w:p>
              </w:tc>
            </w:tr>
            <w:tr w14:paraId="494A14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restart"/>
                  <w:noWrap w:val="0"/>
                  <w:tcMar>
                    <w:top w:w="12" w:type="dxa"/>
                    <w:left w:w="12" w:type="dxa"/>
                    <w:right w:w="12" w:type="dxa"/>
                  </w:tcMar>
                  <w:vAlign w:val="center"/>
                </w:tcPr>
                <w:p w14:paraId="2D18141E">
                  <w:pPr>
                    <w:widowControl/>
                    <w:jc w:val="center"/>
                    <w:rPr>
                      <w:b w:val="0"/>
                      <w:color w:val="auto"/>
                      <w:kern w:val="0"/>
                      <w:sz w:val="21"/>
                      <w:szCs w:val="21"/>
                      <w:highlight w:val="none"/>
                    </w:rPr>
                  </w:pPr>
                  <w:r>
                    <w:rPr>
                      <w:rFonts w:hint="eastAsia"/>
                      <w:b w:val="0"/>
                      <w:color w:val="auto"/>
                      <w:kern w:val="0"/>
                      <w:sz w:val="21"/>
                      <w:szCs w:val="21"/>
                      <w:highlight w:val="none"/>
                    </w:rPr>
                    <w:t>发泡、成型</w:t>
                  </w:r>
                  <w:r>
                    <w:rPr>
                      <w:b w:val="0"/>
                      <w:color w:val="auto"/>
                      <w:kern w:val="0"/>
                      <w:sz w:val="21"/>
                      <w:szCs w:val="21"/>
                      <w:highlight w:val="none"/>
                    </w:rPr>
                    <w:t>工序</w:t>
                  </w:r>
                </w:p>
              </w:tc>
              <w:tc>
                <w:tcPr>
                  <w:tcW w:w="371" w:type="pct"/>
                  <w:vMerge w:val="restart"/>
                  <w:noWrap w:val="0"/>
                  <w:tcMar>
                    <w:top w:w="12" w:type="dxa"/>
                    <w:left w:w="12" w:type="dxa"/>
                    <w:right w:w="12" w:type="dxa"/>
                  </w:tcMar>
                  <w:vAlign w:val="center"/>
                </w:tcPr>
                <w:p w14:paraId="234B276B">
                  <w:pPr>
                    <w:widowControl/>
                    <w:jc w:val="center"/>
                    <w:rPr>
                      <w:rFonts w:hint="eastAsia"/>
                      <w:b w:val="0"/>
                      <w:color w:val="auto"/>
                      <w:kern w:val="0"/>
                      <w:sz w:val="21"/>
                      <w:szCs w:val="21"/>
                      <w:highlight w:val="none"/>
                    </w:rPr>
                  </w:pPr>
                  <w:r>
                    <w:rPr>
                      <w:rFonts w:hint="eastAsia"/>
                      <w:b w:val="0"/>
                      <w:color w:val="auto"/>
                      <w:kern w:val="0"/>
                      <w:sz w:val="21"/>
                      <w:szCs w:val="21"/>
                      <w:highlight w:val="none"/>
                    </w:rPr>
                    <w:t>DA00</w:t>
                  </w:r>
                  <w:r>
                    <w:rPr>
                      <w:rFonts w:hint="eastAsia"/>
                      <w:b w:val="0"/>
                      <w:color w:val="auto"/>
                      <w:kern w:val="0"/>
                      <w:sz w:val="21"/>
                      <w:szCs w:val="21"/>
                      <w:highlight w:val="none"/>
                      <w:lang w:val="en-US" w:eastAsia="zh-CN"/>
                    </w:rPr>
                    <w:t>2（二期）</w:t>
                  </w:r>
                </w:p>
              </w:tc>
              <w:tc>
                <w:tcPr>
                  <w:tcW w:w="548" w:type="pct"/>
                  <w:vMerge w:val="restart"/>
                  <w:noWrap w:val="0"/>
                  <w:tcMar>
                    <w:top w:w="12" w:type="dxa"/>
                    <w:left w:w="12" w:type="dxa"/>
                    <w:right w:w="12" w:type="dxa"/>
                  </w:tcMar>
                  <w:vAlign w:val="center"/>
                </w:tcPr>
                <w:p w14:paraId="7CD3D5F8">
                  <w:pPr>
                    <w:widowControl/>
                    <w:jc w:val="center"/>
                    <w:rPr>
                      <w:b w:val="0"/>
                      <w:color w:val="auto"/>
                      <w:kern w:val="0"/>
                      <w:sz w:val="21"/>
                      <w:szCs w:val="21"/>
                      <w:highlight w:val="none"/>
                    </w:rPr>
                  </w:pPr>
                  <w:r>
                    <w:rPr>
                      <w:b w:val="0"/>
                      <w:color w:val="auto"/>
                      <w:kern w:val="0"/>
                      <w:sz w:val="21"/>
                      <w:szCs w:val="21"/>
                      <w:highlight w:val="none"/>
                    </w:rPr>
                    <w:t>装置处理效率降低</w:t>
                  </w:r>
                </w:p>
              </w:tc>
              <w:tc>
                <w:tcPr>
                  <w:tcW w:w="694" w:type="pct"/>
                  <w:tcBorders>
                    <w:top w:val="single" w:color="000000" w:sz="4" w:space="0"/>
                    <w:bottom w:val="single" w:color="000000" w:sz="4" w:space="0"/>
                  </w:tcBorders>
                  <w:noWrap w:val="0"/>
                  <w:tcMar>
                    <w:top w:w="12" w:type="dxa"/>
                    <w:left w:w="12" w:type="dxa"/>
                    <w:right w:w="12" w:type="dxa"/>
                  </w:tcMar>
                  <w:vAlign w:val="center"/>
                </w:tcPr>
                <w:p w14:paraId="5C08A909">
                  <w:pPr>
                    <w:adjustRightInd w:val="0"/>
                    <w:snapToGrid w:val="0"/>
                    <w:jc w:val="center"/>
                    <w:rPr>
                      <w:rFonts w:hint="eastAsia"/>
                      <w:b w:val="0"/>
                      <w:color w:val="auto"/>
                      <w:sz w:val="21"/>
                      <w:szCs w:val="21"/>
                      <w:highlight w:val="none"/>
                      <w:lang w:val="en-US" w:eastAsia="zh-CN"/>
                    </w:rPr>
                  </w:pPr>
                  <w:r>
                    <w:rPr>
                      <w:rFonts w:hint="eastAsia"/>
                      <w:b w:val="0"/>
                      <w:color w:val="auto"/>
                      <w:sz w:val="21"/>
                      <w:szCs w:val="21"/>
                      <w:highlight w:val="none"/>
                    </w:rPr>
                    <w:t>非甲烷总烃</w:t>
                  </w:r>
                </w:p>
              </w:tc>
              <w:tc>
                <w:tcPr>
                  <w:tcW w:w="676" w:type="pct"/>
                  <w:tcBorders>
                    <w:top w:val="single" w:color="000000" w:sz="4" w:space="0"/>
                    <w:bottom w:val="single" w:color="000000" w:sz="4" w:space="0"/>
                  </w:tcBorders>
                  <w:noWrap w:val="0"/>
                  <w:tcMar>
                    <w:top w:w="12" w:type="dxa"/>
                    <w:left w:w="12" w:type="dxa"/>
                    <w:right w:w="12" w:type="dxa"/>
                  </w:tcMar>
                  <w:vAlign w:val="center"/>
                </w:tcPr>
                <w:p w14:paraId="53792606">
                  <w:pPr>
                    <w:widowControl/>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0.96</w:t>
                  </w:r>
                </w:p>
              </w:tc>
              <w:tc>
                <w:tcPr>
                  <w:tcW w:w="466" w:type="pct"/>
                  <w:tcBorders>
                    <w:top w:val="single" w:color="000000" w:sz="4" w:space="0"/>
                    <w:bottom w:val="single" w:color="000000" w:sz="4" w:space="0"/>
                  </w:tcBorders>
                  <w:noWrap w:val="0"/>
                  <w:tcMar>
                    <w:top w:w="12" w:type="dxa"/>
                    <w:left w:w="12" w:type="dxa"/>
                    <w:right w:w="12" w:type="dxa"/>
                  </w:tcMar>
                  <w:vAlign w:val="center"/>
                </w:tcPr>
                <w:p w14:paraId="6ABA3B19">
                  <w:pPr>
                    <w:widowControl/>
                    <w:jc w:val="center"/>
                    <w:rPr>
                      <w:b w:val="0"/>
                      <w:color w:val="auto"/>
                      <w:kern w:val="0"/>
                      <w:sz w:val="21"/>
                      <w:szCs w:val="21"/>
                      <w:highlight w:val="none"/>
                      <w:lang w:val="en-US" w:eastAsia="zh-CN" w:bidi="ar-SA"/>
                    </w:rPr>
                  </w:pPr>
                  <w:r>
                    <w:rPr>
                      <w:b w:val="0"/>
                      <w:color w:val="auto"/>
                      <w:kern w:val="0"/>
                      <w:sz w:val="21"/>
                      <w:szCs w:val="21"/>
                      <w:highlight w:val="none"/>
                    </w:rPr>
                    <w:t>1</w:t>
                  </w:r>
                </w:p>
              </w:tc>
              <w:tc>
                <w:tcPr>
                  <w:tcW w:w="493" w:type="pct"/>
                  <w:tcBorders>
                    <w:top w:val="single" w:color="000000" w:sz="4" w:space="0"/>
                    <w:bottom w:val="single" w:color="000000" w:sz="4" w:space="0"/>
                  </w:tcBorders>
                  <w:noWrap w:val="0"/>
                  <w:tcMar>
                    <w:top w:w="12" w:type="dxa"/>
                    <w:left w:w="12" w:type="dxa"/>
                    <w:right w:w="12" w:type="dxa"/>
                  </w:tcMar>
                  <w:vAlign w:val="center"/>
                </w:tcPr>
                <w:p w14:paraId="612975D1">
                  <w:pPr>
                    <w:widowControl/>
                    <w:jc w:val="center"/>
                    <w:rPr>
                      <w:rFonts w:hint="eastAsia"/>
                      <w:b w:val="0"/>
                      <w:color w:val="auto"/>
                      <w:kern w:val="0"/>
                      <w:sz w:val="21"/>
                      <w:szCs w:val="21"/>
                      <w:highlight w:val="none"/>
                      <w:lang w:val="en-US" w:eastAsia="zh-CN" w:bidi="ar-SA"/>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top w:val="single" w:color="000000" w:sz="4" w:space="0"/>
                    <w:bottom w:val="single" w:color="000000" w:sz="4" w:space="0"/>
                  </w:tcBorders>
                  <w:noWrap w:val="0"/>
                  <w:tcMar>
                    <w:top w:w="12" w:type="dxa"/>
                    <w:left w:w="12" w:type="dxa"/>
                    <w:right w:w="12" w:type="dxa"/>
                  </w:tcMar>
                  <w:vAlign w:val="center"/>
                </w:tcPr>
                <w:p w14:paraId="7FB2B6E4">
                  <w:pPr>
                    <w:widowControl/>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0.96</w:t>
                  </w:r>
                </w:p>
              </w:tc>
              <w:tc>
                <w:tcPr>
                  <w:tcW w:w="719" w:type="pct"/>
                  <w:vMerge w:val="continue"/>
                  <w:noWrap w:val="0"/>
                  <w:tcMar>
                    <w:top w:w="12" w:type="dxa"/>
                    <w:left w:w="12" w:type="dxa"/>
                    <w:right w:w="12" w:type="dxa"/>
                  </w:tcMar>
                  <w:vAlign w:val="center"/>
                </w:tcPr>
                <w:p w14:paraId="580E82F9">
                  <w:pPr>
                    <w:widowControl/>
                    <w:jc w:val="center"/>
                    <w:rPr>
                      <w:b w:val="0"/>
                      <w:color w:val="auto"/>
                      <w:kern w:val="0"/>
                      <w:sz w:val="21"/>
                      <w:szCs w:val="21"/>
                      <w:highlight w:val="none"/>
                    </w:rPr>
                  </w:pPr>
                </w:p>
              </w:tc>
            </w:tr>
            <w:tr w14:paraId="45280E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continue"/>
                  <w:noWrap w:val="0"/>
                  <w:tcMar>
                    <w:top w:w="12" w:type="dxa"/>
                    <w:left w:w="12" w:type="dxa"/>
                    <w:right w:w="12" w:type="dxa"/>
                  </w:tcMar>
                  <w:vAlign w:val="center"/>
                </w:tcPr>
                <w:p w14:paraId="24055365">
                  <w:pPr>
                    <w:widowControl/>
                    <w:jc w:val="center"/>
                    <w:rPr>
                      <w:rFonts w:hint="eastAsia"/>
                      <w:b w:val="0"/>
                      <w:color w:val="auto"/>
                      <w:kern w:val="0"/>
                      <w:sz w:val="21"/>
                      <w:szCs w:val="21"/>
                      <w:highlight w:val="none"/>
                    </w:rPr>
                  </w:pPr>
                </w:p>
              </w:tc>
              <w:tc>
                <w:tcPr>
                  <w:tcW w:w="371" w:type="pct"/>
                  <w:vMerge w:val="continue"/>
                  <w:noWrap w:val="0"/>
                  <w:tcMar>
                    <w:top w:w="12" w:type="dxa"/>
                    <w:left w:w="12" w:type="dxa"/>
                    <w:right w:w="12" w:type="dxa"/>
                  </w:tcMar>
                  <w:vAlign w:val="center"/>
                </w:tcPr>
                <w:p w14:paraId="4CBA83DA">
                  <w:pPr>
                    <w:widowControl/>
                    <w:jc w:val="center"/>
                    <w:rPr>
                      <w:rFonts w:hint="eastAsia"/>
                      <w:b w:val="0"/>
                      <w:color w:val="auto"/>
                      <w:kern w:val="0"/>
                      <w:sz w:val="21"/>
                      <w:szCs w:val="21"/>
                      <w:highlight w:val="none"/>
                    </w:rPr>
                  </w:pPr>
                </w:p>
              </w:tc>
              <w:tc>
                <w:tcPr>
                  <w:tcW w:w="548" w:type="pct"/>
                  <w:vMerge w:val="continue"/>
                  <w:noWrap w:val="0"/>
                  <w:tcMar>
                    <w:top w:w="12" w:type="dxa"/>
                    <w:left w:w="12" w:type="dxa"/>
                    <w:right w:w="12" w:type="dxa"/>
                  </w:tcMar>
                  <w:vAlign w:val="center"/>
                </w:tcPr>
                <w:p w14:paraId="0FCA2181">
                  <w:pPr>
                    <w:widowControl/>
                    <w:jc w:val="center"/>
                    <w:rPr>
                      <w:b w:val="0"/>
                      <w:color w:val="auto"/>
                      <w:kern w:val="0"/>
                      <w:sz w:val="21"/>
                      <w:szCs w:val="21"/>
                      <w:highlight w:val="none"/>
                    </w:rPr>
                  </w:pPr>
                </w:p>
              </w:tc>
              <w:tc>
                <w:tcPr>
                  <w:tcW w:w="694" w:type="pct"/>
                  <w:tcBorders>
                    <w:top w:val="single" w:color="000000" w:sz="4" w:space="0"/>
                    <w:bottom w:val="single" w:color="000000" w:sz="4" w:space="0"/>
                  </w:tcBorders>
                  <w:noWrap w:val="0"/>
                  <w:tcMar>
                    <w:top w:w="12" w:type="dxa"/>
                    <w:left w:w="12" w:type="dxa"/>
                    <w:right w:w="12" w:type="dxa"/>
                  </w:tcMar>
                  <w:vAlign w:val="center"/>
                </w:tcPr>
                <w:p w14:paraId="71AA95DC">
                  <w:pPr>
                    <w:adjustRightInd w:val="0"/>
                    <w:snapToGrid w:val="0"/>
                    <w:jc w:val="center"/>
                    <w:rPr>
                      <w:rFonts w:hint="eastAsia"/>
                      <w:b w:val="0"/>
                      <w:color w:val="auto"/>
                      <w:kern w:val="0"/>
                      <w:sz w:val="21"/>
                      <w:szCs w:val="21"/>
                      <w:highlight w:val="none"/>
                      <w:lang w:val="en-US" w:eastAsia="zh-CN" w:bidi="ar-SA"/>
                    </w:rPr>
                  </w:pPr>
                  <w:r>
                    <w:rPr>
                      <w:rFonts w:hint="eastAsia"/>
                      <w:b w:val="0"/>
                      <w:color w:val="auto"/>
                      <w:sz w:val="21"/>
                      <w:szCs w:val="21"/>
                      <w:highlight w:val="none"/>
                    </w:rPr>
                    <w:t>甲苯</w:t>
                  </w:r>
                </w:p>
              </w:tc>
              <w:tc>
                <w:tcPr>
                  <w:tcW w:w="676" w:type="pct"/>
                  <w:tcBorders>
                    <w:top w:val="single" w:color="000000" w:sz="4" w:space="0"/>
                    <w:bottom w:val="single" w:color="000000" w:sz="4" w:space="0"/>
                  </w:tcBorders>
                  <w:noWrap w:val="0"/>
                  <w:tcMar>
                    <w:top w:w="12" w:type="dxa"/>
                    <w:left w:w="12" w:type="dxa"/>
                    <w:right w:w="12" w:type="dxa"/>
                  </w:tcMar>
                  <w:vAlign w:val="center"/>
                </w:tcPr>
                <w:p w14:paraId="11AEADBC">
                  <w:pPr>
                    <w:widowControl/>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3.08</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466" w:type="pct"/>
                  <w:tcBorders>
                    <w:top w:val="single" w:color="000000" w:sz="4" w:space="0"/>
                    <w:bottom w:val="single" w:color="000000" w:sz="4" w:space="0"/>
                  </w:tcBorders>
                  <w:noWrap w:val="0"/>
                  <w:tcMar>
                    <w:top w:w="12" w:type="dxa"/>
                    <w:left w:w="12" w:type="dxa"/>
                    <w:right w:w="12" w:type="dxa"/>
                  </w:tcMar>
                  <w:vAlign w:val="center"/>
                </w:tcPr>
                <w:p w14:paraId="6E5B26D9">
                  <w:pPr>
                    <w:widowControl/>
                    <w:jc w:val="center"/>
                    <w:rPr>
                      <w:b w:val="0"/>
                      <w:color w:val="auto"/>
                      <w:kern w:val="0"/>
                      <w:sz w:val="21"/>
                      <w:szCs w:val="21"/>
                      <w:highlight w:val="none"/>
                      <w:lang w:val="en-US" w:eastAsia="zh-CN" w:bidi="ar-SA"/>
                    </w:rPr>
                  </w:pPr>
                  <w:r>
                    <w:rPr>
                      <w:b w:val="0"/>
                      <w:color w:val="auto"/>
                      <w:kern w:val="0"/>
                      <w:sz w:val="21"/>
                      <w:szCs w:val="21"/>
                      <w:highlight w:val="none"/>
                    </w:rPr>
                    <w:t>1</w:t>
                  </w:r>
                </w:p>
              </w:tc>
              <w:tc>
                <w:tcPr>
                  <w:tcW w:w="493" w:type="pct"/>
                  <w:tcBorders>
                    <w:top w:val="single" w:color="000000" w:sz="4" w:space="0"/>
                    <w:bottom w:val="single" w:color="000000" w:sz="4" w:space="0"/>
                  </w:tcBorders>
                  <w:noWrap w:val="0"/>
                  <w:tcMar>
                    <w:top w:w="12" w:type="dxa"/>
                    <w:left w:w="12" w:type="dxa"/>
                    <w:right w:w="12" w:type="dxa"/>
                  </w:tcMar>
                  <w:vAlign w:val="center"/>
                </w:tcPr>
                <w:p w14:paraId="1951AC9A">
                  <w:pPr>
                    <w:widowControl/>
                    <w:jc w:val="center"/>
                    <w:rPr>
                      <w:rFonts w:hint="eastAsia"/>
                      <w:b w:val="0"/>
                      <w:color w:val="auto"/>
                      <w:kern w:val="0"/>
                      <w:sz w:val="21"/>
                      <w:szCs w:val="21"/>
                      <w:highlight w:val="none"/>
                      <w:lang w:val="en-US" w:eastAsia="zh-CN" w:bidi="ar-SA"/>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top w:val="single" w:color="000000" w:sz="4" w:space="0"/>
                    <w:bottom w:val="single" w:color="000000" w:sz="4" w:space="0"/>
                  </w:tcBorders>
                  <w:noWrap w:val="0"/>
                  <w:tcMar>
                    <w:top w:w="12" w:type="dxa"/>
                    <w:left w:w="12" w:type="dxa"/>
                    <w:right w:w="12" w:type="dxa"/>
                  </w:tcMar>
                  <w:vAlign w:val="center"/>
                </w:tcPr>
                <w:p w14:paraId="17AD9901">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3.08</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719" w:type="pct"/>
                  <w:vMerge w:val="continue"/>
                  <w:noWrap w:val="0"/>
                  <w:tcMar>
                    <w:top w:w="12" w:type="dxa"/>
                    <w:left w:w="12" w:type="dxa"/>
                    <w:right w:w="12" w:type="dxa"/>
                  </w:tcMar>
                  <w:vAlign w:val="center"/>
                </w:tcPr>
                <w:p w14:paraId="24699D3B">
                  <w:pPr>
                    <w:widowControl/>
                    <w:jc w:val="center"/>
                    <w:rPr>
                      <w:b w:val="0"/>
                      <w:color w:val="auto"/>
                      <w:kern w:val="0"/>
                      <w:sz w:val="21"/>
                      <w:szCs w:val="21"/>
                      <w:highlight w:val="none"/>
                    </w:rPr>
                  </w:pPr>
                </w:p>
              </w:tc>
            </w:tr>
            <w:tr w14:paraId="73C2A9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continue"/>
                  <w:noWrap w:val="0"/>
                  <w:tcMar>
                    <w:top w:w="12" w:type="dxa"/>
                    <w:left w:w="12" w:type="dxa"/>
                    <w:right w:w="12" w:type="dxa"/>
                  </w:tcMar>
                  <w:vAlign w:val="center"/>
                </w:tcPr>
                <w:p w14:paraId="49149D8D">
                  <w:pPr>
                    <w:widowControl/>
                    <w:jc w:val="center"/>
                    <w:rPr>
                      <w:rFonts w:hint="eastAsia"/>
                      <w:b w:val="0"/>
                      <w:color w:val="auto"/>
                      <w:kern w:val="0"/>
                      <w:sz w:val="21"/>
                      <w:szCs w:val="21"/>
                      <w:highlight w:val="none"/>
                    </w:rPr>
                  </w:pPr>
                </w:p>
              </w:tc>
              <w:tc>
                <w:tcPr>
                  <w:tcW w:w="371" w:type="pct"/>
                  <w:vMerge w:val="continue"/>
                  <w:noWrap w:val="0"/>
                  <w:tcMar>
                    <w:top w:w="12" w:type="dxa"/>
                    <w:left w:w="12" w:type="dxa"/>
                    <w:right w:w="12" w:type="dxa"/>
                  </w:tcMar>
                  <w:vAlign w:val="center"/>
                </w:tcPr>
                <w:p w14:paraId="34B2259A">
                  <w:pPr>
                    <w:widowControl/>
                    <w:jc w:val="center"/>
                    <w:rPr>
                      <w:rFonts w:hint="eastAsia"/>
                      <w:b w:val="0"/>
                      <w:color w:val="auto"/>
                      <w:kern w:val="0"/>
                      <w:sz w:val="21"/>
                      <w:szCs w:val="21"/>
                      <w:highlight w:val="none"/>
                    </w:rPr>
                  </w:pPr>
                </w:p>
              </w:tc>
              <w:tc>
                <w:tcPr>
                  <w:tcW w:w="548" w:type="pct"/>
                  <w:vMerge w:val="continue"/>
                  <w:noWrap w:val="0"/>
                  <w:tcMar>
                    <w:top w:w="12" w:type="dxa"/>
                    <w:left w:w="12" w:type="dxa"/>
                    <w:right w:w="12" w:type="dxa"/>
                  </w:tcMar>
                  <w:vAlign w:val="center"/>
                </w:tcPr>
                <w:p w14:paraId="6422A397">
                  <w:pPr>
                    <w:widowControl/>
                    <w:jc w:val="center"/>
                    <w:rPr>
                      <w:b w:val="0"/>
                      <w:color w:val="auto"/>
                      <w:kern w:val="0"/>
                      <w:sz w:val="21"/>
                      <w:szCs w:val="21"/>
                      <w:highlight w:val="none"/>
                    </w:rPr>
                  </w:pPr>
                </w:p>
              </w:tc>
              <w:tc>
                <w:tcPr>
                  <w:tcW w:w="694" w:type="pct"/>
                  <w:tcBorders>
                    <w:top w:val="single" w:color="000000" w:sz="4" w:space="0"/>
                    <w:bottom w:val="single" w:color="000000" w:sz="4" w:space="0"/>
                  </w:tcBorders>
                  <w:noWrap w:val="0"/>
                  <w:tcMar>
                    <w:top w:w="12" w:type="dxa"/>
                    <w:left w:w="12" w:type="dxa"/>
                    <w:right w:w="12" w:type="dxa"/>
                  </w:tcMar>
                  <w:vAlign w:val="center"/>
                </w:tcPr>
                <w:p w14:paraId="01CA8037">
                  <w:pPr>
                    <w:adjustRightInd w:val="0"/>
                    <w:snapToGrid w:val="0"/>
                    <w:jc w:val="center"/>
                    <w:rPr>
                      <w:rFonts w:hint="eastAsia" w:eastAsia="宋体"/>
                      <w:b w:val="0"/>
                      <w:color w:val="auto"/>
                      <w:kern w:val="2"/>
                      <w:sz w:val="21"/>
                      <w:szCs w:val="21"/>
                      <w:highlight w:val="none"/>
                      <w:lang w:val="en-US" w:eastAsia="zh-CN" w:bidi="ar-SA"/>
                    </w:rPr>
                  </w:pPr>
                  <w:r>
                    <w:rPr>
                      <w:rFonts w:hint="eastAsia"/>
                      <w:b w:val="0"/>
                      <w:color w:val="auto"/>
                      <w:sz w:val="21"/>
                      <w:szCs w:val="21"/>
                      <w:highlight w:val="none"/>
                      <w:lang w:val="en-US" w:eastAsia="zh-CN"/>
                    </w:rPr>
                    <w:t>乙苯</w:t>
                  </w:r>
                </w:p>
              </w:tc>
              <w:tc>
                <w:tcPr>
                  <w:tcW w:w="676" w:type="pct"/>
                  <w:tcBorders>
                    <w:top w:val="single" w:color="000000" w:sz="4" w:space="0"/>
                    <w:bottom w:val="single" w:color="000000" w:sz="4" w:space="0"/>
                  </w:tcBorders>
                  <w:noWrap w:val="0"/>
                  <w:tcMar>
                    <w:top w:w="12" w:type="dxa"/>
                    <w:left w:w="12" w:type="dxa"/>
                    <w:right w:w="12" w:type="dxa"/>
                  </w:tcMar>
                  <w:vAlign w:val="center"/>
                </w:tcPr>
                <w:p w14:paraId="78EACFCF">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1.36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466" w:type="pct"/>
                  <w:tcBorders>
                    <w:top w:val="single" w:color="000000" w:sz="4" w:space="0"/>
                    <w:bottom w:val="single" w:color="000000" w:sz="4" w:space="0"/>
                  </w:tcBorders>
                  <w:noWrap w:val="0"/>
                  <w:tcMar>
                    <w:top w:w="12" w:type="dxa"/>
                    <w:left w:w="12" w:type="dxa"/>
                    <w:right w:w="12" w:type="dxa"/>
                  </w:tcMar>
                  <w:vAlign w:val="center"/>
                </w:tcPr>
                <w:p w14:paraId="6C73954B">
                  <w:pPr>
                    <w:widowControl/>
                    <w:jc w:val="center"/>
                    <w:rPr>
                      <w:b w:val="0"/>
                      <w:color w:val="auto"/>
                      <w:kern w:val="0"/>
                      <w:sz w:val="21"/>
                      <w:szCs w:val="21"/>
                      <w:highlight w:val="none"/>
                      <w:lang w:val="en-US" w:eastAsia="zh-CN" w:bidi="ar-SA"/>
                    </w:rPr>
                  </w:pPr>
                  <w:r>
                    <w:rPr>
                      <w:b w:val="0"/>
                      <w:color w:val="auto"/>
                      <w:kern w:val="0"/>
                      <w:sz w:val="21"/>
                      <w:szCs w:val="21"/>
                      <w:highlight w:val="none"/>
                    </w:rPr>
                    <w:t>1</w:t>
                  </w:r>
                </w:p>
              </w:tc>
              <w:tc>
                <w:tcPr>
                  <w:tcW w:w="493" w:type="pct"/>
                  <w:tcBorders>
                    <w:top w:val="single" w:color="000000" w:sz="4" w:space="0"/>
                    <w:bottom w:val="single" w:color="000000" w:sz="4" w:space="0"/>
                  </w:tcBorders>
                  <w:noWrap w:val="0"/>
                  <w:tcMar>
                    <w:top w:w="12" w:type="dxa"/>
                    <w:left w:w="12" w:type="dxa"/>
                    <w:right w:w="12" w:type="dxa"/>
                  </w:tcMar>
                  <w:vAlign w:val="center"/>
                </w:tcPr>
                <w:p w14:paraId="6CEA5AA7">
                  <w:pPr>
                    <w:widowControl/>
                    <w:jc w:val="center"/>
                    <w:rPr>
                      <w:rFonts w:hint="eastAsia"/>
                      <w:b w:val="0"/>
                      <w:color w:val="auto"/>
                      <w:kern w:val="0"/>
                      <w:sz w:val="21"/>
                      <w:szCs w:val="21"/>
                      <w:highlight w:val="none"/>
                      <w:lang w:val="en-US" w:eastAsia="zh-CN" w:bidi="ar-SA"/>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top w:val="single" w:color="000000" w:sz="4" w:space="0"/>
                    <w:bottom w:val="single" w:color="000000" w:sz="4" w:space="0"/>
                  </w:tcBorders>
                  <w:noWrap w:val="0"/>
                  <w:tcMar>
                    <w:top w:w="12" w:type="dxa"/>
                    <w:left w:w="12" w:type="dxa"/>
                    <w:right w:w="12" w:type="dxa"/>
                  </w:tcMar>
                  <w:vAlign w:val="center"/>
                </w:tcPr>
                <w:p w14:paraId="33067D3A">
                  <w:pPr>
                    <w:widowControl/>
                    <w:jc w:val="center"/>
                    <w:rPr>
                      <w:rFonts w:hint="eastAsia" w:eastAsia="宋体"/>
                      <w:b w:val="0"/>
                      <w:color w:val="auto"/>
                      <w:sz w:val="21"/>
                      <w:szCs w:val="21"/>
                      <w:highlight w:val="none"/>
                      <w:lang w:val="en-US" w:eastAsia="zh-CN"/>
                    </w:rPr>
                  </w:pPr>
                  <w:r>
                    <w:rPr>
                      <w:rFonts w:hint="eastAsia"/>
                      <w:b w:val="0"/>
                      <w:color w:val="auto"/>
                      <w:sz w:val="21"/>
                      <w:szCs w:val="21"/>
                      <w:highlight w:val="none"/>
                      <w:lang w:val="en-US" w:eastAsia="zh-CN"/>
                    </w:rPr>
                    <w:t>1.36</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p>
              </w:tc>
              <w:tc>
                <w:tcPr>
                  <w:tcW w:w="719" w:type="pct"/>
                  <w:vMerge w:val="continue"/>
                  <w:noWrap w:val="0"/>
                  <w:tcMar>
                    <w:top w:w="12" w:type="dxa"/>
                    <w:left w:w="12" w:type="dxa"/>
                    <w:right w:w="12" w:type="dxa"/>
                  </w:tcMar>
                  <w:vAlign w:val="center"/>
                </w:tcPr>
                <w:p w14:paraId="5BAD0083">
                  <w:pPr>
                    <w:widowControl/>
                    <w:jc w:val="center"/>
                    <w:rPr>
                      <w:b w:val="0"/>
                      <w:color w:val="auto"/>
                      <w:kern w:val="0"/>
                      <w:sz w:val="21"/>
                      <w:szCs w:val="21"/>
                      <w:highlight w:val="none"/>
                    </w:rPr>
                  </w:pPr>
                </w:p>
              </w:tc>
            </w:tr>
            <w:tr w14:paraId="37D073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99" w:type="pct"/>
                  <w:vMerge w:val="continue"/>
                  <w:tcBorders>
                    <w:bottom w:val="single" w:color="000000" w:sz="12" w:space="0"/>
                  </w:tcBorders>
                  <w:noWrap w:val="0"/>
                  <w:tcMar>
                    <w:top w:w="12" w:type="dxa"/>
                    <w:left w:w="12" w:type="dxa"/>
                    <w:right w:w="12" w:type="dxa"/>
                  </w:tcMar>
                  <w:vAlign w:val="center"/>
                </w:tcPr>
                <w:p w14:paraId="71110314">
                  <w:pPr>
                    <w:widowControl/>
                    <w:jc w:val="center"/>
                    <w:rPr>
                      <w:rFonts w:hint="eastAsia"/>
                      <w:b w:val="0"/>
                      <w:color w:val="auto"/>
                      <w:kern w:val="0"/>
                      <w:sz w:val="21"/>
                      <w:szCs w:val="21"/>
                      <w:highlight w:val="none"/>
                    </w:rPr>
                  </w:pPr>
                </w:p>
              </w:tc>
              <w:tc>
                <w:tcPr>
                  <w:tcW w:w="371" w:type="pct"/>
                  <w:vMerge w:val="continue"/>
                  <w:noWrap w:val="0"/>
                  <w:tcMar>
                    <w:top w:w="12" w:type="dxa"/>
                    <w:left w:w="12" w:type="dxa"/>
                    <w:right w:w="12" w:type="dxa"/>
                  </w:tcMar>
                  <w:vAlign w:val="center"/>
                </w:tcPr>
                <w:p w14:paraId="469787BE">
                  <w:pPr>
                    <w:widowControl/>
                    <w:jc w:val="center"/>
                    <w:rPr>
                      <w:rFonts w:hint="eastAsia"/>
                      <w:b w:val="0"/>
                      <w:color w:val="auto"/>
                      <w:kern w:val="0"/>
                      <w:sz w:val="21"/>
                      <w:szCs w:val="21"/>
                      <w:highlight w:val="none"/>
                    </w:rPr>
                  </w:pPr>
                </w:p>
              </w:tc>
              <w:tc>
                <w:tcPr>
                  <w:tcW w:w="548" w:type="pct"/>
                  <w:vMerge w:val="continue"/>
                  <w:noWrap w:val="0"/>
                  <w:tcMar>
                    <w:top w:w="12" w:type="dxa"/>
                    <w:left w:w="12" w:type="dxa"/>
                    <w:right w:w="12" w:type="dxa"/>
                  </w:tcMar>
                  <w:vAlign w:val="center"/>
                </w:tcPr>
                <w:p w14:paraId="6723C8FE">
                  <w:pPr>
                    <w:widowControl/>
                    <w:jc w:val="center"/>
                    <w:rPr>
                      <w:b w:val="0"/>
                      <w:color w:val="auto"/>
                      <w:kern w:val="0"/>
                      <w:sz w:val="21"/>
                      <w:szCs w:val="21"/>
                      <w:highlight w:val="none"/>
                    </w:rPr>
                  </w:pPr>
                </w:p>
              </w:tc>
              <w:tc>
                <w:tcPr>
                  <w:tcW w:w="694" w:type="pct"/>
                  <w:tcBorders>
                    <w:top w:val="single" w:color="000000" w:sz="4" w:space="0"/>
                    <w:bottom w:val="single" w:color="000000" w:sz="12" w:space="0"/>
                  </w:tcBorders>
                  <w:noWrap w:val="0"/>
                  <w:tcMar>
                    <w:top w:w="12" w:type="dxa"/>
                    <w:left w:w="12" w:type="dxa"/>
                    <w:right w:w="12" w:type="dxa"/>
                  </w:tcMar>
                  <w:vAlign w:val="center"/>
                </w:tcPr>
                <w:p w14:paraId="6409EDDC">
                  <w:pPr>
                    <w:adjustRightInd w:val="0"/>
                    <w:snapToGrid w:val="0"/>
                    <w:jc w:val="center"/>
                    <w:rPr>
                      <w:rFonts w:hint="eastAsia" w:eastAsia="宋体"/>
                      <w:b w:val="0"/>
                      <w:color w:val="auto"/>
                      <w:kern w:val="2"/>
                      <w:sz w:val="21"/>
                      <w:szCs w:val="21"/>
                      <w:highlight w:val="none"/>
                      <w:lang w:val="en-US" w:eastAsia="zh-CN" w:bidi="ar-SA"/>
                    </w:rPr>
                  </w:pPr>
                  <w:r>
                    <w:rPr>
                      <w:rFonts w:hint="eastAsia"/>
                      <w:b w:val="0"/>
                      <w:color w:val="auto"/>
                      <w:sz w:val="21"/>
                      <w:szCs w:val="21"/>
                      <w:highlight w:val="none"/>
                      <w:lang w:val="en-US" w:eastAsia="zh-CN"/>
                    </w:rPr>
                    <w:t>苯乙烯</w:t>
                  </w:r>
                </w:p>
              </w:tc>
              <w:tc>
                <w:tcPr>
                  <w:tcW w:w="676" w:type="pct"/>
                  <w:tcBorders>
                    <w:top w:val="single" w:color="000000" w:sz="4" w:space="0"/>
                  </w:tcBorders>
                  <w:noWrap w:val="0"/>
                  <w:tcMar>
                    <w:top w:w="12" w:type="dxa"/>
                    <w:left w:w="12" w:type="dxa"/>
                    <w:right w:w="12" w:type="dxa"/>
                  </w:tcMar>
                  <w:vAlign w:val="center"/>
                </w:tcPr>
                <w:p w14:paraId="54AC5221">
                  <w:pPr>
                    <w:widowControl/>
                    <w:jc w:val="center"/>
                    <w:rPr>
                      <w:rFonts w:hint="default"/>
                      <w:b w:val="0"/>
                      <w:color w:val="auto"/>
                      <w:sz w:val="21"/>
                      <w:szCs w:val="21"/>
                      <w:highlight w:val="none"/>
                      <w:lang w:val="en-US" w:eastAsia="zh-CN"/>
                    </w:rPr>
                  </w:pPr>
                  <w:r>
                    <w:rPr>
                      <w:rFonts w:hint="eastAsia"/>
                      <w:b w:val="0"/>
                      <w:color w:val="auto"/>
                      <w:sz w:val="21"/>
                      <w:szCs w:val="21"/>
                      <w:highlight w:val="none"/>
                      <w:lang w:val="en-US" w:eastAsia="zh-CN"/>
                    </w:rPr>
                    <w:t>8.34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466" w:type="pct"/>
                  <w:tcBorders>
                    <w:top w:val="single" w:color="000000" w:sz="4" w:space="0"/>
                  </w:tcBorders>
                  <w:noWrap w:val="0"/>
                  <w:tcMar>
                    <w:top w:w="12" w:type="dxa"/>
                    <w:left w:w="12" w:type="dxa"/>
                    <w:right w:w="12" w:type="dxa"/>
                  </w:tcMar>
                  <w:vAlign w:val="center"/>
                </w:tcPr>
                <w:p w14:paraId="2367086D">
                  <w:pPr>
                    <w:widowControl/>
                    <w:jc w:val="center"/>
                    <w:rPr>
                      <w:b w:val="0"/>
                      <w:color w:val="auto"/>
                      <w:kern w:val="0"/>
                      <w:sz w:val="21"/>
                      <w:szCs w:val="21"/>
                      <w:highlight w:val="none"/>
                      <w:lang w:val="en-US" w:eastAsia="zh-CN" w:bidi="ar-SA"/>
                    </w:rPr>
                  </w:pPr>
                  <w:r>
                    <w:rPr>
                      <w:b w:val="0"/>
                      <w:color w:val="auto"/>
                      <w:kern w:val="0"/>
                      <w:sz w:val="21"/>
                      <w:szCs w:val="21"/>
                      <w:highlight w:val="none"/>
                    </w:rPr>
                    <w:t>1</w:t>
                  </w:r>
                </w:p>
              </w:tc>
              <w:tc>
                <w:tcPr>
                  <w:tcW w:w="493" w:type="pct"/>
                  <w:tcBorders>
                    <w:top w:val="single" w:color="000000" w:sz="4" w:space="0"/>
                  </w:tcBorders>
                  <w:noWrap w:val="0"/>
                  <w:tcMar>
                    <w:top w:w="12" w:type="dxa"/>
                    <w:left w:w="12" w:type="dxa"/>
                    <w:right w:w="12" w:type="dxa"/>
                  </w:tcMar>
                  <w:vAlign w:val="center"/>
                </w:tcPr>
                <w:p w14:paraId="2D6C47A7">
                  <w:pPr>
                    <w:widowControl/>
                    <w:jc w:val="center"/>
                    <w:rPr>
                      <w:rFonts w:hint="eastAsia"/>
                      <w:b w:val="0"/>
                      <w:color w:val="auto"/>
                      <w:kern w:val="0"/>
                      <w:sz w:val="21"/>
                      <w:szCs w:val="21"/>
                      <w:highlight w:val="none"/>
                      <w:lang w:val="en-US" w:eastAsia="zh-CN" w:bidi="ar-SA"/>
                    </w:rPr>
                  </w:pPr>
                  <w:r>
                    <w:rPr>
                      <w:rFonts w:hint="eastAsia"/>
                      <w:b w:val="0"/>
                      <w:color w:val="auto"/>
                      <w:kern w:val="0"/>
                      <w:sz w:val="21"/>
                      <w:szCs w:val="21"/>
                      <w:highlight w:val="none"/>
                    </w:rPr>
                    <w:t>1</w:t>
                  </w:r>
                  <w:r>
                    <w:rPr>
                      <w:b w:val="0"/>
                      <w:color w:val="auto"/>
                      <w:kern w:val="0"/>
                      <w:sz w:val="21"/>
                      <w:szCs w:val="21"/>
                      <w:highlight w:val="none"/>
                    </w:rPr>
                    <w:t>h</w:t>
                  </w:r>
                </w:p>
              </w:tc>
              <w:tc>
                <w:tcPr>
                  <w:tcW w:w="630" w:type="pct"/>
                  <w:tcBorders>
                    <w:top w:val="single" w:color="000000" w:sz="4" w:space="0"/>
                  </w:tcBorders>
                  <w:noWrap w:val="0"/>
                  <w:tcMar>
                    <w:top w:w="12" w:type="dxa"/>
                    <w:left w:w="12" w:type="dxa"/>
                    <w:right w:w="12" w:type="dxa"/>
                  </w:tcMar>
                  <w:vAlign w:val="center"/>
                </w:tcPr>
                <w:p w14:paraId="721CA035">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8.34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4</w:t>
                  </w:r>
                </w:p>
              </w:tc>
              <w:tc>
                <w:tcPr>
                  <w:tcW w:w="719" w:type="pct"/>
                  <w:vMerge w:val="continue"/>
                  <w:noWrap w:val="0"/>
                  <w:tcMar>
                    <w:top w:w="12" w:type="dxa"/>
                    <w:left w:w="12" w:type="dxa"/>
                    <w:right w:w="12" w:type="dxa"/>
                  </w:tcMar>
                  <w:vAlign w:val="center"/>
                </w:tcPr>
                <w:p w14:paraId="5F485FC1">
                  <w:pPr>
                    <w:widowControl/>
                    <w:jc w:val="center"/>
                    <w:rPr>
                      <w:b w:val="0"/>
                      <w:color w:val="auto"/>
                      <w:kern w:val="0"/>
                      <w:sz w:val="21"/>
                      <w:szCs w:val="21"/>
                      <w:highlight w:val="none"/>
                    </w:rPr>
                  </w:pPr>
                </w:p>
              </w:tc>
            </w:tr>
          </w:tbl>
          <w:p w14:paraId="3680083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4、监测要求及排放标准</w:t>
            </w:r>
          </w:p>
          <w:p w14:paraId="086823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rPr>
            </w:pPr>
            <w:r>
              <w:rPr>
                <w:rFonts w:cs="Times New Roman"/>
                <w:color w:val="auto"/>
                <w:sz w:val="24"/>
              </w:rPr>
              <w:t>根据</w:t>
            </w:r>
            <w:r>
              <w:rPr>
                <w:rFonts w:hint="eastAsia" w:cs="Times New Roman"/>
                <w:color w:val="auto"/>
                <w:sz w:val="24"/>
              </w:rPr>
              <w:t>《排污单位自行监测技术指南 橡胶和塑料制品》（HJ1207-2021）</w:t>
            </w:r>
            <w:r>
              <w:rPr>
                <w:rFonts w:cs="Times New Roman"/>
                <w:color w:val="auto"/>
                <w:sz w:val="24"/>
              </w:rPr>
              <w:t>中的相关要求，本项目废气</w:t>
            </w:r>
            <w:r>
              <w:rPr>
                <w:rFonts w:hint="eastAsia" w:cs="Times New Roman"/>
                <w:color w:val="auto"/>
                <w:sz w:val="24"/>
                <w:lang w:val="en-US" w:eastAsia="zh-CN"/>
              </w:rPr>
              <w:t>自行</w:t>
            </w:r>
            <w:r>
              <w:rPr>
                <w:rFonts w:cs="Times New Roman"/>
                <w:color w:val="auto"/>
                <w:sz w:val="24"/>
              </w:rPr>
              <w:t>监测要求及执行标准见下表</w:t>
            </w:r>
            <w:r>
              <w:rPr>
                <w:rFonts w:hint="eastAsia" w:cs="Times New Roman"/>
                <w:color w:val="auto"/>
                <w:sz w:val="24"/>
                <w:lang w:val="en-US" w:eastAsia="zh-CN"/>
              </w:rPr>
              <w:t>4-10</w:t>
            </w:r>
            <w:r>
              <w:rPr>
                <w:rFonts w:cs="Times New Roman"/>
                <w:color w:val="auto"/>
                <w:sz w:val="24"/>
              </w:rPr>
              <w:t>。</w:t>
            </w:r>
          </w:p>
          <w:p w14:paraId="59224FA4">
            <w:pPr>
              <w:snapToGrid w:val="0"/>
              <w:ind w:firstLine="630" w:firstLineChars="300"/>
              <w:jc w:val="both"/>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rPr>
              <w:t>表</w:t>
            </w:r>
            <w:r>
              <w:rPr>
                <w:rFonts w:hint="eastAsia" w:ascii="Times New Roman" w:hAnsi="Times New Roman" w:eastAsia="宋体" w:cs="Times New Roman"/>
                <w:bCs/>
                <w:color w:val="auto"/>
                <w:lang w:val="en-US" w:eastAsia="zh-CN"/>
              </w:rPr>
              <w:t>4-10</w:t>
            </w:r>
            <w:r>
              <w:rPr>
                <w:rFonts w:hint="default" w:ascii="Times New Roman" w:hAnsi="Times New Roman" w:eastAsia="宋体" w:cs="Times New Roman"/>
                <w:bCs/>
                <w:color w:val="auto"/>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w:t>
            </w:r>
            <w:r>
              <w:rPr>
                <w:rFonts w:hint="eastAsia" w:ascii="Times New Roman" w:hAnsi="Times New Roman" w:eastAsia="宋体" w:cs="Times New Roman"/>
                <w:b/>
                <w:bCs/>
                <w:color w:val="auto"/>
                <w:sz w:val="24"/>
                <w:lang w:val="en-US" w:eastAsia="zh-CN"/>
              </w:rPr>
              <w:t>运营期</w:t>
            </w:r>
            <w:r>
              <w:rPr>
                <w:rFonts w:hint="default" w:ascii="Times New Roman" w:hAnsi="Times New Roman" w:eastAsia="宋体" w:cs="Times New Roman"/>
                <w:b/>
                <w:bCs/>
                <w:color w:val="auto"/>
                <w:sz w:val="24"/>
              </w:rPr>
              <w:t>废气</w:t>
            </w:r>
            <w:r>
              <w:rPr>
                <w:rFonts w:hint="eastAsia" w:ascii="Times New Roman" w:hAnsi="Times New Roman" w:eastAsia="宋体" w:cs="Times New Roman"/>
                <w:b/>
                <w:bCs/>
                <w:color w:val="auto"/>
                <w:sz w:val="24"/>
                <w:lang w:val="en-US" w:eastAsia="zh-CN"/>
              </w:rPr>
              <w:t>自行</w:t>
            </w:r>
            <w:r>
              <w:rPr>
                <w:rFonts w:hint="default" w:ascii="Times New Roman" w:hAnsi="Times New Roman" w:eastAsia="宋体" w:cs="Times New Roman"/>
                <w:b/>
                <w:bCs/>
                <w:color w:val="auto"/>
                <w:sz w:val="24"/>
              </w:rPr>
              <w:t>监测</w:t>
            </w:r>
            <w:r>
              <w:rPr>
                <w:rFonts w:hint="eastAsia" w:ascii="Times New Roman" w:hAnsi="Times New Roman" w:eastAsia="宋体" w:cs="Times New Roman"/>
                <w:b/>
                <w:bCs/>
                <w:color w:val="auto"/>
                <w:sz w:val="24"/>
                <w:lang w:val="en-US" w:eastAsia="zh-CN"/>
              </w:rPr>
              <w:t>计划</w:t>
            </w:r>
            <w:r>
              <w:rPr>
                <w:rFonts w:hint="default" w:ascii="Times New Roman" w:hAnsi="Times New Roman" w:eastAsia="宋体" w:cs="Times New Roman"/>
                <w:b/>
                <w:bCs/>
                <w:color w:val="auto"/>
                <w:sz w:val="24"/>
              </w:rPr>
              <w:t>一览表</w:t>
            </w:r>
          </w:p>
          <w:tbl>
            <w:tblPr>
              <w:tblStyle w:val="3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52"/>
              <w:gridCol w:w="1500"/>
              <w:gridCol w:w="1301"/>
              <w:gridCol w:w="1063"/>
              <w:gridCol w:w="3758"/>
            </w:tblGrid>
            <w:tr w14:paraId="4DA225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tcBorders>
                    <w:tl2br w:val="nil"/>
                    <w:tr2bl w:val="nil"/>
                  </w:tcBorders>
                  <w:noWrap w:val="0"/>
                  <w:vAlign w:val="center"/>
                </w:tcPr>
                <w:p w14:paraId="4C755118">
                  <w:pPr>
                    <w:pStyle w:val="102"/>
                    <w:keepNext w:val="0"/>
                    <w:keepLines w:val="0"/>
                    <w:suppressLineNumbers w:val="0"/>
                    <w:overflowPunct w:val="0"/>
                    <w:adjustRightInd w:val="0"/>
                    <w:snapToGrid w:val="0"/>
                    <w:spacing w:before="0" w:beforeAutospacing="0" w:after="0" w:afterAutospacing="0"/>
                    <w:ind w:left="0" w:right="0"/>
                    <w:rPr>
                      <w:rFonts w:hint="default"/>
                      <w:b/>
                      <w:bCs/>
                      <w:color w:val="auto"/>
                      <w:sz w:val="21"/>
                      <w:szCs w:val="21"/>
                    </w:rPr>
                  </w:pPr>
                  <w:r>
                    <w:rPr>
                      <w:rFonts w:hint="default"/>
                      <w:b/>
                      <w:bCs/>
                      <w:color w:val="auto"/>
                      <w:sz w:val="21"/>
                      <w:szCs w:val="21"/>
                    </w:rPr>
                    <w:t>监测要素</w:t>
                  </w:r>
                </w:p>
              </w:tc>
              <w:tc>
                <w:tcPr>
                  <w:tcW w:w="906" w:type="pct"/>
                  <w:tcBorders>
                    <w:tl2br w:val="nil"/>
                    <w:tr2bl w:val="nil"/>
                  </w:tcBorders>
                  <w:noWrap w:val="0"/>
                  <w:vAlign w:val="center"/>
                </w:tcPr>
                <w:p w14:paraId="7B334195">
                  <w:pPr>
                    <w:pStyle w:val="102"/>
                    <w:keepNext w:val="0"/>
                    <w:keepLines w:val="0"/>
                    <w:suppressLineNumbers w:val="0"/>
                    <w:overflowPunct w:val="0"/>
                    <w:adjustRightInd w:val="0"/>
                    <w:snapToGrid w:val="0"/>
                    <w:spacing w:before="0" w:beforeAutospacing="0" w:after="0" w:afterAutospacing="0"/>
                    <w:ind w:left="0" w:right="0"/>
                    <w:rPr>
                      <w:rFonts w:hint="default"/>
                      <w:b/>
                      <w:bCs/>
                      <w:color w:val="auto"/>
                      <w:sz w:val="21"/>
                      <w:szCs w:val="21"/>
                    </w:rPr>
                  </w:pPr>
                  <w:r>
                    <w:rPr>
                      <w:rFonts w:hint="default"/>
                      <w:b/>
                      <w:bCs/>
                      <w:color w:val="auto"/>
                      <w:sz w:val="21"/>
                      <w:szCs w:val="21"/>
                    </w:rPr>
                    <w:t>监测点位</w:t>
                  </w:r>
                </w:p>
              </w:tc>
              <w:tc>
                <w:tcPr>
                  <w:tcW w:w="786" w:type="pct"/>
                  <w:tcBorders>
                    <w:tl2br w:val="nil"/>
                    <w:tr2bl w:val="nil"/>
                  </w:tcBorders>
                  <w:noWrap w:val="0"/>
                  <w:vAlign w:val="center"/>
                </w:tcPr>
                <w:p w14:paraId="6A9B6042">
                  <w:pPr>
                    <w:pStyle w:val="102"/>
                    <w:keepNext w:val="0"/>
                    <w:keepLines w:val="0"/>
                    <w:suppressLineNumbers w:val="0"/>
                    <w:overflowPunct w:val="0"/>
                    <w:adjustRightInd w:val="0"/>
                    <w:snapToGrid w:val="0"/>
                    <w:spacing w:before="0" w:beforeAutospacing="0" w:after="0" w:afterAutospacing="0"/>
                    <w:ind w:left="0" w:right="0"/>
                    <w:rPr>
                      <w:rFonts w:hint="default"/>
                      <w:b/>
                      <w:bCs/>
                      <w:color w:val="auto"/>
                      <w:sz w:val="21"/>
                      <w:szCs w:val="21"/>
                    </w:rPr>
                  </w:pPr>
                  <w:r>
                    <w:rPr>
                      <w:rFonts w:hint="default"/>
                      <w:b/>
                      <w:bCs/>
                      <w:color w:val="auto"/>
                      <w:sz w:val="21"/>
                      <w:szCs w:val="21"/>
                    </w:rPr>
                    <w:t>监测</w:t>
                  </w:r>
                  <w:r>
                    <w:rPr>
                      <w:rFonts w:hint="eastAsia"/>
                      <w:b/>
                      <w:bCs/>
                      <w:color w:val="auto"/>
                      <w:sz w:val="21"/>
                      <w:szCs w:val="21"/>
                    </w:rPr>
                    <w:t>因子</w:t>
                  </w:r>
                </w:p>
              </w:tc>
              <w:tc>
                <w:tcPr>
                  <w:tcW w:w="642" w:type="pct"/>
                  <w:tcBorders>
                    <w:tl2br w:val="nil"/>
                    <w:tr2bl w:val="nil"/>
                  </w:tcBorders>
                  <w:noWrap w:val="0"/>
                  <w:vAlign w:val="center"/>
                </w:tcPr>
                <w:p w14:paraId="2D56D01D">
                  <w:pPr>
                    <w:pStyle w:val="102"/>
                    <w:keepNext w:val="0"/>
                    <w:keepLines w:val="0"/>
                    <w:suppressLineNumbers w:val="0"/>
                    <w:overflowPunct w:val="0"/>
                    <w:adjustRightInd w:val="0"/>
                    <w:snapToGrid w:val="0"/>
                    <w:spacing w:before="0" w:beforeAutospacing="0" w:after="0" w:afterAutospacing="0"/>
                    <w:ind w:left="0" w:right="0"/>
                    <w:rPr>
                      <w:rFonts w:hint="default"/>
                      <w:b/>
                      <w:bCs/>
                      <w:color w:val="auto"/>
                      <w:sz w:val="21"/>
                      <w:szCs w:val="21"/>
                    </w:rPr>
                  </w:pPr>
                  <w:r>
                    <w:rPr>
                      <w:rFonts w:hint="default"/>
                      <w:b/>
                      <w:bCs/>
                      <w:color w:val="auto"/>
                      <w:sz w:val="21"/>
                      <w:szCs w:val="21"/>
                    </w:rPr>
                    <w:t>监测频次</w:t>
                  </w:r>
                </w:p>
              </w:tc>
              <w:tc>
                <w:tcPr>
                  <w:tcW w:w="2270" w:type="pct"/>
                  <w:tcBorders>
                    <w:tl2br w:val="nil"/>
                    <w:tr2bl w:val="nil"/>
                  </w:tcBorders>
                  <w:noWrap w:val="0"/>
                  <w:vAlign w:val="center"/>
                </w:tcPr>
                <w:p w14:paraId="31498F14">
                  <w:pPr>
                    <w:pStyle w:val="102"/>
                    <w:keepNext w:val="0"/>
                    <w:keepLines w:val="0"/>
                    <w:suppressLineNumbers w:val="0"/>
                    <w:overflowPunct w:val="0"/>
                    <w:adjustRightInd w:val="0"/>
                    <w:snapToGrid w:val="0"/>
                    <w:spacing w:before="0" w:beforeAutospacing="0" w:after="0" w:afterAutospacing="0"/>
                    <w:ind w:left="0" w:right="0"/>
                    <w:rPr>
                      <w:rFonts w:hint="default"/>
                      <w:b/>
                      <w:bCs/>
                      <w:color w:val="auto"/>
                      <w:sz w:val="21"/>
                      <w:szCs w:val="21"/>
                    </w:rPr>
                  </w:pPr>
                  <w:r>
                    <w:rPr>
                      <w:rFonts w:hint="default"/>
                      <w:b/>
                      <w:color w:val="auto"/>
                      <w:sz w:val="21"/>
                      <w:szCs w:val="21"/>
                    </w:rPr>
                    <w:t>执行标准</w:t>
                  </w:r>
                </w:p>
              </w:tc>
            </w:tr>
            <w:tr w14:paraId="1A1501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restart"/>
                  <w:tcBorders>
                    <w:tl2br w:val="nil"/>
                    <w:tr2bl w:val="nil"/>
                  </w:tcBorders>
                  <w:noWrap w:val="0"/>
                  <w:vAlign w:val="center"/>
                </w:tcPr>
                <w:p w14:paraId="6871E66B">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r>
                    <w:rPr>
                      <w:rFonts w:hint="eastAsia"/>
                      <w:color w:val="auto"/>
                      <w:sz w:val="21"/>
                      <w:szCs w:val="21"/>
                    </w:rPr>
                    <w:t>废气</w:t>
                  </w:r>
                </w:p>
              </w:tc>
              <w:tc>
                <w:tcPr>
                  <w:tcW w:w="906" w:type="pct"/>
                  <w:vMerge w:val="restart"/>
                  <w:tcBorders>
                    <w:tl2br w:val="nil"/>
                    <w:tr2bl w:val="nil"/>
                  </w:tcBorders>
                  <w:noWrap w:val="0"/>
                  <w:vAlign w:val="center"/>
                </w:tcPr>
                <w:p w14:paraId="308A9342">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r>
                    <w:rPr>
                      <w:rFonts w:hint="eastAsia"/>
                      <w:color w:val="auto"/>
                      <w:sz w:val="21"/>
                      <w:szCs w:val="21"/>
                    </w:rPr>
                    <w:t>排气筒（</w:t>
                  </w:r>
                  <w:r>
                    <w:rPr>
                      <w:rFonts w:hint="eastAsia"/>
                      <w:color w:val="auto"/>
                      <w:sz w:val="21"/>
                      <w:szCs w:val="21"/>
                      <w:lang w:val="en-US" w:eastAsia="zh-CN"/>
                    </w:rPr>
                    <w:t>一期</w:t>
                  </w:r>
                  <w:r>
                    <w:rPr>
                      <w:rFonts w:hint="eastAsia"/>
                      <w:color w:val="auto"/>
                      <w:sz w:val="21"/>
                      <w:szCs w:val="21"/>
                    </w:rPr>
                    <w:t>DA00</w:t>
                  </w:r>
                  <w:r>
                    <w:rPr>
                      <w:rFonts w:hint="eastAsia"/>
                      <w:color w:val="auto"/>
                      <w:sz w:val="21"/>
                      <w:szCs w:val="21"/>
                      <w:lang w:val="en-US" w:eastAsia="zh-CN"/>
                    </w:rPr>
                    <w:t>1；二期DA002</w:t>
                  </w:r>
                  <w:r>
                    <w:rPr>
                      <w:rFonts w:hint="eastAsia"/>
                      <w:color w:val="auto"/>
                      <w:sz w:val="21"/>
                      <w:szCs w:val="21"/>
                    </w:rPr>
                    <w:t>）</w:t>
                  </w:r>
                </w:p>
              </w:tc>
              <w:tc>
                <w:tcPr>
                  <w:tcW w:w="786" w:type="pct"/>
                  <w:tcBorders>
                    <w:tl2br w:val="nil"/>
                    <w:tr2bl w:val="nil"/>
                  </w:tcBorders>
                  <w:noWrap w:val="0"/>
                  <w:vAlign w:val="center"/>
                </w:tcPr>
                <w:p w14:paraId="62AEF386">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r>
                    <w:rPr>
                      <w:rFonts w:hint="eastAsia"/>
                      <w:color w:val="auto"/>
                      <w:sz w:val="21"/>
                      <w:szCs w:val="21"/>
                      <w:lang w:eastAsia="zh-CN"/>
                    </w:rPr>
                    <w:t>非甲烷总烃</w:t>
                  </w:r>
                </w:p>
              </w:tc>
              <w:tc>
                <w:tcPr>
                  <w:tcW w:w="642" w:type="pct"/>
                  <w:tcBorders>
                    <w:tl2br w:val="nil"/>
                    <w:tr2bl w:val="nil"/>
                  </w:tcBorders>
                  <w:noWrap w:val="0"/>
                  <w:vAlign w:val="center"/>
                </w:tcPr>
                <w:p w14:paraId="7F3709E1">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r>
                    <w:rPr>
                      <w:rFonts w:hint="default"/>
                      <w:color w:val="auto"/>
                      <w:sz w:val="21"/>
                      <w:szCs w:val="21"/>
                    </w:rPr>
                    <w:t>1次/</w:t>
                  </w:r>
                  <w:r>
                    <w:rPr>
                      <w:rFonts w:hint="eastAsia"/>
                      <w:color w:val="auto"/>
                      <w:sz w:val="21"/>
                      <w:szCs w:val="21"/>
                      <w:lang w:eastAsia="zh-CN"/>
                    </w:rPr>
                    <w:t>半</w:t>
                  </w:r>
                  <w:r>
                    <w:rPr>
                      <w:rFonts w:hint="eastAsia"/>
                      <w:color w:val="auto"/>
                      <w:sz w:val="21"/>
                      <w:szCs w:val="21"/>
                    </w:rPr>
                    <w:t>年</w:t>
                  </w:r>
                </w:p>
              </w:tc>
              <w:tc>
                <w:tcPr>
                  <w:tcW w:w="2270" w:type="pct"/>
                  <w:vMerge w:val="restart"/>
                  <w:tcBorders>
                    <w:tl2br w:val="nil"/>
                    <w:tr2bl w:val="nil"/>
                  </w:tcBorders>
                  <w:noWrap w:val="0"/>
                  <w:vAlign w:val="center"/>
                </w:tcPr>
                <w:p w14:paraId="50819D18">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r>
                    <w:rPr>
                      <w:rFonts w:hint="eastAsia"/>
                      <w:color w:val="auto"/>
                      <w:sz w:val="21"/>
                      <w:szCs w:val="21"/>
                      <w:highlight w:val="none"/>
                    </w:rPr>
                    <w:t>《合成树脂工业污染物排放标准》（GB31572-2015及2024年修改单）表4中排放浓度限值要求</w:t>
                  </w:r>
                </w:p>
              </w:tc>
            </w:tr>
            <w:tr w14:paraId="4FA430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20494D8E">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continue"/>
                  <w:tcBorders>
                    <w:tl2br w:val="nil"/>
                    <w:tr2bl w:val="nil"/>
                  </w:tcBorders>
                  <w:noWrap w:val="0"/>
                  <w:vAlign w:val="center"/>
                </w:tcPr>
                <w:p w14:paraId="2F55A07E">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786" w:type="pct"/>
                  <w:tcBorders>
                    <w:tl2br w:val="nil"/>
                    <w:tr2bl w:val="nil"/>
                  </w:tcBorders>
                  <w:noWrap w:val="0"/>
                  <w:vAlign w:val="center"/>
                </w:tcPr>
                <w:p w14:paraId="6E7EF93A">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lang w:val="en-US" w:eastAsia="zh-CN"/>
                    </w:rPr>
                  </w:pPr>
                  <w:r>
                    <w:rPr>
                      <w:rFonts w:hint="eastAsia"/>
                      <w:color w:val="auto"/>
                      <w:sz w:val="21"/>
                      <w:szCs w:val="21"/>
                      <w:lang w:val="en-US" w:eastAsia="zh-CN"/>
                    </w:rPr>
                    <w:t>甲苯</w:t>
                  </w:r>
                </w:p>
              </w:tc>
              <w:tc>
                <w:tcPr>
                  <w:tcW w:w="642" w:type="pct"/>
                  <w:tcBorders>
                    <w:tl2br w:val="nil"/>
                    <w:tr2bl w:val="nil"/>
                  </w:tcBorders>
                  <w:noWrap w:val="0"/>
                  <w:vAlign w:val="center"/>
                </w:tcPr>
                <w:p w14:paraId="1067F056">
                  <w:pPr>
                    <w:pStyle w:val="102"/>
                    <w:overflowPunct w:val="0"/>
                    <w:adjustRightInd w:val="0"/>
                    <w:snapToGrid w:val="0"/>
                    <w:ind w:firstLine="0" w:firstLineChars="0"/>
                    <w:rPr>
                      <w:rFonts w:hint="default"/>
                      <w:color w:val="auto"/>
                      <w:sz w:val="21"/>
                      <w:szCs w:val="21"/>
                    </w:rPr>
                  </w:pPr>
                  <w:r>
                    <w:rPr>
                      <w:rFonts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rPr>
                    <w:t>年</w:t>
                  </w:r>
                </w:p>
              </w:tc>
              <w:tc>
                <w:tcPr>
                  <w:tcW w:w="2270" w:type="pct"/>
                  <w:vMerge w:val="continue"/>
                  <w:tcBorders>
                    <w:tl2br w:val="nil"/>
                    <w:tr2bl w:val="nil"/>
                  </w:tcBorders>
                  <w:noWrap w:val="0"/>
                  <w:vAlign w:val="center"/>
                </w:tcPr>
                <w:p w14:paraId="01B88B9B">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r>
            <w:tr w14:paraId="7D809D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2A0D0161">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continue"/>
                  <w:tcBorders>
                    <w:tl2br w:val="nil"/>
                    <w:tr2bl w:val="nil"/>
                  </w:tcBorders>
                  <w:noWrap w:val="0"/>
                  <w:vAlign w:val="center"/>
                </w:tcPr>
                <w:p w14:paraId="0FB2542F">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786" w:type="pct"/>
                  <w:tcBorders>
                    <w:tl2br w:val="nil"/>
                    <w:tr2bl w:val="nil"/>
                  </w:tcBorders>
                  <w:noWrap w:val="0"/>
                  <w:vAlign w:val="center"/>
                </w:tcPr>
                <w:p w14:paraId="40E3E6C3">
                  <w:pPr>
                    <w:pStyle w:val="102"/>
                    <w:overflowPunct w:val="0"/>
                    <w:adjustRightInd w:val="0"/>
                    <w:snapToGrid w:val="0"/>
                    <w:ind w:firstLine="0" w:firstLineChars="0"/>
                    <w:rPr>
                      <w:rFonts w:hint="eastAsia"/>
                      <w:color w:val="auto"/>
                      <w:sz w:val="21"/>
                      <w:szCs w:val="21"/>
                      <w:lang w:val="en-US" w:eastAsia="zh-CN"/>
                    </w:rPr>
                  </w:pPr>
                  <w:r>
                    <w:rPr>
                      <w:rFonts w:hint="eastAsia"/>
                      <w:color w:val="auto"/>
                      <w:sz w:val="21"/>
                      <w:szCs w:val="21"/>
                      <w:highlight w:val="none"/>
                      <w:lang w:val="en-US" w:eastAsia="zh-CN"/>
                    </w:rPr>
                    <w:t>乙苯</w:t>
                  </w:r>
                </w:p>
              </w:tc>
              <w:tc>
                <w:tcPr>
                  <w:tcW w:w="642" w:type="pct"/>
                  <w:tcBorders>
                    <w:tl2br w:val="nil"/>
                    <w:tr2bl w:val="nil"/>
                  </w:tcBorders>
                  <w:noWrap w:val="0"/>
                  <w:vAlign w:val="center"/>
                </w:tcPr>
                <w:p w14:paraId="0485AB41">
                  <w:pPr>
                    <w:pStyle w:val="102"/>
                    <w:overflowPunct w:val="0"/>
                    <w:adjustRightInd w:val="0"/>
                    <w:snapToGrid w:val="0"/>
                    <w:ind w:firstLine="0" w:firstLineChars="0"/>
                    <w:rPr>
                      <w:rFonts w:hint="default"/>
                      <w:color w:val="auto"/>
                      <w:sz w:val="21"/>
                      <w:szCs w:val="21"/>
                    </w:rPr>
                  </w:pPr>
                  <w:r>
                    <w:rPr>
                      <w:rFonts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rPr>
                    <w:t>年</w:t>
                  </w:r>
                </w:p>
              </w:tc>
              <w:tc>
                <w:tcPr>
                  <w:tcW w:w="2270" w:type="pct"/>
                  <w:vMerge w:val="continue"/>
                  <w:tcBorders>
                    <w:tl2br w:val="nil"/>
                    <w:tr2bl w:val="nil"/>
                  </w:tcBorders>
                  <w:noWrap w:val="0"/>
                  <w:vAlign w:val="center"/>
                </w:tcPr>
                <w:p w14:paraId="7C4503F6">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r>
            <w:tr w14:paraId="48F082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0A98328F">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continue"/>
                  <w:tcBorders>
                    <w:tl2br w:val="nil"/>
                    <w:tr2bl w:val="nil"/>
                  </w:tcBorders>
                  <w:noWrap w:val="0"/>
                  <w:vAlign w:val="center"/>
                </w:tcPr>
                <w:p w14:paraId="5D55D868">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786" w:type="pct"/>
                  <w:tcBorders>
                    <w:tl2br w:val="nil"/>
                    <w:tr2bl w:val="nil"/>
                  </w:tcBorders>
                  <w:noWrap w:val="0"/>
                  <w:vAlign w:val="center"/>
                </w:tcPr>
                <w:p w14:paraId="100ECAB4">
                  <w:pPr>
                    <w:pStyle w:val="102"/>
                    <w:overflowPunct w:val="0"/>
                    <w:adjustRightInd w:val="0"/>
                    <w:snapToGrid w:val="0"/>
                    <w:ind w:firstLine="0" w:firstLineChars="0"/>
                    <w:rPr>
                      <w:rFonts w:hint="eastAsia"/>
                      <w:color w:val="auto"/>
                      <w:sz w:val="21"/>
                      <w:szCs w:val="21"/>
                      <w:lang w:val="en-US" w:eastAsia="zh-CN"/>
                    </w:rPr>
                  </w:pPr>
                  <w:r>
                    <w:rPr>
                      <w:rFonts w:hint="eastAsia"/>
                      <w:color w:val="auto"/>
                      <w:sz w:val="21"/>
                      <w:szCs w:val="21"/>
                      <w:highlight w:val="none"/>
                      <w:lang w:val="en-US" w:eastAsia="zh-CN"/>
                    </w:rPr>
                    <w:t>苯乙烯</w:t>
                  </w:r>
                </w:p>
              </w:tc>
              <w:tc>
                <w:tcPr>
                  <w:tcW w:w="642" w:type="pct"/>
                  <w:tcBorders>
                    <w:tl2br w:val="nil"/>
                    <w:tr2bl w:val="nil"/>
                  </w:tcBorders>
                  <w:noWrap w:val="0"/>
                  <w:vAlign w:val="center"/>
                </w:tcPr>
                <w:p w14:paraId="27B632AD">
                  <w:pPr>
                    <w:pStyle w:val="102"/>
                    <w:overflowPunct w:val="0"/>
                    <w:adjustRightInd w:val="0"/>
                    <w:snapToGrid w:val="0"/>
                    <w:ind w:firstLine="0" w:firstLineChars="0"/>
                    <w:rPr>
                      <w:rFonts w:hint="default"/>
                      <w:color w:val="auto"/>
                      <w:sz w:val="21"/>
                      <w:szCs w:val="21"/>
                    </w:rPr>
                  </w:pPr>
                  <w:r>
                    <w:rPr>
                      <w:rFonts w:ascii="Times New Roman" w:hAnsi="Times New Roman" w:eastAsia="宋体" w:cs="Times New Roman"/>
                      <w:color w:val="auto"/>
                      <w:sz w:val="21"/>
                      <w:szCs w:val="21"/>
                      <w:highlight w:val="none"/>
                    </w:rPr>
                    <w:t>1次/</w:t>
                  </w:r>
                  <w:r>
                    <w:rPr>
                      <w:rFonts w:hint="eastAsia" w:ascii="Times New Roman" w:hAnsi="Times New Roman" w:eastAsia="宋体" w:cs="Times New Roman"/>
                      <w:color w:val="auto"/>
                      <w:sz w:val="21"/>
                      <w:szCs w:val="21"/>
                      <w:highlight w:val="none"/>
                    </w:rPr>
                    <w:t>年</w:t>
                  </w:r>
                </w:p>
              </w:tc>
              <w:tc>
                <w:tcPr>
                  <w:tcW w:w="2270" w:type="pct"/>
                  <w:vMerge w:val="continue"/>
                  <w:tcBorders>
                    <w:tl2br w:val="nil"/>
                    <w:tr2bl w:val="nil"/>
                  </w:tcBorders>
                  <w:noWrap w:val="0"/>
                  <w:vAlign w:val="center"/>
                </w:tcPr>
                <w:p w14:paraId="77F477AE">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r>
            <w:tr w14:paraId="6FF05E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1F0675B7">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continue"/>
                  <w:tcBorders>
                    <w:tl2br w:val="nil"/>
                    <w:tr2bl w:val="nil"/>
                  </w:tcBorders>
                  <w:noWrap w:val="0"/>
                  <w:vAlign w:val="center"/>
                </w:tcPr>
                <w:p w14:paraId="01EFF790">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786" w:type="pct"/>
                  <w:tcBorders>
                    <w:tl2br w:val="nil"/>
                    <w:tr2bl w:val="nil"/>
                  </w:tcBorders>
                  <w:noWrap w:val="0"/>
                  <w:vAlign w:val="center"/>
                </w:tcPr>
                <w:p w14:paraId="592E3266">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lang w:eastAsia="zh-CN"/>
                    </w:rPr>
                  </w:pPr>
                  <w:r>
                    <w:rPr>
                      <w:rFonts w:hint="eastAsia"/>
                      <w:color w:val="auto"/>
                      <w:sz w:val="21"/>
                      <w:szCs w:val="21"/>
                      <w:lang w:eastAsia="zh-CN"/>
                    </w:rPr>
                    <w:t>臭气浓度</w:t>
                  </w:r>
                </w:p>
              </w:tc>
              <w:tc>
                <w:tcPr>
                  <w:tcW w:w="642" w:type="pct"/>
                  <w:tcBorders>
                    <w:tl2br w:val="nil"/>
                    <w:tr2bl w:val="nil"/>
                  </w:tcBorders>
                  <w:noWrap w:val="0"/>
                  <w:vAlign w:val="center"/>
                </w:tcPr>
                <w:p w14:paraId="20847195">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r>
                    <w:rPr>
                      <w:rFonts w:hint="default"/>
                      <w:color w:val="auto"/>
                      <w:sz w:val="21"/>
                      <w:szCs w:val="21"/>
                    </w:rPr>
                    <w:t>1次/</w:t>
                  </w:r>
                  <w:r>
                    <w:rPr>
                      <w:rFonts w:hint="eastAsia"/>
                      <w:color w:val="auto"/>
                      <w:sz w:val="21"/>
                      <w:szCs w:val="21"/>
                    </w:rPr>
                    <w:t>年</w:t>
                  </w:r>
                </w:p>
              </w:tc>
              <w:tc>
                <w:tcPr>
                  <w:tcW w:w="2270" w:type="pct"/>
                  <w:tcBorders>
                    <w:tl2br w:val="nil"/>
                    <w:tr2bl w:val="nil"/>
                  </w:tcBorders>
                  <w:noWrap w:val="0"/>
                  <w:vAlign w:val="center"/>
                </w:tcPr>
                <w:p w14:paraId="4A3AEC32">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r>
                    <w:rPr>
                      <w:rFonts w:hint="eastAsia"/>
                      <w:color w:val="auto"/>
                      <w:sz w:val="21"/>
                      <w:szCs w:val="21"/>
                    </w:rPr>
                    <w:t>《恶臭污染物排放标准》（GB14554-93）表2排放</w:t>
                  </w:r>
                  <w:r>
                    <w:rPr>
                      <w:rFonts w:hint="eastAsia"/>
                      <w:color w:val="auto"/>
                      <w:sz w:val="21"/>
                      <w:szCs w:val="21"/>
                      <w:lang w:eastAsia="zh-CN"/>
                    </w:rPr>
                    <w:t>标准</w:t>
                  </w:r>
                  <w:r>
                    <w:rPr>
                      <w:rFonts w:hint="eastAsia"/>
                      <w:color w:val="auto"/>
                      <w:sz w:val="21"/>
                      <w:szCs w:val="21"/>
                    </w:rPr>
                    <w:t>限值要求</w:t>
                  </w:r>
                </w:p>
              </w:tc>
            </w:tr>
            <w:tr w14:paraId="1F0394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48884FF8">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restart"/>
                  <w:tcBorders>
                    <w:tl2br w:val="nil"/>
                    <w:tr2bl w:val="nil"/>
                  </w:tcBorders>
                  <w:noWrap w:val="0"/>
                  <w:vAlign w:val="center"/>
                </w:tcPr>
                <w:p w14:paraId="57B2A54D">
                  <w:pPr>
                    <w:pStyle w:val="102"/>
                    <w:keepNext w:val="0"/>
                    <w:keepLines w:val="0"/>
                    <w:suppressLineNumbers w:val="0"/>
                    <w:overflowPunct w:val="0"/>
                    <w:adjustRightInd w:val="0"/>
                    <w:snapToGrid w:val="0"/>
                    <w:spacing w:before="0" w:beforeAutospacing="0" w:after="0" w:afterAutospacing="0"/>
                    <w:ind w:left="0" w:right="0"/>
                    <w:rPr>
                      <w:rFonts w:hint="eastAsia" w:eastAsia="宋体"/>
                      <w:color w:val="auto"/>
                      <w:sz w:val="21"/>
                      <w:szCs w:val="21"/>
                      <w:lang w:eastAsia="zh-CN"/>
                    </w:rPr>
                  </w:pPr>
                  <w:r>
                    <w:rPr>
                      <w:rFonts w:hint="eastAsia"/>
                      <w:color w:val="auto"/>
                      <w:sz w:val="21"/>
                      <w:szCs w:val="21"/>
                      <w:lang w:eastAsia="zh-CN"/>
                    </w:rPr>
                    <w:t>厂界（厂界上风向及下风向，设参照点和监控点）</w:t>
                  </w:r>
                </w:p>
              </w:tc>
              <w:tc>
                <w:tcPr>
                  <w:tcW w:w="786" w:type="pct"/>
                  <w:tcBorders>
                    <w:tl2br w:val="nil"/>
                    <w:tr2bl w:val="nil"/>
                  </w:tcBorders>
                  <w:noWrap w:val="0"/>
                  <w:vAlign w:val="center"/>
                </w:tcPr>
                <w:p w14:paraId="731C2970">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lang w:eastAsia="zh-CN"/>
                    </w:rPr>
                  </w:pPr>
                  <w:r>
                    <w:rPr>
                      <w:rFonts w:hint="eastAsia"/>
                      <w:color w:val="auto"/>
                      <w:sz w:val="21"/>
                      <w:szCs w:val="21"/>
                      <w:lang w:eastAsia="zh-CN"/>
                    </w:rPr>
                    <w:t>非甲烷总烃</w:t>
                  </w:r>
                </w:p>
              </w:tc>
              <w:tc>
                <w:tcPr>
                  <w:tcW w:w="642" w:type="pct"/>
                  <w:vMerge w:val="restart"/>
                  <w:tcBorders>
                    <w:tl2br w:val="nil"/>
                    <w:tr2bl w:val="nil"/>
                  </w:tcBorders>
                  <w:noWrap w:val="0"/>
                  <w:vAlign w:val="center"/>
                </w:tcPr>
                <w:p w14:paraId="1F86E08D">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r>
                    <w:rPr>
                      <w:rFonts w:hint="default"/>
                      <w:color w:val="auto"/>
                      <w:sz w:val="21"/>
                      <w:szCs w:val="21"/>
                    </w:rPr>
                    <w:t>1次/</w:t>
                  </w:r>
                  <w:r>
                    <w:rPr>
                      <w:rFonts w:hint="eastAsia"/>
                      <w:color w:val="auto"/>
                      <w:sz w:val="21"/>
                      <w:szCs w:val="21"/>
                    </w:rPr>
                    <w:t>年</w:t>
                  </w:r>
                </w:p>
              </w:tc>
              <w:tc>
                <w:tcPr>
                  <w:tcW w:w="2270" w:type="pct"/>
                  <w:vMerge w:val="restart"/>
                  <w:tcBorders>
                    <w:tl2br w:val="nil"/>
                    <w:tr2bl w:val="nil"/>
                  </w:tcBorders>
                  <w:noWrap w:val="0"/>
                  <w:vAlign w:val="center"/>
                </w:tcPr>
                <w:p w14:paraId="03D0F6C4">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r>
                    <w:rPr>
                      <w:rFonts w:hint="eastAsia"/>
                      <w:color w:val="auto"/>
                      <w:sz w:val="21"/>
                      <w:szCs w:val="21"/>
                    </w:rPr>
                    <w:t>《合成树脂工业污染物排放标准》（GB31572-2015及2024年修改单）表9中标准限值要求</w:t>
                  </w:r>
                </w:p>
              </w:tc>
            </w:tr>
            <w:tr w14:paraId="34D1ED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1340260E">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continue"/>
                  <w:tcBorders>
                    <w:tl2br w:val="nil"/>
                    <w:tr2bl w:val="nil"/>
                  </w:tcBorders>
                  <w:noWrap w:val="0"/>
                  <w:vAlign w:val="center"/>
                </w:tcPr>
                <w:p w14:paraId="5FFE93AD">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lang w:eastAsia="zh-CN"/>
                    </w:rPr>
                  </w:pPr>
                </w:p>
              </w:tc>
              <w:tc>
                <w:tcPr>
                  <w:tcW w:w="786" w:type="pct"/>
                  <w:tcBorders>
                    <w:tl2br w:val="nil"/>
                    <w:tr2bl w:val="nil"/>
                  </w:tcBorders>
                  <w:noWrap w:val="0"/>
                  <w:vAlign w:val="center"/>
                </w:tcPr>
                <w:p w14:paraId="4C542965">
                  <w:pPr>
                    <w:pStyle w:val="102"/>
                    <w:overflowPunct w:val="0"/>
                    <w:adjustRightInd w:val="0"/>
                    <w:snapToGrid w:val="0"/>
                    <w:ind w:firstLine="0" w:firstLineChars="0"/>
                    <w:rPr>
                      <w:rFonts w:hint="eastAsia"/>
                      <w:color w:val="auto"/>
                      <w:kern w:val="2"/>
                      <w:sz w:val="21"/>
                      <w:szCs w:val="21"/>
                      <w:highlight w:val="none"/>
                      <w:lang w:val="en-US" w:eastAsia="zh-CN" w:bidi="ar-SA"/>
                    </w:rPr>
                  </w:pPr>
                  <w:r>
                    <w:rPr>
                      <w:rFonts w:hint="eastAsia"/>
                      <w:color w:val="auto"/>
                      <w:sz w:val="21"/>
                      <w:szCs w:val="21"/>
                      <w:highlight w:val="none"/>
                    </w:rPr>
                    <w:t>甲苯</w:t>
                  </w:r>
                </w:p>
              </w:tc>
              <w:tc>
                <w:tcPr>
                  <w:tcW w:w="642" w:type="pct"/>
                  <w:vMerge w:val="continue"/>
                  <w:tcBorders>
                    <w:tl2br w:val="nil"/>
                    <w:tr2bl w:val="nil"/>
                  </w:tcBorders>
                  <w:noWrap w:val="0"/>
                  <w:vAlign w:val="center"/>
                </w:tcPr>
                <w:p w14:paraId="590F75E7">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p>
              </w:tc>
              <w:tc>
                <w:tcPr>
                  <w:tcW w:w="2270" w:type="pct"/>
                  <w:vMerge w:val="continue"/>
                  <w:tcBorders>
                    <w:tl2br w:val="nil"/>
                    <w:tr2bl w:val="nil"/>
                  </w:tcBorders>
                  <w:noWrap w:val="0"/>
                  <w:vAlign w:val="center"/>
                </w:tcPr>
                <w:p w14:paraId="4B22EA5D">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r>
            <w:tr w14:paraId="1018BC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444F52B4">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continue"/>
                  <w:tcBorders>
                    <w:tl2br w:val="nil"/>
                    <w:tr2bl w:val="nil"/>
                  </w:tcBorders>
                  <w:noWrap w:val="0"/>
                  <w:vAlign w:val="center"/>
                </w:tcPr>
                <w:p w14:paraId="2334904B">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lang w:eastAsia="zh-CN"/>
                    </w:rPr>
                  </w:pPr>
                </w:p>
              </w:tc>
              <w:tc>
                <w:tcPr>
                  <w:tcW w:w="786" w:type="pct"/>
                  <w:tcBorders>
                    <w:tl2br w:val="nil"/>
                    <w:tr2bl w:val="nil"/>
                  </w:tcBorders>
                  <w:noWrap w:val="0"/>
                  <w:vAlign w:val="center"/>
                </w:tcPr>
                <w:p w14:paraId="6698973F">
                  <w:pPr>
                    <w:pStyle w:val="102"/>
                    <w:overflowPunct w:val="0"/>
                    <w:adjustRightInd w:val="0"/>
                    <w:snapToGrid w:val="0"/>
                    <w:ind w:firstLine="0" w:firstLineChars="0"/>
                    <w:rPr>
                      <w:rFonts w:hint="eastAsia"/>
                      <w:color w:val="auto"/>
                      <w:kern w:val="2"/>
                      <w:sz w:val="21"/>
                      <w:szCs w:val="21"/>
                      <w:highlight w:val="none"/>
                      <w:lang w:val="en-US" w:eastAsia="zh-CN" w:bidi="ar-SA"/>
                    </w:rPr>
                  </w:pPr>
                  <w:r>
                    <w:rPr>
                      <w:rFonts w:hint="eastAsia"/>
                      <w:color w:val="auto"/>
                      <w:sz w:val="21"/>
                      <w:szCs w:val="21"/>
                      <w:highlight w:val="none"/>
                      <w:lang w:val="en-US" w:eastAsia="zh-CN"/>
                    </w:rPr>
                    <w:t>苯乙烯</w:t>
                  </w:r>
                </w:p>
              </w:tc>
              <w:tc>
                <w:tcPr>
                  <w:tcW w:w="642" w:type="pct"/>
                  <w:vMerge w:val="continue"/>
                  <w:tcBorders>
                    <w:tl2br w:val="nil"/>
                    <w:tr2bl w:val="nil"/>
                  </w:tcBorders>
                  <w:noWrap w:val="0"/>
                  <w:vAlign w:val="center"/>
                </w:tcPr>
                <w:p w14:paraId="29302B21">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p>
              </w:tc>
              <w:tc>
                <w:tcPr>
                  <w:tcW w:w="2270" w:type="pct"/>
                  <w:vMerge w:val="continue"/>
                  <w:tcBorders>
                    <w:tl2br w:val="nil"/>
                    <w:tr2bl w:val="nil"/>
                  </w:tcBorders>
                  <w:noWrap w:val="0"/>
                  <w:vAlign w:val="center"/>
                </w:tcPr>
                <w:p w14:paraId="396162BA">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r>
            <w:tr w14:paraId="3C0329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94" w:type="pct"/>
                  <w:vMerge w:val="continue"/>
                  <w:tcBorders>
                    <w:tl2br w:val="nil"/>
                    <w:tr2bl w:val="nil"/>
                  </w:tcBorders>
                  <w:noWrap w:val="0"/>
                  <w:vAlign w:val="center"/>
                </w:tcPr>
                <w:p w14:paraId="300A355C">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p>
              </w:tc>
              <w:tc>
                <w:tcPr>
                  <w:tcW w:w="906" w:type="pct"/>
                  <w:vMerge w:val="continue"/>
                  <w:tcBorders>
                    <w:tl2br w:val="nil"/>
                    <w:tr2bl w:val="nil"/>
                  </w:tcBorders>
                  <w:noWrap w:val="0"/>
                  <w:vAlign w:val="center"/>
                </w:tcPr>
                <w:p w14:paraId="39407FBB">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lang w:eastAsia="zh-CN"/>
                    </w:rPr>
                  </w:pPr>
                </w:p>
              </w:tc>
              <w:tc>
                <w:tcPr>
                  <w:tcW w:w="786" w:type="pct"/>
                  <w:tcBorders>
                    <w:tl2br w:val="nil"/>
                    <w:tr2bl w:val="nil"/>
                  </w:tcBorders>
                  <w:noWrap w:val="0"/>
                  <w:vAlign w:val="center"/>
                </w:tcPr>
                <w:p w14:paraId="1FDD15DF">
                  <w:pPr>
                    <w:pStyle w:val="102"/>
                    <w:keepNext w:val="0"/>
                    <w:keepLines w:val="0"/>
                    <w:suppressLineNumbers w:val="0"/>
                    <w:overflowPunct w:val="0"/>
                    <w:adjustRightInd w:val="0"/>
                    <w:snapToGrid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臭气浓度</w:t>
                  </w:r>
                </w:p>
              </w:tc>
              <w:tc>
                <w:tcPr>
                  <w:tcW w:w="642" w:type="pct"/>
                  <w:vMerge w:val="continue"/>
                  <w:tcBorders>
                    <w:tl2br w:val="nil"/>
                    <w:tr2bl w:val="nil"/>
                  </w:tcBorders>
                  <w:noWrap w:val="0"/>
                  <w:vAlign w:val="center"/>
                </w:tcPr>
                <w:p w14:paraId="29282FEC">
                  <w:pPr>
                    <w:pStyle w:val="102"/>
                    <w:keepNext w:val="0"/>
                    <w:keepLines w:val="0"/>
                    <w:suppressLineNumbers w:val="0"/>
                    <w:overflowPunct w:val="0"/>
                    <w:adjustRightInd w:val="0"/>
                    <w:snapToGrid w:val="0"/>
                    <w:spacing w:before="0" w:beforeAutospacing="0" w:after="0" w:afterAutospacing="0"/>
                    <w:ind w:left="0" w:right="0"/>
                    <w:rPr>
                      <w:rFonts w:hint="default"/>
                      <w:color w:val="auto"/>
                      <w:sz w:val="21"/>
                      <w:szCs w:val="21"/>
                    </w:rPr>
                  </w:pPr>
                </w:p>
              </w:tc>
              <w:tc>
                <w:tcPr>
                  <w:tcW w:w="2270" w:type="pct"/>
                  <w:tcBorders>
                    <w:tl2br w:val="nil"/>
                    <w:tr2bl w:val="nil"/>
                  </w:tcBorders>
                  <w:noWrap w:val="0"/>
                  <w:vAlign w:val="center"/>
                </w:tcPr>
                <w:p w14:paraId="5EE214A4">
                  <w:pPr>
                    <w:pStyle w:val="102"/>
                    <w:keepNext w:val="0"/>
                    <w:keepLines w:val="0"/>
                    <w:suppressLineNumbers w:val="0"/>
                    <w:overflowPunct w:val="0"/>
                    <w:adjustRightInd w:val="0"/>
                    <w:snapToGrid w:val="0"/>
                    <w:spacing w:before="0" w:beforeAutospacing="0" w:after="0" w:afterAutospacing="0"/>
                    <w:ind w:left="0" w:right="0"/>
                    <w:rPr>
                      <w:rFonts w:hint="eastAsia"/>
                      <w:color w:val="auto"/>
                      <w:sz w:val="21"/>
                      <w:szCs w:val="21"/>
                    </w:rPr>
                  </w:pPr>
                  <w:r>
                    <w:rPr>
                      <w:rFonts w:hint="eastAsia"/>
                      <w:color w:val="auto"/>
                      <w:sz w:val="21"/>
                      <w:szCs w:val="21"/>
                    </w:rPr>
                    <w:t>《恶臭污染物排放标准》（GB14554-93）表1中恶臭污染物厂界标准限值要求</w:t>
                  </w:r>
                </w:p>
              </w:tc>
            </w:tr>
          </w:tbl>
          <w:p w14:paraId="61C2000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5、</w:t>
            </w:r>
            <w:r>
              <w:rPr>
                <w:rFonts w:hint="eastAsia" w:ascii="Times New Roman" w:hAnsi="Times New Roman" w:eastAsia="宋体" w:cs="Times New Roman"/>
                <w:b/>
                <w:color w:val="auto"/>
                <w:kern w:val="0"/>
                <w:sz w:val="24"/>
                <w:lang w:val="en-US" w:eastAsia="zh-CN"/>
              </w:rPr>
              <w:t>大气</w:t>
            </w:r>
            <w:r>
              <w:rPr>
                <w:rFonts w:hint="default" w:ascii="Times New Roman" w:hAnsi="Times New Roman" w:eastAsia="宋体" w:cs="Times New Roman"/>
                <w:b/>
                <w:color w:val="auto"/>
                <w:kern w:val="0"/>
                <w:sz w:val="24"/>
              </w:rPr>
              <w:t>影响分析</w:t>
            </w:r>
          </w:p>
          <w:p w14:paraId="33CB82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highlight w:val="none"/>
              </w:rPr>
            </w:pPr>
            <w:r>
              <w:rPr>
                <w:color w:val="auto"/>
                <w:kern w:val="0"/>
                <w:sz w:val="24"/>
                <w:highlight w:val="none"/>
              </w:rPr>
              <w:t>本项目</w:t>
            </w:r>
            <w:r>
              <w:rPr>
                <w:color w:val="auto"/>
                <w:sz w:val="24"/>
                <w:highlight w:val="none"/>
              </w:rPr>
              <w:t>位于</w:t>
            </w:r>
            <w:r>
              <w:rPr>
                <w:rFonts w:hint="eastAsia"/>
                <w:color w:val="auto"/>
                <w:sz w:val="24"/>
                <w:highlight w:val="none"/>
                <w:lang w:val="en-US" w:eastAsia="zh-CN"/>
              </w:rPr>
              <w:t>固原市经济开发区新材料园区，</w:t>
            </w:r>
            <w:r>
              <w:rPr>
                <w:rFonts w:hint="eastAsia"/>
                <w:color w:val="auto"/>
                <w:sz w:val="24"/>
                <w:highlight w:val="none"/>
              </w:rPr>
              <w:t>根据《2024年宁夏生态环境质量状况》，</w:t>
            </w:r>
            <w:r>
              <w:rPr>
                <w:rFonts w:hint="eastAsia"/>
                <w:color w:val="auto"/>
                <w:sz w:val="24"/>
                <w:highlight w:val="none"/>
                <w:lang w:val="en-US" w:eastAsia="zh-CN"/>
              </w:rPr>
              <w:t>固原市（原州区）</w:t>
            </w:r>
            <w:r>
              <w:rPr>
                <w:rFonts w:hint="eastAsia"/>
                <w:color w:val="auto"/>
                <w:sz w:val="24"/>
                <w:highlight w:val="none"/>
              </w:rPr>
              <w:t>剔除沙尘天气后环境空气质量属于达标区。</w:t>
            </w:r>
          </w:p>
          <w:p w14:paraId="41C2D9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kern w:val="0"/>
                <w:sz w:val="24"/>
                <w:highlight w:val="none"/>
              </w:rPr>
            </w:pPr>
            <w:r>
              <w:rPr>
                <w:color w:val="auto"/>
                <w:kern w:val="0"/>
                <w:sz w:val="24"/>
                <w:highlight w:val="none"/>
              </w:rPr>
              <w:t>本项目</w:t>
            </w:r>
            <w:r>
              <w:rPr>
                <w:rFonts w:hint="eastAsia"/>
                <w:color w:val="auto"/>
                <w:kern w:val="0"/>
                <w:sz w:val="24"/>
                <w:highlight w:val="none"/>
                <w:lang w:val="en-US" w:eastAsia="zh-CN"/>
              </w:rPr>
              <w:t>共设置2条生产线，</w:t>
            </w:r>
            <w:r>
              <w:rPr>
                <w:rFonts w:hint="eastAsia"/>
                <w:color w:val="auto"/>
                <w:kern w:val="0"/>
                <w:sz w:val="24"/>
                <w:highlight w:val="none"/>
              </w:rPr>
              <w:t>发泡、成型工序废气</w:t>
            </w:r>
            <w:r>
              <w:rPr>
                <w:color w:val="auto"/>
                <w:kern w:val="0"/>
                <w:sz w:val="24"/>
                <w:highlight w:val="none"/>
              </w:rPr>
              <w:t>通过集气罩</w:t>
            </w:r>
            <w:r>
              <w:rPr>
                <w:rFonts w:hint="eastAsia"/>
                <w:color w:val="auto"/>
                <w:kern w:val="0"/>
                <w:sz w:val="24"/>
                <w:highlight w:val="none"/>
                <w:lang w:eastAsia="zh-CN"/>
              </w:rPr>
              <w:t>（</w:t>
            </w:r>
            <w:r>
              <w:rPr>
                <w:rFonts w:hint="eastAsia"/>
                <w:color w:val="auto"/>
                <w:kern w:val="0"/>
                <w:sz w:val="24"/>
                <w:highlight w:val="none"/>
                <w:lang w:val="en-US" w:eastAsia="zh-CN"/>
              </w:rPr>
              <w:t>一期8台，二期14台</w:t>
            </w:r>
            <w:r>
              <w:rPr>
                <w:rFonts w:hint="eastAsia"/>
                <w:color w:val="auto"/>
                <w:kern w:val="0"/>
                <w:sz w:val="24"/>
                <w:highlight w:val="none"/>
                <w:lang w:eastAsia="zh-CN"/>
              </w:rPr>
              <w:t>）</w:t>
            </w:r>
            <w:r>
              <w:rPr>
                <w:color w:val="auto"/>
                <w:kern w:val="0"/>
                <w:sz w:val="24"/>
                <w:highlight w:val="none"/>
              </w:rPr>
              <w:t>（收集</w:t>
            </w:r>
            <w:r>
              <w:rPr>
                <w:rFonts w:hint="eastAsia"/>
                <w:color w:val="auto"/>
                <w:kern w:val="0"/>
                <w:sz w:val="24"/>
                <w:highlight w:val="none"/>
              </w:rPr>
              <w:t>效</w:t>
            </w:r>
            <w:r>
              <w:rPr>
                <w:color w:val="auto"/>
                <w:kern w:val="0"/>
                <w:sz w:val="24"/>
                <w:highlight w:val="none"/>
              </w:rPr>
              <w:t>率9</w:t>
            </w:r>
            <w:r>
              <w:rPr>
                <w:rFonts w:hint="eastAsia"/>
                <w:color w:val="auto"/>
                <w:kern w:val="0"/>
                <w:sz w:val="24"/>
                <w:highlight w:val="none"/>
              </w:rPr>
              <w:t>0</w:t>
            </w:r>
            <w:r>
              <w:rPr>
                <w:color w:val="auto"/>
                <w:kern w:val="0"/>
                <w:sz w:val="24"/>
                <w:highlight w:val="none"/>
              </w:rPr>
              <w:t>%）收集后</w:t>
            </w:r>
            <w:r>
              <w:rPr>
                <w:rFonts w:hint="eastAsia"/>
                <w:color w:val="auto"/>
                <w:kern w:val="0"/>
                <w:sz w:val="24"/>
                <w:highlight w:val="none"/>
                <w:lang w:val="en-US" w:eastAsia="zh-CN"/>
              </w:rPr>
              <w:t>分别</w:t>
            </w:r>
            <w:r>
              <w:rPr>
                <w:color w:val="auto"/>
                <w:kern w:val="0"/>
                <w:sz w:val="24"/>
                <w:highlight w:val="none"/>
              </w:rPr>
              <w:t>经</w:t>
            </w:r>
            <w:r>
              <w:rPr>
                <w:rFonts w:hint="eastAsia"/>
                <w:color w:val="auto"/>
                <w:kern w:val="0"/>
                <w:sz w:val="24"/>
                <w:highlight w:val="none"/>
              </w:rPr>
              <w:t>1套</w:t>
            </w:r>
            <w:r>
              <w:rPr>
                <w:rFonts w:hint="eastAsia"/>
                <w:color w:val="auto"/>
                <w:kern w:val="0"/>
                <w:sz w:val="24"/>
                <w:highlight w:val="none"/>
                <w:lang w:eastAsia="zh-CN"/>
              </w:rPr>
              <w:t>（</w:t>
            </w:r>
            <w:r>
              <w:rPr>
                <w:rFonts w:hint="eastAsia" w:cs="Times New Roman"/>
                <w:color w:val="auto"/>
                <w:kern w:val="0"/>
                <w:sz w:val="24"/>
                <w:lang w:val="en-US" w:eastAsia="zh-CN"/>
              </w:rPr>
              <w:t>共2套，一期1套、二期1套</w:t>
            </w:r>
            <w:r>
              <w:rPr>
                <w:rFonts w:hint="eastAsia"/>
                <w:color w:val="auto"/>
                <w:kern w:val="0"/>
                <w:sz w:val="24"/>
                <w:highlight w:val="none"/>
                <w:lang w:eastAsia="zh-CN"/>
              </w:rPr>
              <w:t>）</w:t>
            </w:r>
            <w:r>
              <w:rPr>
                <w:rFonts w:hint="eastAsia"/>
                <w:color w:val="auto"/>
                <w:kern w:val="0"/>
                <w:sz w:val="24"/>
                <w:highlight w:val="none"/>
              </w:rPr>
              <w:t>“二级活性炭吸附装置”</w:t>
            </w:r>
            <w:r>
              <w:rPr>
                <w:color w:val="auto"/>
                <w:kern w:val="0"/>
                <w:sz w:val="24"/>
                <w:highlight w:val="none"/>
              </w:rPr>
              <w:t>（</w:t>
            </w:r>
            <w:r>
              <w:rPr>
                <w:rFonts w:hint="eastAsia"/>
                <w:color w:val="auto"/>
                <w:kern w:val="0"/>
                <w:sz w:val="24"/>
                <w:highlight w:val="none"/>
                <w:lang w:eastAsia="zh-CN"/>
              </w:rPr>
              <w:t>处理效率75</w:t>
            </w:r>
            <w:r>
              <w:rPr>
                <w:rFonts w:hint="eastAsia"/>
                <w:color w:val="auto"/>
                <w:kern w:val="0"/>
                <w:sz w:val="24"/>
                <w:highlight w:val="none"/>
              </w:rPr>
              <w:t>%</w:t>
            </w:r>
            <w:r>
              <w:rPr>
                <w:color w:val="auto"/>
                <w:kern w:val="0"/>
                <w:sz w:val="24"/>
                <w:highlight w:val="none"/>
              </w:rPr>
              <w:t>）处理</w:t>
            </w:r>
            <w:r>
              <w:rPr>
                <w:rFonts w:hint="eastAsia"/>
                <w:color w:val="auto"/>
                <w:kern w:val="0"/>
                <w:sz w:val="24"/>
                <w:highlight w:val="none"/>
              </w:rPr>
              <w:t>，处理后的废气</w:t>
            </w:r>
            <w:r>
              <w:rPr>
                <w:color w:val="auto"/>
                <w:kern w:val="0"/>
                <w:sz w:val="24"/>
                <w:highlight w:val="none"/>
              </w:rPr>
              <w:t>经1根15m高的排气筒（</w:t>
            </w:r>
            <w:r>
              <w:rPr>
                <w:rFonts w:hint="eastAsia" w:cs="Times New Roman"/>
                <w:color w:val="auto"/>
                <w:kern w:val="0"/>
                <w:sz w:val="24"/>
                <w:lang w:val="en-US" w:eastAsia="zh-CN"/>
              </w:rPr>
              <w:t>一期</w:t>
            </w:r>
            <w:r>
              <w:rPr>
                <w:rFonts w:hint="default" w:ascii="Times New Roman" w:hAnsi="Times New Roman" w:cs="Times New Roman"/>
                <w:color w:val="auto"/>
                <w:kern w:val="0"/>
                <w:sz w:val="24"/>
                <w:lang w:eastAsia="zh-CN"/>
              </w:rPr>
              <w:t>DA00</w:t>
            </w:r>
            <w:r>
              <w:rPr>
                <w:rFonts w:hint="eastAsia" w:cs="Times New Roman"/>
                <w:color w:val="auto"/>
                <w:kern w:val="0"/>
                <w:sz w:val="24"/>
                <w:lang w:val="en-US" w:eastAsia="zh-CN"/>
              </w:rPr>
              <w:t>1、二期</w:t>
            </w:r>
            <w:r>
              <w:rPr>
                <w:rFonts w:hint="default" w:ascii="Times New Roman" w:hAnsi="Times New Roman" w:cs="Times New Roman"/>
                <w:color w:val="auto"/>
                <w:kern w:val="0"/>
                <w:sz w:val="24"/>
                <w:lang w:eastAsia="zh-CN"/>
              </w:rPr>
              <w:t>DA00</w:t>
            </w:r>
            <w:r>
              <w:rPr>
                <w:rFonts w:hint="eastAsia" w:cs="Times New Roman"/>
                <w:color w:val="auto"/>
                <w:kern w:val="0"/>
                <w:sz w:val="24"/>
                <w:lang w:val="en-US" w:eastAsia="zh-CN"/>
              </w:rPr>
              <w:t>2</w:t>
            </w:r>
            <w:r>
              <w:rPr>
                <w:color w:val="auto"/>
                <w:kern w:val="0"/>
                <w:sz w:val="24"/>
                <w:highlight w:val="none"/>
              </w:rPr>
              <w:t>）排放，</w:t>
            </w:r>
            <w:r>
              <w:rPr>
                <w:rFonts w:hint="eastAsia"/>
                <w:color w:val="auto"/>
                <w:kern w:val="0"/>
                <w:sz w:val="24"/>
                <w:highlight w:val="none"/>
              </w:rPr>
              <w:t>非甲烷总烃、甲苯</w:t>
            </w:r>
            <w:r>
              <w:rPr>
                <w:rFonts w:hint="eastAsia"/>
                <w:color w:val="auto"/>
                <w:kern w:val="0"/>
                <w:sz w:val="24"/>
                <w:highlight w:val="none"/>
                <w:lang w:eastAsia="zh-CN"/>
              </w:rPr>
              <w:t>、</w:t>
            </w:r>
            <w:r>
              <w:rPr>
                <w:rFonts w:hint="eastAsia"/>
                <w:color w:val="auto"/>
                <w:sz w:val="24"/>
                <w:highlight w:val="none"/>
              </w:rPr>
              <w:t>苯乙烯及乙苯</w:t>
            </w:r>
            <w:r>
              <w:rPr>
                <w:rFonts w:hint="eastAsia"/>
                <w:color w:val="auto"/>
                <w:kern w:val="0"/>
                <w:sz w:val="24"/>
                <w:highlight w:val="none"/>
              </w:rPr>
              <w:t>排放浓度及单位产品非甲烷总烃排放量均</w:t>
            </w:r>
            <w:r>
              <w:rPr>
                <w:color w:val="auto"/>
                <w:kern w:val="0"/>
                <w:sz w:val="24"/>
                <w:highlight w:val="none"/>
              </w:rPr>
              <w:t>满足</w:t>
            </w:r>
            <w:r>
              <w:rPr>
                <w:rFonts w:hint="eastAsia"/>
                <w:color w:val="auto"/>
                <w:kern w:val="0"/>
                <w:sz w:val="24"/>
                <w:highlight w:val="none"/>
              </w:rPr>
              <w:t>《合成树脂工业污染物排放标准》（GB31572-2015及2024年修改单）中表4和表9的标准限值要求。</w:t>
            </w:r>
            <w:r>
              <w:rPr>
                <w:color w:val="auto"/>
                <w:kern w:val="0"/>
                <w:sz w:val="24"/>
                <w:highlight w:val="none"/>
              </w:rPr>
              <w:t>因此，采取上述措施后，本项目废气对大气环境影响较小。</w:t>
            </w:r>
          </w:p>
          <w:p w14:paraId="373F941A">
            <w:pPr>
              <w:pStyle w:val="51"/>
              <w:ind w:firstLine="482"/>
              <w:jc w:val="both"/>
              <w:rPr>
                <w:rFonts w:hint="default" w:ascii="Times New Roman" w:hAnsi="Times New Roman" w:eastAsia="宋体" w:cs="Times New Roman"/>
                <w:b/>
                <w:snapToGrid/>
                <w:color w:val="auto"/>
                <w:szCs w:val="24"/>
                <w:lang w:eastAsia="zh-CN"/>
              </w:rPr>
            </w:pPr>
            <w:r>
              <w:rPr>
                <w:rFonts w:hint="default" w:ascii="Times New Roman" w:hAnsi="Times New Roman" w:eastAsia="宋体" w:cs="Times New Roman"/>
                <w:b/>
                <w:snapToGrid/>
                <w:color w:val="auto"/>
                <w:szCs w:val="24"/>
                <w:lang w:eastAsia="zh-CN"/>
              </w:rPr>
              <w:t>二、运营期水环境影响分析及防治对策</w:t>
            </w:r>
          </w:p>
          <w:p w14:paraId="606A1DAA">
            <w:pPr>
              <w:adjustRightInd w:val="0"/>
              <w:snapToGrid w:val="0"/>
              <w:spacing w:line="360" w:lineRule="auto"/>
              <w:ind w:firstLine="482" w:firstLineChars="200"/>
              <w:jc w:val="both"/>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1、废水污染源分析</w:t>
            </w:r>
          </w:p>
          <w:p w14:paraId="481D6086">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1 \* GB3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①</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污染源强核算</w:t>
            </w:r>
          </w:p>
          <w:p w14:paraId="438DF703">
            <w:pPr>
              <w:adjustRightInd w:val="0"/>
              <w:snapToGrid w:val="0"/>
              <w:spacing w:line="360" w:lineRule="auto"/>
              <w:ind w:firstLine="480" w:firstLineChars="200"/>
              <w:jc w:val="both"/>
              <w:rPr>
                <w:rFonts w:hint="default" w:eastAsia="宋体"/>
                <w:color w:val="auto"/>
                <w:sz w:val="24"/>
                <w:lang w:val="en-US" w:eastAsia="zh-CN"/>
              </w:rPr>
            </w:pPr>
            <w:r>
              <w:rPr>
                <w:rFonts w:hint="default" w:ascii="Times New Roman" w:hAnsi="Times New Roman" w:eastAsia="宋体" w:cs="Times New Roman"/>
                <w:color w:val="auto"/>
                <w:kern w:val="0"/>
                <w:sz w:val="24"/>
              </w:rPr>
              <w:t>本</w:t>
            </w:r>
            <w:r>
              <w:rPr>
                <w:rFonts w:hint="eastAsia" w:ascii="Times New Roman" w:hAnsi="Times New Roman" w:eastAsia="宋体" w:cs="Times New Roman"/>
                <w:color w:val="auto"/>
                <w:kern w:val="0"/>
                <w:sz w:val="24"/>
                <w:lang w:val="en-US" w:eastAsia="zh-CN"/>
              </w:rPr>
              <w:t>项目</w:t>
            </w:r>
            <w:r>
              <w:rPr>
                <w:rFonts w:hint="eastAsia"/>
                <w:color w:val="auto"/>
                <w:sz w:val="24"/>
                <w:lang w:val="en-US" w:eastAsia="zh-CN"/>
              </w:rPr>
              <w:t>废水主要为</w:t>
            </w:r>
            <w:r>
              <w:rPr>
                <w:rFonts w:hint="eastAsia"/>
                <w:color w:val="auto"/>
                <w:sz w:val="24"/>
                <w:szCs w:val="24"/>
              </w:rPr>
              <w:t>循环冷却系统排水及生活污水</w:t>
            </w:r>
            <w:r>
              <w:rPr>
                <w:rFonts w:hint="eastAsia"/>
                <w:color w:val="auto"/>
                <w:sz w:val="24"/>
                <w:lang w:val="en-US" w:eastAsia="zh-CN"/>
              </w:rPr>
              <w:t>，废水产生总量为1.96</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294</w:t>
            </w:r>
            <w:r>
              <w:rPr>
                <w:bCs/>
                <w:color w:val="auto"/>
                <w:sz w:val="24"/>
              </w:rPr>
              <w:t>m</w:t>
            </w:r>
            <w:r>
              <w:rPr>
                <w:bCs/>
                <w:color w:val="auto"/>
                <w:sz w:val="24"/>
                <w:vertAlign w:val="superscript"/>
              </w:rPr>
              <w:t>3</w:t>
            </w:r>
            <w:r>
              <w:rPr>
                <w:bCs/>
                <w:color w:val="auto"/>
                <w:sz w:val="24"/>
              </w:rPr>
              <w:t>/a）</w:t>
            </w:r>
            <w:r>
              <w:rPr>
                <w:rFonts w:hint="eastAsia"/>
                <w:bCs/>
                <w:color w:val="auto"/>
                <w:sz w:val="24"/>
                <w:lang w:eastAsia="zh-CN"/>
              </w:rPr>
              <w:t>。</w:t>
            </w:r>
            <w:r>
              <w:rPr>
                <w:rFonts w:hint="eastAsia"/>
                <w:bCs/>
                <w:color w:val="auto"/>
                <w:sz w:val="24"/>
                <w:lang w:val="en-US" w:eastAsia="zh-CN"/>
              </w:rPr>
              <w:t>一期、二期生活污水产生量均相同，</w:t>
            </w:r>
            <w:r>
              <w:rPr>
                <w:rFonts w:hint="eastAsia"/>
                <w:color w:val="auto"/>
                <w:sz w:val="24"/>
                <w:lang w:val="en-US" w:eastAsia="zh-CN"/>
              </w:rPr>
              <w:t>均</w:t>
            </w:r>
            <w:r>
              <w:rPr>
                <w:rFonts w:hint="eastAsia"/>
                <w:color w:val="auto"/>
                <w:sz w:val="24"/>
              </w:rPr>
              <w:t>为</w:t>
            </w:r>
            <w:r>
              <w:rPr>
                <w:rFonts w:hint="eastAsia"/>
                <w:color w:val="auto"/>
                <w:sz w:val="24"/>
                <w:lang w:val="en-US" w:eastAsia="zh-CN"/>
              </w:rPr>
              <w:t>0.8</w:t>
            </w:r>
            <w:r>
              <w:rPr>
                <w:rFonts w:hint="eastAsia"/>
                <w:color w:val="auto"/>
                <w:sz w:val="24"/>
              </w:rPr>
              <w:t>m</w:t>
            </w:r>
            <w:r>
              <w:rPr>
                <w:rFonts w:hint="eastAsia"/>
                <w:color w:val="auto"/>
                <w:sz w:val="24"/>
                <w:vertAlign w:val="superscript"/>
              </w:rPr>
              <w:t>3</w:t>
            </w:r>
            <w:r>
              <w:rPr>
                <w:rFonts w:hint="eastAsia"/>
                <w:color w:val="auto"/>
                <w:sz w:val="24"/>
              </w:rPr>
              <w:t>/d（</w:t>
            </w:r>
            <w:r>
              <w:rPr>
                <w:rFonts w:hint="eastAsia"/>
                <w:color w:val="auto"/>
                <w:sz w:val="24"/>
                <w:lang w:val="en-US" w:eastAsia="zh-CN"/>
              </w:rPr>
              <w:t>120</w:t>
            </w:r>
            <w:r>
              <w:rPr>
                <w:rFonts w:hint="eastAsia"/>
                <w:color w:val="auto"/>
                <w:sz w:val="24"/>
              </w:rPr>
              <w:t>m</w:t>
            </w:r>
            <w:r>
              <w:rPr>
                <w:rFonts w:hint="eastAsia"/>
                <w:color w:val="auto"/>
                <w:sz w:val="24"/>
                <w:vertAlign w:val="superscript"/>
              </w:rPr>
              <w:t>3</w:t>
            </w:r>
            <w:r>
              <w:rPr>
                <w:rFonts w:hint="eastAsia"/>
                <w:color w:val="auto"/>
                <w:sz w:val="24"/>
              </w:rPr>
              <w:t>/a），</w:t>
            </w:r>
            <w:r>
              <w:rPr>
                <w:rFonts w:hint="eastAsia"/>
                <w:color w:val="auto"/>
                <w:sz w:val="24"/>
                <w:lang w:val="en-US" w:eastAsia="zh-CN"/>
              </w:rPr>
              <w:t>二期建成后全厂</w:t>
            </w:r>
            <w:r>
              <w:rPr>
                <w:rFonts w:hint="eastAsia"/>
                <w:bCs/>
                <w:color w:val="auto"/>
                <w:sz w:val="24"/>
                <w:lang w:val="en-US" w:eastAsia="zh-CN"/>
              </w:rPr>
              <w:t>循环冷却系统排水量为0.36</w:t>
            </w:r>
            <w:r>
              <w:rPr>
                <w:bCs/>
                <w:color w:val="auto"/>
                <w:sz w:val="24"/>
              </w:rPr>
              <w:t>m</w:t>
            </w:r>
            <w:r>
              <w:rPr>
                <w:bCs/>
                <w:color w:val="auto"/>
                <w:sz w:val="24"/>
                <w:vertAlign w:val="superscript"/>
              </w:rPr>
              <w:t>3</w:t>
            </w:r>
            <w:r>
              <w:rPr>
                <w:bCs/>
                <w:color w:val="auto"/>
                <w:sz w:val="24"/>
              </w:rPr>
              <w:t>/d（</w:t>
            </w:r>
            <w:r>
              <w:rPr>
                <w:rFonts w:hint="eastAsia"/>
                <w:color w:val="auto"/>
                <w:sz w:val="24"/>
                <w:lang w:val="en-US" w:eastAsia="zh-CN"/>
              </w:rPr>
              <w:t>54</w:t>
            </w:r>
            <w:r>
              <w:rPr>
                <w:bCs/>
                <w:color w:val="auto"/>
                <w:sz w:val="24"/>
              </w:rPr>
              <w:t>m</w:t>
            </w:r>
            <w:r>
              <w:rPr>
                <w:bCs/>
                <w:color w:val="auto"/>
                <w:sz w:val="24"/>
                <w:vertAlign w:val="superscript"/>
              </w:rPr>
              <w:t>3</w:t>
            </w:r>
            <w:r>
              <w:rPr>
                <w:bCs/>
                <w:color w:val="auto"/>
                <w:sz w:val="24"/>
              </w:rPr>
              <w:t>/a）</w:t>
            </w:r>
            <w:r>
              <w:rPr>
                <w:rFonts w:hint="eastAsia"/>
                <w:color w:val="auto"/>
                <w:sz w:val="24"/>
              </w:rPr>
              <w:t>，</w:t>
            </w:r>
            <w:r>
              <w:rPr>
                <w:rFonts w:hint="eastAsia"/>
                <w:color w:val="auto"/>
                <w:sz w:val="24"/>
                <w:lang w:val="en-US" w:eastAsia="zh-CN"/>
              </w:rPr>
              <w:t>生活污水经厂区现有</w:t>
            </w:r>
            <w:r>
              <w:rPr>
                <w:color w:val="auto"/>
                <w:kern w:val="0"/>
                <w:sz w:val="24"/>
                <w:szCs w:val="24"/>
              </w:rPr>
              <w:t>化粪池处理后</w:t>
            </w:r>
            <w:r>
              <w:rPr>
                <w:rFonts w:hint="eastAsia"/>
                <w:color w:val="auto"/>
                <w:kern w:val="0"/>
                <w:sz w:val="24"/>
                <w:szCs w:val="24"/>
                <w:lang w:val="en-US" w:eastAsia="zh-CN"/>
              </w:rPr>
              <w:t>汇同循环冷却系统排水</w:t>
            </w:r>
            <w:r>
              <w:rPr>
                <w:color w:val="auto"/>
                <w:kern w:val="0"/>
                <w:sz w:val="24"/>
                <w:szCs w:val="24"/>
              </w:rPr>
              <w:t>排入</w:t>
            </w:r>
            <w:r>
              <w:rPr>
                <w:rFonts w:hint="eastAsia"/>
                <w:color w:val="auto"/>
                <w:kern w:val="0"/>
                <w:sz w:val="24"/>
                <w:szCs w:val="24"/>
              </w:rPr>
              <w:t>园区污水管网</w:t>
            </w:r>
            <w:r>
              <w:rPr>
                <w:color w:val="auto"/>
                <w:kern w:val="0"/>
                <w:sz w:val="24"/>
                <w:szCs w:val="24"/>
              </w:rPr>
              <w:t>，最终进入</w:t>
            </w:r>
            <w:r>
              <w:rPr>
                <w:rFonts w:hint="eastAsia"/>
                <w:color w:val="auto"/>
                <w:kern w:val="0"/>
                <w:sz w:val="24"/>
                <w:szCs w:val="24"/>
                <w:lang w:val="en-US" w:eastAsia="zh-CN"/>
              </w:rPr>
              <w:t>固原经济技术开发区新材料产业园污水处理厂进行处理</w:t>
            </w:r>
            <w:r>
              <w:rPr>
                <w:color w:val="auto"/>
                <w:kern w:val="0"/>
                <w:sz w:val="24"/>
                <w:szCs w:val="24"/>
              </w:rPr>
              <w:t>。</w:t>
            </w:r>
          </w:p>
          <w:p w14:paraId="18700FB7">
            <w:pPr>
              <w:adjustRightInd w:val="0"/>
              <w:snapToGrid w:val="0"/>
              <w:spacing w:line="360" w:lineRule="auto"/>
              <w:ind w:firstLine="480" w:firstLineChars="200"/>
              <w:jc w:val="both"/>
              <w:rPr>
                <w:rFonts w:hint="default" w:ascii="Times New Roman" w:hAnsi="Times New Roman" w:eastAsia="宋体" w:cs="Times New Roman"/>
                <w:color w:val="auto"/>
                <w:kern w:val="0"/>
                <w:sz w:val="24"/>
              </w:rPr>
            </w:pPr>
            <w:r>
              <w:rPr>
                <w:rFonts w:hint="eastAsia" w:ascii="Times New Roman" w:hAnsi="Times New Roman" w:cs="Times New Roman"/>
                <w:color w:val="auto"/>
                <w:kern w:val="2"/>
                <w:sz w:val="24"/>
                <w:szCs w:val="24"/>
                <w:lang w:val="en-US" w:eastAsia="zh-CN" w:bidi="ar-SA"/>
              </w:rPr>
              <w:t>本项目</w:t>
            </w:r>
            <w:r>
              <w:rPr>
                <w:rFonts w:hint="eastAsia" w:cs="Times New Roman"/>
                <w:color w:val="auto"/>
                <w:kern w:val="2"/>
                <w:sz w:val="24"/>
                <w:szCs w:val="24"/>
                <w:lang w:val="en-US" w:eastAsia="zh-CN" w:bidi="ar-SA"/>
              </w:rPr>
              <w:t>一期、二期生活</w:t>
            </w:r>
            <w:r>
              <w:rPr>
                <w:rFonts w:hint="eastAsia" w:cs="Times New Roman"/>
                <w:color w:val="auto"/>
                <w:kern w:val="0"/>
                <w:sz w:val="24"/>
                <w:szCs w:val="24"/>
                <w:lang w:val="en-US" w:eastAsia="zh-CN" w:bidi="ar-SA"/>
              </w:rPr>
              <w:t>污水</w:t>
            </w:r>
            <w:r>
              <w:rPr>
                <w:rFonts w:hint="eastAsia" w:cs="Times New Roman"/>
                <w:color w:val="auto"/>
                <w:spacing w:val="0"/>
                <w:kern w:val="21"/>
                <w:position w:val="0"/>
                <w:sz w:val="24"/>
                <w:szCs w:val="24"/>
                <w:highlight w:val="none"/>
                <w:lang w:val="en-US" w:eastAsia="zh-CN" w:bidi="ar"/>
              </w:rPr>
              <w:t>处理及排放情况见表4-11；</w:t>
            </w:r>
            <w:r>
              <w:rPr>
                <w:rFonts w:hint="eastAsia" w:ascii="Times New Roman" w:hAnsi="Times New Roman" w:cs="Times New Roman"/>
                <w:color w:val="auto"/>
                <w:kern w:val="2"/>
                <w:sz w:val="24"/>
                <w:szCs w:val="24"/>
                <w:lang w:val="en-US" w:eastAsia="zh-CN" w:bidi="ar-SA"/>
              </w:rPr>
              <w:t>项目</w:t>
            </w:r>
            <w:r>
              <w:rPr>
                <w:rFonts w:hint="eastAsia" w:cs="Times New Roman"/>
                <w:color w:val="auto"/>
                <w:kern w:val="2"/>
                <w:sz w:val="24"/>
                <w:szCs w:val="24"/>
                <w:lang w:val="en-US" w:eastAsia="zh-CN" w:bidi="ar-SA"/>
              </w:rPr>
              <w:t>二期建成后全厂</w:t>
            </w:r>
            <w:r>
              <w:rPr>
                <w:rFonts w:hint="eastAsia" w:cs="Times New Roman"/>
                <w:color w:val="auto"/>
                <w:kern w:val="0"/>
                <w:sz w:val="24"/>
                <w:szCs w:val="24"/>
                <w:lang w:val="en-US" w:eastAsia="zh-CN" w:bidi="ar-SA"/>
              </w:rPr>
              <w:t>生活污水</w:t>
            </w:r>
            <w:r>
              <w:rPr>
                <w:rFonts w:hint="eastAsia" w:cs="Times New Roman"/>
                <w:color w:val="auto"/>
                <w:spacing w:val="0"/>
                <w:kern w:val="21"/>
                <w:position w:val="0"/>
                <w:sz w:val="24"/>
                <w:szCs w:val="24"/>
                <w:highlight w:val="none"/>
                <w:lang w:val="en-US" w:eastAsia="zh-CN" w:bidi="ar"/>
              </w:rPr>
              <w:t>处理及排放情况见表4-12，本项目二期建成后全厂废水排入园区污水管网情况见表4-13。</w:t>
            </w:r>
          </w:p>
          <w:p w14:paraId="20B1FDA3">
            <w:pPr>
              <w:adjustRightInd w:val="0"/>
              <w:snapToGrid w:val="0"/>
              <w:ind w:firstLine="630" w:firstLineChars="300"/>
              <w:jc w:val="both"/>
              <w:rPr>
                <w:rFonts w:hint="default" w:ascii="Times New Roman" w:hAnsi="Times New Roman" w:eastAsia="宋体" w:cs="Times New Roman"/>
                <w:b/>
                <w:snapToGrid w:val="0"/>
                <w:color w:val="auto"/>
                <w:sz w:val="24"/>
              </w:rPr>
            </w:pPr>
            <w:r>
              <w:rPr>
                <w:rFonts w:hint="default" w:ascii="Times New Roman" w:hAnsi="Times New Roman" w:eastAsia="宋体" w:cs="Times New Roman"/>
                <w:snapToGrid w:val="0"/>
                <w:color w:val="auto"/>
              </w:rPr>
              <w:t>表</w:t>
            </w:r>
            <w:r>
              <w:rPr>
                <w:rFonts w:hint="eastAsia" w:ascii="Times New Roman" w:hAnsi="Times New Roman" w:eastAsia="宋体" w:cs="Times New Roman"/>
                <w:snapToGrid w:val="0"/>
                <w:color w:val="auto"/>
                <w:lang w:val="en-US" w:eastAsia="zh-CN"/>
              </w:rPr>
              <w:t>4-11</w:t>
            </w:r>
            <w:r>
              <w:rPr>
                <w:rFonts w:hint="default" w:ascii="Times New Roman" w:hAnsi="Times New Roman" w:eastAsia="宋体" w:cs="Times New Roman"/>
                <w:b/>
                <w:snapToGrid w:val="0"/>
                <w:color w:val="auto"/>
              </w:rPr>
              <w:t xml:space="preserve">     </w:t>
            </w:r>
            <w:r>
              <w:rPr>
                <w:rFonts w:hint="eastAsia" w:ascii="Times New Roman" w:hAnsi="Times New Roman" w:eastAsia="宋体" w:cs="Times New Roman"/>
                <w:b/>
                <w:snapToGrid w:val="0"/>
                <w:color w:val="auto"/>
                <w:sz w:val="24"/>
                <w:szCs w:val="24"/>
                <w:lang w:val="en-US" w:eastAsia="zh-CN"/>
              </w:rPr>
              <w:t>本项目一期、二期生活污水处理及排放</w:t>
            </w:r>
            <w:r>
              <w:rPr>
                <w:rFonts w:hint="default" w:ascii="Times New Roman" w:hAnsi="Times New Roman" w:eastAsia="宋体" w:cs="Times New Roman"/>
                <w:b/>
                <w:snapToGrid w:val="0"/>
                <w:color w:val="auto"/>
                <w:sz w:val="24"/>
                <w:szCs w:val="24"/>
              </w:rPr>
              <w:t>情况一览表</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872"/>
              <w:gridCol w:w="1068"/>
              <w:gridCol w:w="1014"/>
              <w:gridCol w:w="777"/>
              <w:gridCol w:w="791"/>
              <w:gridCol w:w="819"/>
              <w:gridCol w:w="900"/>
              <w:gridCol w:w="855"/>
              <w:gridCol w:w="516"/>
            </w:tblGrid>
            <w:tr w14:paraId="288E5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restart"/>
                  <w:tcBorders>
                    <w:tl2br w:val="nil"/>
                    <w:tr2bl w:val="nil"/>
                  </w:tcBorders>
                  <w:noWrap w:val="0"/>
                  <w:vAlign w:val="center"/>
                </w:tcPr>
                <w:p w14:paraId="4EF643E7">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527" w:type="pct"/>
                  <w:vMerge w:val="restart"/>
                  <w:tcBorders>
                    <w:tl2br w:val="nil"/>
                    <w:tr2bl w:val="nil"/>
                  </w:tcBorders>
                  <w:noWrap w:val="0"/>
                  <w:vAlign w:val="center"/>
                </w:tcPr>
                <w:p w14:paraId="7FCBE46B">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污染物种类</w:t>
                  </w:r>
                </w:p>
              </w:tc>
              <w:tc>
                <w:tcPr>
                  <w:tcW w:w="1259" w:type="pct"/>
                  <w:gridSpan w:val="2"/>
                  <w:tcBorders>
                    <w:tl2br w:val="nil"/>
                    <w:tr2bl w:val="nil"/>
                  </w:tcBorders>
                  <w:noWrap w:val="0"/>
                  <w:vAlign w:val="center"/>
                </w:tcPr>
                <w:p w14:paraId="29FFC462">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污染物产生情况</w:t>
                  </w:r>
                </w:p>
              </w:tc>
              <w:tc>
                <w:tcPr>
                  <w:tcW w:w="470" w:type="pct"/>
                  <w:vMerge w:val="restart"/>
                  <w:tcBorders>
                    <w:tl2br w:val="nil"/>
                    <w:tr2bl w:val="nil"/>
                  </w:tcBorders>
                  <w:noWrap w:val="0"/>
                  <w:vAlign w:val="center"/>
                </w:tcPr>
                <w:p w14:paraId="402B3B76">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治理措施</w:t>
                  </w:r>
                </w:p>
              </w:tc>
              <w:tc>
                <w:tcPr>
                  <w:tcW w:w="478" w:type="pct"/>
                  <w:vMerge w:val="restart"/>
                  <w:tcBorders>
                    <w:tl2br w:val="nil"/>
                    <w:tr2bl w:val="nil"/>
                  </w:tcBorders>
                  <w:noWrap w:val="0"/>
                  <w:vAlign w:val="center"/>
                </w:tcPr>
                <w:p w14:paraId="76667923">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是否为可行技术</w:t>
                  </w:r>
                  <w:r>
                    <w:rPr>
                      <w:rFonts w:hint="default" w:ascii="Times New Roman" w:hAnsi="Times New Roman" w:eastAsia="宋体" w:cs="Times New Roman"/>
                      <w:b/>
                      <w:bCs/>
                      <w:color w:val="auto"/>
                      <w:sz w:val="21"/>
                      <w:szCs w:val="21"/>
                      <w:vertAlign w:val="superscript"/>
                    </w:rPr>
                    <w:t>1</w:t>
                  </w:r>
                </w:p>
              </w:tc>
              <w:tc>
                <w:tcPr>
                  <w:tcW w:w="495" w:type="pct"/>
                  <w:vMerge w:val="restart"/>
                  <w:tcBorders>
                    <w:tl2br w:val="nil"/>
                    <w:tr2bl w:val="nil"/>
                  </w:tcBorders>
                  <w:noWrap w:val="0"/>
                  <w:vAlign w:val="center"/>
                </w:tcPr>
                <w:p w14:paraId="5EE18BB3">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废水排放量m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/a</w:t>
                  </w:r>
                </w:p>
              </w:tc>
              <w:tc>
                <w:tcPr>
                  <w:tcW w:w="1061" w:type="pct"/>
                  <w:gridSpan w:val="2"/>
                  <w:tcBorders>
                    <w:tl2br w:val="nil"/>
                    <w:tr2bl w:val="nil"/>
                  </w:tcBorders>
                  <w:noWrap w:val="0"/>
                  <w:vAlign w:val="center"/>
                </w:tcPr>
                <w:p w14:paraId="1BCC86F0">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污染物排放情况</w:t>
                  </w:r>
                </w:p>
              </w:tc>
              <w:tc>
                <w:tcPr>
                  <w:tcW w:w="308" w:type="pct"/>
                  <w:vMerge w:val="restart"/>
                  <w:tcBorders>
                    <w:tl2br w:val="nil"/>
                    <w:tr2bl w:val="nil"/>
                  </w:tcBorders>
                  <w:noWrap w:val="0"/>
                  <w:vAlign w:val="center"/>
                </w:tcPr>
                <w:p w14:paraId="5B9C596E">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排放方式</w:t>
                  </w:r>
                </w:p>
              </w:tc>
            </w:tr>
            <w:tr w14:paraId="72BED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continue"/>
                  <w:tcBorders>
                    <w:tl2br w:val="nil"/>
                    <w:tr2bl w:val="nil"/>
                  </w:tcBorders>
                  <w:noWrap w:val="0"/>
                  <w:vAlign w:val="center"/>
                </w:tcPr>
                <w:p w14:paraId="248B90D8">
                  <w:pPr>
                    <w:adjustRightInd w:val="0"/>
                    <w:snapToGrid w:val="0"/>
                    <w:jc w:val="center"/>
                    <w:rPr>
                      <w:rFonts w:hint="default" w:ascii="Times New Roman" w:hAnsi="Times New Roman" w:eastAsia="宋体" w:cs="Times New Roman"/>
                      <w:b/>
                      <w:bCs/>
                      <w:color w:val="auto"/>
                      <w:sz w:val="21"/>
                      <w:szCs w:val="21"/>
                    </w:rPr>
                  </w:pPr>
                </w:p>
              </w:tc>
              <w:tc>
                <w:tcPr>
                  <w:tcW w:w="527" w:type="pct"/>
                  <w:vMerge w:val="continue"/>
                  <w:tcBorders>
                    <w:tl2br w:val="nil"/>
                    <w:tr2bl w:val="nil"/>
                  </w:tcBorders>
                  <w:noWrap w:val="0"/>
                  <w:vAlign w:val="center"/>
                </w:tcPr>
                <w:p w14:paraId="02AA45F3">
                  <w:pPr>
                    <w:adjustRightInd w:val="0"/>
                    <w:snapToGrid w:val="0"/>
                    <w:jc w:val="center"/>
                    <w:rPr>
                      <w:rFonts w:hint="default" w:ascii="Times New Roman" w:hAnsi="Times New Roman" w:eastAsia="宋体" w:cs="Times New Roman"/>
                      <w:b/>
                      <w:bCs/>
                      <w:color w:val="auto"/>
                      <w:sz w:val="21"/>
                      <w:szCs w:val="21"/>
                    </w:rPr>
                  </w:pPr>
                </w:p>
              </w:tc>
              <w:tc>
                <w:tcPr>
                  <w:tcW w:w="646" w:type="pct"/>
                  <w:tcBorders>
                    <w:tl2br w:val="nil"/>
                    <w:tr2bl w:val="nil"/>
                  </w:tcBorders>
                  <w:noWrap w:val="0"/>
                  <w:vAlign w:val="center"/>
                </w:tcPr>
                <w:p w14:paraId="24065D37">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产生浓度mg/L</w:t>
                  </w:r>
                </w:p>
              </w:tc>
              <w:tc>
                <w:tcPr>
                  <w:tcW w:w="612" w:type="pct"/>
                  <w:tcBorders>
                    <w:tl2br w:val="nil"/>
                    <w:tr2bl w:val="nil"/>
                  </w:tcBorders>
                  <w:noWrap w:val="0"/>
                  <w:vAlign w:val="center"/>
                </w:tcPr>
                <w:p w14:paraId="423B98E2">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污染物产生量t/a</w:t>
                  </w:r>
                </w:p>
              </w:tc>
              <w:tc>
                <w:tcPr>
                  <w:tcW w:w="470" w:type="pct"/>
                  <w:vMerge w:val="continue"/>
                  <w:tcBorders>
                    <w:tl2br w:val="nil"/>
                    <w:tr2bl w:val="nil"/>
                  </w:tcBorders>
                  <w:noWrap w:val="0"/>
                  <w:vAlign w:val="center"/>
                </w:tcPr>
                <w:p w14:paraId="112A7EDE">
                  <w:pPr>
                    <w:adjustRightInd w:val="0"/>
                    <w:snapToGrid w:val="0"/>
                    <w:jc w:val="center"/>
                    <w:rPr>
                      <w:rFonts w:hint="default" w:ascii="Times New Roman" w:hAnsi="Times New Roman" w:eastAsia="宋体" w:cs="Times New Roman"/>
                      <w:b/>
                      <w:bCs/>
                      <w:color w:val="auto"/>
                      <w:sz w:val="21"/>
                      <w:szCs w:val="21"/>
                    </w:rPr>
                  </w:pPr>
                </w:p>
              </w:tc>
              <w:tc>
                <w:tcPr>
                  <w:tcW w:w="478" w:type="pct"/>
                  <w:vMerge w:val="continue"/>
                  <w:tcBorders>
                    <w:tl2br w:val="nil"/>
                    <w:tr2bl w:val="nil"/>
                  </w:tcBorders>
                  <w:noWrap w:val="0"/>
                  <w:vAlign w:val="center"/>
                </w:tcPr>
                <w:p w14:paraId="65484D9C">
                  <w:pPr>
                    <w:adjustRightInd w:val="0"/>
                    <w:snapToGrid w:val="0"/>
                    <w:jc w:val="center"/>
                    <w:rPr>
                      <w:rFonts w:hint="default" w:ascii="Times New Roman" w:hAnsi="Times New Roman" w:eastAsia="宋体" w:cs="Times New Roman"/>
                      <w:b/>
                      <w:bCs/>
                      <w:color w:val="auto"/>
                      <w:sz w:val="21"/>
                      <w:szCs w:val="21"/>
                    </w:rPr>
                  </w:pPr>
                </w:p>
              </w:tc>
              <w:tc>
                <w:tcPr>
                  <w:tcW w:w="495" w:type="pct"/>
                  <w:vMerge w:val="continue"/>
                  <w:tcBorders>
                    <w:tl2br w:val="nil"/>
                    <w:tr2bl w:val="nil"/>
                  </w:tcBorders>
                  <w:noWrap w:val="0"/>
                  <w:vAlign w:val="center"/>
                </w:tcPr>
                <w:p w14:paraId="14DF8DCF">
                  <w:pPr>
                    <w:adjustRightInd w:val="0"/>
                    <w:snapToGrid w:val="0"/>
                    <w:jc w:val="center"/>
                    <w:rPr>
                      <w:rFonts w:hint="default" w:ascii="Times New Roman" w:hAnsi="Times New Roman" w:eastAsia="宋体" w:cs="Times New Roman"/>
                      <w:b/>
                      <w:bCs/>
                      <w:color w:val="auto"/>
                      <w:sz w:val="21"/>
                      <w:szCs w:val="21"/>
                    </w:rPr>
                  </w:pPr>
                </w:p>
              </w:tc>
              <w:tc>
                <w:tcPr>
                  <w:tcW w:w="544" w:type="pct"/>
                  <w:tcBorders>
                    <w:tl2br w:val="nil"/>
                    <w:tr2bl w:val="nil"/>
                  </w:tcBorders>
                  <w:noWrap w:val="0"/>
                  <w:vAlign w:val="center"/>
                </w:tcPr>
                <w:p w14:paraId="24D81063">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排放浓度mg/L</w:t>
                  </w:r>
                </w:p>
              </w:tc>
              <w:tc>
                <w:tcPr>
                  <w:tcW w:w="516" w:type="pct"/>
                  <w:tcBorders>
                    <w:tl2br w:val="nil"/>
                    <w:tr2bl w:val="nil"/>
                  </w:tcBorders>
                  <w:noWrap w:val="0"/>
                  <w:vAlign w:val="center"/>
                </w:tcPr>
                <w:p w14:paraId="5772F0D4">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污染物排放量t/a</w:t>
                  </w:r>
                </w:p>
              </w:tc>
              <w:tc>
                <w:tcPr>
                  <w:tcW w:w="308" w:type="pct"/>
                  <w:vMerge w:val="continue"/>
                  <w:tcBorders>
                    <w:tl2br w:val="nil"/>
                    <w:tr2bl w:val="nil"/>
                  </w:tcBorders>
                  <w:noWrap w:val="0"/>
                  <w:vAlign w:val="center"/>
                </w:tcPr>
                <w:p w14:paraId="35E53272">
                  <w:pPr>
                    <w:adjustRightInd w:val="0"/>
                    <w:snapToGrid w:val="0"/>
                    <w:jc w:val="center"/>
                    <w:rPr>
                      <w:rFonts w:hint="default" w:ascii="Times New Roman" w:hAnsi="Times New Roman" w:eastAsia="宋体" w:cs="Times New Roman"/>
                      <w:bCs/>
                      <w:color w:val="auto"/>
                      <w:sz w:val="21"/>
                      <w:szCs w:val="21"/>
                    </w:rPr>
                  </w:pPr>
                </w:p>
              </w:tc>
            </w:tr>
            <w:tr w14:paraId="451FF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restart"/>
                  <w:tcBorders>
                    <w:tl2br w:val="nil"/>
                    <w:tr2bl w:val="nil"/>
                  </w:tcBorders>
                  <w:noWrap w:val="0"/>
                  <w:vAlign w:val="center"/>
                </w:tcPr>
                <w:p w14:paraId="05B61E7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生活设施</w:t>
                  </w:r>
                </w:p>
              </w:tc>
              <w:tc>
                <w:tcPr>
                  <w:tcW w:w="527" w:type="pct"/>
                  <w:tcBorders>
                    <w:tl2br w:val="nil"/>
                    <w:tr2bl w:val="nil"/>
                  </w:tcBorders>
                  <w:noWrap w:val="0"/>
                  <w:vAlign w:val="center"/>
                </w:tcPr>
                <w:p w14:paraId="6BB03E14">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COD</w:t>
                  </w:r>
                </w:p>
              </w:tc>
              <w:tc>
                <w:tcPr>
                  <w:tcW w:w="646" w:type="pct"/>
                  <w:tcBorders>
                    <w:tl2br w:val="nil"/>
                    <w:tr2bl w:val="nil"/>
                  </w:tcBorders>
                  <w:noWrap w:val="0"/>
                  <w:vAlign w:val="center"/>
                </w:tcPr>
                <w:p w14:paraId="43DEFA9F">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450</w:t>
                  </w:r>
                </w:p>
              </w:tc>
              <w:tc>
                <w:tcPr>
                  <w:tcW w:w="612" w:type="pct"/>
                  <w:tcBorders>
                    <w:tl2br w:val="nil"/>
                    <w:tr2bl w:val="nil"/>
                  </w:tcBorders>
                  <w:noWrap w:val="0"/>
                  <w:vAlign w:val="center"/>
                </w:tcPr>
                <w:p w14:paraId="0F9068CD">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0.054</w:t>
                  </w:r>
                </w:p>
              </w:tc>
              <w:tc>
                <w:tcPr>
                  <w:tcW w:w="470" w:type="pct"/>
                  <w:vMerge w:val="restart"/>
                  <w:tcBorders>
                    <w:tl2br w:val="nil"/>
                    <w:tr2bl w:val="nil"/>
                  </w:tcBorders>
                  <w:noWrap w:val="0"/>
                  <w:vAlign w:val="center"/>
                </w:tcPr>
                <w:p w14:paraId="3C2C947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化粪池</w:t>
                  </w:r>
                </w:p>
              </w:tc>
              <w:tc>
                <w:tcPr>
                  <w:tcW w:w="478" w:type="pct"/>
                  <w:vMerge w:val="restart"/>
                  <w:tcBorders>
                    <w:tl2br w:val="nil"/>
                    <w:tr2bl w:val="nil"/>
                  </w:tcBorders>
                  <w:noWrap w:val="0"/>
                  <w:vAlign w:val="center"/>
                </w:tcPr>
                <w:p w14:paraId="3D0A54F1">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95" w:type="pct"/>
                  <w:vMerge w:val="restart"/>
                  <w:tcBorders>
                    <w:tl2br w:val="nil"/>
                    <w:tr2bl w:val="nil"/>
                  </w:tcBorders>
                  <w:noWrap w:val="0"/>
                  <w:vAlign w:val="center"/>
                </w:tcPr>
                <w:p w14:paraId="70294CDB">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120</w:t>
                  </w:r>
                </w:p>
              </w:tc>
              <w:tc>
                <w:tcPr>
                  <w:tcW w:w="544" w:type="pct"/>
                  <w:tcBorders>
                    <w:tl2br w:val="nil"/>
                    <w:tr2bl w:val="nil"/>
                  </w:tcBorders>
                  <w:noWrap w:val="0"/>
                  <w:vAlign w:val="center"/>
                </w:tcPr>
                <w:p w14:paraId="03382A87">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382.5</w:t>
                  </w:r>
                </w:p>
              </w:tc>
              <w:tc>
                <w:tcPr>
                  <w:tcW w:w="516" w:type="pct"/>
                  <w:tcBorders>
                    <w:tl2br w:val="nil"/>
                    <w:tr2bl w:val="nil"/>
                  </w:tcBorders>
                  <w:noWrap w:val="0"/>
                  <w:vAlign w:val="center"/>
                </w:tcPr>
                <w:p w14:paraId="49A050E2">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0.046</w:t>
                  </w:r>
                </w:p>
              </w:tc>
              <w:tc>
                <w:tcPr>
                  <w:tcW w:w="308" w:type="pct"/>
                  <w:vMerge w:val="restart"/>
                  <w:tcBorders>
                    <w:tl2br w:val="nil"/>
                    <w:tr2bl w:val="nil"/>
                  </w:tcBorders>
                  <w:noWrap w:val="0"/>
                  <w:vAlign w:val="center"/>
                </w:tcPr>
                <w:p w14:paraId="12B9A943">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间接排放</w:t>
                  </w:r>
                </w:p>
              </w:tc>
            </w:tr>
            <w:tr w14:paraId="20B00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398" w:type="pct"/>
                  <w:vMerge w:val="continue"/>
                  <w:tcBorders>
                    <w:tl2br w:val="nil"/>
                    <w:tr2bl w:val="nil"/>
                  </w:tcBorders>
                  <w:noWrap w:val="0"/>
                  <w:vAlign w:val="center"/>
                </w:tcPr>
                <w:p w14:paraId="2FE059CB">
                  <w:pPr>
                    <w:adjustRightInd w:val="0"/>
                    <w:snapToGrid w:val="0"/>
                    <w:jc w:val="center"/>
                    <w:rPr>
                      <w:rFonts w:hint="default" w:ascii="Times New Roman" w:hAnsi="Times New Roman" w:eastAsia="宋体" w:cs="Times New Roman"/>
                      <w:color w:val="auto"/>
                      <w:sz w:val="21"/>
                      <w:szCs w:val="21"/>
                    </w:rPr>
                  </w:pPr>
                </w:p>
              </w:tc>
              <w:tc>
                <w:tcPr>
                  <w:tcW w:w="527" w:type="pct"/>
                  <w:tcBorders>
                    <w:tl2br w:val="nil"/>
                    <w:tr2bl w:val="nil"/>
                  </w:tcBorders>
                  <w:noWrap w:val="0"/>
                  <w:vAlign w:val="center"/>
                </w:tcPr>
                <w:p w14:paraId="332C598D">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BOD</w:t>
                  </w:r>
                  <w:r>
                    <w:rPr>
                      <w:rFonts w:hint="default" w:ascii="Times New Roman" w:hAnsi="Times New Roman" w:eastAsia="宋体" w:cs="Times New Roman"/>
                      <w:color w:val="auto"/>
                      <w:kern w:val="0"/>
                      <w:sz w:val="21"/>
                      <w:szCs w:val="21"/>
                      <w:vertAlign w:val="subscript"/>
                    </w:rPr>
                    <w:t>5</w:t>
                  </w:r>
                </w:p>
              </w:tc>
              <w:tc>
                <w:tcPr>
                  <w:tcW w:w="646" w:type="pct"/>
                  <w:tcBorders>
                    <w:tl2br w:val="nil"/>
                    <w:tr2bl w:val="nil"/>
                  </w:tcBorders>
                  <w:noWrap w:val="0"/>
                  <w:vAlign w:val="center"/>
                </w:tcPr>
                <w:p w14:paraId="06638BE2">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300</w:t>
                  </w:r>
                </w:p>
              </w:tc>
              <w:tc>
                <w:tcPr>
                  <w:tcW w:w="612" w:type="pct"/>
                  <w:tcBorders>
                    <w:tl2br w:val="nil"/>
                    <w:tr2bl w:val="nil"/>
                  </w:tcBorders>
                  <w:noWrap w:val="0"/>
                  <w:vAlign w:val="center"/>
                </w:tcPr>
                <w:p w14:paraId="68F5C0FB">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0.036</w:t>
                  </w:r>
                </w:p>
              </w:tc>
              <w:tc>
                <w:tcPr>
                  <w:tcW w:w="470" w:type="pct"/>
                  <w:vMerge w:val="continue"/>
                  <w:tcBorders>
                    <w:tl2br w:val="nil"/>
                    <w:tr2bl w:val="nil"/>
                  </w:tcBorders>
                  <w:noWrap w:val="0"/>
                  <w:vAlign w:val="center"/>
                </w:tcPr>
                <w:p w14:paraId="419C8830">
                  <w:pPr>
                    <w:adjustRightInd w:val="0"/>
                    <w:snapToGrid w:val="0"/>
                    <w:jc w:val="center"/>
                    <w:rPr>
                      <w:rFonts w:hint="default" w:ascii="Times New Roman" w:hAnsi="Times New Roman" w:eastAsia="宋体" w:cs="Times New Roman"/>
                      <w:color w:val="auto"/>
                      <w:sz w:val="21"/>
                      <w:szCs w:val="21"/>
                    </w:rPr>
                  </w:pPr>
                </w:p>
              </w:tc>
              <w:tc>
                <w:tcPr>
                  <w:tcW w:w="478" w:type="pct"/>
                  <w:vMerge w:val="continue"/>
                  <w:tcBorders>
                    <w:tl2br w:val="nil"/>
                    <w:tr2bl w:val="nil"/>
                  </w:tcBorders>
                  <w:noWrap w:val="0"/>
                  <w:vAlign w:val="center"/>
                </w:tcPr>
                <w:p w14:paraId="4CD4EFEC">
                  <w:pPr>
                    <w:adjustRightInd w:val="0"/>
                    <w:snapToGrid w:val="0"/>
                    <w:jc w:val="center"/>
                    <w:rPr>
                      <w:rFonts w:hint="default" w:ascii="Times New Roman" w:hAnsi="Times New Roman" w:eastAsia="宋体" w:cs="Times New Roman"/>
                      <w:color w:val="auto"/>
                      <w:sz w:val="21"/>
                      <w:szCs w:val="21"/>
                    </w:rPr>
                  </w:pPr>
                </w:p>
              </w:tc>
              <w:tc>
                <w:tcPr>
                  <w:tcW w:w="495" w:type="pct"/>
                  <w:vMerge w:val="continue"/>
                  <w:tcBorders>
                    <w:tl2br w:val="nil"/>
                    <w:tr2bl w:val="nil"/>
                  </w:tcBorders>
                  <w:noWrap w:val="0"/>
                  <w:vAlign w:val="center"/>
                </w:tcPr>
                <w:p w14:paraId="2F13B755">
                  <w:pPr>
                    <w:adjustRightInd w:val="0"/>
                    <w:snapToGrid w:val="0"/>
                    <w:jc w:val="center"/>
                    <w:rPr>
                      <w:rFonts w:hint="default" w:ascii="Times New Roman" w:hAnsi="Times New Roman" w:eastAsia="宋体" w:cs="Times New Roman"/>
                      <w:bCs/>
                      <w:color w:val="auto"/>
                      <w:sz w:val="21"/>
                      <w:szCs w:val="21"/>
                    </w:rPr>
                  </w:pPr>
                </w:p>
              </w:tc>
              <w:tc>
                <w:tcPr>
                  <w:tcW w:w="544" w:type="pct"/>
                  <w:tcBorders>
                    <w:tl2br w:val="nil"/>
                    <w:tr2bl w:val="nil"/>
                  </w:tcBorders>
                  <w:noWrap w:val="0"/>
                  <w:vAlign w:val="center"/>
                </w:tcPr>
                <w:p w14:paraId="2885DDE7">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270</w:t>
                  </w:r>
                </w:p>
              </w:tc>
              <w:tc>
                <w:tcPr>
                  <w:tcW w:w="516" w:type="pct"/>
                  <w:tcBorders>
                    <w:tl2br w:val="nil"/>
                    <w:tr2bl w:val="nil"/>
                  </w:tcBorders>
                  <w:noWrap w:val="0"/>
                  <w:vAlign w:val="center"/>
                </w:tcPr>
                <w:p w14:paraId="786B3D3D">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0.032</w:t>
                  </w:r>
                </w:p>
              </w:tc>
              <w:tc>
                <w:tcPr>
                  <w:tcW w:w="308" w:type="pct"/>
                  <w:vMerge w:val="continue"/>
                  <w:tcBorders>
                    <w:tl2br w:val="nil"/>
                    <w:tr2bl w:val="nil"/>
                  </w:tcBorders>
                  <w:noWrap w:val="0"/>
                  <w:vAlign w:val="center"/>
                </w:tcPr>
                <w:p w14:paraId="270BFA27">
                  <w:pPr>
                    <w:adjustRightInd w:val="0"/>
                    <w:snapToGrid w:val="0"/>
                    <w:jc w:val="center"/>
                    <w:rPr>
                      <w:rFonts w:hint="default" w:ascii="Times New Roman" w:hAnsi="Times New Roman" w:eastAsia="宋体" w:cs="Times New Roman"/>
                      <w:bCs/>
                      <w:color w:val="auto"/>
                      <w:sz w:val="21"/>
                      <w:szCs w:val="21"/>
                    </w:rPr>
                  </w:pPr>
                </w:p>
              </w:tc>
            </w:tr>
            <w:tr w14:paraId="414BF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continue"/>
                  <w:tcBorders>
                    <w:tl2br w:val="nil"/>
                    <w:tr2bl w:val="nil"/>
                  </w:tcBorders>
                  <w:noWrap w:val="0"/>
                  <w:vAlign w:val="center"/>
                </w:tcPr>
                <w:p w14:paraId="79F00324">
                  <w:pPr>
                    <w:adjustRightInd w:val="0"/>
                    <w:snapToGrid w:val="0"/>
                    <w:jc w:val="center"/>
                    <w:rPr>
                      <w:rFonts w:hint="default" w:ascii="Times New Roman" w:hAnsi="Times New Roman" w:eastAsia="宋体" w:cs="Times New Roman"/>
                      <w:color w:val="auto"/>
                      <w:sz w:val="21"/>
                      <w:szCs w:val="21"/>
                    </w:rPr>
                  </w:pPr>
                </w:p>
              </w:tc>
              <w:tc>
                <w:tcPr>
                  <w:tcW w:w="527" w:type="pct"/>
                  <w:tcBorders>
                    <w:tl2br w:val="nil"/>
                    <w:tr2bl w:val="nil"/>
                  </w:tcBorders>
                  <w:noWrap w:val="0"/>
                  <w:vAlign w:val="center"/>
                </w:tcPr>
                <w:p w14:paraId="1D13F546">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SS</w:t>
                  </w:r>
                </w:p>
              </w:tc>
              <w:tc>
                <w:tcPr>
                  <w:tcW w:w="646" w:type="pct"/>
                  <w:tcBorders>
                    <w:tl2br w:val="nil"/>
                    <w:tr2bl w:val="nil"/>
                  </w:tcBorders>
                  <w:noWrap w:val="0"/>
                  <w:vAlign w:val="center"/>
                </w:tcPr>
                <w:p w14:paraId="5DA1C040">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220</w:t>
                  </w:r>
                </w:p>
              </w:tc>
              <w:tc>
                <w:tcPr>
                  <w:tcW w:w="612" w:type="pct"/>
                  <w:tcBorders>
                    <w:tl2br w:val="nil"/>
                    <w:tr2bl w:val="nil"/>
                  </w:tcBorders>
                  <w:noWrap w:val="0"/>
                  <w:vAlign w:val="center"/>
                </w:tcPr>
                <w:p w14:paraId="4DC1E019">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0.026</w:t>
                  </w:r>
                </w:p>
              </w:tc>
              <w:tc>
                <w:tcPr>
                  <w:tcW w:w="470" w:type="pct"/>
                  <w:vMerge w:val="continue"/>
                  <w:tcBorders>
                    <w:tl2br w:val="nil"/>
                    <w:tr2bl w:val="nil"/>
                  </w:tcBorders>
                  <w:noWrap w:val="0"/>
                  <w:vAlign w:val="center"/>
                </w:tcPr>
                <w:p w14:paraId="46C0828B">
                  <w:pPr>
                    <w:adjustRightInd w:val="0"/>
                    <w:snapToGrid w:val="0"/>
                    <w:jc w:val="center"/>
                    <w:rPr>
                      <w:rFonts w:hint="default" w:ascii="Times New Roman" w:hAnsi="Times New Roman" w:eastAsia="宋体" w:cs="Times New Roman"/>
                      <w:color w:val="auto"/>
                      <w:sz w:val="21"/>
                      <w:szCs w:val="21"/>
                    </w:rPr>
                  </w:pPr>
                </w:p>
              </w:tc>
              <w:tc>
                <w:tcPr>
                  <w:tcW w:w="478" w:type="pct"/>
                  <w:vMerge w:val="continue"/>
                  <w:tcBorders>
                    <w:tl2br w:val="nil"/>
                    <w:tr2bl w:val="nil"/>
                  </w:tcBorders>
                  <w:noWrap w:val="0"/>
                  <w:vAlign w:val="center"/>
                </w:tcPr>
                <w:p w14:paraId="3A53A0A1">
                  <w:pPr>
                    <w:adjustRightInd w:val="0"/>
                    <w:snapToGrid w:val="0"/>
                    <w:jc w:val="center"/>
                    <w:rPr>
                      <w:rFonts w:hint="default" w:ascii="Times New Roman" w:hAnsi="Times New Roman" w:eastAsia="宋体" w:cs="Times New Roman"/>
                      <w:color w:val="auto"/>
                      <w:sz w:val="21"/>
                      <w:szCs w:val="21"/>
                    </w:rPr>
                  </w:pPr>
                </w:p>
              </w:tc>
              <w:tc>
                <w:tcPr>
                  <w:tcW w:w="495" w:type="pct"/>
                  <w:vMerge w:val="continue"/>
                  <w:tcBorders>
                    <w:tl2br w:val="nil"/>
                    <w:tr2bl w:val="nil"/>
                  </w:tcBorders>
                  <w:noWrap w:val="0"/>
                  <w:vAlign w:val="center"/>
                </w:tcPr>
                <w:p w14:paraId="353FB786">
                  <w:pPr>
                    <w:adjustRightInd w:val="0"/>
                    <w:snapToGrid w:val="0"/>
                    <w:jc w:val="center"/>
                    <w:rPr>
                      <w:rFonts w:hint="default" w:ascii="Times New Roman" w:hAnsi="Times New Roman" w:eastAsia="宋体" w:cs="Times New Roman"/>
                      <w:bCs/>
                      <w:color w:val="auto"/>
                      <w:sz w:val="21"/>
                      <w:szCs w:val="21"/>
                    </w:rPr>
                  </w:pPr>
                </w:p>
              </w:tc>
              <w:tc>
                <w:tcPr>
                  <w:tcW w:w="544" w:type="pct"/>
                  <w:tcBorders>
                    <w:tl2br w:val="nil"/>
                    <w:tr2bl w:val="nil"/>
                  </w:tcBorders>
                  <w:noWrap w:val="0"/>
                  <w:vAlign w:val="center"/>
                </w:tcPr>
                <w:p w14:paraId="756833B5">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200</w:t>
                  </w:r>
                </w:p>
              </w:tc>
              <w:tc>
                <w:tcPr>
                  <w:tcW w:w="516" w:type="pct"/>
                  <w:tcBorders>
                    <w:tl2br w:val="nil"/>
                    <w:tr2bl w:val="nil"/>
                  </w:tcBorders>
                  <w:noWrap w:val="0"/>
                  <w:vAlign w:val="center"/>
                </w:tcPr>
                <w:p w14:paraId="458BF73A">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0.024</w:t>
                  </w:r>
                </w:p>
              </w:tc>
              <w:tc>
                <w:tcPr>
                  <w:tcW w:w="308" w:type="pct"/>
                  <w:vMerge w:val="continue"/>
                  <w:tcBorders>
                    <w:tl2br w:val="nil"/>
                    <w:tr2bl w:val="nil"/>
                  </w:tcBorders>
                  <w:noWrap w:val="0"/>
                  <w:vAlign w:val="center"/>
                </w:tcPr>
                <w:p w14:paraId="12B773DB">
                  <w:pPr>
                    <w:adjustRightInd w:val="0"/>
                    <w:snapToGrid w:val="0"/>
                    <w:jc w:val="center"/>
                    <w:rPr>
                      <w:rFonts w:hint="default" w:ascii="Times New Roman" w:hAnsi="Times New Roman" w:eastAsia="宋体" w:cs="Times New Roman"/>
                      <w:bCs/>
                      <w:color w:val="auto"/>
                      <w:sz w:val="21"/>
                      <w:szCs w:val="21"/>
                    </w:rPr>
                  </w:pPr>
                </w:p>
              </w:tc>
            </w:tr>
            <w:tr w14:paraId="11583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8" w:type="pct"/>
                  <w:vMerge w:val="continue"/>
                  <w:tcBorders>
                    <w:tl2br w:val="nil"/>
                    <w:tr2bl w:val="nil"/>
                  </w:tcBorders>
                  <w:noWrap w:val="0"/>
                  <w:vAlign w:val="center"/>
                </w:tcPr>
                <w:p w14:paraId="7F2D53EC">
                  <w:pPr>
                    <w:adjustRightInd w:val="0"/>
                    <w:snapToGrid w:val="0"/>
                    <w:jc w:val="center"/>
                    <w:rPr>
                      <w:rFonts w:hint="default" w:ascii="Times New Roman" w:hAnsi="Times New Roman" w:eastAsia="宋体" w:cs="Times New Roman"/>
                      <w:color w:val="auto"/>
                      <w:sz w:val="21"/>
                      <w:szCs w:val="21"/>
                    </w:rPr>
                  </w:pPr>
                </w:p>
              </w:tc>
              <w:tc>
                <w:tcPr>
                  <w:tcW w:w="527" w:type="pct"/>
                  <w:tcBorders>
                    <w:tl2br w:val="nil"/>
                    <w:tr2bl w:val="nil"/>
                  </w:tcBorders>
                  <w:noWrap w:val="0"/>
                  <w:vAlign w:val="center"/>
                </w:tcPr>
                <w:p w14:paraId="013983FA">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NH</w:t>
                  </w:r>
                  <w:r>
                    <w:rPr>
                      <w:rFonts w:hint="default" w:ascii="Times New Roman" w:hAnsi="Times New Roman" w:eastAsia="宋体" w:cs="Times New Roman"/>
                      <w:color w:val="auto"/>
                      <w:kern w:val="0"/>
                      <w:sz w:val="21"/>
                      <w:szCs w:val="21"/>
                      <w:vertAlign w:val="subscript"/>
                    </w:rPr>
                    <w:t>3</w:t>
                  </w:r>
                  <w:r>
                    <w:rPr>
                      <w:rFonts w:hint="default" w:ascii="Times New Roman" w:hAnsi="Times New Roman" w:eastAsia="宋体" w:cs="Times New Roman"/>
                      <w:color w:val="auto"/>
                      <w:kern w:val="0"/>
                      <w:sz w:val="21"/>
                      <w:szCs w:val="21"/>
                    </w:rPr>
                    <w:t>-N</w:t>
                  </w:r>
                </w:p>
              </w:tc>
              <w:tc>
                <w:tcPr>
                  <w:tcW w:w="646" w:type="pct"/>
                  <w:tcBorders>
                    <w:tl2br w:val="nil"/>
                    <w:tr2bl w:val="nil"/>
                  </w:tcBorders>
                  <w:noWrap w:val="0"/>
                  <w:vAlign w:val="center"/>
                </w:tcPr>
                <w:p w14:paraId="762AC84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612" w:type="pct"/>
                  <w:tcBorders>
                    <w:tl2br w:val="nil"/>
                    <w:tr2bl w:val="nil"/>
                  </w:tcBorders>
                  <w:noWrap w:val="0"/>
                  <w:vAlign w:val="center"/>
                </w:tcPr>
                <w:p w14:paraId="18C9A153">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0.004</w:t>
                  </w:r>
                </w:p>
              </w:tc>
              <w:tc>
                <w:tcPr>
                  <w:tcW w:w="470" w:type="pct"/>
                  <w:vMerge w:val="continue"/>
                  <w:tcBorders>
                    <w:tl2br w:val="nil"/>
                    <w:tr2bl w:val="nil"/>
                  </w:tcBorders>
                  <w:noWrap w:val="0"/>
                  <w:vAlign w:val="center"/>
                </w:tcPr>
                <w:p w14:paraId="30116538">
                  <w:pPr>
                    <w:adjustRightInd w:val="0"/>
                    <w:snapToGrid w:val="0"/>
                    <w:jc w:val="center"/>
                    <w:rPr>
                      <w:rFonts w:hint="default" w:ascii="Times New Roman" w:hAnsi="Times New Roman" w:eastAsia="宋体" w:cs="Times New Roman"/>
                      <w:color w:val="auto"/>
                      <w:sz w:val="21"/>
                      <w:szCs w:val="21"/>
                    </w:rPr>
                  </w:pPr>
                </w:p>
              </w:tc>
              <w:tc>
                <w:tcPr>
                  <w:tcW w:w="478" w:type="pct"/>
                  <w:vMerge w:val="continue"/>
                  <w:tcBorders>
                    <w:tl2br w:val="nil"/>
                    <w:tr2bl w:val="nil"/>
                  </w:tcBorders>
                  <w:noWrap w:val="0"/>
                  <w:vAlign w:val="center"/>
                </w:tcPr>
                <w:p w14:paraId="0B5643D0">
                  <w:pPr>
                    <w:adjustRightInd w:val="0"/>
                    <w:snapToGrid w:val="0"/>
                    <w:jc w:val="center"/>
                    <w:rPr>
                      <w:rFonts w:hint="default" w:ascii="Times New Roman" w:hAnsi="Times New Roman" w:eastAsia="宋体" w:cs="Times New Roman"/>
                      <w:color w:val="auto"/>
                      <w:sz w:val="21"/>
                      <w:szCs w:val="21"/>
                    </w:rPr>
                  </w:pPr>
                </w:p>
              </w:tc>
              <w:tc>
                <w:tcPr>
                  <w:tcW w:w="495" w:type="pct"/>
                  <w:vMerge w:val="continue"/>
                  <w:tcBorders>
                    <w:tl2br w:val="nil"/>
                    <w:tr2bl w:val="nil"/>
                  </w:tcBorders>
                  <w:noWrap w:val="0"/>
                  <w:vAlign w:val="center"/>
                </w:tcPr>
                <w:p w14:paraId="4BE3B382">
                  <w:pPr>
                    <w:adjustRightInd w:val="0"/>
                    <w:snapToGrid w:val="0"/>
                    <w:jc w:val="center"/>
                    <w:rPr>
                      <w:rFonts w:hint="default" w:ascii="Times New Roman" w:hAnsi="Times New Roman" w:eastAsia="宋体" w:cs="Times New Roman"/>
                      <w:bCs/>
                      <w:color w:val="auto"/>
                      <w:sz w:val="21"/>
                      <w:szCs w:val="21"/>
                    </w:rPr>
                  </w:pPr>
                </w:p>
              </w:tc>
              <w:tc>
                <w:tcPr>
                  <w:tcW w:w="544" w:type="pct"/>
                  <w:tcBorders>
                    <w:tl2br w:val="nil"/>
                    <w:tr2bl w:val="nil"/>
                  </w:tcBorders>
                  <w:noWrap w:val="0"/>
                  <w:vAlign w:val="center"/>
                </w:tcPr>
                <w:p w14:paraId="31E4BD97">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35</w:t>
                  </w:r>
                </w:p>
              </w:tc>
              <w:tc>
                <w:tcPr>
                  <w:tcW w:w="516" w:type="pct"/>
                  <w:tcBorders>
                    <w:tl2br w:val="nil"/>
                    <w:tr2bl w:val="nil"/>
                  </w:tcBorders>
                  <w:noWrap w:val="0"/>
                  <w:vAlign w:val="center"/>
                </w:tcPr>
                <w:p w14:paraId="574621EA">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0.004</w:t>
                  </w:r>
                </w:p>
              </w:tc>
              <w:tc>
                <w:tcPr>
                  <w:tcW w:w="308" w:type="pct"/>
                  <w:vMerge w:val="continue"/>
                  <w:tcBorders>
                    <w:tl2br w:val="nil"/>
                    <w:tr2bl w:val="nil"/>
                  </w:tcBorders>
                  <w:noWrap w:val="0"/>
                  <w:vAlign w:val="center"/>
                </w:tcPr>
                <w:p w14:paraId="369C1FF0">
                  <w:pPr>
                    <w:adjustRightInd w:val="0"/>
                    <w:snapToGrid w:val="0"/>
                    <w:jc w:val="center"/>
                    <w:rPr>
                      <w:rFonts w:hint="default" w:ascii="Times New Roman" w:hAnsi="Times New Roman" w:eastAsia="宋体" w:cs="Times New Roman"/>
                      <w:bCs/>
                      <w:color w:val="auto"/>
                      <w:sz w:val="21"/>
                      <w:szCs w:val="21"/>
                    </w:rPr>
                  </w:pPr>
                </w:p>
              </w:tc>
            </w:tr>
            <w:tr w14:paraId="467F0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tcBorders>
                    <w:tl2br w:val="nil"/>
                    <w:tr2bl w:val="nil"/>
                  </w:tcBorders>
                  <w:noWrap w:val="0"/>
                  <w:vAlign w:val="center"/>
                </w:tcPr>
                <w:p w14:paraId="50A6C4D7">
                  <w:pPr>
                    <w:adjustRightInd w:val="0"/>
                    <w:snapToGrid w:val="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注：1、生活污水治理措施需按《建设项目环境影响报告表编制技术指南（污染影响类）》要求简要分析可行性。</w:t>
                  </w:r>
                </w:p>
              </w:tc>
            </w:tr>
          </w:tbl>
          <w:p w14:paraId="2550CDE1">
            <w:pPr>
              <w:adjustRightInd w:val="0"/>
              <w:snapToGrid w:val="0"/>
              <w:ind w:firstLine="630" w:firstLineChars="300"/>
              <w:jc w:val="both"/>
              <w:rPr>
                <w:rFonts w:hint="default" w:ascii="Times New Roman" w:hAnsi="Times New Roman" w:eastAsia="宋体" w:cs="Times New Roman"/>
                <w:b/>
                <w:snapToGrid w:val="0"/>
                <w:color w:val="auto"/>
                <w:sz w:val="24"/>
              </w:rPr>
            </w:pPr>
            <w:r>
              <w:rPr>
                <w:rFonts w:hint="default" w:ascii="Times New Roman" w:hAnsi="Times New Roman" w:eastAsia="宋体" w:cs="Times New Roman"/>
                <w:snapToGrid w:val="0"/>
                <w:color w:val="auto"/>
              </w:rPr>
              <w:t>表</w:t>
            </w:r>
            <w:r>
              <w:rPr>
                <w:rFonts w:hint="eastAsia" w:ascii="Times New Roman" w:hAnsi="Times New Roman" w:eastAsia="宋体" w:cs="Times New Roman"/>
                <w:snapToGrid w:val="0"/>
                <w:color w:val="auto"/>
                <w:lang w:val="en-US" w:eastAsia="zh-CN"/>
              </w:rPr>
              <w:t>4-12</w:t>
            </w:r>
            <w:r>
              <w:rPr>
                <w:rFonts w:hint="default" w:ascii="Times New Roman" w:hAnsi="Times New Roman" w:eastAsia="宋体" w:cs="Times New Roman"/>
                <w:b/>
                <w:snapToGrid w:val="0"/>
                <w:color w:val="auto"/>
              </w:rPr>
              <w:t xml:space="preserve">   </w:t>
            </w:r>
            <w:r>
              <w:rPr>
                <w:rFonts w:hint="eastAsia" w:ascii="Times New Roman" w:hAnsi="Times New Roman" w:eastAsia="宋体" w:cs="Times New Roman"/>
                <w:b/>
                <w:snapToGrid w:val="0"/>
                <w:color w:val="auto"/>
                <w:sz w:val="24"/>
                <w:szCs w:val="24"/>
                <w:lang w:val="en-US" w:eastAsia="zh-CN"/>
              </w:rPr>
              <w:t>本项目二期建成后全厂生活污水处理及排放</w:t>
            </w:r>
            <w:r>
              <w:rPr>
                <w:rFonts w:hint="default" w:ascii="Times New Roman" w:hAnsi="Times New Roman" w:eastAsia="宋体" w:cs="Times New Roman"/>
                <w:b/>
                <w:snapToGrid w:val="0"/>
                <w:color w:val="auto"/>
                <w:sz w:val="24"/>
                <w:szCs w:val="24"/>
              </w:rPr>
              <w:t>情况一览表</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4"/>
              <w:gridCol w:w="843"/>
              <w:gridCol w:w="697"/>
              <w:gridCol w:w="859"/>
              <w:gridCol w:w="662"/>
              <w:gridCol w:w="723"/>
              <w:gridCol w:w="647"/>
              <w:gridCol w:w="766"/>
              <w:gridCol w:w="725"/>
              <w:gridCol w:w="510"/>
              <w:gridCol w:w="1164"/>
            </w:tblGrid>
            <w:tr w14:paraId="189E7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7" w:type="pct"/>
                  <w:vMerge w:val="restart"/>
                  <w:noWrap w:val="0"/>
                  <w:vAlign w:val="center"/>
                </w:tcPr>
                <w:p w14:paraId="58FE1B2E">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509" w:type="pct"/>
                  <w:vMerge w:val="restart"/>
                  <w:tcBorders>
                    <w:right w:val="single" w:color="auto" w:sz="4" w:space="0"/>
                  </w:tcBorders>
                  <w:noWrap w:val="0"/>
                  <w:vAlign w:val="center"/>
                </w:tcPr>
                <w:p w14:paraId="42354F66">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污染物种类</w:t>
                  </w:r>
                </w:p>
              </w:tc>
              <w:tc>
                <w:tcPr>
                  <w:tcW w:w="940" w:type="pct"/>
                  <w:gridSpan w:val="2"/>
                  <w:tcBorders>
                    <w:left w:val="single" w:color="auto" w:sz="4" w:space="0"/>
                    <w:bottom w:val="single" w:color="auto" w:sz="4" w:space="0"/>
                    <w:right w:val="single" w:color="auto" w:sz="4" w:space="0"/>
                  </w:tcBorders>
                  <w:noWrap w:val="0"/>
                  <w:vAlign w:val="center"/>
                </w:tcPr>
                <w:p w14:paraId="45EF3CF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污染物产生情况</w:t>
                  </w:r>
                </w:p>
              </w:tc>
              <w:tc>
                <w:tcPr>
                  <w:tcW w:w="400" w:type="pct"/>
                  <w:vMerge w:val="restart"/>
                  <w:tcBorders>
                    <w:left w:val="single" w:color="auto" w:sz="4" w:space="0"/>
                    <w:right w:val="single" w:color="auto" w:sz="4" w:space="0"/>
                  </w:tcBorders>
                  <w:noWrap w:val="0"/>
                  <w:vAlign w:val="center"/>
                </w:tcPr>
                <w:p w14:paraId="54C52054">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治理措施</w:t>
                  </w:r>
                </w:p>
              </w:tc>
              <w:tc>
                <w:tcPr>
                  <w:tcW w:w="437" w:type="pct"/>
                  <w:vMerge w:val="restart"/>
                  <w:tcBorders>
                    <w:left w:val="single" w:color="auto" w:sz="4" w:space="0"/>
                  </w:tcBorders>
                  <w:noWrap w:val="0"/>
                  <w:vAlign w:val="center"/>
                </w:tcPr>
                <w:p w14:paraId="0190550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是否为可行技术</w:t>
                  </w:r>
                </w:p>
              </w:tc>
              <w:tc>
                <w:tcPr>
                  <w:tcW w:w="391" w:type="pct"/>
                  <w:vMerge w:val="restart"/>
                  <w:tcBorders>
                    <w:right w:val="single" w:color="auto" w:sz="4" w:space="0"/>
                  </w:tcBorders>
                  <w:noWrap w:val="0"/>
                  <w:vAlign w:val="center"/>
                </w:tcPr>
                <w:p w14:paraId="0650E06B">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废水排放量m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/a</w:t>
                  </w:r>
                </w:p>
              </w:tc>
              <w:tc>
                <w:tcPr>
                  <w:tcW w:w="901" w:type="pct"/>
                  <w:gridSpan w:val="2"/>
                  <w:tcBorders>
                    <w:left w:val="single" w:color="auto" w:sz="4" w:space="0"/>
                    <w:bottom w:val="single" w:color="auto" w:sz="4" w:space="0"/>
                    <w:right w:val="single" w:color="auto" w:sz="4" w:space="0"/>
                  </w:tcBorders>
                  <w:noWrap w:val="0"/>
                  <w:vAlign w:val="center"/>
                </w:tcPr>
                <w:p w14:paraId="31C0DCF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污染物排放情况</w:t>
                  </w:r>
                </w:p>
              </w:tc>
              <w:tc>
                <w:tcPr>
                  <w:tcW w:w="308" w:type="pct"/>
                  <w:vMerge w:val="restart"/>
                  <w:tcBorders>
                    <w:left w:val="single" w:color="auto" w:sz="4" w:space="0"/>
                    <w:right w:val="single" w:color="auto" w:sz="4" w:space="0"/>
                  </w:tcBorders>
                  <w:noWrap w:val="0"/>
                  <w:vAlign w:val="center"/>
                </w:tcPr>
                <w:p w14:paraId="70238359">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排放方式</w:t>
                  </w:r>
                </w:p>
              </w:tc>
              <w:tc>
                <w:tcPr>
                  <w:tcW w:w="703" w:type="pct"/>
                  <w:vMerge w:val="restart"/>
                  <w:tcBorders>
                    <w:left w:val="single" w:color="auto" w:sz="4" w:space="0"/>
                  </w:tcBorders>
                  <w:noWrap w:val="0"/>
                  <w:vAlign w:val="center"/>
                </w:tcPr>
                <w:p w14:paraId="75D593B2">
                  <w:pPr>
                    <w:adjustRightInd w:val="0"/>
                    <w:snapToGrid w:val="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排放去向</w:t>
                  </w:r>
                </w:p>
              </w:tc>
            </w:tr>
            <w:tr w14:paraId="75D00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7" w:type="pct"/>
                  <w:vMerge w:val="continue"/>
                  <w:noWrap w:val="0"/>
                  <w:vAlign w:val="center"/>
                </w:tcPr>
                <w:p w14:paraId="60FFEA19">
                  <w:pPr>
                    <w:adjustRightInd w:val="0"/>
                    <w:snapToGrid w:val="0"/>
                    <w:jc w:val="center"/>
                    <w:rPr>
                      <w:rFonts w:hint="default" w:ascii="Times New Roman" w:hAnsi="Times New Roman" w:eastAsia="宋体" w:cs="Times New Roman"/>
                      <w:b/>
                      <w:bCs/>
                      <w:color w:val="auto"/>
                      <w:sz w:val="21"/>
                      <w:szCs w:val="21"/>
                    </w:rPr>
                  </w:pPr>
                </w:p>
              </w:tc>
              <w:tc>
                <w:tcPr>
                  <w:tcW w:w="509" w:type="pct"/>
                  <w:vMerge w:val="continue"/>
                  <w:tcBorders>
                    <w:right w:val="single" w:color="auto" w:sz="4" w:space="0"/>
                  </w:tcBorders>
                  <w:noWrap w:val="0"/>
                  <w:vAlign w:val="center"/>
                </w:tcPr>
                <w:p w14:paraId="09CF36A0">
                  <w:pPr>
                    <w:adjustRightInd w:val="0"/>
                    <w:snapToGrid w:val="0"/>
                    <w:jc w:val="center"/>
                    <w:rPr>
                      <w:rFonts w:hint="default" w:ascii="Times New Roman" w:hAnsi="Times New Roman" w:eastAsia="宋体" w:cs="Times New Roman"/>
                      <w:b/>
                      <w:bCs/>
                      <w:color w:val="auto"/>
                      <w:sz w:val="21"/>
                      <w:szCs w:val="21"/>
                    </w:rPr>
                  </w:pPr>
                </w:p>
              </w:tc>
              <w:tc>
                <w:tcPr>
                  <w:tcW w:w="421" w:type="pct"/>
                  <w:tcBorders>
                    <w:top w:val="single" w:color="auto" w:sz="4" w:space="0"/>
                    <w:left w:val="single" w:color="auto" w:sz="4" w:space="0"/>
                    <w:right w:val="single" w:color="auto" w:sz="4" w:space="0"/>
                  </w:tcBorders>
                  <w:noWrap w:val="0"/>
                  <w:vAlign w:val="center"/>
                </w:tcPr>
                <w:p w14:paraId="37BF71DB">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产生浓度mg/L</w:t>
                  </w:r>
                </w:p>
              </w:tc>
              <w:tc>
                <w:tcPr>
                  <w:tcW w:w="518" w:type="pct"/>
                  <w:tcBorders>
                    <w:top w:val="single" w:color="auto" w:sz="4" w:space="0"/>
                    <w:left w:val="single" w:color="auto" w:sz="4" w:space="0"/>
                    <w:right w:val="single" w:color="auto" w:sz="4" w:space="0"/>
                  </w:tcBorders>
                  <w:noWrap w:val="0"/>
                  <w:vAlign w:val="center"/>
                </w:tcPr>
                <w:p w14:paraId="1A52D199">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污染物产生量t/a</w:t>
                  </w:r>
                </w:p>
              </w:tc>
              <w:tc>
                <w:tcPr>
                  <w:tcW w:w="400" w:type="pct"/>
                  <w:vMerge w:val="continue"/>
                  <w:tcBorders>
                    <w:left w:val="single" w:color="auto" w:sz="4" w:space="0"/>
                    <w:right w:val="single" w:color="auto" w:sz="4" w:space="0"/>
                  </w:tcBorders>
                  <w:noWrap w:val="0"/>
                  <w:vAlign w:val="center"/>
                </w:tcPr>
                <w:p w14:paraId="7B5A28D7">
                  <w:pPr>
                    <w:adjustRightInd w:val="0"/>
                    <w:snapToGrid w:val="0"/>
                    <w:jc w:val="center"/>
                    <w:rPr>
                      <w:rFonts w:hint="default" w:ascii="Times New Roman" w:hAnsi="Times New Roman" w:eastAsia="宋体" w:cs="Times New Roman"/>
                      <w:b/>
                      <w:bCs/>
                      <w:color w:val="auto"/>
                      <w:sz w:val="21"/>
                      <w:szCs w:val="21"/>
                    </w:rPr>
                  </w:pPr>
                </w:p>
              </w:tc>
              <w:tc>
                <w:tcPr>
                  <w:tcW w:w="437" w:type="pct"/>
                  <w:vMerge w:val="continue"/>
                  <w:tcBorders>
                    <w:left w:val="single" w:color="auto" w:sz="4" w:space="0"/>
                  </w:tcBorders>
                  <w:noWrap w:val="0"/>
                  <w:vAlign w:val="center"/>
                </w:tcPr>
                <w:p w14:paraId="0A212213">
                  <w:pPr>
                    <w:adjustRightInd w:val="0"/>
                    <w:snapToGrid w:val="0"/>
                    <w:jc w:val="center"/>
                    <w:rPr>
                      <w:rFonts w:hint="default" w:ascii="Times New Roman" w:hAnsi="Times New Roman" w:eastAsia="宋体" w:cs="Times New Roman"/>
                      <w:b/>
                      <w:bCs/>
                      <w:color w:val="auto"/>
                      <w:sz w:val="21"/>
                      <w:szCs w:val="21"/>
                    </w:rPr>
                  </w:pPr>
                </w:p>
              </w:tc>
              <w:tc>
                <w:tcPr>
                  <w:tcW w:w="391" w:type="pct"/>
                  <w:vMerge w:val="continue"/>
                  <w:tcBorders>
                    <w:right w:val="single" w:color="auto" w:sz="4" w:space="0"/>
                  </w:tcBorders>
                  <w:noWrap w:val="0"/>
                  <w:vAlign w:val="center"/>
                </w:tcPr>
                <w:p w14:paraId="01EA431F">
                  <w:pPr>
                    <w:adjustRightInd w:val="0"/>
                    <w:snapToGrid w:val="0"/>
                    <w:jc w:val="center"/>
                    <w:rPr>
                      <w:rFonts w:hint="default" w:ascii="Times New Roman" w:hAnsi="Times New Roman" w:eastAsia="宋体" w:cs="Times New Roman"/>
                      <w:b/>
                      <w:bCs/>
                      <w:color w:val="auto"/>
                      <w:sz w:val="21"/>
                      <w:szCs w:val="21"/>
                    </w:rPr>
                  </w:pPr>
                </w:p>
              </w:tc>
              <w:tc>
                <w:tcPr>
                  <w:tcW w:w="463" w:type="pct"/>
                  <w:tcBorders>
                    <w:top w:val="single" w:color="auto" w:sz="4" w:space="0"/>
                    <w:left w:val="single" w:color="auto" w:sz="4" w:space="0"/>
                    <w:right w:val="single" w:color="auto" w:sz="4" w:space="0"/>
                  </w:tcBorders>
                  <w:noWrap w:val="0"/>
                  <w:vAlign w:val="center"/>
                </w:tcPr>
                <w:p w14:paraId="65978BA7">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排放浓度mg/L</w:t>
                  </w:r>
                </w:p>
              </w:tc>
              <w:tc>
                <w:tcPr>
                  <w:tcW w:w="438" w:type="pct"/>
                  <w:tcBorders>
                    <w:top w:val="single" w:color="auto" w:sz="4" w:space="0"/>
                    <w:left w:val="single" w:color="auto" w:sz="4" w:space="0"/>
                    <w:right w:val="single" w:color="auto" w:sz="4" w:space="0"/>
                  </w:tcBorders>
                  <w:noWrap w:val="0"/>
                  <w:vAlign w:val="center"/>
                </w:tcPr>
                <w:p w14:paraId="234255B4">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污染物排放量t/a</w:t>
                  </w:r>
                </w:p>
              </w:tc>
              <w:tc>
                <w:tcPr>
                  <w:tcW w:w="308" w:type="pct"/>
                  <w:vMerge w:val="continue"/>
                  <w:tcBorders>
                    <w:left w:val="single" w:color="auto" w:sz="4" w:space="0"/>
                    <w:right w:val="single" w:color="auto" w:sz="4" w:space="0"/>
                  </w:tcBorders>
                  <w:noWrap w:val="0"/>
                  <w:vAlign w:val="center"/>
                </w:tcPr>
                <w:p w14:paraId="004A9FAD">
                  <w:pPr>
                    <w:adjustRightInd w:val="0"/>
                    <w:snapToGrid w:val="0"/>
                    <w:jc w:val="center"/>
                    <w:rPr>
                      <w:rFonts w:hint="default" w:ascii="Times New Roman" w:hAnsi="Times New Roman" w:eastAsia="宋体" w:cs="Times New Roman"/>
                      <w:bCs/>
                      <w:color w:val="auto"/>
                      <w:sz w:val="21"/>
                      <w:szCs w:val="21"/>
                    </w:rPr>
                  </w:pPr>
                </w:p>
              </w:tc>
              <w:tc>
                <w:tcPr>
                  <w:tcW w:w="703" w:type="pct"/>
                  <w:vMerge w:val="continue"/>
                  <w:tcBorders>
                    <w:left w:val="single" w:color="auto" w:sz="4" w:space="0"/>
                  </w:tcBorders>
                  <w:noWrap w:val="0"/>
                  <w:vAlign w:val="center"/>
                </w:tcPr>
                <w:p w14:paraId="2B9E6691">
                  <w:pPr>
                    <w:adjustRightInd w:val="0"/>
                    <w:snapToGrid w:val="0"/>
                    <w:jc w:val="center"/>
                    <w:rPr>
                      <w:rFonts w:hint="default" w:ascii="Times New Roman" w:hAnsi="Times New Roman" w:eastAsia="宋体" w:cs="Times New Roman"/>
                      <w:bCs/>
                      <w:color w:val="auto"/>
                      <w:sz w:val="21"/>
                      <w:szCs w:val="21"/>
                    </w:rPr>
                  </w:pPr>
                </w:p>
              </w:tc>
            </w:tr>
            <w:tr w14:paraId="144EC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7" w:type="pct"/>
                  <w:vMerge w:val="restart"/>
                  <w:noWrap w:val="0"/>
                  <w:vAlign w:val="center"/>
                </w:tcPr>
                <w:p w14:paraId="1C16EA9E">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生活设施</w:t>
                  </w:r>
                </w:p>
              </w:tc>
              <w:tc>
                <w:tcPr>
                  <w:tcW w:w="509" w:type="pct"/>
                  <w:tcBorders>
                    <w:right w:val="single" w:color="auto" w:sz="4" w:space="0"/>
                  </w:tcBorders>
                  <w:noWrap w:val="0"/>
                  <w:vAlign w:val="center"/>
                </w:tcPr>
                <w:p w14:paraId="40380DB7">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COD</w:t>
                  </w:r>
                </w:p>
              </w:tc>
              <w:tc>
                <w:tcPr>
                  <w:tcW w:w="421" w:type="pct"/>
                  <w:tcBorders>
                    <w:left w:val="single" w:color="auto" w:sz="4" w:space="0"/>
                    <w:right w:val="single" w:color="auto" w:sz="4" w:space="0"/>
                  </w:tcBorders>
                  <w:noWrap w:val="0"/>
                  <w:vAlign w:val="center"/>
                </w:tcPr>
                <w:p w14:paraId="05D7BC78">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450</w:t>
                  </w:r>
                </w:p>
              </w:tc>
              <w:tc>
                <w:tcPr>
                  <w:tcW w:w="518" w:type="pct"/>
                  <w:tcBorders>
                    <w:left w:val="single" w:color="auto" w:sz="4" w:space="0"/>
                    <w:right w:val="single" w:color="auto" w:sz="4" w:space="0"/>
                  </w:tcBorders>
                  <w:noWrap w:val="0"/>
                  <w:vAlign w:val="center"/>
                </w:tcPr>
                <w:p w14:paraId="212E9C1A">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0.108</w:t>
                  </w:r>
                </w:p>
              </w:tc>
              <w:tc>
                <w:tcPr>
                  <w:tcW w:w="400" w:type="pct"/>
                  <w:vMerge w:val="restart"/>
                  <w:tcBorders>
                    <w:left w:val="single" w:color="auto" w:sz="4" w:space="0"/>
                    <w:right w:val="single" w:color="auto" w:sz="4" w:space="0"/>
                  </w:tcBorders>
                  <w:noWrap w:val="0"/>
                  <w:vAlign w:val="center"/>
                </w:tcPr>
                <w:p w14:paraId="513B9214">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化粪池</w:t>
                  </w:r>
                </w:p>
              </w:tc>
              <w:tc>
                <w:tcPr>
                  <w:tcW w:w="437" w:type="pct"/>
                  <w:vMerge w:val="restart"/>
                  <w:tcBorders>
                    <w:left w:val="single" w:color="auto" w:sz="4" w:space="0"/>
                  </w:tcBorders>
                  <w:noWrap w:val="0"/>
                  <w:vAlign w:val="center"/>
                </w:tcPr>
                <w:p w14:paraId="763C3879">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391" w:type="pct"/>
                  <w:vMerge w:val="restart"/>
                  <w:tcBorders>
                    <w:right w:val="single" w:color="auto" w:sz="4" w:space="0"/>
                  </w:tcBorders>
                  <w:noWrap w:val="0"/>
                  <w:vAlign w:val="center"/>
                </w:tcPr>
                <w:p w14:paraId="0AD91386">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240</w:t>
                  </w:r>
                </w:p>
              </w:tc>
              <w:tc>
                <w:tcPr>
                  <w:tcW w:w="463" w:type="pct"/>
                  <w:tcBorders>
                    <w:left w:val="single" w:color="auto" w:sz="4" w:space="0"/>
                    <w:right w:val="single" w:color="auto" w:sz="4" w:space="0"/>
                  </w:tcBorders>
                  <w:noWrap w:val="0"/>
                  <w:vAlign w:val="center"/>
                </w:tcPr>
                <w:p w14:paraId="593CB64B">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382.5</w:t>
                  </w:r>
                </w:p>
              </w:tc>
              <w:tc>
                <w:tcPr>
                  <w:tcW w:w="438" w:type="pct"/>
                  <w:tcBorders>
                    <w:left w:val="single" w:color="auto" w:sz="4" w:space="0"/>
                    <w:right w:val="single" w:color="auto" w:sz="4" w:space="0"/>
                  </w:tcBorders>
                  <w:noWrap w:val="0"/>
                  <w:vAlign w:val="center"/>
                </w:tcPr>
                <w:p w14:paraId="57211327">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0.092</w:t>
                  </w:r>
                </w:p>
              </w:tc>
              <w:tc>
                <w:tcPr>
                  <w:tcW w:w="308" w:type="pct"/>
                  <w:vMerge w:val="restart"/>
                  <w:tcBorders>
                    <w:left w:val="single" w:color="auto" w:sz="4" w:space="0"/>
                    <w:right w:val="single" w:color="auto" w:sz="4" w:space="0"/>
                  </w:tcBorders>
                  <w:noWrap w:val="0"/>
                  <w:vAlign w:val="center"/>
                </w:tcPr>
                <w:p w14:paraId="14D8D3EB">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间接排放</w:t>
                  </w:r>
                </w:p>
              </w:tc>
              <w:tc>
                <w:tcPr>
                  <w:tcW w:w="703" w:type="pct"/>
                  <w:vMerge w:val="restart"/>
                  <w:tcBorders>
                    <w:left w:val="single" w:color="auto" w:sz="4" w:space="0"/>
                  </w:tcBorders>
                  <w:noWrap w:val="0"/>
                  <w:vAlign w:val="center"/>
                </w:tcPr>
                <w:p w14:paraId="749516DE">
                  <w:pPr>
                    <w:adjustRightInd w:val="0"/>
                    <w:snapToGrid w:val="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经厂区现有化粪池处理后汇同循环冷却系统排水排入园区污水管网，最终进入</w:t>
                  </w:r>
                  <w:r>
                    <w:rPr>
                      <w:rFonts w:hint="eastAsia" w:cs="Times New Roman"/>
                      <w:bCs/>
                      <w:color w:val="auto"/>
                      <w:sz w:val="21"/>
                      <w:szCs w:val="21"/>
                      <w:lang w:val="en-US" w:eastAsia="zh-CN"/>
                    </w:rPr>
                    <w:t>固原经济技术开发区新材料产业园污水处理厂进行处理</w:t>
                  </w:r>
                </w:p>
              </w:tc>
            </w:tr>
            <w:tr w14:paraId="25A91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07" w:type="pct"/>
                  <w:vMerge w:val="continue"/>
                  <w:noWrap w:val="0"/>
                  <w:vAlign w:val="center"/>
                </w:tcPr>
                <w:p w14:paraId="1DC247F4">
                  <w:pPr>
                    <w:adjustRightInd w:val="0"/>
                    <w:snapToGrid w:val="0"/>
                    <w:jc w:val="center"/>
                    <w:rPr>
                      <w:rFonts w:hint="default" w:ascii="Times New Roman" w:hAnsi="Times New Roman" w:eastAsia="宋体" w:cs="Times New Roman"/>
                      <w:color w:val="auto"/>
                      <w:sz w:val="21"/>
                      <w:szCs w:val="21"/>
                    </w:rPr>
                  </w:pPr>
                </w:p>
              </w:tc>
              <w:tc>
                <w:tcPr>
                  <w:tcW w:w="509" w:type="pct"/>
                  <w:tcBorders>
                    <w:right w:val="single" w:color="auto" w:sz="4" w:space="0"/>
                  </w:tcBorders>
                  <w:noWrap w:val="0"/>
                  <w:vAlign w:val="center"/>
                </w:tcPr>
                <w:p w14:paraId="1EC0240A">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BOD</w:t>
                  </w:r>
                  <w:r>
                    <w:rPr>
                      <w:rFonts w:hint="default" w:ascii="Times New Roman" w:hAnsi="Times New Roman" w:eastAsia="宋体" w:cs="Times New Roman"/>
                      <w:color w:val="auto"/>
                      <w:kern w:val="0"/>
                      <w:sz w:val="21"/>
                      <w:szCs w:val="21"/>
                      <w:vertAlign w:val="subscript"/>
                    </w:rPr>
                    <w:t>5</w:t>
                  </w:r>
                </w:p>
              </w:tc>
              <w:tc>
                <w:tcPr>
                  <w:tcW w:w="421" w:type="pct"/>
                  <w:tcBorders>
                    <w:left w:val="single" w:color="auto" w:sz="4" w:space="0"/>
                    <w:right w:val="single" w:color="auto" w:sz="4" w:space="0"/>
                  </w:tcBorders>
                  <w:noWrap w:val="0"/>
                  <w:vAlign w:val="center"/>
                </w:tcPr>
                <w:p w14:paraId="2AC90DD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300</w:t>
                  </w:r>
                </w:p>
              </w:tc>
              <w:tc>
                <w:tcPr>
                  <w:tcW w:w="518" w:type="pct"/>
                  <w:tcBorders>
                    <w:left w:val="single" w:color="auto" w:sz="4" w:space="0"/>
                    <w:right w:val="single" w:color="auto" w:sz="4" w:space="0"/>
                  </w:tcBorders>
                  <w:noWrap w:val="0"/>
                  <w:vAlign w:val="center"/>
                </w:tcPr>
                <w:p w14:paraId="35659F12">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0.072</w:t>
                  </w:r>
                </w:p>
              </w:tc>
              <w:tc>
                <w:tcPr>
                  <w:tcW w:w="400" w:type="pct"/>
                  <w:vMerge w:val="continue"/>
                  <w:tcBorders>
                    <w:left w:val="single" w:color="auto" w:sz="4" w:space="0"/>
                    <w:right w:val="single" w:color="auto" w:sz="4" w:space="0"/>
                  </w:tcBorders>
                  <w:noWrap w:val="0"/>
                  <w:vAlign w:val="center"/>
                </w:tcPr>
                <w:p w14:paraId="15C822A3">
                  <w:pPr>
                    <w:adjustRightInd w:val="0"/>
                    <w:snapToGrid w:val="0"/>
                    <w:jc w:val="center"/>
                    <w:rPr>
                      <w:rFonts w:hint="default" w:ascii="Times New Roman" w:hAnsi="Times New Roman" w:eastAsia="宋体" w:cs="Times New Roman"/>
                      <w:color w:val="auto"/>
                      <w:sz w:val="21"/>
                      <w:szCs w:val="21"/>
                    </w:rPr>
                  </w:pPr>
                </w:p>
              </w:tc>
              <w:tc>
                <w:tcPr>
                  <w:tcW w:w="437" w:type="pct"/>
                  <w:vMerge w:val="continue"/>
                  <w:tcBorders>
                    <w:left w:val="single" w:color="auto" w:sz="4" w:space="0"/>
                  </w:tcBorders>
                  <w:noWrap w:val="0"/>
                  <w:vAlign w:val="center"/>
                </w:tcPr>
                <w:p w14:paraId="130B450D">
                  <w:pPr>
                    <w:adjustRightInd w:val="0"/>
                    <w:snapToGrid w:val="0"/>
                    <w:jc w:val="center"/>
                    <w:rPr>
                      <w:rFonts w:hint="default" w:ascii="Times New Roman" w:hAnsi="Times New Roman" w:eastAsia="宋体" w:cs="Times New Roman"/>
                      <w:color w:val="auto"/>
                      <w:sz w:val="21"/>
                      <w:szCs w:val="21"/>
                    </w:rPr>
                  </w:pPr>
                </w:p>
              </w:tc>
              <w:tc>
                <w:tcPr>
                  <w:tcW w:w="391" w:type="pct"/>
                  <w:vMerge w:val="continue"/>
                  <w:tcBorders>
                    <w:right w:val="single" w:color="auto" w:sz="4" w:space="0"/>
                  </w:tcBorders>
                  <w:noWrap w:val="0"/>
                  <w:vAlign w:val="center"/>
                </w:tcPr>
                <w:p w14:paraId="42789778">
                  <w:pPr>
                    <w:adjustRightInd w:val="0"/>
                    <w:snapToGrid w:val="0"/>
                    <w:jc w:val="center"/>
                    <w:rPr>
                      <w:rFonts w:hint="default" w:ascii="Times New Roman" w:hAnsi="Times New Roman" w:eastAsia="宋体" w:cs="Times New Roman"/>
                      <w:bCs/>
                      <w:color w:val="auto"/>
                      <w:sz w:val="21"/>
                      <w:szCs w:val="21"/>
                    </w:rPr>
                  </w:pPr>
                </w:p>
              </w:tc>
              <w:tc>
                <w:tcPr>
                  <w:tcW w:w="463" w:type="pct"/>
                  <w:tcBorders>
                    <w:left w:val="single" w:color="auto" w:sz="4" w:space="0"/>
                    <w:right w:val="single" w:color="auto" w:sz="4" w:space="0"/>
                  </w:tcBorders>
                  <w:noWrap w:val="0"/>
                  <w:vAlign w:val="center"/>
                </w:tcPr>
                <w:p w14:paraId="4C59E7C0">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270</w:t>
                  </w:r>
                </w:p>
              </w:tc>
              <w:tc>
                <w:tcPr>
                  <w:tcW w:w="438" w:type="pct"/>
                  <w:tcBorders>
                    <w:left w:val="single" w:color="auto" w:sz="4" w:space="0"/>
                    <w:right w:val="single" w:color="auto" w:sz="4" w:space="0"/>
                  </w:tcBorders>
                  <w:noWrap w:val="0"/>
                  <w:vAlign w:val="center"/>
                </w:tcPr>
                <w:p w14:paraId="1EA900EB">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0.065</w:t>
                  </w:r>
                </w:p>
              </w:tc>
              <w:tc>
                <w:tcPr>
                  <w:tcW w:w="308" w:type="pct"/>
                  <w:vMerge w:val="continue"/>
                  <w:tcBorders>
                    <w:left w:val="single" w:color="auto" w:sz="4" w:space="0"/>
                    <w:right w:val="single" w:color="auto" w:sz="4" w:space="0"/>
                  </w:tcBorders>
                  <w:noWrap w:val="0"/>
                  <w:vAlign w:val="center"/>
                </w:tcPr>
                <w:p w14:paraId="50861055">
                  <w:pPr>
                    <w:adjustRightInd w:val="0"/>
                    <w:snapToGrid w:val="0"/>
                    <w:jc w:val="center"/>
                    <w:rPr>
                      <w:rFonts w:hint="default" w:ascii="Times New Roman" w:hAnsi="Times New Roman" w:eastAsia="宋体" w:cs="Times New Roman"/>
                      <w:bCs/>
                      <w:color w:val="auto"/>
                      <w:sz w:val="21"/>
                      <w:szCs w:val="21"/>
                    </w:rPr>
                  </w:pPr>
                </w:p>
              </w:tc>
              <w:tc>
                <w:tcPr>
                  <w:tcW w:w="703" w:type="pct"/>
                  <w:vMerge w:val="continue"/>
                  <w:tcBorders>
                    <w:left w:val="single" w:color="auto" w:sz="4" w:space="0"/>
                  </w:tcBorders>
                  <w:noWrap w:val="0"/>
                  <w:vAlign w:val="center"/>
                </w:tcPr>
                <w:p w14:paraId="47FCEF8C">
                  <w:pPr>
                    <w:adjustRightInd w:val="0"/>
                    <w:snapToGrid w:val="0"/>
                    <w:jc w:val="center"/>
                    <w:rPr>
                      <w:rFonts w:hint="default" w:ascii="Times New Roman" w:hAnsi="Times New Roman" w:eastAsia="宋体" w:cs="Times New Roman"/>
                      <w:bCs/>
                      <w:color w:val="auto"/>
                      <w:sz w:val="21"/>
                      <w:szCs w:val="21"/>
                    </w:rPr>
                  </w:pPr>
                </w:p>
              </w:tc>
            </w:tr>
            <w:tr w14:paraId="4E0F6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7" w:type="pct"/>
                  <w:vMerge w:val="continue"/>
                  <w:noWrap w:val="0"/>
                  <w:vAlign w:val="center"/>
                </w:tcPr>
                <w:p w14:paraId="57B4F31B">
                  <w:pPr>
                    <w:adjustRightInd w:val="0"/>
                    <w:snapToGrid w:val="0"/>
                    <w:jc w:val="center"/>
                    <w:rPr>
                      <w:rFonts w:hint="default" w:ascii="Times New Roman" w:hAnsi="Times New Roman" w:eastAsia="宋体" w:cs="Times New Roman"/>
                      <w:color w:val="auto"/>
                      <w:sz w:val="21"/>
                      <w:szCs w:val="21"/>
                    </w:rPr>
                  </w:pPr>
                </w:p>
              </w:tc>
              <w:tc>
                <w:tcPr>
                  <w:tcW w:w="509" w:type="pct"/>
                  <w:tcBorders>
                    <w:right w:val="single" w:color="auto" w:sz="4" w:space="0"/>
                  </w:tcBorders>
                  <w:noWrap w:val="0"/>
                  <w:vAlign w:val="center"/>
                </w:tcPr>
                <w:p w14:paraId="6E24AFFB">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SS</w:t>
                  </w:r>
                </w:p>
              </w:tc>
              <w:tc>
                <w:tcPr>
                  <w:tcW w:w="421" w:type="pct"/>
                  <w:tcBorders>
                    <w:left w:val="single" w:color="auto" w:sz="4" w:space="0"/>
                    <w:right w:val="single" w:color="auto" w:sz="4" w:space="0"/>
                  </w:tcBorders>
                  <w:noWrap w:val="0"/>
                  <w:vAlign w:val="center"/>
                </w:tcPr>
                <w:p w14:paraId="2331E9DB">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220</w:t>
                  </w:r>
                </w:p>
              </w:tc>
              <w:tc>
                <w:tcPr>
                  <w:tcW w:w="518" w:type="pct"/>
                  <w:tcBorders>
                    <w:left w:val="single" w:color="auto" w:sz="4" w:space="0"/>
                    <w:right w:val="single" w:color="auto" w:sz="4" w:space="0"/>
                  </w:tcBorders>
                  <w:noWrap w:val="0"/>
                  <w:vAlign w:val="center"/>
                </w:tcPr>
                <w:p w14:paraId="5B8B2A94">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0.053</w:t>
                  </w:r>
                </w:p>
              </w:tc>
              <w:tc>
                <w:tcPr>
                  <w:tcW w:w="400" w:type="pct"/>
                  <w:vMerge w:val="continue"/>
                  <w:tcBorders>
                    <w:left w:val="single" w:color="auto" w:sz="4" w:space="0"/>
                    <w:right w:val="single" w:color="auto" w:sz="4" w:space="0"/>
                  </w:tcBorders>
                  <w:noWrap w:val="0"/>
                  <w:vAlign w:val="center"/>
                </w:tcPr>
                <w:p w14:paraId="6097BDF0">
                  <w:pPr>
                    <w:adjustRightInd w:val="0"/>
                    <w:snapToGrid w:val="0"/>
                    <w:jc w:val="center"/>
                    <w:rPr>
                      <w:rFonts w:hint="default" w:ascii="Times New Roman" w:hAnsi="Times New Roman" w:eastAsia="宋体" w:cs="Times New Roman"/>
                      <w:color w:val="auto"/>
                      <w:sz w:val="21"/>
                      <w:szCs w:val="21"/>
                    </w:rPr>
                  </w:pPr>
                </w:p>
              </w:tc>
              <w:tc>
                <w:tcPr>
                  <w:tcW w:w="437" w:type="pct"/>
                  <w:vMerge w:val="continue"/>
                  <w:tcBorders>
                    <w:left w:val="single" w:color="auto" w:sz="4" w:space="0"/>
                  </w:tcBorders>
                  <w:noWrap w:val="0"/>
                  <w:vAlign w:val="center"/>
                </w:tcPr>
                <w:p w14:paraId="5AD38157">
                  <w:pPr>
                    <w:adjustRightInd w:val="0"/>
                    <w:snapToGrid w:val="0"/>
                    <w:jc w:val="center"/>
                    <w:rPr>
                      <w:rFonts w:hint="default" w:ascii="Times New Roman" w:hAnsi="Times New Roman" w:eastAsia="宋体" w:cs="Times New Roman"/>
                      <w:color w:val="auto"/>
                      <w:sz w:val="21"/>
                      <w:szCs w:val="21"/>
                    </w:rPr>
                  </w:pPr>
                </w:p>
              </w:tc>
              <w:tc>
                <w:tcPr>
                  <w:tcW w:w="391" w:type="pct"/>
                  <w:vMerge w:val="continue"/>
                  <w:tcBorders>
                    <w:right w:val="single" w:color="auto" w:sz="4" w:space="0"/>
                  </w:tcBorders>
                  <w:noWrap w:val="0"/>
                  <w:vAlign w:val="center"/>
                </w:tcPr>
                <w:p w14:paraId="77C8D882">
                  <w:pPr>
                    <w:adjustRightInd w:val="0"/>
                    <w:snapToGrid w:val="0"/>
                    <w:jc w:val="center"/>
                    <w:rPr>
                      <w:rFonts w:hint="default" w:ascii="Times New Roman" w:hAnsi="Times New Roman" w:eastAsia="宋体" w:cs="Times New Roman"/>
                      <w:bCs/>
                      <w:color w:val="auto"/>
                      <w:sz w:val="21"/>
                      <w:szCs w:val="21"/>
                    </w:rPr>
                  </w:pPr>
                </w:p>
              </w:tc>
              <w:tc>
                <w:tcPr>
                  <w:tcW w:w="463" w:type="pct"/>
                  <w:tcBorders>
                    <w:left w:val="single" w:color="auto" w:sz="4" w:space="0"/>
                    <w:right w:val="single" w:color="auto" w:sz="4" w:space="0"/>
                  </w:tcBorders>
                  <w:noWrap w:val="0"/>
                  <w:vAlign w:val="center"/>
                </w:tcPr>
                <w:p w14:paraId="0B2EEE51">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200</w:t>
                  </w:r>
                </w:p>
              </w:tc>
              <w:tc>
                <w:tcPr>
                  <w:tcW w:w="438" w:type="pct"/>
                  <w:tcBorders>
                    <w:left w:val="single" w:color="auto" w:sz="4" w:space="0"/>
                    <w:right w:val="single" w:color="auto" w:sz="4" w:space="0"/>
                  </w:tcBorders>
                  <w:noWrap w:val="0"/>
                  <w:vAlign w:val="center"/>
                </w:tcPr>
                <w:p w14:paraId="356A9DA7">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0.048</w:t>
                  </w:r>
                </w:p>
              </w:tc>
              <w:tc>
                <w:tcPr>
                  <w:tcW w:w="308" w:type="pct"/>
                  <w:vMerge w:val="continue"/>
                  <w:tcBorders>
                    <w:left w:val="single" w:color="auto" w:sz="4" w:space="0"/>
                    <w:right w:val="single" w:color="auto" w:sz="4" w:space="0"/>
                  </w:tcBorders>
                  <w:noWrap w:val="0"/>
                  <w:vAlign w:val="center"/>
                </w:tcPr>
                <w:p w14:paraId="1371429D">
                  <w:pPr>
                    <w:adjustRightInd w:val="0"/>
                    <w:snapToGrid w:val="0"/>
                    <w:jc w:val="center"/>
                    <w:rPr>
                      <w:rFonts w:hint="default" w:ascii="Times New Roman" w:hAnsi="Times New Roman" w:eastAsia="宋体" w:cs="Times New Roman"/>
                      <w:bCs/>
                      <w:color w:val="auto"/>
                      <w:sz w:val="21"/>
                      <w:szCs w:val="21"/>
                    </w:rPr>
                  </w:pPr>
                </w:p>
              </w:tc>
              <w:tc>
                <w:tcPr>
                  <w:tcW w:w="703" w:type="pct"/>
                  <w:vMerge w:val="continue"/>
                  <w:tcBorders>
                    <w:left w:val="single" w:color="auto" w:sz="4" w:space="0"/>
                  </w:tcBorders>
                  <w:noWrap w:val="0"/>
                  <w:vAlign w:val="center"/>
                </w:tcPr>
                <w:p w14:paraId="40EF9B1D">
                  <w:pPr>
                    <w:adjustRightInd w:val="0"/>
                    <w:snapToGrid w:val="0"/>
                    <w:jc w:val="center"/>
                    <w:rPr>
                      <w:rFonts w:hint="default" w:ascii="Times New Roman" w:hAnsi="Times New Roman" w:eastAsia="宋体" w:cs="Times New Roman"/>
                      <w:bCs/>
                      <w:color w:val="auto"/>
                      <w:sz w:val="21"/>
                      <w:szCs w:val="21"/>
                    </w:rPr>
                  </w:pPr>
                </w:p>
              </w:tc>
            </w:tr>
            <w:tr w14:paraId="02174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07" w:type="pct"/>
                  <w:vMerge w:val="continue"/>
                  <w:noWrap w:val="0"/>
                  <w:vAlign w:val="center"/>
                </w:tcPr>
                <w:p w14:paraId="0945265E">
                  <w:pPr>
                    <w:adjustRightInd w:val="0"/>
                    <w:snapToGrid w:val="0"/>
                    <w:jc w:val="center"/>
                    <w:rPr>
                      <w:rFonts w:hint="default" w:ascii="Times New Roman" w:hAnsi="Times New Roman" w:eastAsia="宋体" w:cs="Times New Roman"/>
                      <w:color w:val="auto"/>
                      <w:sz w:val="21"/>
                      <w:szCs w:val="21"/>
                    </w:rPr>
                  </w:pPr>
                </w:p>
              </w:tc>
              <w:tc>
                <w:tcPr>
                  <w:tcW w:w="509" w:type="pct"/>
                  <w:tcBorders>
                    <w:right w:val="single" w:color="auto" w:sz="4" w:space="0"/>
                  </w:tcBorders>
                  <w:noWrap w:val="0"/>
                  <w:vAlign w:val="center"/>
                </w:tcPr>
                <w:p w14:paraId="5C354663">
                  <w:pPr>
                    <w:widowControl/>
                    <w:adjustRightInd w:val="0"/>
                    <w:snapToGrid w:val="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NH</w:t>
                  </w:r>
                  <w:r>
                    <w:rPr>
                      <w:rFonts w:hint="default" w:ascii="Times New Roman" w:hAnsi="Times New Roman" w:eastAsia="宋体" w:cs="Times New Roman"/>
                      <w:color w:val="auto"/>
                      <w:kern w:val="0"/>
                      <w:sz w:val="21"/>
                      <w:szCs w:val="21"/>
                      <w:vertAlign w:val="subscript"/>
                    </w:rPr>
                    <w:t>3</w:t>
                  </w:r>
                  <w:r>
                    <w:rPr>
                      <w:rFonts w:hint="default" w:ascii="Times New Roman" w:hAnsi="Times New Roman" w:eastAsia="宋体" w:cs="Times New Roman"/>
                      <w:color w:val="auto"/>
                      <w:kern w:val="0"/>
                      <w:sz w:val="21"/>
                      <w:szCs w:val="21"/>
                    </w:rPr>
                    <w:t>-N</w:t>
                  </w:r>
                </w:p>
              </w:tc>
              <w:tc>
                <w:tcPr>
                  <w:tcW w:w="421" w:type="pct"/>
                  <w:tcBorders>
                    <w:left w:val="single" w:color="auto" w:sz="4" w:space="0"/>
                    <w:right w:val="single" w:color="auto" w:sz="4" w:space="0"/>
                  </w:tcBorders>
                  <w:noWrap w:val="0"/>
                  <w:vAlign w:val="center"/>
                </w:tcPr>
                <w:p w14:paraId="15DF6C0D">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518" w:type="pct"/>
                  <w:tcBorders>
                    <w:left w:val="single" w:color="auto" w:sz="4" w:space="0"/>
                    <w:right w:val="single" w:color="auto" w:sz="4" w:space="0"/>
                  </w:tcBorders>
                  <w:noWrap w:val="0"/>
                  <w:vAlign w:val="center"/>
                </w:tcPr>
                <w:p w14:paraId="21C2B9F8">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0.008</w:t>
                  </w:r>
                </w:p>
              </w:tc>
              <w:tc>
                <w:tcPr>
                  <w:tcW w:w="400" w:type="pct"/>
                  <w:vMerge w:val="continue"/>
                  <w:tcBorders>
                    <w:left w:val="single" w:color="auto" w:sz="4" w:space="0"/>
                    <w:right w:val="single" w:color="auto" w:sz="4" w:space="0"/>
                  </w:tcBorders>
                  <w:noWrap w:val="0"/>
                  <w:vAlign w:val="center"/>
                </w:tcPr>
                <w:p w14:paraId="5AF307E3">
                  <w:pPr>
                    <w:adjustRightInd w:val="0"/>
                    <w:snapToGrid w:val="0"/>
                    <w:jc w:val="center"/>
                    <w:rPr>
                      <w:rFonts w:hint="default" w:ascii="Times New Roman" w:hAnsi="Times New Roman" w:eastAsia="宋体" w:cs="Times New Roman"/>
                      <w:color w:val="auto"/>
                      <w:sz w:val="21"/>
                      <w:szCs w:val="21"/>
                    </w:rPr>
                  </w:pPr>
                </w:p>
              </w:tc>
              <w:tc>
                <w:tcPr>
                  <w:tcW w:w="437" w:type="pct"/>
                  <w:vMerge w:val="continue"/>
                  <w:tcBorders>
                    <w:left w:val="single" w:color="auto" w:sz="4" w:space="0"/>
                  </w:tcBorders>
                  <w:noWrap w:val="0"/>
                  <w:vAlign w:val="center"/>
                </w:tcPr>
                <w:p w14:paraId="3161C48D">
                  <w:pPr>
                    <w:adjustRightInd w:val="0"/>
                    <w:snapToGrid w:val="0"/>
                    <w:jc w:val="center"/>
                    <w:rPr>
                      <w:rFonts w:hint="default" w:ascii="Times New Roman" w:hAnsi="Times New Roman" w:eastAsia="宋体" w:cs="Times New Roman"/>
                      <w:color w:val="auto"/>
                      <w:sz w:val="21"/>
                      <w:szCs w:val="21"/>
                    </w:rPr>
                  </w:pPr>
                </w:p>
              </w:tc>
              <w:tc>
                <w:tcPr>
                  <w:tcW w:w="391" w:type="pct"/>
                  <w:vMerge w:val="continue"/>
                  <w:tcBorders>
                    <w:right w:val="single" w:color="auto" w:sz="4" w:space="0"/>
                  </w:tcBorders>
                  <w:noWrap w:val="0"/>
                  <w:vAlign w:val="center"/>
                </w:tcPr>
                <w:p w14:paraId="3EB565F0">
                  <w:pPr>
                    <w:adjustRightInd w:val="0"/>
                    <w:snapToGrid w:val="0"/>
                    <w:jc w:val="center"/>
                    <w:rPr>
                      <w:rFonts w:hint="default" w:ascii="Times New Roman" w:hAnsi="Times New Roman" w:eastAsia="宋体" w:cs="Times New Roman"/>
                      <w:bCs/>
                      <w:color w:val="auto"/>
                      <w:sz w:val="21"/>
                      <w:szCs w:val="21"/>
                    </w:rPr>
                  </w:pPr>
                </w:p>
              </w:tc>
              <w:tc>
                <w:tcPr>
                  <w:tcW w:w="463" w:type="pct"/>
                  <w:tcBorders>
                    <w:left w:val="single" w:color="auto" w:sz="4" w:space="0"/>
                    <w:right w:val="single" w:color="auto" w:sz="4" w:space="0"/>
                  </w:tcBorders>
                  <w:noWrap w:val="0"/>
                  <w:vAlign w:val="center"/>
                </w:tcPr>
                <w:p w14:paraId="59BD1A3F">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35</w:t>
                  </w:r>
                </w:p>
              </w:tc>
              <w:tc>
                <w:tcPr>
                  <w:tcW w:w="438" w:type="pct"/>
                  <w:tcBorders>
                    <w:left w:val="single" w:color="auto" w:sz="4" w:space="0"/>
                    <w:right w:val="single" w:color="auto" w:sz="4" w:space="0"/>
                  </w:tcBorders>
                  <w:noWrap w:val="0"/>
                  <w:vAlign w:val="center"/>
                </w:tcPr>
                <w:p w14:paraId="704E22B8">
                  <w:pPr>
                    <w:adjustRightInd w:val="0"/>
                    <w:snapToGrid w:val="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0.008</w:t>
                  </w:r>
                </w:p>
              </w:tc>
              <w:tc>
                <w:tcPr>
                  <w:tcW w:w="308" w:type="pct"/>
                  <w:vMerge w:val="continue"/>
                  <w:tcBorders>
                    <w:left w:val="single" w:color="auto" w:sz="4" w:space="0"/>
                    <w:right w:val="single" w:color="auto" w:sz="4" w:space="0"/>
                  </w:tcBorders>
                  <w:noWrap w:val="0"/>
                  <w:vAlign w:val="center"/>
                </w:tcPr>
                <w:p w14:paraId="018B7EBD">
                  <w:pPr>
                    <w:adjustRightInd w:val="0"/>
                    <w:snapToGrid w:val="0"/>
                    <w:jc w:val="center"/>
                    <w:rPr>
                      <w:rFonts w:hint="default" w:ascii="Times New Roman" w:hAnsi="Times New Roman" w:eastAsia="宋体" w:cs="Times New Roman"/>
                      <w:bCs/>
                      <w:color w:val="auto"/>
                      <w:sz w:val="21"/>
                      <w:szCs w:val="21"/>
                    </w:rPr>
                  </w:pPr>
                </w:p>
              </w:tc>
              <w:tc>
                <w:tcPr>
                  <w:tcW w:w="703" w:type="pct"/>
                  <w:vMerge w:val="continue"/>
                  <w:tcBorders>
                    <w:left w:val="single" w:color="auto" w:sz="4" w:space="0"/>
                  </w:tcBorders>
                  <w:noWrap w:val="0"/>
                  <w:vAlign w:val="center"/>
                </w:tcPr>
                <w:p w14:paraId="0ADAA8C2">
                  <w:pPr>
                    <w:adjustRightInd w:val="0"/>
                    <w:snapToGrid w:val="0"/>
                    <w:jc w:val="center"/>
                    <w:rPr>
                      <w:rFonts w:hint="default" w:ascii="Times New Roman" w:hAnsi="Times New Roman" w:eastAsia="宋体" w:cs="Times New Roman"/>
                      <w:bCs/>
                      <w:color w:val="auto"/>
                      <w:sz w:val="21"/>
                      <w:szCs w:val="21"/>
                    </w:rPr>
                  </w:pPr>
                </w:p>
              </w:tc>
            </w:tr>
          </w:tbl>
          <w:p w14:paraId="5ED67238">
            <w:pPr>
              <w:adjustRightInd w:val="0"/>
              <w:snapToGrid w:val="0"/>
              <w:ind w:firstLine="420" w:firstLineChars="200"/>
              <w:jc w:val="left"/>
              <w:rPr>
                <w:b/>
                <w:snapToGrid w:val="0"/>
                <w:color w:val="auto"/>
                <w:sz w:val="24"/>
              </w:rPr>
            </w:pPr>
            <w:r>
              <w:rPr>
                <w:snapToGrid w:val="0"/>
                <w:color w:val="auto"/>
              </w:rPr>
              <w:t>表4-</w:t>
            </w:r>
            <w:r>
              <w:rPr>
                <w:rFonts w:hint="eastAsia"/>
                <w:snapToGrid w:val="0"/>
                <w:color w:val="auto"/>
                <w:lang w:val="en-US" w:eastAsia="zh-CN"/>
              </w:rPr>
              <w:t>13</w:t>
            </w:r>
            <w:r>
              <w:rPr>
                <w:snapToGrid w:val="0"/>
                <w:color w:val="auto"/>
              </w:rPr>
              <w:t xml:space="preserve"> </w:t>
            </w:r>
            <w:r>
              <w:rPr>
                <w:b/>
                <w:snapToGrid w:val="0"/>
                <w:color w:val="auto"/>
              </w:rPr>
              <w:t xml:space="preserve">  </w:t>
            </w:r>
            <w:r>
              <w:rPr>
                <w:rFonts w:hint="eastAsia"/>
                <w:b/>
                <w:snapToGrid w:val="0"/>
                <w:color w:val="auto"/>
                <w:lang w:val="en-US" w:eastAsia="zh-CN"/>
              </w:rPr>
              <w:t xml:space="preserve"> </w:t>
            </w:r>
            <w:r>
              <w:rPr>
                <w:rFonts w:hint="eastAsia"/>
                <w:b/>
                <w:snapToGrid w:val="0"/>
                <w:color w:val="auto"/>
                <w:sz w:val="24"/>
                <w:lang w:val="en-US" w:eastAsia="zh-CN"/>
              </w:rPr>
              <w:t>本项目二期建成后全厂废水排入园区污水管网</w:t>
            </w:r>
            <w:r>
              <w:rPr>
                <w:b/>
                <w:snapToGrid w:val="0"/>
                <w:color w:val="auto"/>
                <w:sz w:val="24"/>
              </w:rPr>
              <w:t>情况一览表</w:t>
            </w:r>
          </w:p>
          <w:tbl>
            <w:tblPr>
              <w:tblStyle w:val="30"/>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1"/>
              <w:gridCol w:w="700"/>
              <w:gridCol w:w="846"/>
              <w:gridCol w:w="917"/>
              <w:gridCol w:w="996"/>
              <w:gridCol w:w="1342"/>
              <w:gridCol w:w="765"/>
              <w:gridCol w:w="915"/>
              <w:gridCol w:w="1027"/>
            </w:tblGrid>
            <w:tr w14:paraId="377F4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60" w:type="pct"/>
                  <w:noWrap w:val="0"/>
                  <w:vAlign w:val="center"/>
                </w:tcPr>
                <w:p w14:paraId="4C86D3D6">
                  <w:pPr>
                    <w:adjustRightInd w:val="0"/>
                    <w:snapToGrid w:val="0"/>
                    <w:jc w:val="center"/>
                    <w:rPr>
                      <w:rFonts w:hint="eastAsia"/>
                      <w:b/>
                      <w:bCs/>
                      <w:color w:val="auto"/>
                      <w:sz w:val="21"/>
                      <w:szCs w:val="21"/>
                    </w:rPr>
                  </w:pPr>
                  <w:r>
                    <w:rPr>
                      <w:rFonts w:hint="eastAsia"/>
                      <w:b/>
                      <w:bCs/>
                      <w:color w:val="auto"/>
                      <w:sz w:val="21"/>
                      <w:szCs w:val="21"/>
                    </w:rPr>
                    <w:t>污染源</w:t>
                  </w:r>
                </w:p>
              </w:tc>
              <w:tc>
                <w:tcPr>
                  <w:tcW w:w="423" w:type="pct"/>
                  <w:noWrap w:val="0"/>
                  <w:vAlign w:val="center"/>
                </w:tcPr>
                <w:p w14:paraId="0271B95A">
                  <w:pPr>
                    <w:adjustRightInd w:val="0"/>
                    <w:snapToGrid w:val="0"/>
                    <w:jc w:val="center"/>
                    <w:rPr>
                      <w:rFonts w:hint="eastAsia"/>
                      <w:b/>
                      <w:bCs/>
                      <w:color w:val="auto"/>
                      <w:sz w:val="21"/>
                      <w:szCs w:val="21"/>
                    </w:rPr>
                  </w:pPr>
                  <w:r>
                    <w:rPr>
                      <w:rFonts w:hint="eastAsia"/>
                      <w:b/>
                      <w:bCs/>
                      <w:color w:val="auto"/>
                      <w:sz w:val="21"/>
                      <w:szCs w:val="21"/>
                    </w:rPr>
                    <w:t>污水量</w:t>
                  </w:r>
                  <w:r>
                    <w:rPr>
                      <w:b/>
                      <w:bCs/>
                      <w:color w:val="auto"/>
                      <w:sz w:val="21"/>
                      <w:szCs w:val="21"/>
                    </w:rPr>
                    <w:t>m</w:t>
                  </w:r>
                  <w:r>
                    <w:rPr>
                      <w:b/>
                      <w:bCs/>
                      <w:color w:val="auto"/>
                      <w:sz w:val="21"/>
                      <w:szCs w:val="21"/>
                      <w:vertAlign w:val="superscript"/>
                    </w:rPr>
                    <w:t>3</w:t>
                  </w:r>
                  <w:r>
                    <w:rPr>
                      <w:b/>
                      <w:bCs/>
                      <w:color w:val="auto"/>
                      <w:sz w:val="21"/>
                      <w:szCs w:val="21"/>
                    </w:rPr>
                    <w:t>/a</w:t>
                  </w:r>
                </w:p>
              </w:tc>
              <w:tc>
                <w:tcPr>
                  <w:tcW w:w="511" w:type="pct"/>
                  <w:tcBorders>
                    <w:right w:val="single" w:color="auto" w:sz="4" w:space="0"/>
                  </w:tcBorders>
                  <w:noWrap w:val="0"/>
                  <w:vAlign w:val="center"/>
                </w:tcPr>
                <w:p w14:paraId="0A00DB67">
                  <w:pPr>
                    <w:adjustRightInd w:val="0"/>
                    <w:snapToGrid w:val="0"/>
                    <w:jc w:val="center"/>
                    <w:rPr>
                      <w:b/>
                      <w:bCs/>
                      <w:color w:val="auto"/>
                      <w:sz w:val="21"/>
                      <w:szCs w:val="21"/>
                    </w:rPr>
                  </w:pPr>
                  <w:r>
                    <w:rPr>
                      <w:b/>
                      <w:bCs/>
                      <w:color w:val="auto"/>
                      <w:sz w:val="21"/>
                      <w:szCs w:val="21"/>
                    </w:rPr>
                    <w:t>污染物种类</w:t>
                  </w:r>
                </w:p>
              </w:tc>
              <w:tc>
                <w:tcPr>
                  <w:tcW w:w="554" w:type="pct"/>
                  <w:tcBorders>
                    <w:left w:val="single" w:color="auto" w:sz="4" w:space="0"/>
                    <w:right w:val="single" w:color="auto" w:sz="4" w:space="0"/>
                  </w:tcBorders>
                  <w:noWrap w:val="0"/>
                  <w:vAlign w:val="center"/>
                </w:tcPr>
                <w:p w14:paraId="06FD6ACA">
                  <w:pPr>
                    <w:adjustRightInd w:val="0"/>
                    <w:snapToGrid w:val="0"/>
                    <w:jc w:val="center"/>
                    <w:rPr>
                      <w:b/>
                      <w:bCs/>
                      <w:color w:val="auto"/>
                      <w:sz w:val="21"/>
                      <w:szCs w:val="21"/>
                    </w:rPr>
                  </w:pPr>
                  <w:r>
                    <w:rPr>
                      <w:b/>
                      <w:bCs/>
                      <w:color w:val="auto"/>
                      <w:sz w:val="21"/>
                      <w:szCs w:val="21"/>
                    </w:rPr>
                    <w:t>产生浓度mg/L</w:t>
                  </w:r>
                </w:p>
              </w:tc>
              <w:tc>
                <w:tcPr>
                  <w:tcW w:w="602" w:type="pct"/>
                  <w:tcBorders>
                    <w:left w:val="single" w:color="auto" w:sz="4" w:space="0"/>
                    <w:right w:val="single" w:color="auto" w:sz="4" w:space="0"/>
                  </w:tcBorders>
                  <w:noWrap w:val="0"/>
                  <w:vAlign w:val="center"/>
                </w:tcPr>
                <w:p w14:paraId="118152C1">
                  <w:pPr>
                    <w:adjustRightInd w:val="0"/>
                    <w:snapToGrid w:val="0"/>
                    <w:jc w:val="center"/>
                    <w:rPr>
                      <w:b/>
                      <w:bCs/>
                      <w:color w:val="auto"/>
                      <w:sz w:val="21"/>
                      <w:szCs w:val="21"/>
                    </w:rPr>
                  </w:pPr>
                  <w:r>
                    <w:rPr>
                      <w:b/>
                      <w:bCs/>
                      <w:color w:val="auto"/>
                      <w:sz w:val="21"/>
                      <w:szCs w:val="21"/>
                    </w:rPr>
                    <w:t>污染物产生量t/a</w:t>
                  </w:r>
                </w:p>
              </w:tc>
              <w:tc>
                <w:tcPr>
                  <w:tcW w:w="811" w:type="pct"/>
                  <w:tcBorders>
                    <w:left w:val="single" w:color="auto" w:sz="4" w:space="0"/>
                    <w:right w:val="single" w:color="auto" w:sz="4" w:space="0"/>
                  </w:tcBorders>
                  <w:noWrap w:val="0"/>
                  <w:vAlign w:val="center"/>
                </w:tcPr>
                <w:p w14:paraId="74334FC8">
                  <w:pPr>
                    <w:adjustRightInd w:val="0"/>
                    <w:snapToGrid w:val="0"/>
                    <w:jc w:val="center"/>
                    <w:rPr>
                      <w:b/>
                      <w:bCs/>
                      <w:color w:val="auto"/>
                      <w:sz w:val="21"/>
                      <w:szCs w:val="21"/>
                    </w:rPr>
                  </w:pPr>
                  <w:r>
                    <w:rPr>
                      <w:b/>
                      <w:bCs/>
                      <w:color w:val="auto"/>
                      <w:sz w:val="21"/>
                      <w:szCs w:val="21"/>
                    </w:rPr>
                    <w:t>治理措施</w:t>
                  </w:r>
                </w:p>
              </w:tc>
              <w:tc>
                <w:tcPr>
                  <w:tcW w:w="462" w:type="pct"/>
                  <w:tcBorders>
                    <w:right w:val="single" w:color="auto" w:sz="4" w:space="0"/>
                  </w:tcBorders>
                  <w:noWrap w:val="0"/>
                  <w:vAlign w:val="center"/>
                </w:tcPr>
                <w:p w14:paraId="69E74684">
                  <w:pPr>
                    <w:adjustRightInd w:val="0"/>
                    <w:snapToGrid w:val="0"/>
                    <w:jc w:val="center"/>
                    <w:rPr>
                      <w:rFonts w:hint="default" w:eastAsia="宋体"/>
                      <w:b/>
                      <w:bCs/>
                      <w:color w:val="auto"/>
                      <w:sz w:val="21"/>
                      <w:szCs w:val="21"/>
                      <w:lang w:val="en-US" w:eastAsia="zh-CN"/>
                    </w:rPr>
                  </w:pPr>
                  <w:r>
                    <w:rPr>
                      <w:rFonts w:hint="eastAsia"/>
                      <w:b/>
                      <w:bCs/>
                      <w:color w:val="auto"/>
                      <w:sz w:val="21"/>
                      <w:szCs w:val="21"/>
                      <w:lang w:val="en-US" w:eastAsia="zh-CN"/>
                    </w:rPr>
                    <w:t>去除效率%</w:t>
                  </w:r>
                </w:p>
              </w:tc>
              <w:tc>
                <w:tcPr>
                  <w:tcW w:w="553" w:type="pct"/>
                  <w:tcBorders>
                    <w:right w:val="single" w:color="auto" w:sz="4" w:space="0"/>
                  </w:tcBorders>
                  <w:noWrap w:val="0"/>
                  <w:vAlign w:val="center"/>
                </w:tcPr>
                <w:p w14:paraId="77EDC7BD">
                  <w:pPr>
                    <w:adjustRightInd w:val="0"/>
                    <w:snapToGrid w:val="0"/>
                    <w:jc w:val="center"/>
                    <w:rPr>
                      <w:b/>
                      <w:bCs/>
                      <w:color w:val="auto"/>
                      <w:sz w:val="21"/>
                      <w:szCs w:val="21"/>
                    </w:rPr>
                  </w:pPr>
                  <w:r>
                    <w:rPr>
                      <w:b/>
                      <w:bCs/>
                      <w:color w:val="auto"/>
                      <w:sz w:val="21"/>
                      <w:szCs w:val="21"/>
                    </w:rPr>
                    <w:t>排放浓度mg/L</w:t>
                  </w:r>
                </w:p>
              </w:tc>
              <w:tc>
                <w:tcPr>
                  <w:tcW w:w="620" w:type="pct"/>
                  <w:tcBorders>
                    <w:left w:val="single" w:color="auto" w:sz="4" w:space="0"/>
                  </w:tcBorders>
                  <w:noWrap w:val="0"/>
                  <w:vAlign w:val="center"/>
                </w:tcPr>
                <w:p w14:paraId="5D429C24">
                  <w:pPr>
                    <w:adjustRightInd w:val="0"/>
                    <w:snapToGrid w:val="0"/>
                    <w:jc w:val="center"/>
                    <w:rPr>
                      <w:b/>
                      <w:color w:val="auto"/>
                      <w:sz w:val="21"/>
                      <w:szCs w:val="21"/>
                    </w:rPr>
                  </w:pPr>
                  <w:r>
                    <w:rPr>
                      <w:b/>
                      <w:bCs/>
                      <w:color w:val="auto"/>
                      <w:sz w:val="21"/>
                      <w:szCs w:val="21"/>
                    </w:rPr>
                    <w:t>污染物排放量t/a</w:t>
                  </w:r>
                </w:p>
              </w:tc>
            </w:tr>
            <w:tr w14:paraId="16A01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restart"/>
                  <w:noWrap w:val="0"/>
                  <w:vAlign w:val="center"/>
                </w:tcPr>
                <w:p w14:paraId="0A5AC53C">
                  <w:pPr>
                    <w:adjustRightInd w:val="0"/>
                    <w:snapToGrid w:val="0"/>
                    <w:jc w:val="center"/>
                    <w:rPr>
                      <w:color w:val="auto"/>
                      <w:sz w:val="21"/>
                      <w:szCs w:val="21"/>
                    </w:rPr>
                  </w:pPr>
                  <w:r>
                    <w:rPr>
                      <w:rFonts w:hint="eastAsia"/>
                      <w:color w:val="auto"/>
                      <w:sz w:val="21"/>
                      <w:szCs w:val="21"/>
                    </w:rPr>
                    <w:t>生活污水</w:t>
                  </w:r>
                </w:p>
              </w:tc>
              <w:tc>
                <w:tcPr>
                  <w:tcW w:w="423" w:type="pct"/>
                  <w:vMerge w:val="restart"/>
                  <w:noWrap w:val="0"/>
                  <w:vAlign w:val="center"/>
                </w:tcPr>
                <w:p w14:paraId="1B7B5012">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240</w:t>
                  </w:r>
                </w:p>
              </w:tc>
              <w:tc>
                <w:tcPr>
                  <w:tcW w:w="511" w:type="pct"/>
                  <w:tcBorders>
                    <w:right w:val="single" w:color="auto" w:sz="4" w:space="0"/>
                  </w:tcBorders>
                  <w:noWrap w:val="0"/>
                  <w:vAlign w:val="center"/>
                </w:tcPr>
                <w:p w14:paraId="236E0B57">
                  <w:pPr>
                    <w:widowControl/>
                    <w:adjustRightInd w:val="0"/>
                    <w:snapToGrid w:val="0"/>
                    <w:jc w:val="center"/>
                    <w:rPr>
                      <w:color w:val="auto"/>
                      <w:kern w:val="0"/>
                      <w:sz w:val="21"/>
                      <w:szCs w:val="21"/>
                    </w:rPr>
                  </w:pPr>
                  <w:r>
                    <w:rPr>
                      <w:color w:val="auto"/>
                      <w:kern w:val="0"/>
                      <w:sz w:val="21"/>
                      <w:szCs w:val="21"/>
                    </w:rPr>
                    <w:t>COD</w:t>
                  </w:r>
                </w:p>
              </w:tc>
              <w:tc>
                <w:tcPr>
                  <w:tcW w:w="554" w:type="pct"/>
                  <w:tcBorders>
                    <w:left w:val="single" w:color="auto" w:sz="4" w:space="0"/>
                    <w:right w:val="single" w:color="auto" w:sz="4" w:space="0"/>
                  </w:tcBorders>
                  <w:noWrap w:val="0"/>
                  <w:vAlign w:val="center"/>
                </w:tcPr>
                <w:p w14:paraId="2271A285">
                  <w:pPr>
                    <w:adjustRightInd w:val="0"/>
                    <w:snapToGrid w:val="0"/>
                    <w:jc w:val="center"/>
                    <w:rPr>
                      <w:rFonts w:hint="default" w:eastAsia="宋体"/>
                      <w:color w:val="auto"/>
                      <w:sz w:val="21"/>
                      <w:szCs w:val="21"/>
                      <w:lang w:val="en-US" w:eastAsia="zh-CN"/>
                    </w:rPr>
                  </w:pPr>
                  <w:r>
                    <w:rPr>
                      <w:rFonts w:hint="eastAsia"/>
                      <w:color w:val="auto"/>
                      <w:sz w:val="21"/>
                      <w:szCs w:val="21"/>
                    </w:rPr>
                    <w:t>450</w:t>
                  </w:r>
                </w:p>
              </w:tc>
              <w:tc>
                <w:tcPr>
                  <w:tcW w:w="602" w:type="pct"/>
                  <w:tcBorders>
                    <w:left w:val="single" w:color="auto" w:sz="4" w:space="0"/>
                    <w:right w:val="single" w:color="auto" w:sz="4" w:space="0"/>
                  </w:tcBorders>
                  <w:noWrap w:val="0"/>
                  <w:vAlign w:val="center"/>
                </w:tcPr>
                <w:p w14:paraId="303C8EFD">
                  <w:pPr>
                    <w:widowControl/>
                    <w:jc w:val="center"/>
                    <w:textAlignment w:val="center"/>
                    <w:rPr>
                      <w:rFonts w:hint="default" w:eastAsia="宋体"/>
                      <w:color w:val="auto"/>
                      <w:sz w:val="21"/>
                      <w:szCs w:val="21"/>
                      <w:lang w:val="en-US" w:eastAsia="zh-CN"/>
                    </w:rPr>
                  </w:pPr>
                  <w:r>
                    <w:rPr>
                      <w:rFonts w:hint="eastAsia" w:eastAsia="宋体"/>
                      <w:color w:val="auto"/>
                      <w:sz w:val="21"/>
                      <w:szCs w:val="21"/>
                      <w:lang w:val="en-US" w:eastAsia="zh-CN"/>
                    </w:rPr>
                    <w:t>0.108</w:t>
                  </w:r>
                </w:p>
              </w:tc>
              <w:tc>
                <w:tcPr>
                  <w:tcW w:w="811" w:type="pct"/>
                  <w:vMerge w:val="restart"/>
                  <w:tcBorders>
                    <w:left w:val="single" w:color="auto" w:sz="4" w:space="0"/>
                    <w:right w:val="single" w:color="auto" w:sz="4" w:space="0"/>
                  </w:tcBorders>
                  <w:noWrap w:val="0"/>
                  <w:vAlign w:val="center"/>
                </w:tcPr>
                <w:p w14:paraId="0C9C001D">
                  <w:pPr>
                    <w:adjustRightInd w:val="0"/>
                    <w:snapToGrid w:val="0"/>
                    <w:jc w:val="center"/>
                    <w:rPr>
                      <w:rFonts w:hint="eastAsia" w:eastAsia="宋体"/>
                      <w:color w:val="auto"/>
                      <w:sz w:val="21"/>
                      <w:szCs w:val="21"/>
                      <w:lang w:eastAsia="zh-CN"/>
                    </w:rPr>
                  </w:pPr>
                  <w:r>
                    <w:rPr>
                      <w:color w:val="auto"/>
                      <w:sz w:val="21"/>
                      <w:szCs w:val="21"/>
                    </w:rPr>
                    <w:t>化粪池</w:t>
                  </w:r>
                  <w:r>
                    <w:rPr>
                      <w:rFonts w:hint="eastAsia"/>
                      <w:color w:val="auto"/>
                      <w:sz w:val="21"/>
                      <w:szCs w:val="21"/>
                      <w:lang w:eastAsia="zh-CN"/>
                    </w:rPr>
                    <w:t>（</w:t>
                  </w:r>
                  <w:r>
                    <w:rPr>
                      <w:rFonts w:hint="eastAsia"/>
                      <w:color w:val="auto"/>
                      <w:sz w:val="21"/>
                      <w:szCs w:val="21"/>
                      <w:lang w:val="en-US" w:eastAsia="zh-CN"/>
                    </w:rPr>
                    <w:t>16m</w:t>
                  </w:r>
                  <w:r>
                    <w:rPr>
                      <w:rFonts w:hint="eastAsia"/>
                      <w:color w:val="auto"/>
                      <w:sz w:val="21"/>
                      <w:szCs w:val="21"/>
                      <w:vertAlign w:val="superscript"/>
                      <w:lang w:val="en-US" w:eastAsia="zh-CN"/>
                    </w:rPr>
                    <w:t>3</w:t>
                  </w:r>
                  <w:r>
                    <w:rPr>
                      <w:rFonts w:hint="eastAsia"/>
                      <w:color w:val="auto"/>
                      <w:sz w:val="21"/>
                      <w:szCs w:val="21"/>
                      <w:lang w:eastAsia="zh-CN"/>
                    </w:rPr>
                    <w:t>）</w:t>
                  </w:r>
                </w:p>
              </w:tc>
              <w:tc>
                <w:tcPr>
                  <w:tcW w:w="462" w:type="pct"/>
                  <w:tcBorders>
                    <w:right w:val="single" w:color="auto" w:sz="4" w:space="0"/>
                  </w:tcBorders>
                  <w:noWrap w:val="0"/>
                  <w:vAlign w:val="center"/>
                </w:tcPr>
                <w:p w14:paraId="7D135A49">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15</w:t>
                  </w:r>
                </w:p>
              </w:tc>
              <w:tc>
                <w:tcPr>
                  <w:tcW w:w="553" w:type="pct"/>
                  <w:tcBorders>
                    <w:right w:val="single" w:color="auto" w:sz="4" w:space="0"/>
                  </w:tcBorders>
                  <w:noWrap w:val="0"/>
                  <w:vAlign w:val="center"/>
                </w:tcPr>
                <w:p w14:paraId="67C1EB46">
                  <w:pPr>
                    <w:adjustRightInd w:val="0"/>
                    <w:snapToGrid w:val="0"/>
                    <w:jc w:val="center"/>
                    <w:rPr>
                      <w:rFonts w:hint="default" w:eastAsia="宋体"/>
                      <w:bCs/>
                      <w:color w:val="auto"/>
                      <w:sz w:val="21"/>
                      <w:szCs w:val="21"/>
                      <w:lang w:val="en-US" w:eastAsia="zh-CN"/>
                    </w:rPr>
                  </w:pPr>
                  <w:r>
                    <w:rPr>
                      <w:rFonts w:hint="eastAsia" w:eastAsia="宋体"/>
                      <w:bCs/>
                      <w:color w:val="auto"/>
                      <w:sz w:val="21"/>
                      <w:szCs w:val="21"/>
                      <w:lang w:val="en-US" w:eastAsia="zh-CN"/>
                    </w:rPr>
                    <w:t>382.5</w:t>
                  </w:r>
                </w:p>
              </w:tc>
              <w:tc>
                <w:tcPr>
                  <w:tcW w:w="620" w:type="pct"/>
                  <w:tcBorders>
                    <w:left w:val="single" w:color="auto" w:sz="4" w:space="0"/>
                  </w:tcBorders>
                  <w:noWrap w:val="0"/>
                  <w:vAlign w:val="center"/>
                </w:tcPr>
                <w:p w14:paraId="45FB76CE">
                  <w:pPr>
                    <w:adjustRightInd w:val="0"/>
                    <w:snapToGrid w:val="0"/>
                    <w:jc w:val="center"/>
                    <w:rPr>
                      <w:rFonts w:hint="default" w:eastAsia="宋体"/>
                      <w:bCs/>
                      <w:color w:val="auto"/>
                      <w:sz w:val="21"/>
                      <w:szCs w:val="21"/>
                      <w:lang w:val="en-US" w:eastAsia="zh-CN"/>
                    </w:rPr>
                  </w:pPr>
                  <w:r>
                    <w:rPr>
                      <w:rFonts w:hint="eastAsia" w:eastAsia="宋体"/>
                      <w:bCs/>
                      <w:color w:val="auto"/>
                      <w:sz w:val="21"/>
                      <w:szCs w:val="21"/>
                      <w:lang w:val="en-US" w:eastAsia="zh-CN"/>
                    </w:rPr>
                    <w:t>0.092</w:t>
                  </w:r>
                </w:p>
              </w:tc>
            </w:tr>
            <w:tr w14:paraId="750CF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continue"/>
                  <w:noWrap w:val="0"/>
                  <w:vAlign w:val="center"/>
                </w:tcPr>
                <w:p w14:paraId="6D625004">
                  <w:pPr>
                    <w:adjustRightInd w:val="0"/>
                    <w:snapToGrid w:val="0"/>
                    <w:jc w:val="center"/>
                    <w:rPr>
                      <w:color w:val="auto"/>
                      <w:sz w:val="21"/>
                      <w:szCs w:val="21"/>
                    </w:rPr>
                  </w:pPr>
                </w:p>
              </w:tc>
              <w:tc>
                <w:tcPr>
                  <w:tcW w:w="423" w:type="pct"/>
                  <w:vMerge w:val="continue"/>
                  <w:noWrap w:val="0"/>
                  <w:vAlign w:val="center"/>
                </w:tcPr>
                <w:p w14:paraId="389FB521">
                  <w:pPr>
                    <w:adjustRightInd w:val="0"/>
                    <w:snapToGrid w:val="0"/>
                    <w:jc w:val="center"/>
                    <w:rPr>
                      <w:color w:val="auto"/>
                      <w:sz w:val="21"/>
                      <w:szCs w:val="21"/>
                    </w:rPr>
                  </w:pPr>
                </w:p>
              </w:tc>
              <w:tc>
                <w:tcPr>
                  <w:tcW w:w="511" w:type="pct"/>
                  <w:tcBorders>
                    <w:right w:val="single" w:color="auto" w:sz="4" w:space="0"/>
                  </w:tcBorders>
                  <w:noWrap w:val="0"/>
                  <w:vAlign w:val="center"/>
                </w:tcPr>
                <w:p w14:paraId="75EF523F">
                  <w:pPr>
                    <w:widowControl/>
                    <w:adjustRightInd w:val="0"/>
                    <w:snapToGrid w:val="0"/>
                    <w:jc w:val="center"/>
                    <w:rPr>
                      <w:color w:val="auto"/>
                      <w:kern w:val="0"/>
                      <w:sz w:val="21"/>
                      <w:szCs w:val="21"/>
                    </w:rPr>
                  </w:pPr>
                  <w:r>
                    <w:rPr>
                      <w:color w:val="auto"/>
                      <w:kern w:val="0"/>
                      <w:sz w:val="21"/>
                      <w:szCs w:val="21"/>
                    </w:rPr>
                    <w:t>BOD</w:t>
                  </w:r>
                  <w:r>
                    <w:rPr>
                      <w:color w:val="auto"/>
                      <w:kern w:val="0"/>
                      <w:sz w:val="21"/>
                      <w:szCs w:val="21"/>
                      <w:vertAlign w:val="subscript"/>
                    </w:rPr>
                    <w:t>5</w:t>
                  </w:r>
                </w:p>
              </w:tc>
              <w:tc>
                <w:tcPr>
                  <w:tcW w:w="554" w:type="pct"/>
                  <w:tcBorders>
                    <w:left w:val="single" w:color="auto" w:sz="4" w:space="0"/>
                    <w:right w:val="single" w:color="auto" w:sz="4" w:space="0"/>
                  </w:tcBorders>
                  <w:noWrap w:val="0"/>
                  <w:vAlign w:val="center"/>
                </w:tcPr>
                <w:p w14:paraId="0DE803ED">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300</w:t>
                  </w:r>
                </w:p>
              </w:tc>
              <w:tc>
                <w:tcPr>
                  <w:tcW w:w="602" w:type="pct"/>
                  <w:tcBorders>
                    <w:left w:val="single" w:color="auto" w:sz="4" w:space="0"/>
                    <w:right w:val="single" w:color="auto" w:sz="4" w:space="0"/>
                  </w:tcBorders>
                  <w:noWrap w:val="0"/>
                  <w:vAlign w:val="center"/>
                </w:tcPr>
                <w:p w14:paraId="478E0E13">
                  <w:pPr>
                    <w:widowControl/>
                    <w:jc w:val="center"/>
                    <w:textAlignment w:val="center"/>
                    <w:rPr>
                      <w:rFonts w:hint="default" w:eastAsia="宋体"/>
                      <w:color w:val="auto"/>
                      <w:sz w:val="21"/>
                      <w:szCs w:val="21"/>
                      <w:lang w:val="en-US" w:eastAsia="zh-CN"/>
                    </w:rPr>
                  </w:pPr>
                  <w:r>
                    <w:rPr>
                      <w:rFonts w:hint="eastAsia" w:eastAsia="宋体"/>
                      <w:color w:val="auto"/>
                      <w:sz w:val="21"/>
                      <w:szCs w:val="21"/>
                      <w:lang w:val="en-US" w:eastAsia="zh-CN"/>
                    </w:rPr>
                    <w:t>0.072</w:t>
                  </w:r>
                </w:p>
              </w:tc>
              <w:tc>
                <w:tcPr>
                  <w:tcW w:w="811" w:type="pct"/>
                  <w:vMerge w:val="continue"/>
                  <w:tcBorders>
                    <w:left w:val="single" w:color="auto" w:sz="4" w:space="0"/>
                    <w:right w:val="single" w:color="auto" w:sz="4" w:space="0"/>
                  </w:tcBorders>
                  <w:noWrap w:val="0"/>
                  <w:vAlign w:val="center"/>
                </w:tcPr>
                <w:p w14:paraId="7CEBE25C">
                  <w:pPr>
                    <w:adjustRightInd w:val="0"/>
                    <w:snapToGrid w:val="0"/>
                    <w:jc w:val="center"/>
                    <w:rPr>
                      <w:color w:val="auto"/>
                      <w:sz w:val="21"/>
                      <w:szCs w:val="21"/>
                    </w:rPr>
                  </w:pPr>
                </w:p>
              </w:tc>
              <w:tc>
                <w:tcPr>
                  <w:tcW w:w="462" w:type="pct"/>
                  <w:tcBorders>
                    <w:right w:val="single" w:color="auto" w:sz="4" w:space="0"/>
                  </w:tcBorders>
                  <w:noWrap w:val="0"/>
                  <w:vAlign w:val="center"/>
                </w:tcPr>
                <w:p w14:paraId="2B14D4D2">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10</w:t>
                  </w:r>
                </w:p>
              </w:tc>
              <w:tc>
                <w:tcPr>
                  <w:tcW w:w="553" w:type="pct"/>
                  <w:tcBorders>
                    <w:right w:val="single" w:color="auto" w:sz="4" w:space="0"/>
                  </w:tcBorders>
                  <w:noWrap w:val="0"/>
                  <w:vAlign w:val="center"/>
                </w:tcPr>
                <w:p w14:paraId="56B5792C">
                  <w:pPr>
                    <w:adjustRightInd w:val="0"/>
                    <w:snapToGrid w:val="0"/>
                    <w:jc w:val="center"/>
                    <w:rPr>
                      <w:rFonts w:hint="default" w:eastAsia="宋体"/>
                      <w:bCs/>
                      <w:color w:val="auto"/>
                      <w:sz w:val="21"/>
                      <w:szCs w:val="21"/>
                      <w:lang w:val="en-US" w:eastAsia="zh-CN"/>
                    </w:rPr>
                  </w:pPr>
                  <w:r>
                    <w:rPr>
                      <w:rFonts w:hint="eastAsia" w:eastAsia="宋体"/>
                      <w:bCs/>
                      <w:color w:val="auto"/>
                      <w:sz w:val="21"/>
                      <w:szCs w:val="21"/>
                      <w:lang w:val="en-US" w:eastAsia="zh-CN"/>
                    </w:rPr>
                    <w:t>270</w:t>
                  </w:r>
                </w:p>
              </w:tc>
              <w:tc>
                <w:tcPr>
                  <w:tcW w:w="620" w:type="pct"/>
                  <w:tcBorders>
                    <w:left w:val="single" w:color="auto" w:sz="4" w:space="0"/>
                  </w:tcBorders>
                  <w:noWrap w:val="0"/>
                  <w:vAlign w:val="center"/>
                </w:tcPr>
                <w:p w14:paraId="45E76BA4">
                  <w:pPr>
                    <w:adjustRightInd w:val="0"/>
                    <w:snapToGrid w:val="0"/>
                    <w:jc w:val="center"/>
                    <w:rPr>
                      <w:rFonts w:hint="default" w:eastAsia="宋体"/>
                      <w:bCs/>
                      <w:color w:val="auto"/>
                      <w:sz w:val="21"/>
                      <w:szCs w:val="21"/>
                      <w:lang w:val="en-US" w:eastAsia="zh-CN"/>
                    </w:rPr>
                  </w:pPr>
                  <w:r>
                    <w:rPr>
                      <w:rFonts w:hint="eastAsia" w:eastAsia="宋体"/>
                      <w:bCs/>
                      <w:color w:val="auto"/>
                      <w:sz w:val="21"/>
                      <w:szCs w:val="21"/>
                      <w:lang w:val="en-US" w:eastAsia="zh-CN"/>
                    </w:rPr>
                    <w:t>0.065</w:t>
                  </w:r>
                </w:p>
              </w:tc>
            </w:tr>
            <w:tr w14:paraId="5C6CA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continue"/>
                  <w:noWrap w:val="0"/>
                  <w:vAlign w:val="center"/>
                </w:tcPr>
                <w:p w14:paraId="6D5CDC8C">
                  <w:pPr>
                    <w:adjustRightInd w:val="0"/>
                    <w:snapToGrid w:val="0"/>
                    <w:jc w:val="center"/>
                    <w:rPr>
                      <w:color w:val="auto"/>
                      <w:sz w:val="21"/>
                      <w:szCs w:val="21"/>
                    </w:rPr>
                  </w:pPr>
                </w:p>
              </w:tc>
              <w:tc>
                <w:tcPr>
                  <w:tcW w:w="423" w:type="pct"/>
                  <w:vMerge w:val="continue"/>
                  <w:noWrap w:val="0"/>
                  <w:vAlign w:val="center"/>
                </w:tcPr>
                <w:p w14:paraId="2AF08D76">
                  <w:pPr>
                    <w:adjustRightInd w:val="0"/>
                    <w:snapToGrid w:val="0"/>
                    <w:jc w:val="center"/>
                    <w:rPr>
                      <w:color w:val="auto"/>
                      <w:sz w:val="21"/>
                      <w:szCs w:val="21"/>
                    </w:rPr>
                  </w:pPr>
                </w:p>
              </w:tc>
              <w:tc>
                <w:tcPr>
                  <w:tcW w:w="511" w:type="pct"/>
                  <w:tcBorders>
                    <w:right w:val="single" w:color="auto" w:sz="4" w:space="0"/>
                  </w:tcBorders>
                  <w:noWrap w:val="0"/>
                  <w:vAlign w:val="center"/>
                </w:tcPr>
                <w:p w14:paraId="75407E14">
                  <w:pPr>
                    <w:widowControl/>
                    <w:adjustRightInd w:val="0"/>
                    <w:snapToGrid w:val="0"/>
                    <w:jc w:val="center"/>
                    <w:rPr>
                      <w:color w:val="auto"/>
                      <w:kern w:val="0"/>
                      <w:sz w:val="21"/>
                      <w:szCs w:val="21"/>
                    </w:rPr>
                  </w:pPr>
                  <w:r>
                    <w:rPr>
                      <w:color w:val="auto"/>
                      <w:kern w:val="0"/>
                      <w:sz w:val="21"/>
                      <w:szCs w:val="21"/>
                    </w:rPr>
                    <w:t>SS</w:t>
                  </w:r>
                </w:p>
              </w:tc>
              <w:tc>
                <w:tcPr>
                  <w:tcW w:w="554" w:type="pct"/>
                  <w:tcBorders>
                    <w:left w:val="single" w:color="auto" w:sz="4" w:space="0"/>
                    <w:right w:val="single" w:color="auto" w:sz="4" w:space="0"/>
                  </w:tcBorders>
                  <w:noWrap w:val="0"/>
                  <w:vAlign w:val="center"/>
                </w:tcPr>
                <w:p w14:paraId="14A82311">
                  <w:pPr>
                    <w:adjustRightInd w:val="0"/>
                    <w:snapToGrid w:val="0"/>
                    <w:jc w:val="center"/>
                    <w:rPr>
                      <w:rFonts w:hint="default" w:eastAsia="宋体"/>
                      <w:color w:val="auto"/>
                      <w:sz w:val="21"/>
                      <w:szCs w:val="21"/>
                      <w:lang w:val="en-US" w:eastAsia="zh-CN"/>
                    </w:rPr>
                  </w:pPr>
                  <w:r>
                    <w:rPr>
                      <w:rFonts w:hint="eastAsia"/>
                      <w:color w:val="auto"/>
                      <w:sz w:val="21"/>
                      <w:szCs w:val="21"/>
                    </w:rPr>
                    <w:t>220</w:t>
                  </w:r>
                </w:p>
              </w:tc>
              <w:tc>
                <w:tcPr>
                  <w:tcW w:w="602" w:type="pct"/>
                  <w:tcBorders>
                    <w:left w:val="single" w:color="auto" w:sz="4" w:space="0"/>
                    <w:right w:val="single" w:color="auto" w:sz="4" w:space="0"/>
                  </w:tcBorders>
                  <w:noWrap w:val="0"/>
                  <w:vAlign w:val="center"/>
                </w:tcPr>
                <w:p w14:paraId="4FBC76B7">
                  <w:pPr>
                    <w:widowControl/>
                    <w:jc w:val="center"/>
                    <w:textAlignment w:val="center"/>
                    <w:rPr>
                      <w:rFonts w:hint="default" w:eastAsia="宋体"/>
                      <w:color w:val="auto"/>
                      <w:sz w:val="21"/>
                      <w:szCs w:val="21"/>
                      <w:lang w:val="en-US" w:eastAsia="zh-CN"/>
                    </w:rPr>
                  </w:pPr>
                  <w:r>
                    <w:rPr>
                      <w:rFonts w:hint="eastAsia" w:eastAsia="宋体"/>
                      <w:color w:val="auto"/>
                      <w:sz w:val="21"/>
                      <w:szCs w:val="21"/>
                      <w:lang w:val="en-US" w:eastAsia="zh-CN"/>
                    </w:rPr>
                    <w:t>0.053</w:t>
                  </w:r>
                </w:p>
              </w:tc>
              <w:tc>
                <w:tcPr>
                  <w:tcW w:w="811" w:type="pct"/>
                  <w:vMerge w:val="continue"/>
                  <w:tcBorders>
                    <w:left w:val="single" w:color="auto" w:sz="4" w:space="0"/>
                    <w:right w:val="single" w:color="auto" w:sz="4" w:space="0"/>
                  </w:tcBorders>
                  <w:noWrap w:val="0"/>
                  <w:vAlign w:val="center"/>
                </w:tcPr>
                <w:p w14:paraId="20253B21">
                  <w:pPr>
                    <w:adjustRightInd w:val="0"/>
                    <w:snapToGrid w:val="0"/>
                    <w:jc w:val="center"/>
                    <w:rPr>
                      <w:color w:val="auto"/>
                      <w:sz w:val="21"/>
                      <w:szCs w:val="21"/>
                    </w:rPr>
                  </w:pPr>
                </w:p>
              </w:tc>
              <w:tc>
                <w:tcPr>
                  <w:tcW w:w="462" w:type="pct"/>
                  <w:tcBorders>
                    <w:right w:val="single" w:color="auto" w:sz="4" w:space="0"/>
                  </w:tcBorders>
                  <w:noWrap w:val="0"/>
                  <w:vAlign w:val="center"/>
                </w:tcPr>
                <w:p w14:paraId="7AEAF6C0">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9</w:t>
                  </w:r>
                </w:p>
              </w:tc>
              <w:tc>
                <w:tcPr>
                  <w:tcW w:w="553" w:type="pct"/>
                  <w:tcBorders>
                    <w:right w:val="single" w:color="auto" w:sz="4" w:space="0"/>
                  </w:tcBorders>
                  <w:noWrap w:val="0"/>
                  <w:vAlign w:val="center"/>
                </w:tcPr>
                <w:p w14:paraId="7EAFE655">
                  <w:pPr>
                    <w:adjustRightInd w:val="0"/>
                    <w:snapToGrid w:val="0"/>
                    <w:jc w:val="center"/>
                    <w:rPr>
                      <w:rFonts w:hint="default" w:eastAsia="宋体"/>
                      <w:bCs/>
                      <w:color w:val="auto"/>
                      <w:sz w:val="21"/>
                      <w:szCs w:val="21"/>
                      <w:lang w:val="en-US" w:eastAsia="zh-CN"/>
                    </w:rPr>
                  </w:pPr>
                  <w:r>
                    <w:rPr>
                      <w:rFonts w:hint="eastAsia"/>
                      <w:bCs/>
                      <w:color w:val="auto"/>
                      <w:sz w:val="21"/>
                      <w:szCs w:val="21"/>
                      <w:lang w:val="en-US" w:eastAsia="zh-CN"/>
                    </w:rPr>
                    <w:t>200</w:t>
                  </w:r>
                </w:p>
              </w:tc>
              <w:tc>
                <w:tcPr>
                  <w:tcW w:w="620" w:type="pct"/>
                  <w:tcBorders>
                    <w:left w:val="single" w:color="auto" w:sz="4" w:space="0"/>
                  </w:tcBorders>
                  <w:noWrap w:val="0"/>
                  <w:vAlign w:val="center"/>
                </w:tcPr>
                <w:p w14:paraId="604D9288">
                  <w:pPr>
                    <w:adjustRightInd w:val="0"/>
                    <w:snapToGrid w:val="0"/>
                    <w:jc w:val="center"/>
                    <w:rPr>
                      <w:rFonts w:hint="default" w:eastAsia="宋体"/>
                      <w:bCs/>
                      <w:color w:val="auto"/>
                      <w:sz w:val="21"/>
                      <w:szCs w:val="21"/>
                      <w:lang w:val="en-US" w:eastAsia="zh-CN"/>
                    </w:rPr>
                  </w:pPr>
                  <w:r>
                    <w:rPr>
                      <w:rFonts w:hint="eastAsia" w:eastAsia="宋体"/>
                      <w:bCs/>
                      <w:color w:val="auto"/>
                      <w:sz w:val="21"/>
                      <w:szCs w:val="21"/>
                      <w:lang w:val="en-US" w:eastAsia="zh-CN"/>
                    </w:rPr>
                    <w:t>0.048</w:t>
                  </w:r>
                </w:p>
              </w:tc>
            </w:tr>
            <w:tr w14:paraId="6FF14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continue"/>
                  <w:noWrap w:val="0"/>
                  <w:vAlign w:val="center"/>
                </w:tcPr>
                <w:p w14:paraId="39975A4F">
                  <w:pPr>
                    <w:adjustRightInd w:val="0"/>
                    <w:snapToGrid w:val="0"/>
                    <w:jc w:val="center"/>
                    <w:rPr>
                      <w:color w:val="auto"/>
                      <w:sz w:val="21"/>
                      <w:szCs w:val="21"/>
                    </w:rPr>
                  </w:pPr>
                </w:p>
              </w:tc>
              <w:tc>
                <w:tcPr>
                  <w:tcW w:w="423" w:type="pct"/>
                  <w:vMerge w:val="continue"/>
                  <w:noWrap w:val="0"/>
                  <w:vAlign w:val="center"/>
                </w:tcPr>
                <w:p w14:paraId="710AA282">
                  <w:pPr>
                    <w:adjustRightInd w:val="0"/>
                    <w:snapToGrid w:val="0"/>
                    <w:jc w:val="center"/>
                    <w:rPr>
                      <w:color w:val="auto"/>
                      <w:sz w:val="21"/>
                      <w:szCs w:val="21"/>
                    </w:rPr>
                  </w:pPr>
                </w:p>
              </w:tc>
              <w:tc>
                <w:tcPr>
                  <w:tcW w:w="511" w:type="pct"/>
                  <w:tcBorders>
                    <w:right w:val="single" w:color="auto" w:sz="4" w:space="0"/>
                  </w:tcBorders>
                  <w:noWrap w:val="0"/>
                  <w:vAlign w:val="center"/>
                </w:tcPr>
                <w:p w14:paraId="7C6E97C0">
                  <w:pPr>
                    <w:widowControl/>
                    <w:adjustRightInd w:val="0"/>
                    <w:snapToGrid w:val="0"/>
                    <w:jc w:val="center"/>
                    <w:rPr>
                      <w:color w:val="auto"/>
                      <w:kern w:val="0"/>
                      <w:sz w:val="21"/>
                      <w:szCs w:val="21"/>
                    </w:rPr>
                  </w:pPr>
                  <w:r>
                    <w:rPr>
                      <w:color w:val="auto"/>
                      <w:kern w:val="0"/>
                      <w:sz w:val="21"/>
                      <w:szCs w:val="21"/>
                    </w:rPr>
                    <w:t>NH</w:t>
                  </w:r>
                  <w:r>
                    <w:rPr>
                      <w:color w:val="auto"/>
                      <w:kern w:val="0"/>
                      <w:sz w:val="21"/>
                      <w:szCs w:val="21"/>
                      <w:vertAlign w:val="subscript"/>
                    </w:rPr>
                    <w:t>3</w:t>
                  </w:r>
                  <w:r>
                    <w:rPr>
                      <w:color w:val="auto"/>
                      <w:kern w:val="0"/>
                      <w:sz w:val="21"/>
                      <w:szCs w:val="21"/>
                    </w:rPr>
                    <w:t>-N</w:t>
                  </w:r>
                </w:p>
              </w:tc>
              <w:tc>
                <w:tcPr>
                  <w:tcW w:w="554" w:type="pct"/>
                  <w:tcBorders>
                    <w:left w:val="single" w:color="auto" w:sz="4" w:space="0"/>
                    <w:right w:val="single" w:color="auto" w:sz="4" w:space="0"/>
                  </w:tcBorders>
                  <w:noWrap w:val="0"/>
                  <w:vAlign w:val="center"/>
                </w:tcPr>
                <w:p w14:paraId="1160FCCD">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35</w:t>
                  </w:r>
                </w:p>
              </w:tc>
              <w:tc>
                <w:tcPr>
                  <w:tcW w:w="602" w:type="pct"/>
                  <w:tcBorders>
                    <w:left w:val="single" w:color="auto" w:sz="4" w:space="0"/>
                    <w:right w:val="single" w:color="auto" w:sz="4" w:space="0"/>
                  </w:tcBorders>
                  <w:noWrap w:val="0"/>
                  <w:vAlign w:val="center"/>
                </w:tcPr>
                <w:p w14:paraId="059FCF43">
                  <w:pPr>
                    <w:widowControl/>
                    <w:jc w:val="center"/>
                    <w:textAlignment w:val="center"/>
                    <w:rPr>
                      <w:rFonts w:hint="default" w:eastAsia="宋体"/>
                      <w:color w:val="auto"/>
                      <w:sz w:val="21"/>
                      <w:szCs w:val="21"/>
                      <w:lang w:val="en-US" w:eastAsia="zh-CN"/>
                    </w:rPr>
                  </w:pPr>
                  <w:r>
                    <w:rPr>
                      <w:rFonts w:hint="eastAsia" w:eastAsia="宋体"/>
                      <w:color w:val="auto"/>
                      <w:sz w:val="21"/>
                      <w:szCs w:val="21"/>
                      <w:lang w:val="en-US" w:eastAsia="zh-CN"/>
                    </w:rPr>
                    <w:t>0.008</w:t>
                  </w:r>
                </w:p>
              </w:tc>
              <w:tc>
                <w:tcPr>
                  <w:tcW w:w="811" w:type="pct"/>
                  <w:vMerge w:val="continue"/>
                  <w:tcBorders>
                    <w:left w:val="single" w:color="auto" w:sz="4" w:space="0"/>
                    <w:right w:val="single" w:color="auto" w:sz="4" w:space="0"/>
                  </w:tcBorders>
                  <w:noWrap w:val="0"/>
                  <w:vAlign w:val="center"/>
                </w:tcPr>
                <w:p w14:paraId="04C0F727">
                  <w:pPr>
                    <w:adjustRightInd w:val="0"/>
                    <w:snapToGrid w:val="0"/>
                    <w:jc w:val="center"/>
                    <w:rPr>
                      <w:color w:val="auto"/>
                      <w:sz w:val="21"/>
                      <w:szCs w:val="21"/>
                    </w:rPr>
                  </w:pPr>
                </w:p>
              </w:tc>
              <w:tc>
                <w:tcPr>
                  <w:tcW w:w="462" w:type="pct"/>
                  <w:tcBorders>
                    <w:right w:val="single" w:color="auto" w:sz="4" w:space="0"/>
                  </w:tcBorders>
                  <w:noWrap w:val="0"/>
                  <w:vAlign w:val="center"/>
                </w:tcPr>
                <w:p w14:paraId="5A65D958">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553" w:type="pct"/>
                  <w:tcBorders>
                    <w:right w:val="single" w:color="auto" w:sz="4" w:space="0"/>
                  </w:tcBorders>
                  <w:noWrap w:val="0"/>
                  <w:vAlign w:val="center"/>
                </w:tcPr>
                <w:p w14:paraId="637F95FE">
                  <w:pPr>
                    <w:adjustRightInd w:val="0"/>
                    <w:snapToGrid w:val="0"/>
                    <w:jc w:val="center"/>
                    <w:rPr>
                      <w:rFonts w:hint="default" w:eastAsia="宋体"/>
                      <w:bCs/>
                      <w:color w:val="auto"/>
                      <w:sz w:val="21"/>
                      <w:szCs w:val="21"/>
                      <w:lang w:val="en-US" w:eastAsia="zh-CN"/>
                    </w:rPr>
                  </w:pPr>
                  <w:r>
                    <w:rPr>
                      <w:rFonts w:hint="eastAsia" w:eastAsia="宋体"/>
                      <w:color w:val="auto"/>
                      <w:sz w:val="21"/>
                      <w:szCs w:val="21"/>
                      <w:lang w:val="en-US" w:eastAsia="zh-CN"/>
                    </w:rPr>
                    <w:t>35</w:t>
                  </w:r>
                </w:p>
              </w:tc>
              <w:tc>
                <w:tcPr>
                  <w:tcW w:w="620" w:type="pct"/>
                  <w:tcBorders>
                    <w:left w:val="single" w:color="auto" w:sz="4" w:space="0"/>
                  </w:tcBorders>
                  <w:noWrap w:val="0"/>
                  <w:vAlign w:val="center"/>
                </w:tcPr>
                <w:p w14:paraId="6E0B05F9">
                  <w:pPr>
                    <w:widowControl/>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0.008</w:t>
                  </w:r>
                </w:p>
              </w:tc>
            </w:tr>
            <w:tr w14:paraId="461DE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noWrap w:val="0"/>
                  <w:vAlign w:val="center"/>
                </w:tcPr>
                <w:p w14:paraId="63A3356F">
                  <w:pPr>
                    <w:spacing w:line="260" w:lineRule="exact"/>
                    <w:jc w:val="center"/>
                    <w:rPr>
                      <w:rFonts w:hint="default"/>
                      <w:color w:val="auto"/>
                      <w:kern w:val="2"/>
                      <w:sz w:val="21"/>
                      <w:szCs w:val="21"/>
                      <w:lang w:val="en-US" w:eastAsia="zh-CN" w:bidi="ar-SA"/>
                    </w:rPr>
                  </w:pPr>
                  <w:r>
                    <w:rPr>
                      <w:rFonts w:hint="eastAsia"/>
                      <w:color w:val="auto"/>
                      <w:sz w:val="21"/>
                      <w:szCs w:val="21"/>
                      <w:lang w:val="en-US" w:eastAsia="zh-CN"/>
                    </w:rPr>
                    <w:t>循环冷却系统排水</w:t>
                  </w:r>
                </w:p>
              </w:tc>
              <w:tc>
                <w:tcPr>
                  <w:tcW w:w="423" w:type="pct"/>
                  <w:noWrap w:val="0"/>
                  <w:vAlign w:val="center"/>
                </w:tcPr>
                <w:p w14:paraId="3F4FBA06">
                  <w:pPr>
                    <w:spacing w:line="260" w:lineRule="exact"/>
                    <w:jc w:val="center"/>
                    <w:rPr>
                      <w:rFonts w:hint="default"/>
                      <w:color w:val="auto"/>
                      <w:sz w:val="21"/>
                      <w:szCs w:val="21"/>
                      <w:lang w:val="en-US"/>
                    </w:rPr>
                  </w:pPr>
                  <w:r>
                    <w:rPr>
                      <w:rFonts w:hint="eastAsia"/>
                      <w:color w:val="auto"/>
                      <w:sz w:val="21"/>
                      <w:szCs w:val="21"/>
                      <w:lang w:val="en-US" w:eastAsia="zh-CN"/>
                    </w:rPr>
                    <w:t>54</w:t>
                  </w:r>
                </w:p>
              </w:tc>
              <w:tc>
                <w:tcPr>
                  <w:tcW w:w="511" w:type="pct"/>
                  <w:tcBorders>
                    <w:right w:val="single" w:color="auto" w:sz="4" w:space="0"/>
                  </w:tcBorders>
                  <w:noWrap w:val="0"/>
                  <w:vAlign w:val="center"/>
                </w:tcPr>
                <w:p w14:paraId="1D8B702D">
                  <w:pPr>
                    <w:widowControl/>
                    <w:adjustRightInd w:val="0"/>
                    <w:snapToGrid w:val="0"/>
                    <w:jc w:val="center"/>
                    <w:rPr>
                      <w:rFonts w:hint="default" w:eastAsia="宋体"/>
                      <w:color w:val="auto"/>
                      <w:kern w:val="0"/>
                      <w:sz w:val="21"/>
                      <w:szCs w:val="21"/>
                      <w:lang w:val="en-US" w:eastAsia="zh-CN"/>
                    </w:rPr>
                  </w:pPr>
                  <w:r>
                    <w:rPr>
                      <w:rFonts w:hint="eastAsia"/>
                      <w:color w:val="auto"/>
                      <w:kern w:val="0"/>
                      <w:sz w:val="21"/>
                      <w:szCs w:val="21"/>
                      <w:lang w:val="en-US" w:eastAsia="zh-CN"/>
                    </w:rPr>
                    <w:t>TDS</w:t>
                  </w:r>
                </w:p>
              </w:tc>
              <w:tc>
                <w:tcPr>
                  <w:tcW w:w="554" w:type="pct"/>
                  <w:tcBorders>
                    <w:left w:val="single" w:color="auto" w:sz="4" w:space="0"/>
                    <w:right w:val="single" w:color="auto" w:sz="4" w:space="0"/>
                  </w:tcBorders>
                  <w:noWrap w:val="0"/>
                  <w:vAlign w:val="center"/>
                </w:tcPr>
                <w:p w14:paraId="6EC37F79">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1200</w:t>
                  </w:r>
                </w:p>
              </w:tc>
              <w:tc>
                <w:tcPr>
                  <w:tcW w:w="602" w:type="pct"/>
                  <w:tcBorders>
                    <w:left w:val="single" w:color="auto" w:sz="4" w:space="0"/>
                    <w:right w:val="single" w:color="auto" w:sz="4" w:space="0"/>
                  </w:tcBorders>
                  <w:noWrap w:val="0"/>
                  <w:vAlign w:val="center"/>
                </w:tcPr>
                <w:p w14:paraId="4F666603">
                  <w:pPr>
                    <w:widowControl/>
                    <w:jc w:val="center"/>
                    <w:textAlignment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065</w:t>
                  </w:r>
                </w:p>
              </w:tc>
              <w:tc>
                <w:tcPr>
                  <w:tcW w:w="811" w:type="pct"/>
                  <w:tcBorders>
                    <w:left w:val="single" w:color="auto" w:sz="4" w:space="0"/>
                    <w:right w:val="single" w:color="auto" w:sz="4" w:space="0"/>
                  </w:tcBorders>
                  <w:noWrap w:val="0"/>
                  <w:vAlign w:val="center"/>
                </w:tcPr>
                <w:p w14:paraId="58A95AC7">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462" w:type="pct"/>
                  <w:tcBorders>
                    <w:right w:val="single" w:color="auto" w:sz="4" w:space="0"/>
                  </w:tcBorders>
                  <w:noWrap w:val="0"/>
                  <w:vAlign w:val="center"/>
                </w:tcPr>
                <w:p w14:paraId="75F332C1">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553" w:type="pct"/>
                  <w:tcBorders>
                    <w:right w:val="single" w:color="auto" w:sz="4" w:space="0"/>
                  </w:tcBorders>
                  <w:noWrap w:val="0"/>
                  <w:vAlign w:val="center"/>
                </w:tcPr>
                <w:p w14:paraId="3B6A29C6">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1200</w:t>
                  </w:r>
                </w:p>
              </w:tc>
              <w:tc>
                <w:tcPr>
                  <w:tcW w:w="620" w:type="pct"/>
                  <w:tcBorders>
                    <w:left w:val="single" w:color="auto" w:sz="4" w:space="0"/>
                  </w:tcBorders>
                  <w:noWrap w:val="0"/>
                  <w:vAlign w:val="center"/>
                </w:tcPr>
                <w:p w14:paraId="33C79940">
                  <w:pPr>
                    <w:widowControl/>
                    <w:jc w:val="center"/>
                    <w:textAlignment w:val="center"/>
                    <w:rPr>
                      <w:rFonts w:hint="default" w:eastAsia="宋体"/>
                      <w:bCs/>
                      <w:color w:val="auto"/>
                      <w:sz w:val="21"/>
                      <w:szCs w:val="21"/>
                      <w:lang w:val="en-US" w:eastAsia="zh-CN"/>
                    </w:rPr>
                  </w:pPr>
                  <w:r>
                    <w:rPr>
                      <w:rFonts w:hint="eastAsia" w:eastAsia="宋体"/>
                      <w:bCs/>
                      <w:color w:val="auto"/>
                      <w:sz w:val="21"/>
                      <w:szCs w:val="21"/>
                      <w:lang w:val="en-US" w:eastAsia="zh-CN"/>
                    </w:rPr>
                    <w:t>0.</w:t>
                  </w:r>
                  <w:r>
                    <w:rPr>
                      <w:rFonts w:hint="eastAsia"/>
                      <w:bCs/>
                      <w:color w:val="auto"/>
                      <w:sz w:val="21"/>
                      <w:szCs w:val="21"/>
                      <w:lang w:val="en-US" w:eastAsia="zh-CN"/>
                    </w:rPr>
                    <w:t>065</w:t>
                  </w:r>
                </w:p>
              </w:tc>
            </w:tr>
            <w:tr w14:paraId="69520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restart"/>
                  <w:noWrap w:val="0"/>
                  <w:vAlign w:val="center"/>
                </w:tcPr>
                <w:p w14:paraId="79B93A9F">
                  <w:pPr>
                    <w:spacing w:line="260" w:lineRule="exact"/>
                    <w:jc w:val="center"/>
                    <w:rPr>
                      <w:rFonts w:hint="default"/>
                      <w:color w:val="auto"/>
                      <w:kern w:val="2"/>
                      <w:sz w:val="21"/>
                      <w:szCs w:val="21"/>
                      <w:lang w:val="en-US" w:eastAsia="zh-CN" w:bidi="ar-SA"/>
                    </w:rPr>
                  </w:pPr>
                  <w:r>
                    <w:rPr>
                      <w:rFonts w:hint="eastAsia"/>
                      <w:color w:val="auto"/>
                      <w:sz w:val="21"/>
                      <w:szCs w:val="21"/>
                      <w:lang w:val="en-US" w:eastAsia="zh-CN"/>
                    </w:rPr>
                    <w:t>混合水质</w:t>
                  </w:r>
                </w:p>
              </w:tc>
              <w:tc>
                <w:tcPr>
                  <w:tcW w:w="423" w:type="pct"/>
                  <w:vMerge w:val="restart"/>
                  <w:noWrap w:val="0"/>
                  <w:vAlign w:val="center"/>
                </w:tcPr>
                <w:p w14:paraId="1965A2A6">
                  <w:pPr>
                    <w:spacing w:line="260" w:lineRule="exact"/>
                    <w:jc w:val="center"/>
                    <w:rPr>
                      <w:rFonts w:hint="default"/>
                      <w:color w:val="auto"/>
                      <w:sz w:val="21"/>
                      <w:szCs w:val="21"/>
                      <w:lang w:val="en-US"/>
                    </w:rPr>
                  </w:pPr>
                  <w:r>
                    <w:rPr>
                      <w:rFonts w:hint="eastAsia"/>
                      <w:color w:val="auto"/>
                      <w:sz w:val="21"/>
                      <w:szCs w:val="21"/>
                      <w:lang w:val="en-US" w:eastAsia="zh-CN"/>
                    </w:rPr>
                    <w:t>294</w:t>
                  </w:r>
                </w:p>
              </w:tc>
              <w:tc>
                <w:tcPr>
                  <w:tcW w:w="511" w:type="pct"/>
                  <w:tcBorders>
                    <w:right w:val="single" w:color="auto" w:sz="4" w:space="0"/>
                  </w:tcBorders>
                  <w:noWrap w:val="0"/>
                  <w:vAlign w:val="center"/>
                </w:tcPr>
                <w:p w14:paraId="3A0CFB6C">
                  <w:pPr>
                    <w:widowControl/>
                    <w:adjustRightInd w:val="0"/>
                    <w:snapToGrid w:val="0"/>
                    <w:jc w:val="center"/>
                    <w:rPr>
                      <w:color w:val="auto"/>
                      <w:kern w:val="0"/>
                      <w:sz w:val="21"/>
                      <w:szCs w:val="21"/>
                    </w:rPr>
                  </w:pPr>
                  <w:r>
                    <w:rPr>
                      <w:color w:val="auto"/>
                      <w:kern w:val="0"/>
                      <w:sz w:val="21"/>
                      <w:szCs w:val="21"/>
                    </w:rPr>
                    <w:t>COD</w:t>
                  </w:r>
                </w:p>
              </w:tc>
              <w:tc>
                <w:tcPr>
                  <w:tcW w:w="554" w:type="pct"/>
                  <w:tcBorders>
                    <w:left w:val="single" w:color="auto" w:sz="4" w:space="0"/>
                    <w:right w:val="single" w:color="auto" w:sz="4" w:space="0"/>
                  </w:tcBorders>
                  <w:noWrap w:val="0"/>
                  <w:vAlign w:val="center"/>
                </w:tcPr>
                <w:p w14:paraId="1F49C5B3">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306.12</w:t>
                  </w:r>
                </w:p>
              </w:tc>
              <w:tc>
                <w:tcPr>
                  <w:tcW w:w="602" w:type="pct"/>
                  <w:tcBorders>
                    <w:left w:val="single" w:color="auto" w:sz="4" w:space="0"/>
                    <w:right w:val="single" w:color="auto" w:sz="4" w:space="0"/>
                  </w:tcBorders>
                  <w:noWrap w:val="0"/>
                  <w:vAlign w:val="center"/>
                </w:tcPr>
                <w:p w14:paraId="29F4801B">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0.092</w:t>
                  </w:r>
                </w:p>
              </w:tc>
              <w:tc>
                <w:tcPr>
                  <w:tcW w:w="811" w:type="pct"/>
                  <w:vMerge w:val="restart"/>
                  <w:tcBorders>
                    <w:left w:val="single" w:color="auto" w:sz="4" w:space="0"/>
                    <w:right w:val="single" w:color="auto" w:sz="4" w:space="0"/>
                  </w:tcBorders>
                  <w:noWrap w:val="0"/>
                  <w:vAlign w:val="center"/>
                </w:tcPr>
                <w:p w14:paraId="36116D84">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排入园区污水管网，最终进入固原经济技术开发区新材料产业园污水处理厂</w:t>
                  </w:r>
                  <w:r>
                    <w:rPr>
                      <w:rFonts w:hint="eastAsia" w:eastAsia="宋体" w:cs="Times New Roman"/>
                      <w:color w:val="auto"/>
                      <w:sz w:val="21"/>
                      <w:szCs w:val="21"/>
                      <w:highlight w:val="none"/>
                      <w:lang w:val="en-US" w:eastAsia="zh-CN"/>
                    </w:rPr>
                    <w:t>进行处理</w:t>
                  </w:r>
                </w:p>
              </w:tc>
              <w:tc>
                <w:tcPr>
                  <w:tcW w:w="462" w:type="pct"/>
                  <w:tcBorders>
                    <w:right w:val="single" w:color="auto" w:sz="4" w:space="0"/>
                  </w:tcBorders>
                  <w:noWrap w:val="0"/>
                  <w:vAlign w:val="center"/>
                </w:tcPr>
                <w:p w14:paraId="12DE69C5">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553" w:type="pct"/>
                  <w:tcBorders>
                    <w:right w:val="single" w:color="auto" w:sz="4" w:space="0"/>
                  </w:tcBorders>
                  <w:shd w:val="clear" w:color="auto" w:fill="auto"/>
                  <w:noWrap w:val="0"/>
                  <w:vAlign w:val="center"/>
                </w:tcPr>
                <w:p w14:paraId="79A04DA0">
                  <w:pPr>
                    <w:adjustRightInd w:val="0"/>
                    <w:snapToGrid w:val="0"/>
                    <w:jc w:val="center"/>
                    <w:rPr>
                      <w:rFonts w:hint="default" w:eastAsia="宋体"/>
                      <w:color w:val="auto"/>
                      <w:kern w:val="2"/>
                      <w:sz w:val="21"/>
                      <w:szCs w:val="21"/>
                      <w:lang w:val="en-US" w:eastAsia="zh-CN" w:bidi="ar-SA"/>
                    </w:rPr>
                  </w:pPr>
                  <w:r>
                    <w:rPr>
                      <w:rFonts w:hint="eastAsia"/>
                      <w:color w:val="auto"/>
                      <w:kern w:val="2"/>
                      <w:sz w:val="21"/>
                      <w:szCs w:val="21"/>
                      <w:lang w:val="en-US" w:eastAsia="zh-CN" w:bidi="ar-SA"/>
                    </w:rPr>
                    <w:t>306.12</w:t>
                  </w:r>
                </w:p>
              </w:tc>
              <w:tc>
                <w:tcPr>
                  <w:tcW w:w="620" w:type="pct"/>
                  <w:tcBorders>
                    <w:left w:val="single" w:color="auto" w:sz="4" w:space="0"/>
                  </w:tcBorders>
                  <w:shd w:val="clear" w:color="auto" w:fill="auto"/>
                  <w:noWrap w:val="0"/>
                  <w:vAlign w:val="center"/>
                </w:tcPr>
                <w:p w14:paraId="19E279DE">
                  <w:pPr>
                    <w:adjustRightInd w:val="0"/>
                    <w:snapToGrid w:val="0"/>
                    <w:jc w:val="center"/>
                    <w:rPr>
                      <w:rFonts w:hint="default" w:eastAsia="宋体"/>
                      <w:bCs/>
                      <w:color w:val="auto"/>
                      <w:kern w:val="2"/>
                      <w:sz w:val="21"/>
                      <w:szCs w:val="21"/>
                      <w:lang w:val="en-US" w:eastAsia="zh-CN" w:bidi="ar-SA"/>
                    </w:rPr>
                  </w:pPr>
                  <w:r>
                    <w:rPr>
                      <w:rFonts w:hint="eastAsia"/>
                      <w:bCs/>
                      <w:color w:val="auto"/>
                      <w:kern w:val="2"/>
                      <w:sz w:val="21"/>
                      <w:szCs w:val="21"/>
                      <w:lang w:val="en-US" w:eastAsia="zh-CN" w:bidi="ar-SA"/>
                    </w:rPr>
                    <w:t>0.092</w:t>
                  </w:r>
                </w:p>
              </w:tc>
            </w:tr>
            <w:tr w14:paraId="6192B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continue"/>
                  <w:noWrap w:val="0"/>
                  <w:vAlign w:val="center"/>
                </w:tcPr>
                <w:p w14:paraId="0B593F33">
                  <w:pPr>
                    <w:adjustRightInd w:val="0"/>
                    <w:snapToGrid w:val="0"/>
                    <w:jc w:val="center"/>
                    <w:rPr>
                      <w:color w:val="auto"/>
                      <w:sz w:val="21"/>
                      <w:szCs w:val="21"/>
                    </w:rPr>
                  </w:pPr>
                </w:p>
              </w:tc>
              <w:tc>
                <w:tcPr>
                  <w:tcW w:w="423" w:type="pct"/>
                  <w:vMerge w:val="continue"/>
                  <w:noWrap w:val="0"/>
                  <w:vAlign w:val="center"/>
                </w:tcPr>
                <w:p w14:paraId="27252F73">
                  <w:pPr>
                    <w:adjustRightInd w:val="0"/>
                    <w:snapToGrid w:val="0"/>
                    <w:jc w:val="center"/>
                    <w:rPr>
                      <w:color w:val="auto"/>
                      <w:sz w:val="21"/>
                      <w:szCs w:val="21"/>
                    </w:rPr>
                  </w:pPr>
                </w:p>
              </w:tc>
              <w:tc>
                <w:tcPr>
                  <w:tcW w:w="511" w:type="pct"/>
                  <w:tcBorders>
                    <w:right w:val="single" w:color="auto" w:sz="4" w:space="0"/>
                  </w:tcBorders>
                  <w:noWrap w:val="0"/>
                  <w:vAlign w:val="center"/>
                </w:tcPr>
                <w:p w14:paraId="28728EA1">
                  <w:pPr>
                    <w:widowControl/>
                    <w:adjustRightInd w:val="0"/>
                    <w:snapToGrid w:val="0"/>
                    <w:jc w:val="center"/>
                    <w:rPr>
                      <w:color w:val="auto"/>
                      <w:kern w:val="0"/>
                      <w:sz w:val="21"/>
                      <w:szCs w:val="21"/>
                    </w:rPr>
                  </w:pPr>
                  <w:r>
                    <w:rPr>
                      <w:color w:val="auto"/>
                      <w:kern w:val="0"/>
                      <w:sz w:val="21"/>
                      <w:szCs w:val="21"/>
                    </w:rPr>
                    <w:t>BOD</w:t>
                  </w:r>
                  <w:r>
                    <w:rPr>
                      <w:color w:val="auto"/>
                      <w:kern w:val="0"/>
                      <w:sz w:val="21"/>
                      <w:szCs w:val="21"/>
                      <w:vertAlign w:val="subscript"/>
                    </w:rPr>
                    <w:t>5</w:t>
                  </w:r>
                </w:p>
              </w:tc>
              <w:tc>
                <w:tcPr>
                  <w:tcW w:w="554" w:type="pct"/>
                  <w:tcBorders>
                    <w:left w:val="single" w:color="auto" w:sz="4" w:space="0"/>
                    <w:right w:val="single" w:color="auto" w:sz="4" w:space="0"/>
                  </w:tcBorders>
                  <w:noWrap w:val="0"/>
                  <w:vAlign w:val="center"/>
                </w:tcPr>
                <w:p w14:paraId="2940D308">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214.29</w:t>
                  </w:r>
                </w:p>
              </w:tc>
              <w:tc>
                <w:tcPr>
                  <w:tcW w:w="602" w:type="pct"/>
                  <w:tcBorders>
                    <w:left w:val="single" w:color="auto" w:sz="4" w:space="0"/>
                    <w:right w:val="single" w:color="auto" w:sz="4" w:space="0"/>
                  </w:tcBorders>
                  <w:noWrap w:val="0"/>
                  <w:vAlign w:val="center"/>
                </w:tcPr>
                <w:p w14:paraId="685429BA">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0.065</w:t>
                  </w:r>
                </w:p>
              </w:tc>
              <w:tc>
                <w:tcPr>
                  <w:tcW w:w="811" w:type="pct"/>
                  <w:vMerge w:val="continue"/>
                  <w:tcBorders>
                    <w:left w:val="single" w:color="auto" w:sz="4" w:space="0"/>
                    <w:right w:val="single" w:color="auto" w:sz="4" w:space="0"/>
                  </w:tcBorders>
                  <w:noWrap w:val="0"/>
                  <w:vAlign w:val="center"/>
                </w:tcPr>
                <w:p w14:paraId="7200F453">
                  <w:pPr>
                    <w:adjustRightInd w:val="0"/>
                    <w:snapToGrid w:val="0"/>
                    <w:jc w:val="center"/>
                    <w:rPr>
                      <w:color w:val="auto"/>
                      <w:sz w:val="21"/>
                      <w:szCs w:val="21"/>
                    </w:rPr>
                  </w:pPr>
                </w:p>
              </w:tc>
              <w:tc>
                <w:tcPr>
                  <w:tcW w:w="462" w:type="pct"/>
                  <w:tcBorders>
                    <w:right w:val="single" w:color="auto" w:sz="4" w:space="0"/>
                  </w:tcBorders>
                  <w:noWrap w:val="0"/>
                  <w:vAlign w:val="center"/>
                </w:tcPr>
                <w:p w14:paraId="089DE557">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553" w:type="pct"/>
                  <w:tcBorders>
                    <w:right w:val="single" w:color="auto" w:sz="4" w:space="0"/>
                  </w:tcBorders>
                  <w:shd w:val="clear" w:color="auto" w:fill="auto"/>
                  <w:noWrap w:val="0"/>
                  <w:vAlign w:val="center"/>
                </w:tcPr>
                <w:p w14:paraId="6E3B424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214.29</w:t>
                  </w:r>
                </w:p>
              </w:tc>
              <w:tc>
                <w:tcPr>
                  <w:tcW w:w="620" w:type="pct"/>
                  <w:tcBorders>
                    <w:left w:val="single" w:color="auto" w:sz="4" w:space="0"/>
                  </w:tcBorders>
                  <w:shd w:val="clear" w:color="auto" w:fill="auto"/>
                  <w:noWrap w:val="0"/>
                  <w:vAlign w:val="center"/>
                </w:tcPr>
                <w:p w14:paraId="16B2072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0.065</w:t>
                  </w:r>
                </w:p>
              </w:tc>
            </w:tr>
            <w:tr w14:paraId="6F336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460" w:type="pct"/>
                  <w:vMerge w:val="continue"/>
                  <w:noWrap w:val="0"/>
                  <w:vAlign w:val="center"/>
                </w:tcPr>
                <w:p w14:paraId="6BA27D0B">
                  <w:pPr>
                    <w:adjustRightInd w:val="0"/>
                    <w:snapToGrid w:val="0"/>
                    <w:jc w:val="center"/>
                    <w:rPr>
                      <w:color w:val="auto"/>
                      <w:sz w:val="21"/>
                      <w:szCs w:val="21"/>
                    </w:rPr>
                  </w:pPr>
                </w:p>
              </w:tc>
              <w:tc>
                <w:tcPr>
                  <w:tcW w:w="423" w:type="pct"/>
                  <w:vMerge w:val="continue"/>
                  <w:noWrap w:val="0"/>
                  <w:vAlign w:val="center"/>
                </w:tcPr>
                <w:p w14:paraId="4FBBE2C4">
                  <w:pPr>
                    <w:adjustRightInd w:val="0"/>
                    <w:snapToGrid w:val="0"/>
                    <w:jc w:val="center"/>
                    <w:rPr>
                      <w:color w:val="auto"/>
                      <w:sz w:val="21"/>
                      <w:szCs w:val="21"/>
                    </w:rPr>
                  </w:pPr>
                </w:p>
              </w:tc>
              <w:tc>
                <w:tcPr>
                  <w:tcW w:w="511" w:type="pct"/>
                  <w:tcBorders>
                    <w:right w:val="single" w:color="auto" w:sz="4" w:space="0"/>
                  </w:tcBorders>
                  <w:noWrap w:val="0"/>
                  <w:vAlign w:val="center"/>
                </w:tcPr>
                <w:p w14:paraId="121A412A">
                  <w:pPr>
                    <w:widowControl/>
                    <w:adjustRightInd w:val="0"/>
                    <w:snapToGrid w:val="0"/>
                    <w:jc w:val="center"/>
                    <w:rPr>
                      <w:color w:val="auto"/>
                      <w:kern w:val="0"/>
                      <w:sz w:val="21"/>
                      <w:szCs w:val="21"/>
                    </w:rPr>
                  </w:pPr>
                  <w:r>
                    <w:rPr>
                      <w:color w:val="auto"/>
                      <w:kern w:val="0"/>
                      <w:sz w:val="21"/>
                      <w:szCs w:val="21"/>
                    </w:rPr>
                    <w:t>SS</w:t>
                  </w:r>
                </w:p>
              </w:tc>
              <w:tc>
                <w:tcPr>
                  <w:tcW w:w="554" w:type="pct"/>
                  <w:tcBorders>
                    <w:left w:val="single" w:color="auto" w:sz="4" w:space="0"/>
                    <w:right w:val="single" w:color="auto" w:sz="4" w:space="0"/>
                  </w:tcBorders>
                  <w:noWrap w:val="0"/>
                  <w:vAlign w:val="center"/>
                </w:tcPr>
                <w:p w14:paraId="4ACCA4D6">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168.03</w:t>
                  </w:r>
                </w:p>
              </w:tc>
              <w:tc>
                <w:tcPr>
                  <w:tcW w:w="602" w:type="pct"/>
                  <w:tcBorders>
                    <w:left w:val="single" w:color="auto" w:sz="4" w:space="0"/>
                    <w:right w:val="single" w:color="auto" w:sz="4" w:space="0"/>
                  </w:tcBorders>
                  <w:noWrap w:val="0"/>
                  <w:vAlign w:val="center"/>
                </w:tcPr>
                <w:p w14:paraId="57CA2C8A">
                  <w:pPr>
                    <w:adjustRightInd w:val="0"/>
                    <w:snapToGrid w:val="0"/>
                    <w:jc w:val="center"/>
                    <w:rPr>
                      <w:rFonts w:hint="default" w:eastAsia="宋体"/>
                      <w:color w:val="auto"/>
                      <w:sz w:val="21"/>
                      <w:szCs w:val="21"/>
                      <w:lang w:val="en-US" w:eastAsia="zh-CN"/>
                    </w:rPr>
                  </w:pPr>
                  <w:r>
                    <w:rPr>
                      <w:rFonts w:hint="eastAsia" w:eastAsia="宋体"/>
                      <w:color w:val="auto"/>
                      <w:sz w:val="21"/>
                      <w:szCs w:val="21"/>
                      <w:lang w:val="en-US" w:eastAsia="zh-CN"/>
                    </w:rPr>
                    <w:t>0.048</w:t>
                  </w:r>
                </w:p>
              </w:tc>
              <w:tc>
                <w:tcPr>
                  <w:tcW w:w="811" w:type="pct"/>
                  <w:vMerge w:val="continue"/>
                  <w:tcBorders>
                    <w:left w:val="single" w:color="auto" w:sz="4" w:space="0"/>
                    <w:right w:val="single" w:color="auto" w:sz="4" w:space="0"/>
                  </w:tcBorders>
                  <w:noWrap w:val="0"/>
                  <w:vAlign w:val="center"/>
                </w:tcPr>
                <w:p w14:paraId="13E5C4E0">
                  <w:pPr>
                    <w:adjustRightInd w:val="0"/>
                    <w:snapToGrid w:val="0"/>
                    <w:jc w:val="center"/>
                    <w:rPr>
                      <w:color w:val="auto"/>
                      <w:sz w:val="21"/>
                      <w:szCs w:val="21"/>
                    </w:rPr>
                  </w:pPr>
                </w:p>
              </w:tc>
              <w:tc>
                <w:tcPr>
                  <w:tcW w:w="462" w:type="pct"/>
                  <w:tcBorders>
                    <w:right w:val="single" w:color="auto" w:sz="4" w:space="0"/>
                  </w:tcBorders>
                  <w:noWrap w:val="0"/>
                  <w:vAlign w:val="center"/>
                </w:tcPr>
                <w:p w14:paraId="723ECEC0">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553" w:type="pct"/>
                  <w:tcBorders>
                    <w:right w:val="single" w:color="auto" w:sz="4" w:space="0"/>
                  </w:tcBorders>
                  <w:shd w:val="clear" w:color="auto" w:fill="auto"/>
                  <w:noWrap w:val="0"/>
                  <w:vAlign w:val="center"/>
                </w:tcPr>
                <w:p w14:paraId="6560D63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168.03</w:t>
                  </w:r>
                </w:p>
              </w:tc>
              <w:tc>
                <w:tcPr>
                  <w:tcW w:w="620" w:type="pct"/>
                  <w:tcBorders>
                    <w:left w:val="single" w:color="auto" w:sz="4" w:space="0"/>
                  </w:tcBorders>
                  <w:shd w:val="clear" w:color="auto" w:fill="auto"/>
                  <w:noWrap w:val="0"/>
                  <w:vAlign w:val="center"/>
                </w:tcPr>
                <w:p w14:paraId="7B9F830D">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0.048</w:t>
                  </w:r>
                </w:p>
              </w:tc>
            </w:tr>
            <w:tr w14:paraId="1F49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continue"/>
                  <w:noWrap w:val="0"/>
                  <w:vAlign w:val="center"/>
                </w:tcPr>
                <w:p w14:paraId="7DC7A1C2">
                  <w:pPr>
                    <w:adjustRightInd w:val="0"/>
                    <w:snapToGrid w:val="0"/>
                    <w:jc w:val="center"/>
                    <w:rPr>
                      <w:color w:val="auto"/>
                      <w:sz w:val="21"/>
                      <w:szCs w:val="21"/>
                    </w:rPr>
                  </w:pPr>
                </w:p>
              </w:tc>
              <w:tc>
                <w:tcPr>
                  <w:tcW w:w="423" w:type="pct"/>
                  <w:vMerge w:val="continue"/>
                  <w:noWrap w:val="0"/>
                  <w:vAlign w:val="center"/>
                </w:tcPr>
                <w:p w14:paraId="3FBED5AE">
                  <w:pPr>
                    <w:adjustRightInd w:val="0"/>
                    <w:snapToGrid w:val="0"/>
                    <w:jc w:val="center"/>
                    <w:rPr>
                      <w:color w:val="auto"/>
                      <w:sz w:val="21"/>
                      <w:szCs w:val="21"/>
                    </w:rPr>
                  </w:pPr>
                </w:p>
              </w:tc>
              <w:tc>
                <w:tcPr>
                  <w:tcW w:w="511" w:type="pct"/>
                  <w:tcBorders>
                    <w:right w:val="single" w:color="auto" w:sz="4" w:space="0"/>
                  </w:tcBorders>
                  <w:noWrap w:val="0"/>
                  <w:vAlign w:val="center"/>
                </w:tcPr>
                <w:p w14:paraId="49C54F0E">
                  <w:pPr>
                    <w:widowControl/>
                    <w:adjustRightInd w:val="0"/>
                    <w:snapToGrid w:val="0"/>
                    <w:jc w:val="center"/>
                    <w:rPr>
                      <w:color w:val="auto"/>
                      <w:kern w:val="0"/>
                      <w:sz w:val="21"/>
                      <w:szCs w:val="21"/>
                    </w:rPr>
                  </w:pPr>
                  <w:r>
                    <w:rPr>
                      <w:color w:val="auto"/>
                      <w:kern w:val="0"/>
                      <w:sz w:val="21"/>
                      <w:szCs w:val="21"/>
                    </w:rPr>
                    <w:t>NH</w:t>
                  </w:r>
                  <w:r>
                    <w:rPr>
                      <w:color w:val="auto"/>
                      <w:kern w:val="0"/>
                      <w:sz w:val="21"/>
                      <w:szCs w:val="21"/>
                      <w:vertAlign w:val="subscript"/>
                    </w:rPr>
                    <w:t>3</w:t>
                  </w:r>
                  <w:r>
                    <w:rPr>
                      <w:color w:val="auto"/>
                      <w:kern w:val="0"/>
                      <w:sz w:val="21"/>
                      <w:szCs w:val="21"/>
                    </w:rPr>
                    <w:t>-N</w:t>
                  </w:r>
                </w:p>
              </w:tc>
              <w:tc>
                <w:tcPr>
                  <w:tcW w:w="554" w:type="pct"/>
                  <w:tcBorders>
                    <w:left w:val="single" w:color="auto" w:sz="4" w:space="0"/>
                    <w:right w:val="single" w:color="auto" w:sz="4" w:space="0"/>
                  </w:tcBorders>
                  <w:noWrap w:val="0"/>
                  <w:vAlign w:val="center"/>
                </w:tcPr>
                <w:p w14:paraId="65401EC3">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28.57</w:t>
                  </w:r>
                </w:p>
              </w:tc>
              <w:tc>
                <w:tcPr>
                  <w:tcW w:w="602" w:type="pct"/>
                  <w:tcBorders>
                    <w:left w:val="single" w:color="auto" w:sz="4" w:space="0"/>
                    <w:right w:val="single" w:color="auto" w:sz="4" w:space="0"/>
                  </w:tcBorders>
                  <w:noWrap w:val="0"/>
                  <w:vAlign w:val="center"/>
                </w:tcPr>
                <w:p w14:paraId="123EFFC5">
                  <w:pPr>
                    <w:widowControl/>
                    <w:jc w:val="center"/>
                    <w:textAlignment w:val="center"/>
                    <w:rPr>
                      <w:rFonts w:hint="default" w:eastAsia="宋体"/>
                      <w:color w:val="auto"/>
                      <w:sz w:val="21"/>
                      <w:szCs w:val="21"/>
                      <w:lang w:val="en-US" w:eastAsia="zh-CN"/>
                    </w:rPr>
                  </w:pPr>
                  <w:r>
                    <w:rPr>
                      <w:rFonts w:hint="eastAsia" w:eastAsia="宋体"/>
                      <w:color w:val="auto"/>
                      <w:sz w:val="21"/>
                      <w:szCs w:val="21"/>
                      <w:lang w:val="en-US" w:eastAsia="zh-CN"/>
                    </w:rPr>
                    <w:t>0.008</w:t>
                  </w:r>
                </w:p>
              </w:tc>
              <w:tc>
                <w:tcPr>
                  <w:tcW w:w="811" w:type="pct"/>
                  <w:vMerge w:val="continue"/>
                  <w:tcBorders>
                    <w:left w:val="single" w:color="auto" w:sz="4" w:space="0"/>
                    <w:right w:val="single" w:color="auto" w:sz="4" w:space="0"/>
                  </w:tcBorders>
                  <w:noWrap w:val="0"/>
                  <w:vAlign w:val="center"/>
                </w:tcPr>
                <w:p w14:paraId="08DF8F71">
                  <w:pPr>
                    <w:adjustRightInd w:val="0"/>
                    <w:snapToGrid w:val="0"/>
                    <w:jc w:val="center"/>
                    <w:rPr>
                      <w:color w:val="auto"/>
                      <w:sz w:val="21"/>
                      <w:szCs w:val="21"/>
                    </w:rPr>
                  </w:pPr>
                </w:p>
              </w:tc>
              <w:tc>
                <w:tcPr>
                  <w:tcW w:w="462" w:type="pct"/>
                  <w:tcBorders>
                    <w:right w:val="single" w:color="auto" w:sz="4" w:space="0"/>
                  </w:tcBorders>
                  <w:noWrap w:val="0"/>
                  <w:vAlign w:val="center"/>
                </w:tcPr>
                <w:p w14:paraId="59952477">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553" w:type="pct"/>
                  <w:tcBorders>
                    <w:right w:val="single" w:color="auto" w:sz="4" w:space="0"/>
                  </w:tcBorders>
                  <w:shd w:val="clear" w:color="auto" w:fill="auto"/>
                  <w:noWrap w:val="0"/>
                  <w:vAlign w:val="center"/>
                </w:tcPr>
                <w:p w14:paraId="4B1BE7E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28.57</w:t>
                  </w:r>
                </w:p>
              </w:tc>
              <w:tc>
                <w:tcPr>
                  <w:tcW w:w="620" w:type="pct"/>
                  <w:tcBorders>
                    <w:left w:val="single" w:color="auto" w:sz="4" w:space="0"/>
                  </w:tcBorders>
                  <w:shd w:val="clear" w:color="auto" w:fill="auto"/>
                  <w:noWrap w:val="0"/>
                  <w:vAlign w:val="center"/>
                </w:tcPr>
                <w:p w14:paraId="56577714">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0.008</w:t>
                  </w:r>
                </w:p>
              </w:tc>
            </w:tr>
            <w:tr w14:paraId="25582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0" w:type="pct"/>
                  <w:vMerge w:val="continue"/>
                  <w:noWrap w:val="0"/>
                  <w:vAlign w:val="center"/>
                </w:tcPr>
                <w:p w14:paraId="290CAAF6">
                  <w:pPr>
                    <w:adjustRightInd w:val="0"/>
                    <w:snapToGrid w:val="0"/>
                    <w:jc w:val="center"/>
                    <w:rPr>
                      <w:color w:val="auto"/>
                      <w:sz w:val="21"/>
                      <w:szCs w:val="21"/>
                    </w:rPr>
                  </w:pPr>
                </w:p>
              </w:tc>
              <w:tc>
                <w:tcPr>
                  <w:tcW w:w="423" w:type="pct"/>
                  <w:vMerge w:val="continue"/>
                  <w:noWrap w:val="0"/>
                  <w:vAlign w:val="center"/>
                </w:tcPr>
                <w:p w14:paraId="1CA0F5AE">
                  <w:pPr>
                    <w:adjustRightInd w:val="0"/>
                    <w:snapToGrid w:val="0"/>
                    <w:jc w:val="center"/>
                    <w:rPr>
                      <w:color w:val="auto"/>
                      <w:sz w:val="21"/>
                      <w:szCs w:val="21"/>
                    </w:rPr>
                  </w:pPr>
                </w:p>
              </w:tc>
              <w:tc>
                <w:tcPr>
                  <w:tcW w:w="511" w:type="pct"/>
                  <w:tcBorders>
                    <w:right w:val="single" w:color="auto" w:sz="4" w:space="0"/>
                  </w:tcBorders>
                  <w:noWrap w:val="0"/>
                  <w:vAlign w:val="center"/>
                </w:tcPr>
                <w:p w14:paraId="339A993C">
                  <w:pPr>
                    <w:widowControl/>
                    <w:adjustRightInd w:val="0"/>
                    <w:snapToGrid w:val="0"/>
                    <w:jc w:val="center"/>
                    <w:rPr>
                      <w:color w:val="auto"/>
                      <w:kern w:val="0"/>
                      <w:sz w:val="21"/>
                      <w:szCs w:val="21"/>
                    </w:rPr>
                  </w:pPr>
                  <w:r>
                    <w:rPr>
                      <w:rFonts w:hint="eastAsia"/>
                      <w:color w:val="auto"/>
                      <w:kern w:val="0"/>
                      <w:sz w:val="21"/>
                      <w:szCs w:val="21"/>
                      <w:lang w:val="en-US" w:eastAsia="zh-CN"/>
                    </w:rPr>
                    <w:t>TDS</w:t>
                  </w:r>
                </w:p>
              </w:tc>
              <w:tc>
                <w:tcPr>
                  <w:tcW w:w="554" w:type="pct"/>
                  <w:tcBorders>
                    <w:left w:val="single" w:color="auto" w:sz="4" w:space="0"/>
                    <w:right w:val="single" w:color="auto" w:sz="4" w:space="0"/>
                  </w:tcBorders>
                  <w:noWrap w:val="0"/>
                  <w:vAlign w:val="center"/>
                </w:tcPr>
                <w:p w14:paraId="44971B5D">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217.69</w:t>
                  </w:r>
                </w:p>
              </w:tc>
              <w:tc>
                <w:tcPr>
                  <w:tcW w:w="602" w:type="pct"/>
                  <w:tcBorders>
                    <w:left w:val="single" w:color="auto" w:sz="4" w:space="0"/>
                    <w:right w:val="single" w:color="auto" w:sz="4" w:space="0"/>
                  </w:tcBorders>
                  <w:noWrap w:val="0"/>
                  <w:vAlign w:val="center"/>
                </w:tcPr>
                <w:p w14:paraId="545A99EC">
                  <w:pPr>
                    <w:widowControl/>
                    <w:jc w:val="center"/>
                    <w:textAlignment w:val="center"/>
                    <w:rPr>
                      <w:rFonts w:hint="default" w:eastAsia="宋体"/>
                      <w:color w:val="auto"/>
                      <w:sz w:val="21"/>
                      <w:szCs w:val="21"/>
                      <w:lang w:val="en-US" w:eastAsia="zh-CN"/>
                    </w:rPr>
                  </w:pPr>
                  <w:r>
                    <w:rPr>
                      <w:rFonts w:hint="eastAsia" w:eastAsia="宋体"/>
                      <w:color w:val="auto"/>
                      <w:sz w:val="21"/>
                      <w:szCs w:val="21"/>
                      <w:lang w:val="en-US" w:eastAsia="zh-CN"/>
                    </w:rPr>
                    <w:t>0.</w:t>
                  </w:r>
                  <w:r>
                    <w:rPr>
                      <w:rFonts w:hint="eastAsia"/>
                      <w:color w:val="auto"/>
                      <w:sz w:val="21"/>
                      <w:szCs w:val="21"/>
                      <w:lang w:val="en-US" w:eastAsia="zh-CN"/>
                    </w:rPr>
                    <w:t>065</w:t>
                  </w:r>
                </w:p>
              </w:tc>
              <w:tc>
                <w:tcPr>
                  <w:tcW w:w="811" w:type="pct"/>
                  <w:vMerge w:val="continue"/>
                  <w:tcBorders>
                    <w:left w:val="single" w:color="auto" w:sz="4" w:space="0"/>
                    <w:right w:val="single" w:color="auto" w:sz="4" w:space="0"/>
                  </w:tcBorders>
                  <w:noWrap w:val="0"/>
                  <w:vAlign w:val="center"/>
                </w:tcPr>
                <w:p w14:paraId="7BA6D1AC">
                  <w:pPr>
                    <w:adjustRightInd w:val="0"/>
                    <w:snapToGrid w:val="0"/>
                    <w:jc w:val="center"/>
                    <w:rPr>
                      <w:color w:val="auto"/>
                      <w:sz w:val="21"/>
                      <w:szCs w:val="21"/>
                    </w:rPr>
                  </w:pPr>
                </w:p>
              </w:tc>
              <w:tc>
                <w:tcPr>
                  <w:tcW w:w="462" w:type="pct"/>
                  <w:tcBorders>
                    <w:right w:val="single" w:color="auto" w:sz="4" w:space="0"/>
                  </w:tcBorders>
                  <w:noWrap w:val="0"/>
                  <w:vAlign w:val="center"/>
                </w:tcPr>
                <w:p w14:paraId="0A09EEF0">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c>
                <w:tcPr>
                  <w:tcW w:w="553" w:type="pct"/>
                  <w:tcBorders>
                    <w:right w:val="single" w:color="auto" w:sz="4" w:space="0"/>
                  </w:tcBorders>
                  <w:shd w:val="clear" w:color="auto" w:fill="auto"/>
                  <w:noWrap w:val="0"/>
                  <w:vAlign w:val="center"/>
                </w:tcPr>
                <w:p w14:paraId="22F6184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217.69</w:t>
                  </w:r>
                </w:p>
              </w:tc>
              <w:tc>
                <w:tcPr>
                  <w:tcW w:w="620" w:type="pct"/>
                  <w:tcBorders>
                    <w:left w:val="single" w:color="auto" w:sz="4" w:space="0"/>
                  </w:tcBorders>
                  <w:shd w:val="clear" w:color="auto" w:fill="auto"/>
                  <w:noWrap w:val="0"/>
                  <w:vAlign w:val="center"/>
                </w:tcPr>
                <w:p w14:paraId="3F2E5677">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sz w:val="21"/>
                      <w:szCs w:val="21"/>
                      <w:lang w:val="en-US" w:eastAsia="zh-CN"/>
                    </w:rPr>
                    <w:t>0.</w:t>
                  </w:r>
                  <w:r>
                    <w:rPr>
                      <w:rFonts w:hint="eastAsia"/>
                      <w:color w:val="auto"/>
                      <w:sz w:val="21"/>
                      <w:szCs w:val="21"/>
                      <w:lang w:val="en-US" w:eastAsia="zh-CN"/>
                    </w:rPr>
                    <w:t>065</w:t>
                  </w:r>
                </w:p>
              </w:tc>
            </w:tr>
          </w:tbl>
          <w:p w14:paraId="7FED3A34">
            <w:pPr>
              <w:adjustRightInd w:val="0"/>
              <w:snapToGrid w:val="0"/>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2 \* GB3 \* MERGEFORMAT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②</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kern w:val="0"/>
                <w:sz w:val="24"/>
              </w:rPr>
              <w:t>达标排放分析</w:t>
            </w:r>
          </w:p>
          <w:p w14:paraId="66CF73FA">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rPr>
            </w:pPr>
            <w:r>
              <w:rPr>
                <w:color w:val="auto"/>
                <w:kern w:val="0"/>
                <w:sz w:val="24"/>
              </w:rPr>
              <w:t>根据上述分析，生活污水</w:t>
            </w:r>
            <w:r>
              <w:rPr>
                <w:rFonts w:hint="eastAsia"/>
                <w:color w:val="auto"/>
                <w:kern w:val="0"/>
                <w:sz w:val="24"/>
                <w:lang w:val="en-US" w:eastAsia="zh-CN"/>
              </w:rPr>
              <w:t>经厂区现有</w:t>
            </w:r>
            <w:r>
              <w:rPr>
                <w:color w:val="auto"/>
                <w:kern w:val="0"/>
                <w:sz w:val="24"/>
              </w:rPr>
              <w:t>化粪池</w:t>
            </w:r>
            <w:r>
              <w:rPr>
                <w:rFonts w:hint="eastAsia"/>
                <w:color w:val="auto"/>
                <w:kern w:val="0"/>
                <w:sz w:val="24"/>
                <w:lang w:val="en-US" w:eastAsia="zh-CN"/>
              </w:rPr>
              <w:t>处理，</w:t>
            </w:r>
            <w:r>
              <w:rPr>
                <w:rFonts w:hint="eastAsia"/>
                <w:color w:val="auto"/>
                <w:sz w:val="24"/>
                <w:lang w:val="en-US" w:eastAsia="zh-CN"/>
              </w:rPr>
              <w:t>处理后可满足</w:t>
            </w:r>
            <w:r>
              <w:rPr>
                <w:rFonts w:hint="eastAsia"/>
                <w:color w:val="auto"/>
                <w:kern w:val="0"/>
                <w:sz w:val="24"/>
                <w:lang w:eastAsia="zh-CN"/>
              </w:rPr>
              <w:t>《污水排入城镇下水道水质标准》（GB/T31962-2015）</w:t>
            </w:r>
            <w:r>
              <w:rPr>
                <w:rFonts w:hint="eastAsia"/>
                <w:color w:val="auto"/>
                <w:kern w:val="0"/>
                <w:sz w:val="24"/>
                <w:lang w:val="en-US" w:eastAsia="zh-CN"/>
              </w:rPr>
              <w:t>中的</w:t>
            </w:r>
            <w:r>
              <w:rPr>
                <w:rFonts w:hint="eastAsia"/>
                <w:color w:val="auto"/>
                <w:kern w:val="0"/>
                <w:sz w:val="24"/>
                <w:lang w:eastAsia="zh-CN"/>
              </w:rPr>
              <w:t>A级</w:t>
            </w:r>
            <w:r>
              <w:rPr>
                <w:color w:val="auto"/>
                <w:kern w:val="0"/>
                <w:sz w:val="24"/>
              </w:rPr>
              <w:t>标准</w:t>
            </w:r>
            <w:r>
              <w:rPr>
                <w:rFonts w:hint="eastAsia"/>
                <w:color w:val="auto"/>
                <w:kern w:val="0"/>
                <w:sz w:val="24"/>
                <w:lang w:val="en-US" w:eastAsia="zh-CN"/>
              </w:rPr>
              <w:t>限值要求</w:t>
            </w:r>
            <w:r>
              <w:rPr>
                <w:color w:val="auto"/>
                <w:kern w:val="0"/>
                <w:sz w:val="24"/>
              </w:rPr>
              <w:t>，</w:t>
            </w:r>
            <w:r>
              <w:rPr>
                <w:rFonts w:hint="eastAsia"/>
                <w:color w:val="auto"/>
                <w:kern w:val="0"/>
                <w:sz w:val="24"/>
                <w:lang w:val="en-US" w:eastAsia="zh-CN"/>
              </w:rPr>
              <w:t>汇同循环冷却系统排水</w:t>
            </w:r>
            <w:r>
              <w:rPr>
                <w:color w:val="auto"/>
                <w:kern w:val="0"/>
                <w:sz w:val="24"/>
              </w:rPr>
              <w:t>排入</w:t>
            </w:r>
            <w:r>
              <w:rPr>
                <w:rFonts w:hint="eastAsia"/>
                <w:color w:val="auto"/>
                <w:kern w:val="0"/>
                <w:sz w:val="24"/>
                <w:lang w:val="en-US" w:eastAsia="zh-CN"/>
              </w:rPr>
              <w:t>园区</w:t>
            </w:r>
            <w:r>
              <w:rPr>
                <w:color w:val="auto"/>
                <w:kern w:val="0"/>
                <w:sz w:val="24"/>
              </w:rPr>
              <w:t>污水管网，最终进入</w:t>
            </w:r>
            <w:r>
              <w:rPr>
                <w:rFonts w:hint="eastAsia"/>
                <w:color w:val="auto"/>
                <w:kern w:val="0"/>
                <w:sz w:val="24"/>
                <w:lang w:val="en-US" w:eastAsia="zh-CN"/>
              </w:rPr>
              <w:t>固原经济技术开发区新材料产业园污水处理厂进行处理</w:t>
            </w:r>
            <w:r>
              <w:rPr>
                <w:color w:val="auto"/>
                <w:kern w:val="0"/>
                <w:sz w:val="24"/>
              </w:rPr>
              <w:t>。</w:t>
            </w:r>
          </w:p>
          <w:p w14:paraId="5F6B4F6F">
            <w:pPr>
              <w:adjustRightInd w:val="0"/>
              <w:snapToGrid w:val="0"/>
              <w:spacing w:line="360" w:lineRule="auto"/>
              <w:ind w:firstLine="482" w:firstLineChars="200"/>
              <w:jc w:val="both"/>
              <w:rPr>
                <w:rFonts w:hint="default" w:ascii="Times New Roman" w:hAnsi="Times New Roman" w:eastAsia="宋体" w:cs="Times New Roman"/>
                <w:b/>
                <w:color w:val="auto"/>
                <w:kern w:val="0"/>
                <w:sz w:val="24"/>
              </w:rPr>
            </w:pPr>
            <w:r>
              <w:rPr>
                <w:rFonts w:hint="eastAsia" w:ascii="Times New Roman" w:hAnsi="Times New Roman" w:eastAsia="宋体" w:cs="Times New Roman"/>
                <w:b/>
                <w:color w:val="auto"/>
                <w:kern w:val="0"/>
                <w:sz w:val="24"/>
                <w:lang w:val="en-US" w:eastAsia="zh-CN"/>
              </w:rPr>
              <w:t>2</w:t>
            </w:r>
            <w:r>
              <w:rPr>
                <w:rFonts w:hint="default" w:ascii="Times New Roman" w:hAnsi="Times New Roman" w:eastAsia="宋体" w:cs="Times New Roman"/>
                <w:b/>
                <w:color w:val="auto"/>
                <w:kern w:val="0"/>
                <w:sz w:val="24"/>
              </w:rPr>
              <w:t>、依托可行性分析</w:t>
            </w:r>
          </w:p>
          <w:p w14:paraId="3C7B9285">
            <w:pPr>
              <w:adjustRightInd w:val="0"/>
              <w:snapToGrid w:val="0"/>
              <w:spacing w:line="360" w:lineRule="auto"/>
              <w:ind w:firstLine="480" w:firstLineChars="200"/>
              <w:jc w:val="both"/>
              <w:rPr>
                <w:color w:val="auto"/>
              </w:rPr>
            </w:pPr>
            <w:r>
              <w:rPr>
                <w:rFonts w:hint="default" w:ascii="Times New Roman" w:hAnsi="Times New Roman" w:eastAsia="宋体" w:cs="Times New Roman"/>
                <w:color w:val="auto"/>
                <w:sz w:val="24"/>
              </w:rPr>
              <w:t>本项目</w:t>
            </w:r>
            <w:r>
              <w:rPr>
                <w:rFonts w:hint="eastAsia" w:ascii="Times New Roman" w:hAnsi="Times New Roman" w:eastAsia="宋体" w:cs="Times New Roman"/>
                <w:color w:val="auto"/>
                <w:sz w:val="24"/>
                <w:lang w:val="en-US" w:eastAsia="zh-CN"/>
              </w:rPr>
              <w:t>依托宁夏天楹环保有限公司现有</w:t>
            </w:r>
            <w:r>
              <w:rPr>
                <w:rFonts w:hint="default" w:ascii="Times New Roman" w:hAnsi="Times New Roman" w:eastAsia="宋体" w:cs="Times New Roman"/>
                <w:color w:val="auto"/>
                <w:sz w:val="24"/>
              </w:rPr>
              <w:t>1座</w:t>
            </w:r>
            <w:r>
              <w:rPr>
                <w:rFonts w:hint="eastAsia" w:ascii="Times New Roman" w:hAnsi="Times New Roman" w:eastAsia="宋体" w:cs="Times New Roman"/>
                <w:color w:val="auto"/>
                <w:sz w:val="24"/>
                <w:lang w:val="en-US" w:eastAsia="zh-CN"/>
              </w:rPr>
              <w:t>16</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的化粪池对生活污水进行处理，</w:t>
            </w:r>
            <w:r>
              <w:rPr>
                <w:rFonts w:hint="eastAsia" w:ascii="Times New Roman" w:hAnsi="Times New Roman" w:eastAsia="宋体" w:cs="Times New Roman"/>
                <w:color w:val="auto"/>
                <w:sz w:val="24"/>
                <w:lang w:val="en-US" w:eastAsia="zh-CN"/>
              </w:rPr>
              <w:t>宁夏天楹环保有限公司生活污水排放量为4.2</w:t>
            </w:r>
            <w:r>
              <w:rPr>
                <w:rFonts w:hint="eastAsia" w:ascii="Times New Roman" w:hAnsi="Times New Roman" w:eastAsia="宋体" w:cs="Times New Roman"/>
                <w:snapToGrid w:val="0"/>
                <w:color w:val="auto"/>
                <w:kern w:val="0"/>
                <w:sz w:val="24"/>
                <w:lang w:val="en-US" w:eastAsia="zh-CN" w:bidi="ar"/>
              </w:rPr>
              <w:t>m</w:t>
            </w:r>
            <w:r>
              <w:rPr>
                <w:rFonts w:hint="eastAsia" w:ascii="Times New Roman" w:hAnsi="Times New Roman" w:eastAsia="宋体" w:cs="Times New Roman"/>
                <w:snapToGrid w:val="0"/>
                <w:color w:val="auto"/>
                <w:kern w:val="0"/>
                <w:sz w:val="24"/>
                <w:vertAlign w:val="superscript"/>
                <w:lang w:val="en-US" w:eastAsia="zh-CN" w:bidi="ar"/>
              </w:rPr>
              <w:t>3</w:t>
            </w:r>
            <w:r>
              <w:rPr>
                <w:rFonts w:hint="eastAsia" w:ascii="Times New Roman" w:hAnsi="Times New Roman" w:eastAsia="宋体" w:cs="Times New Roman"/>
                <w:snapToGrid w:val="0"/>
                <w:color w:val="auto"/>
                <w:kern w:val="0"/>
                <w:sz w:val="24"/>
                <w:lang w:val="en-US" w:eastAsia="zh-CN" w:bidi="ar"/>
              </w:rPr>
              <w:t>/d，本项目一期、二期生活污水产生量均为0.8m</w:t>
            </w:r>
            <w:r>
              <w:rPr>
                <w:rFonts w:hint="eastAsia" w:ascii="Times New Roman" w:hAnsi="Times New Roman" w:eastAsia="宋体" w:cs="Times New Roman"/>
                <w:snapToGrid w:val="0"/>
                <w:color w:val="auto"/>
                <w:kern w:val="0"/>
                <w:sz w:val="24"/>
                <w:vertAlign w:val="superscript"/>
                <w:lang w:val="en-US" w:eastAsia="zh-CN" w:bidi="ar"/>
              </w:rPr>
              <w:t>3</w:t>
            </w:r>
            <w:r>
              <w:rPr>
                <w:rFonts w:hint="eastAsia" w:ascii="Times New Roman" w:hAnsi="Times New Roman" w:eastAsia="宋体" w:cs="Times New Roman"/>
                <w:snapToGrid w:val="0"/>
                <w:color w:val="auto"/>
                <w:kern w:val="0"/>
                <w:sz w:val="24"/>
                <w:lang w:val="en-US" w:eastAsia="zh-CN" w:bidi="ar"/>
              </w:rPr>
              <w:t>/d，二期建成后全厂生活污水产生量为1.6m</w:t>
            </w:r>
            <w:r>
              <w:rPr>
                <w:rFonts w:hint="eastAsia" w:ascii="Times New Roman" w:hAnsi="Times New Roman" w:eastAsia="宋体" w:cs="Times New Roman"/>
                <w:snapToGrid w:val="0"/>
                <w:color w:val="auto"/>
                <w:kern w:val="0"/>
                <w:sz w:val="24"/>
                <w:vertAlign w:val="superscript"/>
                <w:lang w:val="en-US" w:eastAsia="zh-CN" w:bidi="ar"/>
              </w:rPr>
              <w:t>3</w:t>
            </w:r>
            <w:r>
              <w:rPr>
                <w:rFonts w:hint="eastAsia" w:ascii="Times New Roman" w:hAnsi="Times New Roman" w:eastAsia="宋体" w:cs="Times New Roman"/>
                <w:snapToGrid w:val="0"/>
                <w:color w:val="auto"/>
                <w:kern w:val="0"/>
                <w:sz w:val="24"/>
                <w:lang w:val="en-US" w:eastAsia="zh-CN" w:bidi="ar"/>
              </w:rPr>
              <w:t>/d</w:t>
            </w:r>
            <w:r>
              <w:rPr>
                <w:rFonts w:hint="eastAsia" w:ascii="Times New Roman" w:hAnsi="Times New Roman" w:eastAsia="宋体" w:cs="Times New Roman"/>
                <w:snapToGrid w:val="0"/>
                <w:color w:val="auto"/>
                <w:kern w:val="0"/>
                <w:sz w:val="24"/>
                <w:szCs w:val="24"/>
                <w:lang w:val="en-US" w:eastAsia="zh-CN" w:bidi="ar"/>
              </w:rPr>
              <w:t>，</w:t>
            </w:r>
            <w:r>
              <w:rPr>
                <w:rFonts w:hint="eastAsia"/>
                <w:color w:val="auto"/>
                <w:sz w:val="24"/>
                <w:szCs w:val="24"/>
                <w:lang w:val="en-US" w:eastAsia="zh-CN"/>
              </w:rPr>
              <w:t>综上，项目建成后全厂生活污水产生量为1.6</w:t>
            </w:r>
            <w:r>
              <w:rPr>
                <w:rFonts w:hint="eastAsia" w:ascii="Times New Roman" w:hAnsi="Times New Roman" w:eastAsia="宋体" w:cs="Times New Roman"/>
                <w:snapToGrid w:val="0"/>
                <w:color w:val="auto"/>
                <w:kern w:val="0"/>
                <w:sz w:val="24"/>
                <w:szCs w:val="24"/>
                <w:lang w:val="en-US" w:eastAsia="zh-CN" w:bidi="ar"/>
              </w:rPr>
              <w:t>m</w:t>
            </w:r>
            <w:r>
              <w:rPr>
                <w:rFonts w:hint="eastAsia" w:ascii="Times New Roman" w:hAnsi="Times New Roman" w:eastAsia="宋体" w:cs="Times New Roman"/>
                <w:snapToGrid w:val="0"/>
                <w:color w:val="auto"/>
                <w:kern w:val="0"/>
                <w:sz w:val="24"/>
                <w:szCs w:val="24"/>
                <w:vertAlign w:val="superscript"/>
                <w:lang w:val="en-US" w:eastAsia="zh-CN" w:bidi="ar"/>
              </w:rPr>
              <w:t>3</w:t>
            </w:r>
            <w:r>
              <w:rPr>
                <w:rFonts w:hint="eastAsia" w:ascii="Times New Roman" w:hAnsi="Times New Roman" w:eastAsia="宋体" w:cs="Times New Roman"/>
                <w:snapToGrid w:val="0"/>
                <w:color w:val="auto"/>
                <w:kern w:val="0"/>
                <w:sz w:val="24"/>
                <w:szCs w:val="24"/>
                <w:lang w:val="en-US" w:eastAsia="zh-CN" w:bidi="ar"/>
              </w:rPr>
              <w:t>/d</w:t>
            </w:r>
            <w:r>
              <w:rPr>
                <w:rFonts w:hint="eastAsia" w:cs="Times New Roman"/>
                <w:snapToGrid w:val="0"/>
                <w:color w:val="auto"/>
                <w:kern w:val="0"/>
                <w:sz w:val="24"/>
                <w:szCs w:val="24"/>
                <w:lang w:val="en-US" w:eastAsia="zh-CN" w:bidi="ar"/>
              </w:rPr>
              <w:t>&lt;16m</w:t>
            </w:r>
            <w:r>
              <w:rPr>
                <w:rFonts w:hint="eastAsia" w:cs="Times New Roman"/>
                <w:snapToGrid w:val="0"/>
                <w:color w:val="auto"/>
                <w:kern w:val="0"/>
                <w:sz w:val="24"/>
                <w:szCs w:val="24"/>
                <w:vertAlign w:val="superscript"/>
                <w:lang w:val="en-US" w:eastAsia="zh-CN" w:bidi="ar"/>
              </w:rPr>
              <w:t>3</w:t>
            </w:r>
            <w:r>
              <w:rPr>
                <w:rFonts w:hint="eastAsia" w:cs="Times New Roman"/>
                <w:snapToGrid w:val="0"/>
                <w:color w:val="auto"/>
                <w:kern w:val="0"/>
                <w:sz w:val="24"/>
                <w:szCs w:val="24"/>
                <w:vertAlign w:val="baseline"/>
                <w:lang w:val="en-US" w:eastAsia="zh-CN" w:bidi="ar"/>
              </w:rPr>
              <w:t>。</w:t>
            </w:r>
            <w:r>
              <w:rPr>
                <w:rFonts w:hint="eastAsia" w:ascii="Times New Roman" w:hAnsi="Times New Roman" w:eastAsia="宋体" w:cs="Times New Roman"/>
                <w:color w:val="auto"/>
                <w:sz w:val="24"/>
                <w:lang w:val="en-US" w:eastAsia="zh-CN"/>
              </w:rPr>
              <w:t>本项目</w:t>
            </w:r>
            <w:r>
              <w:rPr>
                <w:color w:val="auto"/>
                <w:kern w:val="0"/>
                <w:sz w:val="24"/>
              </w:rPr>
              <w:t>生活污水</w:t>
            </w:r>
            <w:r>
              <w:rPr>
                <w:rFonts w:hint="eastAsia"/>
                <w:color w:val="auto"/>
                <w:kern w:val="0"/>
                <w:sz w:val="24"/>
                <w:lang w:val="en-US" w:eastAsia="zh-CN"/>
              </w:rPr>
              <w:t>经厂区现有</w:t>
            </w:r>
            <w:r>
              <w:rPr>
                <w:color w:val="auto"/>
                <w:kern w:val="0"/>
                <w:sz w:val="24"/>
              </w:rPr>
              <w:t>化粪池</w:t>
            </w:r>
            <w:r>
              <w:rPr>
                <w:rFonts w:hint="eastAsia"/>
                <w:color w:val="auto"/>
                <w:kern w:val="0"/>
                <w:sz w:val="24"/>
                <w:lang w:val="en-US" w:eastAsia="zh-CN"/>
              </w:rPr>
              <w:t>处理后汇同循环冷却系统排水</w:t>
            </w:r>
            <w:r>
              <w:rPr>
                <w:color w:val="auto"/>
                <w:kern w:val="0"/>
                <w:sz w:val="24"/>
              </w:rPr>
              <w:t>排入</w:t>
            </w:r>
            <w:r>
              <w:rPr>
                <w:rFonts w:hint="eastAsia"/>
                <w:color w:val="auto"/>
                <w:kern w:val="0"/>
                <w:sz w:val="24"/>
                <w:lang w:val="en-US" w:eastAsia="zh-CN"/>
              </w:rPr>
              <w:t>园区</w:t>
            </w:r>
            <w:r>
              <w:rPr>
                <w:color w:val="auto"/>
                <w:kern w:val="0"/>
                <w:sz w:val="24"/>
              </w:rPr>
              <w:t>污水管网，最终进入</w:t>
            </w:r>
            <w:r>
              <w:rPr>
                <w:rFonts w:hint="eastAsia"/>
                <w:color w:val="auto"/>
                <w:kern w:val="0"/>
                <w:sz w:val="24"/>
                <w:lang w:val="en-US" w:eastAsia="zh-CN"/>
              </w:rPr>
              <w:t>固原经济技术开发区新材料产业园污水处理厂进行处理</w:t>
            </w:r>
            <w:r>
              <w:rPr>
                <w:rFonts w:hint="eastAsia"/>
                <w:color w:val="auto"/>
                <w:kern w:val="0"/>
                <w:sz w:val="24"/>
                <w:lang w:eastAsia="zh-CN"/>
              </w:rPr>
              <w:t>。</w:t>
            </w:r>
          </w:p>
          <w:p w14:paraId="623FF3D5">
            <w:pPr>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24"/>
                <w:lang w:bidi="ar"/>
              </w:rPr>
            </w:pPr>
            <w:r>
              <w:rPr>
                <w:rFonts w:hint="eastAsia" w:ascii="Times New Roman" w:hAnsi="Times New Roman" w:eastAsia="宋体" w:cs="Times New Roman"/>
                <w:color w:val="auto"/>
                <w:sz w:val="24"/>
                <w:lang w:val="en-US" w:eastAsia="zh-CN"/>
              </w:rPr>
              <w:t>固原经济技术开发区新材料产业园污水处理厂</w:t>
            </w:r>
            <w:r>
              <w:rPr>
                <w:rFonts w:hint="eastAsia" w:ascii="Times New Roman" w:hAnsi="Times New Roman" w:eastAsia="宋体" w:cs="Times New Roman"/>
                <w:snapToGrid w:val="0"/>
                <w:color w:val="auto"/>
                <w:kern w:val="0"/>
                <w:sz w:val="24"/>
                <w:lang w:val="en-US" w:eastAsia="zh-CN" w:bidi="ar"/>
              </w:rPr>
              <w:t>规划设计处理能力为7800m</w:t>
            </w:r>
            <w:r>
              <w:rPr>
                <w:rFonts w:hint="eastAsia" w:ascii="Times New Roman" w:hAnsi="Times New Roman" w:eastAsia="宋体" w:cs="Times New Roman"/>
                <w:snapToGrid w:val="0"/>
                <w:color w:val="auto"/>
                <w:kern w:val="0"/>
                <w:sz w:val="24"/>
                <w:vertAlign w:val="superscript"/>
                <w:lang w:val="en-US" w:eastAsia="zh-CN" w:bidi="ar"/>
              </w:rPr>
              <w:t>3</w:t>
            </w:r>
            <w:r>
              <w:rPr>
                <w:rFonts w:hint="eastAsia" w:ascii="Times New Roman" w:hAnsi="Times New Roman" w:eastAsia="宋体" w:cs="Times New Roman"/>
                <w:snapToGrid w:val="0"/>
                <w:color w:val="auto"/>
                <w:kern w:val="0"/>
                <w:sz w:val="24"/>
                <w:lang w:val="en-US" w:eastAsia="zh-CN" w:bidi="ar"/>
              </w:rPr>
              <w:t>/d，现状处理能力为300m</w:t>
            </w:r>
            <w:r>
              <w:rPr>
                <w:rFonts w:hint="eastAsia" w:ascii="Times New Roman" w:hAnsi="Times New Roman" w:eastAsia="宋体" w:cs="Times New Roman"/>
                <w:snapToGrid w:val="0"/>
                <w:color w:val="auto"/>
                <w:kern w:val="0"/>
                <w:sz w:val="24"/>
                <w:vertAlign w:val="superscript"/>
                <w:lang w:val="en-US" w:eastAsia="zh-CN" w:bidi="ar"/>
              </w:rPr>
              <w:t>3</w:t>
            </w:r>
            <w:r>
              <w:rPr>
                <w:rFonts w:hint="eastAsia" w:ascii="Times New Roman" w:hAnsi="Times New Roman" w:eastAsia="宋体" w:cs="Times New Roman"/>
                <w:snapToGrid w:val="0"/>
                <w:color w:val="auto"/>
                <w:kern w:val="0"/>
                <w:sz w:val="24"/>
                <w:lang w:val="en-US" w:eastAsia="zh-CN" w:bidi="ar"/>
              </w:rPr>
              <w:t>/d，采用“预处理+水解酸</w:t>
            </w:r>
            <w:r>
              <w:rPr>
                <w:rFonts w:hint="default" w:ascii="Times New Roman" w:hAnsi="Times New Roman" w:eastAsia="宋体" w:cs="Times New Roman"/>
                <w:snapToGrid w:val="0"/>
                <w:color w:val="auto"/>
                <w:kern w:val="0"/>
                <w:sz w:val="24"/>
                <w:szCs w:val="24"/>
                <w:lang w:val="en-US" w:eastAsia="zh-CN" w:bidi="ar"/>
              </w:rPr>
              <w:t>化+A²/O生化</w:t>
            </w:r>
            <w:r>
              <w:rPr>
                <w:rFonts w:hint="eastAsia" w:ascii="Times New Roman" w:hAnsi="Times New Roman" w:eastAsia="宋体" w:cs="Times New Roman"/>
                <w:snapToGrid w:val="0"/>
                <w:color w:val="auto"/>
                <w:kern w:val="0"/>
                <w:sz w:val="24"/>
                <w:lang w:val="en-US" w:eastAsia="zh-CN" w:bidi="ar"/>
              </w:rPr>
              <w:t>+臭氧氧化+BAF生物滤池+混凝沉淀+滤布滤池+消毒”的多级深度处理组合工艺，</w:t>
            </w:r>
            <w:r>
              <w:rPr>
                <w:rFonts w:hint="default" w:ascii="Times New Roman" w:hAnsi="Times New Roman" w:eastAsia="宋体" w:cs="Times New Roman"/>
                <w:snapToGrid w:val="0"/>
                <w:color w:val="auto"/>
                <w:kern w:val="0"/>
                <w:sz w:val="24"/>
                <w:lang w:bidi="ar"/>
              </w:rPr>
              <w:t>出水水质达到《城镇污水处理厂污染物排放标准》（GB18918-2002）一级A标准</w:t>
            </w:r>
            <w:r>
              <w:rPr>
                <w:rFonts w:hint="eastAsia" w:ascii="Times New Roman" w:hAnsi="Times New Roman" w:eastAsia="宋体" w:cs="Times New Roman"/>
                <w:snapToGrid w:val="0"/>
                <w:color w:val="auto"/>
                <w:kern w:val="0"/>
                <w:sz w:val="24"/>
                <w:lang w:eastAsia="zh-CN" w:bidi="ar"/>
              </w:rPr>
              <w:t>，</w:t>
            </w:r>
            <w:r>
              <w:rPr>
                <w:rFonts w:hint="eastAsia" w:ascii="Times New Roman" w:hAnsi="Times New Roman" w:eastAsia="宋体" w:cs="Times New Roman"/>
                <w:snapToGrid w:val="0"/>
                <w:color w:val="auto"/>
                <w:kern w:val="0"/>
                <w:sz w:val="24"/>
                <w:lang w:val="en-US" w:eastAsia="zh-CN" w:bidi="ar"/>
              </w:rPr>
              <w:t>本项目在</w:t>
            </w:r>
            <w:r>
              <w:rPr>
                <w:rFonts w:hint="eastAsia" w:ascii="Times New Roman" w:hAnsi="Times New Roman" w:eastAsia="宋体" w:cs="Times New Roman"/>
                <w:color w:val="auto"/>
                <w:sz w:val="24"/>
                <w:lang w:val="en-US" w:eastAsia="zh-CN"/>
              </w:rPr>
              <w:t>固原经济技术开发区新材料产业园污水处理厂纳管范围</w:t>
            </w:r>
            <w:r>
              <w:rPr>
                <w:rFonts w:hint="default" w:ascii="Times New Roman" w:hAnsi="Times New Roman" w:eastAsia="宋体" w:cs="Times New Roman"/>
                <w:snapToGrid w:val="0"/>
                <w:color w:val="auto"/>
                <w:kern w:val="0"/>
                <w:sz w:val="24"/>
                <w:lang w:bidi="ar"/>
              </w:rPr>
              <w:t>。</w:t>
            </w:r>
            <w:r>
              <w:rPr>
                <w:rFonts w:hint="default" w:ascii="Times New Roman" w:hAnsi="Times New Roman" w:eastAsia="宋体" w:cs="Times New Roman"/>
                <w:snapToGrid w:val="0"/>
                <w:color w:val="auto"/>
                <w:kern w:val="0"/>
                <w:sz w:val="24"/>
                <w:szCs w:val="24"/>
                <w:lang w:bidi="ar"/>
              </w:rPr>
              <w:t>本</w:t>
            </w:r>
            <w:r>
              <w:rPr>
                <w:rFonts w:hint="default" w:ascii="Times New Roman" w:hAnsi="Times New Roman" w:eastAsia="宋体" w:cs="Times New Roman"/>
                <w:snapToGrid w:val="0"/>
                <w:color w:val="auto"/>
                <w:kern w:val="0"/>
                <w:sz w:val="24"/>
                <w:szCs w:val="24"/>
                <w:lang w:eastAsia="zh-CN" w:bidi="ar"/>
              </w:rPr>
              <w:t>项目仅排放少量生活污水及冷却排水，水质简单，</w:t>
            </w:r>
            <w:r>
              <w:rPr>
                <w:rFonts w:hint="default" w:ascii="Times New Roman" w:hAnsi="Times New Roman" w:eastAsia="宋体" w:cs="Times New Roman"/>
                <w:snapToGrid w:val="0"/>
                <w:color w:val="auto"/>
                <w:kern w:val="0"/>
                <w:sz w:val="24"/>
                <w:szCs w:val="24"/>
                <w:lang w:val="en-US" w:eastAsia="zh-CN" w:bidi="ar"/>
              </w:rPr>
              <w:t>生活污水</w:t>
            </w:r>
            <w:r>
              <w:rPr>
                <w:rFonts w:hint="default" w:ascii="Times New Roman" w:hAnsi="Times New Roman" w:eastAsia="宋体" w:cs="Times New Roman"/>
                <w:snapToGrid w:val="0"/>
                <w:color w:val="auto"/>
                <w:kern w:val="0"/>
                <w:sz w:val="24"/>
                <w:szCs w:val="24"/>
                <w:lang w:bidi="ar"/>
              </w:rPr>
              <w:t>经</w:t>
            </w:r>
            <w:r>
              <w:rPr>
                <w:rFonts w:hint="default" w:ascii="Times New Roman" w:hAnsi="Times New Roman" w:eastAsia="宋体" w:cs="Times New Roman"/>
                <w:snapToGrid w:val="0"/>
                <w:color w:val="auto"/>
                <w:kern w:val="0"/>
                <w:sz w:val="24"/>
                <w:szCs w:val="24"/>
                <w:lang w:val="en-US" w:eastAsia="zh-CN" w:bidi="ar"/>
              </w:rPr>
              <w:t>化粪池处理后</w:t>
            </w:r>
            <w:r>
              <w:rPr>
                <w:rFonts w:hint="default" w:ascii="Times New Roman" w:hAnsi="Times New Roman" w:eastAsia="宋体" w:cs="Times New Roman"/>
                <w:snapToGrid w:val="0"/>
                <w:color w:val="auto"/>
                <w:kern w:val="0"/>
                <w:sz w:val="24"/>
                <w:szCs w:val="24"/>
                <w:lang w:bidi="ar"/>
              </w:rPr>
              <w:t>污水排放口各污染物排放浓度满足《污水排入城镇下水道水质标准》（GB/T31962-2015）中A级标准要求</w:t>
            </w:r>
            <w:r>
              <w:rPr>
                <w:rFonts w:hint="default" w:ascii="Times New Roman" w:hAnsi="Times New Roman" w:eastAsia="宋体" w:cs="Times New Roman"/>
                <w:snapToGrid w:val="0"/>
                <w:color w:val="auto"/>
                <w:kern w:val="0"/>
                <w:sz w:val="24"/>
                <w:szCs w:val="24"/>
                <w:lang w:eastAsia="zh-CN" w:bidi="ar"/>
              </w:rPr>
              <w:t>；冷却排水属于清净下水，主要污染物为</w:t>
            </w:r>
            <w:r>
              <w:rPr>
                <w:rFonts w:hint="default" w:ascii="Times New Roman" w:hAnsi="Times New Roman" w:eastAsia="宋体" w:cs="Times New Roman"/>
                <w:snapToGrid w:val="0"/>
                <w:color w:val="auto"/>
                <w:kern w:val="0"/>
                <w:sz w:val="24"/>
                <w:szCs w:val="24"/>
                <w:lang w:val="en-US" w:eastAsia="zh-CN" w:bidi="ar"/>
              </w:rPr>
              <w:t>TDS，可满足</w:t>
            </w:r>
            <w:r>
              <w:rPr>
                <w:rFonts w:hint="default" w:ascii="Times New Roman" w:hAnsi="Times New Roman" w:eastAsia="宋体" w:cs="Times New Roman"/>
                <w:snapToGrid w:val="0"/>
                <w:color w:val="auto"/>
                <w:kern w:val="0"/>
                <w:sz w:val="24"/>
                <w:szCs w:val="24"/>
                <w:lang w:bidi="ar"/>
              </w:rPr>
              <w:t>《污水排入城镇下水道水质标准》（GB/T31962-2015）中A级标准要求</w:t>
            </w:r>
            <w:r>
              <w:rPr>
                <w:rFonts w:hint="default" w:ascii="Times New Roman" w:hAnsi="Times New Roman" w:eastAsia="宋体" w:cs="Times New Roman"/>
                <w:snapToGrid w:val="0"/>
                <w:color w:val="auto"/>
                <w:kern w:val="0"/>
                <w:sz w:val="24"/>
                <w:szCs w:val="24"/>
                <w:lang w:eastAsia="zh-CN" w:bidi="ar"/>
              </w:rPr>
              <w:t>；</w:t>
            </w:r>
            <w:r>
              <w:rPr>
                <w:rFonts w:hint="default" w:ascii="Times New Roman" w:hAnsi="Times New Roman" w:eastAsia="宋体" w:cs="Times New Roman"/>
                <w:snapToGrid w:val="0"/>
                <w:color w:val="auto"/>
                <w:kern w:val="0"/>
                <w:sz w:val="24"/>
                <w:szCs w:val="24"/>
                <w:lang w:bidi="ar"/>
              </w:rPr>
              <w:t>因此，</w:t>
            </w:r>
            <w:r>
              <w:rPr>
                <w:rFonts w:hint="default" w:ascii="Times New Roman" w:hAnsi="Times New Roman" w:eastAsia="宋体" w:cs="Times New Roman"/>
                <w:snapToGrid w:val="0"/>
                <w:color w:val="auto"/>
                <w:kern w:val="0"/>
                <w:sz w:val="24"/>
                <w:szCs w:val="24"/>
                <w:lang w:eastAsia="zh-CN" w:bidi="ar"/>
              </w:rPr>
              <w:t>本项目各项废水经处理后</w:t>
            </w:r>
            <w:r>
              <w:rPr>
                <w:rFonts w:hint="default" w:ascii="Times New Roman" w:hAnsi="Times New Roman" w:eastAsia="宋体" w:cs="Times New Roman"/>
                <w:snapToGrid w:val="0"/>
                <w:color w:val="auto"/>
                <w:kern w:val="0"/>
                <w:sz w:val="24"/>
                <w:szCs w:val="24"/>
                <w:lang w:bidi="ar"/>
              </w:rPr>
              <w:t>由</w:t>
            </w:r>
            <w:r>
              <w:rPr>
                <w:rFonts w:hint="default" w:ascii="Times New Roman" w:hAnsi="Times New Roman" w:eastAsia="宋体" w:cs="Times New Roman"/>
                <w:snapToGrid w:val="0"/>
                <w:color w:val="auto"/>
                <w:kern w:val="0"/>
                <w:sz w:val="24"/>
                <w:szCs w:val="24"/>
                <w:lang w:eastAsia="zh-CN" w:bidi="ar"/>
              </w:rPr>
              <w:t>园区</w:t>
            </w:r>
            <w:r>
              <w:rPr>
                <w:rFonts w:hint="default" w:ascii="Times New Roman" w:hAnsi="Times New Roman" w:eastAsia="宋体" w:cs="Times New Roman"/>
                <w:snapToGrid w:val="0"/>
                <w:color w:val="auto"/>
                <w:kern w:val="0"/>
                <w:sz w:val="24"/>
                <w:szCs w:val="24"/>
                <w:lang w:bidi="ar"/>
              </w:rPr>
              <w:t>污水管网进入固原经济技术开发区新材料产业园污水处理厂</w:t>
            </w:r>
            <w:r>
              <w:rPr>
                <w:rFonts w:hint="default" w:ascii="Times New Roman" w:hAnsi="Times New Roman" w:eastAsia="宋体" w:cs="Times New Roman"/>
                <w:snapToGrid w:val="0"/>
                <w:color w:val="auto"/>
                <w:kern w:val="0"/>
                <w:sz w:val="24"/>
                <w:szCs w:val="24"/>
                <w:lang w:val="en-US" w:eastAsia="zh-CN" w:bidi="ar"/>
              </w:rPr>
              <w:t>进行处理</w:t>
            </w:r>
            <w:r>
              <w:rPr>
                <w:rFonts w:hint="default" w:ascii="Times New Roman" w:hAnsi="Times New Roman" w:eastAsia="宋体" w:cs="Times New Roman"/>
                <w:snapToGrid w:val="0"/>
                <w:color w:val="auto"/>
                <w:kern w:val="0"/>
                <w:sz w:val="24"/>
                <w:szCs w:val="24"/>
                <w:lang w:bidi="ar"/>
              </w:rPr>
              <w:t>是可行的</w:t>
            </w:r>
            <w:r>
              <w:rPr>
                <w:rFonts w:hint="default" w:ascii="Times New Roman" w:hAnsi="Times New Roman" w:eastAsia="宋体" w:cs="Times New Roman"/>
                <w:snapToGrid w:val="0"/>
                <w:color w:val="auto"/>
                <w:kern w:val="0"/>
                <w:sz w:val="24"/>
                <w:szCs w:val="24"/>
                <w:lang w:eastAsia="zh-CN" w:bidi="ar"/>
              </w:rPr>
              <w:t>。</w:t>
            </w:r>
          </w:p>
          <w:p w14:paraId="69732531">
            <w:pPr>
              <w:adjustRightInd w:val="0"/>
              <w:snapToGrid w:val="0"/>
              <w:spacing w:line="360" w:lineRule="auto"/>
              <w:ind w:firstLine="482" w:firstLineChars="200"/>
              <w:jc w:val="both"/>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4、运营期废水监测要求</w:t>
            </w:r>
          </w:p>
          <w:p w14:paraId="365FBAA7">
            <w:pPr>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lang w:bidi="ar"/>
              </w:rPr>
            </w:pPr>
            <w:r>
              <w:rPr>
                <w:rFonts w:hint="default" w:ascii="Times New Roman" w:hAnsi="Times New Roman" w:eastAsia="宋体" w:cs="Times New Roman"/>
                <w:color w:val="auto"/>
                <w:kern w:val="0"/>
                <w:sz w:val="24"/>
              </w:rPr>
              <w:t>根据《排污单位自行监测技术指南 橡胶和塑料制品》（HJ1207-2021）</w:t>
            </w:r>
            <w:r>
              <w:rPr>
                <w:rFonts w:hint="default" w:ascii="Times New Roman" w:hAnsi="Times New Roman" w:eastAsia="宋体" w:cs="Times New Roman"/>
                <w:snapToGrid w:val="0"/>
                <w:color w:val="auto"/>
                <w:kern w:val="0"/>
                <w:sz w:val="24"/>
                <w:lang w:bidi="ar"/>
              </w:rPr>
              <w:t>中的相关要求，本项目废水监测要求及执行标准见下表。</w:t>
            </w:r>
          </w:p>
          <w:p w14:paraId="3A27F754">
            <w:pPr>
              <w:adjustRightInd w:val="0"/>
              <w:snapToGrid w:val="0"/>
              <w:ind w:firstLine="420" w:firstLineChars="200"/>
              <w:jc w:val="both"/>
              <w:rPr>
                <w:rFonts w:hint="default" w:ascii="Times New Roman" w:hAnsi="Times New Roman" w:eastAsia="宋体" w:cs="Times New Roman"/>
                <w:b/>
                <w:snapToGrid w:val="0"/>
                <w:color w:val="auto"/>
                <w:sz w:val="24"/>
              </w:rPr>
            </w:pPr>
            <w:r>
              <w:rPr>
                <w:rFonts w:hint="default" w:ascii="Times New Roman" w:hAnsi="Times New Roman" w:eastAsia="宋体" w:cs="Times New Roman"/>
                <w:snapToGrid w:val="0"/>
                <w:color w:val="auto"/>
              </w:rPr>
              <w:t>表</w:t>
            </w:r>
            <w:r>
              <w:rPr>
                <w:rFonts w:hint="eastAsia" w:ascii="Times New Roman" w:hAnsi="Times New Roman" w:eastAsia="宋体" w:cs="Times New Roman"/>
                <w:snapToGrid w:val="0"/>
                <w:color w:val="auto"/>
                <w:lang w:val="en-US" w:eastAsia="zh-CN"/>
              </w:rPr>
              <w:t>4-1</w:t>
            </w:r>
            <w:r>
              <w:rPr>
                <w:rFonts w:hint="eastAsia" w:cs="Times New Roman"/>
                <w:snapToGrid w:val="0"/>
                <w:color w:val="auto"/>
                <w:lang w:val="en-US" w:eastAsia="zh-CN"/>
              </w:rPr>
              <w:t>4</w:t>
            </w:r>
            <w:r>
              <w:rPr>
                <w:rFonts w:hint="eastAsia" w:ascii="Times New Roman" w:hAnsi="Times New Roman" w:eastAsia="宋体" w:cs="Times New Roman"/>
                <w:snapToGrid w:val="0"/>
                <w:color w:val="auto"/>
                <w:lang w:val="en-US" w:eastAsia="zh-CN"/>
              </w:rPr>
              <w:t xml:space="preserve"> </w:t>
            </w:r>
            <w:r>
              <w:rPr>
                <w:rFonts w:hint="default" w:ascii="Times New Roman" w:hAnsi="Times New Roman" w:eastAsia="宋体" w:cs="Times New Roman"/>
                <w:b/>
                <w:snapToGrid w:val="0"/>
                <w:color w:val="auto"/>
              </w:rPr>
              <w:t xml:space="preserve">          </w:t>
            </w:r>
            <w:r>
              <w:rPr>
                <w:rFonts w:hint="default" w:ascii="Times New Roman" w:hAnsi="Times New Roman" w:eastAsia="宋体" w:cs="Times New Roman"/>
                <w:b/>
                <w:snapToGrid w:val="0"/>
                <w:color w:val="auto"/>
                <w:sz w:val="24"/>
              </w:rPr>
              <w:t>本项目废水监测要求及执行标准一览表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8"/>
              <w:gridCol w:w="1438"/>
              <w:gridCol w:w="2173"/>
              <w:gridCol w:w="1189"/>
              <w:gridCol w:w="2682"/>
            </w:tblGrid>
            <w:tr w14:paraId="13046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38" w:type="dxa"/>
                  <w:noWrap w:val="0"/>
                  <w:vAlign w:val="center"/>
                </w:tcPr>
                <w:p w14:paraId="36A7054C">
                  <w:pPr>
                    <w:adjustRightInd w:val="0"/>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类别</w:t>
                  </w:r>
                </w:p>
              </w:tc>
              <w:tc>
                <w:tcPr>
                  <w:tcW w:w="1438" w:type="dxa"/>
                  <w:noWrap w:val="0"/>
                  <w:vAlign w:val="center"/>
                </w:tcPr>
                <w:p w14:paraId="3A752F60">
                  <w:pPr>
                    <w:adjustRightInd w:val="0"/>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监测点位置</w:t>
                  </w:r>
                </w:p>
              </w:tc>
              <w:tc>
                <w:tcPr>
                  <w:tcW w:w="2173" w:type="dxa"/>
                  <w:noWrap w:val="0"/>
                  <w:vAlign w:val="center"/>
                </w:tcPr>
                <w:p w14:paraId="44D90167">
                  <w:pPr>
                    <w:adjustRightInd w:val="0"/>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监测因子</w:t>
                  </w:r>
                </w:p>
              </w:tc>
              <w:tc>
                <w:tcPr>
                  <w:tcW w:w="1189" w:type="dxa"/>
                  <w:noWrap w:val="0"/>
                  <w:vAlign w:val="center"/>
                </w:tcPr>
                <w:p w14:paraId="1C5A2099">
                  <w:pPr>
                    <w:adjustRightInd w:val="0"/>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监测频率</w:t>
                  </w:r>
                </w:p>
              </w:tc>
              <w:tc>
                <w:tcPr>
                  <w:tcW w:w="2682" w:type="dxa"/>
                  <w:noWrap w:val="0"/>
                  <w:vAlign w:val="center"/>
                </w:tcPr>
                <w:p w14:paraId="773690DA">
                  <w:pPr>
                    <w:adjustRightInd w:val="0"/>
                    <w:snapToGrid w:val="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执行标准</w:t>
                  </w:r>
                </w:p>
              </w:tc>
            </w:tr>
            <w:tr w14:paraId="69370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738" w:type="dxa"/>
                  <w:noWrap w:val="0"/>
                  <w:vAlign w:val="center"/>
                </w:tcPr>
                <w:p w14:paraId="43AFE4A0">
                  <w:pPr>
                    <w:adjustRightInd w:val="0"/>
                    <w:snapToGrid w:val="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rPr>
                    <w:t>废水</w:t>
                  </w:r>
                </w:p>
              </w:tc>
              <w:tc>
                <w:tcPr>
                  <w:tcW w:w="1438" w:type="dxa"/>
                  <w:noWrap w:val="0"/>
                  <w:vAlign w:val="center"/>
                </w:tcPr>
                <w:p w14:paraId="55021F38">
                  <w:pPr>
                    <w:adjustRightInd w:val="0"/>
                    <w:snapToGrid w:val="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rPr>
                    <w:t>DW001全厂废水排放口</w:t>
                  </w:r>
                </w:p>
              </w:tc>
              <w:tc>
                <w:tcPr>
                  <w:tcW w:w="2173" w:type="dxa"/>
                  <w:noWrap w:val="0"/>
                  <w:vAlign w:val="center"/>
                </w:tcPr>
                <w:p w14:paraId="50B550CC">
                  <w:pPr>
                    <w:adjustRightInd w:val="0"/>
                    <w:snapToGrid w:val="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rPr>
                    <w:t>pH、COD、NH</w:t>
                  </w:r>
                  <w:r>
                    <w:rPr>
                      <w:rFonts w:hint="default" w:ascii="Times New Roman" w:hAnsi="Times New Roman" w:eastAsia="宋体" w:cs="Times New Roman"/>
                      <w:bCs/>
                      <w:color w:val="auto"/>
                      <w:vertAlign w:val="subscript"/>
                    </w:rPr>
                    <w:t>3</w:t>
                  </w:r>
                  <w:r>
                    <w:rPr>
                      <w:rFonts w:hint="default" w:ascii="Times New Roman" w:hAnsi="Times New Roman" w:eastAsia="宋体" w:cs="Times New Roman"/>
                      <w:bCs/>
                      <w:color w:val="auto"/>
                    </w:rPr>
                    <w:t>-N、BOD</w:t>
                  </w:r>
                  <w:r>
                    <w:rPr>
                      <w:rFonts w:hint="default" w:ascii="Times New Roman" w:hAnsi="Times New Roman" w:eastAsia="宋体" w:cs="Times New Roman"/>
                      <w:bCs/>
                      <w:color w:val="auto"/>
                      <w:vertAlign w:val="subscript"/>
                    </w:rPr>
                    <w:t>5</w:t>
                  </w:r>
                  <w:r>
                    <w:rPr>
                      <w:rFonts w:hint="default" w:ascii="Times New Roman" w:hAnsi="Times New Roman" w:eastAsia="宋体" w:cs="Times New Roman"/>
                      <w:bCs/>
                      <w:color w:val="auto"/>
                    </w:rPr>
                    <w:t>、SS</w:t>
                  </w:r>
                </w:p>
              </w:tc>
              <w:tc>
                <w:tcPr>
                  <w:tcW w:w="1189" w:type="dxa"/>
                  <w:noWrap w:val="0"/>
                  <w:vAlign w:val="center"/>
                </w:tcPr>
                <w:p w14:paraId="52971564">
                  <w:pPr>
                    <w:adjustRightInd w:val="0"/>
                    <w:snapToGrid w:val="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rPr>
                    <w:t>1次/年</w:t>
                  </w:r>
                </w:p>
              </w:tc>
              <w:tc>
                <w:tcPr>
                  <w:tcW w:w="2682" w:type="dxa"/>
                  <w:noWrap w:val="0"/>
                  <w:vAlign w:val="center"/>
                </w:tcPr>
                <w:p w14:paraId="1FAD7F3B">
                  <w:pPr>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《污水排入城镇下水道水质标准》（GB/T31962-2015）</w:t>
                  </w:r>
                </w:p>
                <w:p w14:paraId="26974FAA">
                  <w:pPr>
                    <w:adjustRightInd w:val="0"/>
                    <w:snapToGrid w:val="0"/>
                    <w:jc w:val="center"/>
                    <w:rPr>
                      <w:rFonts w:hint="default" w:ascii="Times New Roman" w:hAnsi="Times New Roman" w:eastAsia="宋体" w:cs="Times New Roman"/>
                      <w:bCs/>
                      <w:color w:val="auto"/>
                    </w:rPr>
                  </w:pPr>
                  <w:r>
                    <w:rPr>
                      <w:rFonts w:hint="eastAsia" w:ascii="Times New Roman" w:hAnsi="Times New Roman" w:eastAsia="宋体" w:cs="Times New Roman"/>
                      <w:color w:val="auto"/>
                      <w:lang w:eastAsia="zh-CN"/>
                    </w:rPr>
                    <w:t>A级</w:t>
                  </w:r>
                  <w:r>
                    <w:rPr>
                      <w:rFonts w:hint="eastAsia" w:ascii="Times New Roman" w:hAnsi="Times New Roman" w:eastAsia="宋体" w:cs="Times New Roman"/>
                      <w:color w:val="auto"/>
                    </w:rPr>
                    <w:t>标准</w:t>
                  </w:r>
                </w:p>
              </w:tc>
            </w:tr>
          </w:tbl>
          <w:p w14:paraId="604C4D66">
            <w:pPr>
              <w:pStyle w:val="51"/>
              <w:ind w:firstLine="482"/>
              <w:jc w:val="both"/>
              <w:rPr>
                <w:rFonts w:hint="default" w:ascii="Times New Roman" w:hAnsi="Times New Roman" w:eastAsia="宋体" w:cs="Times New Roman"/>
                <w:b/>
                <w:snapToGrid/>
                <w:color w:val="auto"/>
                <w:szCs w:val="24"/>
                <w:lang w:eastAsia="zh-CN"/>
              </w:rPr>
            </w:pPr>
            <w:r>
              <w:rPr>
                <w:rFonts w:hint="default" w:ascii="Times New Roman" w:hAnsi="Times New Roman" w:eastAsia="宋体" w:cs="Times New Roman"/>
                <w:b/>
                <w:snapToGrid/>
                <w:color w:val="auto"/>
                <w:szCs w:val="24"/>
                <w:lang w:eastAsia="zh-CN"/>
              </w:rPr>
              <w:t>三、运营期声环境影响分析及防治对策</w:t>
            </w:r>
          </w:p>
          <w:p w14:paraId="72705B2D">
            <w:pPr>
              <w:adjustRightInd w:val="0"/>
              <w:snapToGrid w:val="0"/>
              <w:spacing w:line="360" w:lineRule="auto"/>
              <w:ind w:firstLine="482" w:firstLineChars="200"/>
              <w:jc w:val="both"/>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1、噪声源强及降噪措施</w:t>
            </w:r>
          </w:p>
          <w:p w14:paraId="71499C3E">
            <w:pPr>
              <w:adjustRightInd w:val="0"/>
              <w:snapToGrid w:val="0"/>
              <w:spacing w:line="360" w:lineRule="auto"/>
              <w:ind w:firstLine="480" w:firstLineChars="200"/>
              <w:jc w:val="both"/>
              <w:rPr>
                <w:rFonts w:hint="eastAsia"/>
                <w:color w:val="auto"/>
                <w:lang w:eastAsia="zh-CN"/>
              </w:rPr>
            </w:pPr>
            <w:r>
              <w:rPr>
                <w:rFonts w:hint="default" w:ascii="Times New Roman" w:hAnsi="Times New Roman" w:eastAsia="宋体" w:cs="Times New Roman"/>
                <w:color w:val="auto"/>
                <w:kern w:val="0"/>
                <w:sz w:val="24"/>
              </w:rPr>
              <w:t>本项目主要的噪声源为</w:t>
            </w:r>
            <w:r>
              <w:rPr>
                <w:rFonts w:hint="eastAsia"/>
                <w:color w:val="auto"/>
                <w:sz w:val="24"/>
                <w:highlight w:val="none"/>
              </w:rPr>
              <w:t>发泡机、EPS节能型自动成型机</w:t>
            </w:r>
            <w:r>
              <w:rPr>
                <w:rFonts w:hint="eastAsia"/>
                <w:color w:val="auto"/>
                <w:sz w:val="24"/>
                <w:highlight w:val="none"/>
                <w:lang w:eastAsia="zh-CN"/>
              </w:rPr>
              <w:t>、</w:t>
            </w:r>
            <w:r>
              <w:rPr>
                <w:rFonts w:hint="eastAsia"/>
                <w:color w:val="auto"/>
                <w:sz w:val="24"/>
                <w:highlight w:val="none"/>
                <w:lang w:val="en-US" w:eastAsia="zh-CN"/>
              </w:rPr>
              <w:t>循环水泵、风机</w:t>
            </w:r>
            <w:r>
              <w:rPr>
                <w:rFonts w:hint="default" w:ascii="Times New Roman" w:hAnsi="Times New Roman" w:eastAsia="宋体" w:cs="Times New Roman"/>
                <w:color w:val="auto"/>
                <w:kern w:val="0"/>
                <w:sz w:val="24"/>
              </w:rPr>
              <w:t>等设备噪声，噪声值在</w:t>
            </w:r>
            <w:r>
              <w:rPr>
                <w:rFonts w:hint="eastAsia" w:ascii="Times New Roman" w:hAnsi="Times New Roman" w:eastAsia="宋体" w:cs="Times New Roman"/>
                <w:color w:val="auto"/>
                <w:kern w:val="0"/>
                <w:sz w:val="24"/>
                <w:lang w:val="en-US" w:eastAsia="zh-CN"/>
              </w:rPr>
              <w:t>70</w:t>
            </w:r>
            <w:r>
              <w:rPr>
                <w:rFonts w:hint="default"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val="en-US" w:eastAsia="zh-CN"/>
              </w:rPr>
              <w:t>85</w:t>
            </w:r>
            <w:r>
              <w:rPr>
                <w:rFonts w:hint="default" w:ascii="Times New Roman" w:hAnsi="Times New Roman" w:eastAsia="宋体" w:cs="Times New Roman"/>
                <w:color w:val="auto"/>
                <w:kern w:val="0"/>
                <w:sz w:val="24"/>
              </w:rPr>
              <w:t>dB</w:t>
            </w:r>
            <w:r>
              <w:rPr>
                <w:rFonts w:hint="eastAsia" w:cs="Times New Roman"/>
                <w:color w:val="auto"/>
                <w:kern w:val="0"/>
                <w:sz w:val="24"/>
                <w:lang w:eastAsia="zh-CN"/>
              </w:rPr>
              <w:t>（</w:t>
            </w:r>
            <w:r>
              <w:rPr>
                <w:rFonts w:hint="default" w:ascii="Times New Roman" w:hAnsi="Times New Roman" w:eastAsia="宋体" w:cs="Times New Roman"/>
                <w:color w:val="auto"/>
                <w:kern w:val="0"/>
                <w:sz w:val="24"/>
              </w:rPr>
              <w:t>A</w:t>
            </w:r>
            <w:r>
              <w:rPr>
                <w:rFonts w:hint="eastAsia" w:cs="Times New Roman"/>
                <w:color w:val="auto"/>
                <w:kern w:val="0"/>
                <w:sz w:val="24"/>
                <w:lang w:eastAsia="zh-CN"/>
              </w:rPr>
              <w:t>）</w:t>
            </w:r>
            <w:r>
              <w:rPr>
                <w:rFonts w:hint="default" w:ascii="Times New Roman" w:hAnsi="Times New Roman" w:eastAsia="宋体" w:cs="Times New Roman"/>
                <w:color w:val="auto"/>
                <w:kern w:val="0"/>
                <w:sz w:val="24"/>
              </w:rPr>
              <w:t>之间。本项目产生及排放噪声强度情况见下表。</w:t>
            </w:r>
          </w:p>
        </w:tc>
      </w:tr>
    </w:tbl>
    <w:p w14:paraId="703F3E87">
      <w:pPr>
        <w:adjustRightInd w:val="0"/>
        <w:snapToGrid w:val="0"/>
        <w:spacing w:line="360" w:lineRule="auto"/>
        <w:rPr>
          <w:rFonts w:hint="default" w:ascii="Times New Roman" w:hAnsi="Times New Roman" w:eastAsia="宋体" w:cs="Times New Roman"/>
          <w:b/>
          <w:color w:val="auto"/>
          <w:kern w:val="0"/>
          <w:sz w:val="28"/>
          <w:szCs w:val="28"/>
        </w:rPr>
        <w:sectPr>
          <w:pgSz w:w="11907" w:h="16840"/>
          <w:pgMar w:top="1701" w:right="1531" w:bottom="2127" w:left="1531" w:header="851" w:footer="851" w:gutter="0"/>
          <w:pgBorders w:offsetFrom="page">
            <w:top w:val="none" w:sz="0" w:space="0"/>
            <w:left w:val="none" w:sz="0" w:space="0"/>
            <w:bottom w:val="none" w:sz="0" w:space="0"/>
            <w:right w:val="none" w:sz="0" w:space="0"/>
          </w:pgBorders>
          <w:cols w:space="720" w:num="1"/>
          <w:docGrid w:linePitch="312" w:charSpace="0"/>
        </w:sectPr>
      </w:pPr>
    </w:p>
    <w:tbl>
      <w:tblPr>
        <w:tblStyle w:val="30"/>
        <w:tblW w:w="1417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173"/>
      </w:tblGrid>
      <w:tr w14:paraId="3C5B7D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991" w:hRule="atLeast"/>
          <w:jc w:val="center"/>
        </w:trPr>
        <w:tc>
          <w:tcPr>
            <w:tcW w:w="9242" w:type="dxa"/>
            <w:noWrap w:val="0"/>
            <w:vAlign w:val="top"/>
          </w:tcPr>
          <w:p w14:paraId="249EE9E1">
            <w:pPr>
              <w:snapToGrid w:val="0"/>
              <w:ind w:firstLine="630" w:firstLineChars="300"/>
              <w:jc w:val="both"/>
              <w:rPr>
                <w:rFonts w:hint="default" w:ascii="Times New Roman" w:hAnsi="Times New Roman" w:eastAsia="宋体" w:cs="Times New Roman"/>
                <w:b/>
                <w:bCs/>
                <w:color w:val="auto"/>
                <w:sz w:val="24"/>
              </w:rPr>
            </w:pPr>
            <w:r>
              <w:rPr>
                <w:rFonts w:hint="default" w:ascii="Times New Roman" w:hAnsi="Times New Roman" w:eastAsia="宋体" w:cs="Times New Roman"/>
                <w:bCs/>
                <w:color w:val="auto"/>
              </w:rPr>
              <w:t>表</w:t>
            </w:r>
            <w:r>
              <w:rPr>
                <w:rFonts w:hint="eastAsia" w:ascii="Times New Roman" w:hAnsi="Times New Roman" w:eastAsia="宋体" w:cs="Times New Roman"/>
                <w:bCs/>
                <w:color w:val="auto"/>
                <w:lang w:val="en-US" w:eastAsia="zh-CN"/>
              </w:rPr>
              <w:t>4-1</w:t>
            </w:r>
            <w:r>
              <w:rPr>
                <w:rFonts w:hint="eastAsia" w:cs="Times New Roman"/>
                <w:bCs/>
                <w:color w:val="auto"/>
                <w:lang w:val="en-US" w:eastAsia="zh-CN"/>
              </w:rPr>
              <w:t>5</w:t>
            </w:r>
            <w:r>
              <w:rPr>
                <w:rFonts w:hint="default" w:ascii="Times New Roman" w:hAnsi="Times New Roman" w:eastAsia="宋体" w:cs="Times New Roman"/>
                <w:bCs/>
                <w:color w:val="auto"/>
              </w:rPr>
              <w:t xml:space="preserve"> </w:t>
            </w:r>
            <w:r>
              <w:rPr>
                <w:rFonts w:hint="default" w:ascii="Times New Roman" w:hAnsi="Times New Roman" w:eastAsia="宋体" w:cs="Times New Roman"/>
                <w:b/>
                <w:bCs/>
                <w:color w:val="auto"/>
              </w:rPr>
              <w:t xml:space="preserve">       </w:t>
            </w:r>
            <w:r>
              <w:rPr>
                <w:rFonts w:hint="eastAsia"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本项目主要设备噪声源及治理措施一览表</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519"/>
              <w:gridCol w:w="729"/>
              <w:gridCol w:w="1424"/>
              <w:gridCol w:w="1312"/>
              <w:gridCol w:w="562"/>
              <w:gridCol w:w="994"/>
              <w:gridCol w:w="766"/>
              <w:gridCol w:w="532"/>
              <w:gridCol w:w="635"/>
              <w:gridCol w:w="601"/>
              <w:gridCol w:w="983"/>
              <w:gridCol w:w="1058"/>
              <w:gridCol w:w="560"/>
              <w:gridCol w:w="880"/>
              <w:gridCol w:w="791"/>
              <w:gridCol w:w="1573"/>
            </w:tblGrid>
            <w:tr w14:paraId="70C87DD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vMerge w:val="restart"/>
                  <w:noWrap w:val="0"/>
                  <w:vAlign w:val="center"/>
                </w:tcPr>
                <w:p w14:paraId="385F2B3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r>
                    <w:rPr>
                      <w:rFonts w:cs="Times New Roman"/>
                      <w:b/>
                      <w:color w:val="auto"/>
                      <w:sz w:val="21"/>
                      <w:szCs w:val="21"/>
                    </w:rPr>
                    <w:t>序号</w:t>
                  </w:r>
                </w:p>
              </w:tc>
              <w:tc>
                <w:tcPr>
                  <w:tcW w:w="261" w:type="pct"/>
                  <w:vMerge w:val="restart"/>
                  <w:noWrap w:val="0"/>
                  <w:vAlign w:val="center"/>
                </w:tcPr>
                <w:p w14:paraId="5AB28E0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r>
                    <w:rPr>
                      <w:rFonts w:cs="Times New Roman"/>
                      <w:b/>
                      <w:color w:val="auto"/>
                      <w:sz w:val="21"/>
                      <w:szCs w:val="21"/>
                    </w:rPr>
                    <w:t>建筑物名称</w:t>
                  </w:r>
                </w:p>
              </w:tc>
              <w:tc>
                <w:tcPr>
                  <w:tcW w:w="511" w:type="pct"/>
                  <w:vMerge w:val="restart"/>
                  <w:noWrap w:val="0"/>
                  <w:vAlign w:val="center"/>
                </w:tcPr>
                <w:p w14:paraId="0887B0D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b/>
                      <w:color w:val="auto"/>
                      <w:sz w:val="21"/>
                      <w:szCs w:val="21"/>
                      <w:lang w:val="en-US" w:eastAsia="zh-CN"/>
                    </w:rPr>
                  </w:pPr>
                  <w:r>
                    <w:rPr>
                      <w:rFonts w:hint="eastAsia" w:cs="Times New Roman"/>
                      <w:b/>
                      <w:color w:val="auto"/>
                      <w:sz w:val="21"/>
                      <w:szCs w:val="21"/>
                      <w:lang w:val="en-US" w:eastAsia="zh-CN"/>
                    </w:rPr>
                    <w:t>声源名称</w:t>
                  </w:r>
                </w:p>
              </w:tc>
              <w:tc>
                <w:tcPr>
                  <w:tcW w:w="471" w:type="pct"/>
                  <w:vMerge w:val="restart"/>
                  <w:noWrap w:val="0"/>
                  <w:vAlign w:val="center"/>
                </w:tcPr>
                <w:p w14:paraId="0EA60C0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r>
                    <w:rPr>
                      <w:rFonts w:cs="Times New Roman"/>
                      <w:b/>
                      <w:color w:val="auto"/>
                      <w:sz w:val="21"/>
                      <w:szCs w:val="21"/>
                    </w:rPr>
                    <w:t>型号</w:t>
                  </w:r>
                </w:p>
              </w:tc>
              <w:tc>
                <w:tcPr>
                  <w:tcW w:w="201" w:type="pct"/>
                  <w:vMerge w:val="restart"/>
                  <w:noWrap w:val="0"/>
                  <w:vAlign w:val="center"/>
                </w:tcPr>
                <w:p w14:paraId="13886A9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r>
                    <w:rPr>
                      <w:rFonts w:cs="Times New Roman"/>
                      <w:b/>
                      <w:color w:val="auto"/>
                      <w:sz w:val="21"/>
                      <w:szCs w:val="21"/>
                    </w:rPr>
                    <w:t>数量</w:t>
                  </w:r>
                </w:p>
              </w:tc>
              <w:tc>
                <w:tcPr>
                  <w:tcW w:w="357" w:type="pct"/>
                  <w:noWrap w:val="0"/>
                  <w:tcMar>
                    <w:top w:w="0" w:type="dxa"/>
                    <w:left w:w="0" w:type="dxa"/>
                    <w:bottom w:w="0" w:type="dxa"/>
                    <w:right w:w="0" w:type="dxa"/>
                  </w:tcMar>
                  <w:vAlign w:val="center"/>
                </w:tcPr>
                <w:p w14:paraId="0D1EFA3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r>
                    <w:rPr>
                      <w:rFonts w:cs="Times New Roman"/>
                      <w:b/>
                      <w:color w:val="auto"/>
                      <w:sz w:val="21"/>
                      <w:szCs w:val="21"/>
                    </w:rPr>
                    <w:t>声源源强</w:t>
                  </w:r>
                </w:p>
              </w:tc>
              <w:tc>
                <w:tcPr>
                  <w:tcW w:w="275" w:type="pct"/>
                  <w:vMerge w:val="restart"/>
                  <w:noWrap w:val="0"/>
                  <w:tcMar>
                    <w:top w:w="0" w:type="dxa"/>
                    <w:left w:w="0" w:type="dxa"/>
                    <w:bottom w:w="0" w:type="dxa"/>
                    <w:right w:w="0" w:type="dxa"/>
                  </w:tcMar>
                  <w:vAlign w:val="center"/>
                </w:tcPr>
                <w:p w14:paraId="4080124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lang w:val="en-US"/>
                    </w:rPr>
                    <w:t>声源控制措施</w:t>
                  </w:r>
                </w:p>
              </w:tc>
              <w:tc>
                <w:tcPr>
                  <w:tcW w:w="635" w:type="pct"/>
                  <w:gridSpan w:val="3"/>
                  <w:noWrap w:val="0"/>
                  <w:tcMar>
                    <w:top w:w="0" w:type="dxa"/>
                    <w:left w:w="0" w:type="dxa"/>
                    <w:bottom w:w="0" w:type="dxa"/>
                    <w:right w:w="0" w:type="dxa"/>
                  </w:tcMar>
                  <w:vAlign w:val="center"/>
                </w:tcPr>
                <w:p w14:paraId="6A12259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eastAsia="宋体" w:cs="Times New Roman"/>
                      <w:b/>
                      <w:color w:val="auto"/>
                      <w:sz w:val="21"/>
                      <w:szCs w:val="21"/>
                      <w:lang w:val="en-US" w:eastAsia="zh-CN"/>
                    </w:rPr>
                  </w:pPr>
                  <w:r>
                    <w:rPr>
                      <w:rFonts w:cs="Times New Roman"/>
                      <w:b/>
                      <w:color w:val="auto"/>
                      <w:sz w:val="21"/>
                      <w:szCs w:val="21"/>
                      <w:lang w:val="en-US"/>
                    </w:rPr>
                    <w:t>空间相对位置/m</w:t>
                  </w:r>
                  <w:r>
                    <w:rPr>
                      <w:rFonts w:hint="eastAsia" w:cs="Times New Roman"/>
                      <w:b/>
                      <w:color w:val="auto"/>
                      <w:sz w:val="21"/>
                      <w:szCs w:val="21"/>
                      <w:lang w:val="en-US" w:eastAsia="zh-CN"/>
                    </w:rPr>
                    <w:t>（以厂区西南角为坐标原点）</w:t>
                  </w:r>
                </w:p>
              </w:tc>
              <w:tc>
                <w:tcPr>
                  <w:tcW w:w="353" w:type="pct"/>
                  <w:vMerge w:val="restart"/>
                  <w:noWrap w:val="0"/>
                  <w:tcMar>
                    <w:top w:w="0" w:type="dxa"/>
                    <w:left w:w="0" w:type="dxa"/>
                    <w:bottom w:w="0" w:type="dxa"/>
                    <w:right w:w="0" w:type="dxa"/>
                  </w:tcMar>
                  <w:vAlign w:val="center"/>
                </w:tcPr>
                <w:p w14:paraId="2B722A5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lang w:val="en-US"/>
                    </w:rPr>
                    <w:t>距室内边界距离/m</w:t>
                  </w:r>
                </w:p>
              </w:tc>
              <w:tc>
                <w:tcPr>
                  <w:tcW w:w="380" w:type="pct"/>
                  <w:vMerge w:val="restart"/>
                  <w:noWrap w:val="0"/>
                  <w:tcMar>
                    <w:top w:w="0" w:type="dxa"/>
                    <w:left w:w="0" w:type="dxa"/>
                    <w:bottom w:w="0" w:type="dxa"/>
                    <w:right w:w="0" w:type="dxa"/>
                  </w:tcMar>
                  <w:vAlign w:val="center"/>
                </w:tcPr>
                <w:p w14:paraId="3D3F936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eastAsia="宋体" w:cs="Times New Roman"/>
                      <w:b/>
                      <w:color w:val="auto"/>
                      <w:sz w:val="21"/>
                      <w:szCs w:val="21"/>
                      <w:lang w:val="en-US" w:eastAsia="zh-CN"/>
                    </w:rPr>
                  </w:pPr>
                  <w:r>
                    <w:rPr>
                      <w:rFonts w:cs="Times New Roman"/>
                      <w:b/>
                      <w:color w:val="auto"/>
                      <w:sz w:val="21"/>
                      <w:szCs w:val="21"/>
                      <w:lang w:val="en-US"/>
                    </w:rPr>
                    <w:t>室内边界声级</w:t>
                  </w:r>
                  <w:r>
                    <w:rPr>
                      <w:b/>
                      <w:color w:val="auto"/>
                    </w:rPr>
                    <w:t>/dB</w:t>
                  </w:r>
                  <w:r>
                    <w:rPr>
                      <w:rFonts w:hint="eastAsia"/>
                      <w:b/>
                      <w:color w:val="auto"/>
                      <w:lang w:eastAsia="zh-CN"/>
                    </w:rPr>
                    <w:t>（</w:t>
                  </w:r>
                  <w:r>
                    <w:rPr>
                      <w:b/>
                      <w:color w:val="auto"/>
                    </w:rPr>
                    <w:t>A</w:t>
                  </w:r>
                  <w:r>
                    <w:rPr>
                      <w:rFonts w:hint="eastAsia"/>
                      <w:b/>
                      <w:color w:val="auto"/>
                      <w:lang w:eastAsia="zh-CN"/>
                    </w:rPr>
                    <w:t>）</w:t>
                  </w:r>
                </w:p>
              </w:tc>
              <w:tc>
                <w:tcPr>
                  <w:tcW w:w="201" w:type="pct"/>
                  <w:vMerge w:val="restart"/>
                  <w:noWrap w:val="0"/>
                  <w:tcMar>
                    <w:top w:w="0" w:type="dxa"/>
                    <w:left w:w="0" w:type="dxa"/>
                    <w:bottom w:w="0" w:type="dxa"/>
                    <w:right w:w="0" w:type="dxa"/>
                  </w:tcMar>
                  <w:vAlign w:val="center"/>
                </w:tcPr>
                <w:p w14:paraId="5C67D51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lang w:val="en-US"/>
                    </w:rPr>
                    <w:t>运行时段</w:t>
                  </w:r>
                </w:p>
              </w:tc>
              <w:tc>
                <w:tcPr>
                  <w:tcW w:w="316" w:type="pct"/>
                  <w:vMerge w:val="restart"/>
                  <w:noWrap w:val="0"/>
                  <w:tcMar>
                    <w:top w:w="0" w:type="dxa"/>
                    <w:left w:w="0" w:type="dxa"/>
                    <w:bottom w:w="0" w:type="dxa"/>
                    <w:right w:w="0" w:type="dxa"/>
                  </w:tcMar>
                  <w:vAlign w:val="center"/>
                </w:tcPr>
                <w:p w14:paraId="025AECE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eastAsia="宋体" w:cs="Times New Roman"/>
                      <w:b/>
                      <w:color w:val="auto"/>
                      <w:sz w:val="21"/>
                      <w:szCs w:val="21"/>
                      <w:lang w:val="en-US" w:eastAsia="zh-CN"/>
                    </w:rPr>
                  </w:pPr>
                  <w:r>
                    <w:rPr>
                      <w:rFonts w:cs="Times New Roman"/>
                      <w:b/>
                      <w:color w:val="auto"/>
                      <w:sz w:val="21"/>
                      <w:szCs w:val="21"/>
                      <w:lang w:val="en-US"/>
                    </w:rPr>
                    <w:t>建筑物插入损失</w:t>
                  </w:r>
                  <w:r>
                    <w:rPr>
                      <w:b/>
                      <w:color w:val="auto"/>
                    </w:rPr>
                    <w:t>/dB</w:t>
                  </w:r>
                  <w:r>
                    <w:rPr>
                      <w:rFonts w:hint="eastAsia"/>
                      <w:b/>
                      <w:color w:val="auto"/>
                      <w:lang w:eastAsia="zh-CN"/>
                    </w:rPr>
                    <w:t>（</w:t>
                  </w:r>
                  <w:r>
                    <w:rPr>
                      <w:b/>
                      <w:color w:val="auto"/>
                    </w:rPr>
                    <w:t>A</w:t>
                  </w:r>
                  <w:r>
                    <w:rPr>
                      <w:rFonts w:hint="eastAsia"/>
                      <w:b/>
                      <w:color w:val="auto"/>
                      <w:lang w:eastAsia="zh-CN"/>
                    </w:rPr>
                    <w:t>）</w:t>
                  </w:r>
                </w:p>
              </w:tc>
              <w:tc>
                <w:tcPr>
                  <w:tcW w:w="849" w:type="pct"/>
                  <w:gridSpan w:val="2"/>
                  <w:noWrap w:val="0"/>
                  <w:tcMar>
                    <w:top w:w="0" w:type="dxa"/>
                    <w:left w:w="0" w:type="dxa"/>
                    <w:bottom w:w="0" w:type="dxa"/>
                    <w:right w:w="0" w:type="dxa"/>
                  </w:tcMar>
                  <w:vAlign w:val="center"/>
                </w:tcPr>
                <w:p w14:paraId="0413B40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lang w:val="en-US"/>
                    </w:rPr>
                    <w:t>建筑物外噪声级</w:t>
                  </w:r>
                </w:p>
              </w:tc>
            </w:tr>
            <w:tr w14:paraId="06EB69C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vMerge w:val="continue"/>
                  <w:noWrap w:val="0"/>
                  <w:vAlign w:val="center"/>
                </w:tcPr>
                <w:p w14:paraId="176D20E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261" w:type="pct"/>
                  <w:vMerge w:val="continue"/>
                  <w:noWrap w:val="0"/>
                  <w:vAlign w:val="center"/>
                </w:tcPr>
                <w:p w14:paraId="34372C3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511" w:type="pct"/>
                  <w:vMerge w:val="continue"/>
                  <w:noWrap w:val="0"/>
                  <w:vAlign w:val="center"/>
                </w:tcPr>
                <w:p w14:paraId="463E8AB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471" w:type="pct"/>
                  <w:vMerge w:val="continue"/>
                  <w:noWrap w:val="0"/>
                  <w:vAlign w:val="center"/>
                </w:tcPr>
                <w:p w14:paraId="56ED479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201" w:type="pct"/>
                  <w:vMerge w:val="continue"/>
                  <w:noWrap w:val="0"/>
                  <w:vAlign w:val="center"/>
                </w:tcPr>
                <w:p w14:paraId="5F61132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357" w:type="pct"/>
                  <w:noWrap w:val="0"/>
                  <w:tcMar>
                    <w:top w:w="0" w:type="dxa"/>
                    <w:left w:w="0" w:type="dxa"/>
                    <w:bottom w:w="0" w:type="dxa"/>
                    <w:right w:w="0" w:type="dxa"/>
                  </w:tcMar>
                  <w:vAlign w:val="center"/>
                </w:tcPr>
                <w:p w14:paraId="53808C9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rPr>
                    <w:t>声功率级</w:t>
                  </w:r>
                </w:p>
              </w:tc>
              <w:tc>
                <w:tcPr>
                  <w:tcW w:w="275" w:type="pct"/>
                  <w:vMerge w:val="continue"/>
                  <w:noWrap w:val="0"/>
                  <w:tcMar>
                    <w:top w:w="0" w:type="dxa"/>
                    <w:left w:w="0" w:type="dxa"/>
                    <w:bottom w:w="0" w:type="dxa"/>
                    <w:right w:w="0" w:type="dxa"/>
                  </w:tcMar>
                  <w:vAlign w:val="center"/>
                </w:tcPr>
                <w:p w14:paraId="29535C4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191" w:type="pct"/>
                  <w:noWrap w:val="0"/>
                  <w:tcMar>
                    <w:top w:w="0" w:type="dxa"/>
                    <w:left w:w="0" w:type="dxa"/>
                    <w:bottom w:w="0" w:type="dxa"/>
                    <w:right w:w="0" w:type="dxa"/>
                  </w:tcMar>
                  <w:vAlign w:val="center"/>
                </w:tcPr>
                <w:p w14:paraId="282E07C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lang w:val="en-US"/>
                    </w:rPr>
                    <w:t>X</w:t>
                  </w:r>
                </w:p>
              </w:tc>
              <w:tc>
                <w:tcPr>
                  <w:tcW w:w="228" w:type="pct"/>
                  <w:noWrap w:val="0"/>
                  <w:tcMar>
                    <w:top w:w="0" w:type="dxa"/>
                    <w:left w:w="0" w:type="dxa"/>
                    <w:bottom w:w="0" w:type="dxa"/>
                    <w:right w:w="0" w:type="dxa"/>
                  </w:tcMar>
                  <w:vAlign w:val="center"/>
                </w:tcPr>
                <w:p w14:paraId="0562443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lang w:val="en-US"/>
                    </w:rPr>
                    <w:t>Y</w:t>
                  </w:r>
                </w:p>
              </w:tc>
              <w:tc>
                <w:tcPr>
                  <w:tcW w:w="215" w:type="pct"/>
                  <w:noWrap w:val="0"/>
                  <w:tcMar>
                    <w:top w:w="0" w:type="dxa"/>
                    <w:left w:w="0" w:type="dxa"/>
                    <w:bottom w:w="0" w:type="dxa"/>
                    <w:right w:w="0" w:type="dxa"/>
                  </w:tcMar>
                  <w:vAlign w:val="center"/>
                </w:tcPr>
                <w:p w14:paraId="618822C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lang w:val="en-US"/>
                    </w:rPr>
                  </w:pPr>
                  <w:r>
                    <w:rPr>
                      <w:rFonts w:cs="Times New Roman"/>
                      <w:b/>
                      <w:color w:val="auto"/>
                      <w:sz w:val="21"/>
                      <w:szCs w:val="21"/>
                      <w:lang w:val="en-US"/>
                    </w:rPr>
                    <w:t>Z</w:t>
                  </w:r>
                </w:p>
              </w:tc>
              <w:tc>
                <w:tcPr>
                  <w:tcW w:w="353" w:type="pct"/>
                  <w:vMerge w:val="continue"/>
                  <w:noWrap w:val="0"/>
                  <w:tcMar>
                    <w:top w:w="0" w:type="dxa"/>
                    <w:left w:w="0" w:type="dxa"/>
                    <w:bottom w:w="0" w:type="dxa"/>
                    <w:right w:w="0" w:type="dxa"/>
                  </w:tcMar>
                  <w:vAlign w:val="center"/>
                </w:tcPr>
                <w:p w14:paraId="6FF2551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380" w:type="pct"/>
                  <w:vMerge w:val="continue"/>
                  <w:noWrap w:val="0"/>
                  <w:tcMar>
                    <w:top w:w="0" w:type="dxa"/>
                    <w:left w:w="0" w:type="dxa"/>
                    <w:bottom w:w="0" w:type="dxa"/>
                    <w:right w:w="0" w:type="dxa"/>
                  </w:tcMar>
                  <w:vAlign w:val="center"/>
                </w:tcPr>
                <w:p w14:paraId="5AC5201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201" w:type="pct"/>
                  <w:vMerge w:val="continue"/>
                  <w:noWrap w:val="0"/>
                  <w:tcMar>
                    <w:top w:w="0" w:type="dxa"/>
                    <w:left w:w="0" w:type="dxa"/>
                    <w:bottom w:w="0" w:type="dxa"/>
                    <w:right w:w="0" w:type="dxa"/>
                  </w:tcMar>
                  <w:vAlign w:val="center"/>
                </w:tcPr>
                <w:p w14:paraId="67573A7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316" w:type="pct"/>
                  <w:vMerge w:val="continue"/>
                  <w:noWrap w:val="0"/>
                  <w:tcMar>
                    <w:top w:w="0" w:type="dxa"/>
                    <w:left w:w="0" w:type="dxa"/>
                    <w:bottom w:w="0" w:type="dxa"/>
                    <w:right w:w="0" w:type="dxa"/>
                  </w:tcMar>
                  <w:vAlign w:val="center"/>
                </w:tcPr>
                <w:p w14:paraId="6EE3BFA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p>
              </w:tc>
              <w:tc>
                <w:tcPr>
                  <w:tcW w:w="284" w:type="pct"/>
                  <w:noWrap w:val="0"/>
                  <w:tcMar>
                    <w:top w:w="0" w:type="dxa"/>
                    <w:left w:w="0" w:type="dxa"/>
                    <w:bottom w:w="0" w:type="dxa"/>
                    <w:right w:w="0" w:type="dxa"/>
                  </w:tcMar>
                  <w:vAlign w:val="center"/>
                </w:tcPr>
                <w:p w14:paraId="6AF0406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eastAsia="宋体" w:cs="Times New Roman"/>
                      <w:b/>
                      <w:color w:val="auto"/>
                      <w:sz w:val="21"/>
                      <w:szCs w:val="21"/>
                      <w:lang w:eastAsia="zh-CN"/>
                    </w:rPr>
                  </w:pPr>
                  <w:r>
                    <w:rPr>
                      <w:rFonts w:cs="Times New Roman"/>
                      <w:b/>
                      <w:color w:val="auto"/>
                      <w:sz w:val="21"/>
                      <w:szCs w:val="21"/>
                    </w:rPr>
                    <w:t>声压级</w:t>
                  </w:r>
                  <w:r>
                    <w:rPr>
                      <w:b/>
                      <w:color w:val="auto"/>
                    </w:rPr>
                    <w:t>/dB</w:t>
                  </w:r>
                  <w:r>
                    <w:rPr>
                      <w:rFonts w:hint="eastAsia"/>
                      <w:b/>
                      <w:color w:val="auto"/>
                      <w:lang w:eastAsia="zh-CN"/>
                    </w:rPr>
                    <w:t>（</w:t>
                  </w:r>
                  <w:r>
                    <w:rPr>
                      <w:b/>
                      <w:color w:val="auto"/>
                    </w:rPr>
                    <w:t>A</w:t>
                  </w:r>
                  <w:r>
                    <w:rPr>
                      <w:rFonts w:hint="eastAsia"/>
                      <w:b/>
                      <w:color w:val="auto"/>
                      <w:lang w:eastAsia="zh-CN"/>
                    </w:rPr>
                    <w:t>）</w:t>
                  </w:r>
                </w:p>
              </w:tc>
              <w:tc>
                <w:tcPr>
                  <w:tcW w:w="565" w:type="pct"/>
                  <w:noWrap w:val="0"/>
                  <w:tcMar>
                    <w:top w:w="0" w:type="dxa"/>
                    <w:left w:w="0" w:type="dxa"/>
                    <w:bottom w:w="0" w:type="dxa"/>
                    <w:right w:w="0" w:type="dxa"/>
                  </w:tcMar>
                  <w:vAlign w:val="center"/>
                </w:tcPr>
                <w:p w14:paraId="6706C85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b/>
                      <w:color w:val="auto"/>
                      <w:sz w:val="21"/>
                      <w:szCs w:val="21"/>
                    </w:rPr>
                  </w:pPr>
                  <w:r>
                    <w:rPr>
                      <w:rFonts w:cs="Times New Roman"/>
                      <w:b/>
                      <w:color w:val="auto"/>
                      <w:sz w:val="21"/>
                      <w:szCs w:val="21"/>
                    </w:rPr>
                    <w:t>建筑物外距离</w:t>
                  </w:r>
                </w:p>
              </w:tc>
            </w:tr>
            <w:tr w14:paraId="315045A6">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5000" w:type="pct"/>
                  <w:gridSpan w:val="16"/>
                  <w:noWrap w:val="0"/>
                  <w:vAlign w:val="center"/>
                </w:tcPr>
                <w:p w14:paraId="7306C8E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eastAsia="宋体" w:cs="Times New Roman"/>
                      <w:b/>
                      <w:color w:val="auto"/>
                      <w:sz w:val="21"/>
                      <w:szCs w:val="21"/>
                      <w:lang w:val="en-US" w:eastAsia="zh-CN"/>
                    </w:rPr>
                  </w:pPr>
                  <w:r>
                    <w:rPr>
                      <w:rFonts w:hint="eastAsia" w:cs="Times New Roman"/>
                      <w:b/>
                      <w:color w:val="auto"/>
                      <w:sz w:val="21"/>
                      <w:szCs w:val="21"/>
                      <w:lang w:val="en-US" w:eastAsia="zh-CN"/>
                    </w:rPr>
                    <w:t>一期</w:t>
                  </w:r>
                </w:p>
              </w:tc>
            </w:tr>
            <w:tr w14:paraId="4F5AF5B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76" w:hRule="atLeast"/>
                <w:jc w:val="center"/>
              </w:trPr>
              <w:tc>
                <w:tcPr>
                  <w:tcW w:w="186" w:type="pct"/>
                  <w:noWrap w:val="0"/>
                  <w:vAlign w:val="center"/>
                </w:tcPr>
                <w:p w14:paraId="1662097D">
                  <w:pPr>
                    <w:keepNext w:val="0"/>
                    <w:keepLines w:val="0"/>
                    <w:pageBreakBefore w:val="0"/>
                    <w:widowControl/>
                    <w:kinsoku/>
                    <w:wordWrap/>
                    <w:autoSpaceDE/>
                    <w:autoSpaceDN/>
                    <w:bidi w:val="0"/>
                    <w:adjustRightInd w:val="0"/>
                    <w:snapToGrid w:val="0"/>
                    <w:spacing w:line="240" w:lineRule="auto"/>
                    <w:ind w:right="0"/>
                    <w:jc w:val="center"/>
                    <w:textAlignment w:val="auto"/>
                    <w:rPr>
                      <w:rFonts w:cs="Times New Roman"/>
                      <w:color w:val="auto"/>
                      <w:sz w:val="21"/>
                      <w:szCs w:val="21"/>
                      <w:lang w:val="en-US"/>
                    </w:rPr>
                  </w:pPr>
                  <w:r>
                    <w:rPr>
                      <w:rFonts w:hint="eastAsia" w:cs="Times New Roman"/>
                      <w:color w:val="auto"/>
                      <w:sz w:val="21"/>
                      <w:szCs w:val="21"/>
                      <w:lang w:val="en-US"/>
                    </w:rPr>
                    <w:t>1</w:t>
                  </w:r>
                </w:p>
              </w:tc>
              <w:tc>
                <w:tcPr>
                  <w:tcW w:w="261" w:type="pct"/>
                  <w:vMerge w:val="restart"/>
                  <w:noWrap w:val="0"/>
                  <w:vAlign w:val="center"/>
                </w:tcPr>
                <w:p w14:paraId="3E33D19C">
                  <w:pPr>
                    <w:keepNext w:val="0"/>
                    <w:keepLines w:val="0"/>
                    <w:pageBreakBefore w:val="0"/>
                    <w:kinsoku/>
                    <w:wordWrap/>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生产车间1</w:t>
                  </w:r>
                </w:p>
              </w:tc>
              <w:tc>
                <w:tcPr>
                  <w:tcW w:w="511" w:type="pct"/>
                  <w:noWrap w:val="0"/>
                  <w:vAlign w:val="center"/>
                </w:tcPr>
                <w:p w14:paraId="1923EF7A">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pacing w:val="0"/>
                      <w:sz w:val="21"/>
                      <w:szCs w:val="21"/>
                      <w:lang w:val="en-US" w:eastAsia="zh-CN"/>
                    </w:rPr>
                    <w:t>发泡机</w:t>
                  </w:r>
                </w:p>
              </w:tc>
              <w:tc>
                <w:tcPr>
                  <w:tcW w:w="471" w:type="pct"/>
                  <w:noWrap w:val="0"/>
                  <w:vAlign w:val="center"/>
                </w:tcPr>
                <w:p w14:paraId="1C0546D2">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GJ-RT-2200</w:t>
                  </w:r>
                </w:p>
              </w:tc>
              <w:tc>
                <w:tcPr>
                  <w:tcW w:w="201" w:type="pct"/>
                  <w:noWrap w:val="0"/>
                  <w:vAlign w:val="center"/>
                </w:tcPr>
                <w:p w14:paraId="5137CCC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color w:val="auto"/>
                      <w:sz w:val="21"/>
                      <w:szCs w:val="21"/>
                      <w:lang w:val="en-US"/>
                    </w:rPr>
                  </w:pPr>
                  <w:r>
                    <w:rPr>
                      <w:rFonts w:cs="Times New Roman"/>
                      <w:color w:val="auto"/>
                      <w:sz w:val="21"/>
                      <w:szCs w:val="21"/>
                      <w:lang w:val="en-US"/>
                    </w:rPr>
                    <w:t>1</w:t>
                  </w:r>
                </w:p>
              </w:tc>
              <w:tc>
                <w:tcPr>
                  <w:tcW w:w="357" w:type="pct"/>
                  <w:noWrap w:val="0"/>
                  <w:vAlign w:val="center"/>
                </w:tcPr>
                <w:p w14:paraId="6C27300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70</w:t>
                  </w:r>
                </w:p>
              </w:tc>
              <w:tc>
                <w:tcPr>
                  <w:tcW w:w="275" w:type="pct"/>
                  <w:vMerge w:val="restart"/>
                  <w:noWrap w:val="0"/>
                  <w:vAlign w:val="center"/>
                </w:tcPr>
                <w:p w14:paraId="54F6015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color w:val="auto"/>
                      <w:sz w:val="21"/>
                      <w:szCs w:val="21"/>
                    </w:rPr>
                  </w:pPr>
                  <w:r>
                    <w:rPr>
                      <w:rFonts w:hint="eastAsia" w:cs="Times New Roman"/>
                      <w:color w:val="auto"/>
                      <w:sz w:val="21"/>
                      <w:szCs w:val="21"/>
                      <w:lang w:val="en-US" w:eastAsia="zh-CN"/>
                    </w:rPr>
                    <w:t>车间</w:t>
                  </w:r>
                  <w:r>
                    <w:rPr>
                      <w:rFonts w:cs="Times New Roman"/>
                      <w:color w:val="auto"/>
                      <w:sz w:val="21"/>
                      <w:szCs w:val="21"/>
                    </w:rPr>
                    <w:t>隔声、减振</w:t>
                  </w:r>
                </w:p>
              </w:tc>
              <w:tc>
                <w:tcPr>
                  <w:tcW w:w="191" w:type="pct"/>
                  <w:noWrap w:val="0"/>
                  <w:vAlign w:val="center"/>
                </w:tcPr>
                <w:p w14:paraId="150B69C6">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52</w:t>
                  </w:r>
                </w:p>
              </w:tc>
              <w:tc>
                <w:tcPr>
                  <w:tcW w:w="228" w:type="pct"/>
                  <w:noWrap w:val="0"/>
                  <w:vAlign w:val="center"/>
                </w:tcPr>
                <w:p w14:paraId="6535ABFC">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145</w:t>
                  </w:r>
                </w:p>
              </w:tc>
              <w:tc>
                <w:tcPr>
                  <w:tcW w:w="215" w:type="pct"/>
                  <w:noWrap w:val="0"/>
                  <w:vAlign w:val="center"/>
                </w:tcPr>
                <w:p w14:paraId="33164C2F">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24C0D20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5</w:t>
                  </w:r>
                </w:p>
              </w:tc>
              <w:tc>
                <w:tcPr>
                  <w:tcW w:w="380" w:type="pct"/>
                  <w:noWrap w:val="0"/>
                  <w:vAlign w:val="center"/>
                </w:tcPr>
                <w:p w14:paraId="3246963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57.96</w:t>
                  </w:r>
                </w:p>
              </w:tc>
              <w:tc>
                <w:tcPr>
                  <w:tcW w:w="201" w:type="pct"/>
                  <w:noWrap w:val="0"/>
                  <w:vAlign w:val="center"/>
                </w:tcPr>
                <w:p w14:paraId="5968AA8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6883DF7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2B0AD51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36.96</w:t>
                  </w:r>
                </w:p>
              </w:tc>
              <w:tc>
                <w:tcPr>
                  <w:tcW w:w="565" w:type="pct"/>
                  <w:noWrap w:val="0"/>
                  <w:vAlign w:val="center"/>
                </w:tcPr>
                <w:p w14:paraId="7DCD25B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1m</w:t>
                  </w:r>
                </w:p>
              </w:tc>
            </w:tr>
            <w:tr w14:paraId="018A7EB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4BFDD19A">
                  <w:pPr>
                    <w:keepNext w:val="0"/>
                    <w:keepLines w:val="0"/>
                    <w:pageBreakBefore w:val="0"/>
                    <w:widowControl/>
                    <w:kinsoku/>
                    <w:wordWrap/>
                    <w:autoSpaceDE/>
                    <w:autoSpaceDN/>
                    <w:bidi w:val="0"/>
                    <w:adjustRightInd w:val="0"/>
                    <w:snapToGrid w:val="0"/>
                    <w:spacing w:line="240" w:lineRule="auto"/>
                    <w:ind w:right="0"/>
                    <w:jc w:val="center"/>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2</w:t>
                  </w:r>
                </w:p>
              </w:tc>
              <w:tc>
                <w:tcPr>
                  <w:tcW w:w="261" w:type="pct"/>
                  <w:vMerge w:val="continue"/>
                  <w:noWrap w:val="0"/>
                  <w:vAlign w:val="center"/>
                </w:tcPr>
                <w:p w14:paraId="52BB8F08">
                  <w:pPr>
                    <w:keepNext w:val="0"/>
                    <w:keepLines w:val="0"/>
                    <w:pageBreakBefore w:val="0"/>
                    <w:kinsoku/>
                    <w:wordWrap/>
                    <w:autoSpaceDE/>
                    <w:autoSpaceDN/>
                    <w:bidi w:val="0"/>
                    <w:adjustRightInd w:val="0"/>
                    <w:snapToGrid w:val="0"/>
                    <w:spacing w:line="240" w:lineRule="auto"/>
                    <w:ind w:right="0"/>
                    <w:jc w:val="center"/>
                    <w:textAlignment w:val="auto"/>
                    <w:rPr>
                      <w:rFonts w:hint="eastAsia" w:eastAsia="宋体" w:cs="Times New Roman"/>
                      <w:color w:val="auto"/>
                      <w:sz w:val="21"/>
                      <w:szCs w:val="21"/>
                      <w:lang w:val="en-US" w:eastAsia="zh-CN"/>
                    </w:rPr>
                  </w:pPr>
                </w:p>
              </w:tc>
              <w:tc>
                <w:tcPr>
                  <w:tcW w:w="511" w:type="pct"/>
                  <w:noWrap w:val="0"/>
                  <w:vAlign w:val="center"/>
                </w:tcPr>
                <w:p w14:paraId="316321C8">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pacing w:val="0"/>
                      <w:sz w:val="21"/>
                      <w:szCs w:val="21"/>
                      <w:lang w:val="en-US" w:eastAsia="zh-CN"/>
                    </w:rPr>
                    <w:t>发泡机</w:t>
                  </w:r>
                </w:p>
              </w:tc>
              <w:tc>
                <w:tcPr>
                  <w:tcW w:w="471" w:type="pct"/>
                  <w:noWrap w:val="0"/>
                  <w:vAlign w:val="center"/>
                </w:tcPr>
                <w:p w14:paraId="157AE5AF">
                  <w:pPr>
                    <w:keepNext w:val="0"/>
                    <w:keepLines w:val="0"/>
                    <w:pageBreakBefore w:val="0"/>
                    <w:kinsoku/>
                    <w:wordWrap/>
                    <w:autoSpaceDE/>
                    <w:autoSpaceDN/>
                    <w:bidi w:val="0"/>
                    <w:adjustRightInd w:val="0"/>
                    <w:snapToGrid w:val="0"/>
                    <w:spacing w:line="240" w:lineRule="auto"/>
                    <w:ind w:right="0"/>
                    <w:jc w:val="center"/>
                    <w:textAlignment w:val="auto"/>
                    <w:rPr>
                      <w:rFonts w:hint="eastAsia"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GJ-RT-2200</w:t>
                  </w:r>
                </w:p>
              </w:tc>
              <w:tc>
                <w:tcPr>
                  <w:tcW w:w="201" w:type="pct"/>
                  <w:noWrap w:val="0"/>
                  <w:vAlign w:val="center"/>
                </w:tcPr>
                <w:p w14:paraId="1F59854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5CCA719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70</w:t>
                  </w:r>
                </w:p>
              </w:tc>
              <w:tc>
                <w:tcPr>
                  <w:tcW w:w="275" w:type="pct"/>
                  <w:vMerge w:val="continue"/>
                  <w:noWrap w:val="0"/>
                  <w:vAlign w:val="center"/>
                </w:tcPr>
                <w:p w14:paraId="6FA1AF9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5AC7C6CA">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60</w:t>
                  </w:r>
                </w:p>
              </w:tc>
              <w:tc>
                <w:tcPr>
                  <w:tcW w:w="228" w:type="pct"/>
                  <w:noWrap w:val="0"/>
                  <w:vAlign w:val="center"/>
                </w:tcPr>
                <w:p w14:paraId="296CD0AE">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151</w:t>
                  </w:r>
                </w:p>
              </w:tc>
              <w:tc>
                <w:tcPr>
                  <w:tcW w:w="215" w:type="pct"/>
                  <w:noWrap w:val="0"/>
                  <w:vAlign w:val="center"/>
                </w:tcPr>
                <w:p w14:paraId="5ED85264">
                  <w:pPr>
                    <w:keepNext w:val="0"/>
                    <w:keepLines w:val="0"/>
                    <w:pageBreakBefore w:val="0"/>
                    <w:kinsoku/>
                    <w:wordWrap/>
                    <w:autoSpaceDE/>
                    <w:autoSpaceDN/>
                    <w:bidi w:val="0"/>
                    <w:adjustRightInd w:val="0"/>
                    <w:snapToGrid w:val="0"/>
                    <w:spacing w:line="240" w:lineRule="auto"/>
                    <w:ind w:right="0"/>
                    <w:jc w:val="center"/>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04562A5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10</w:t>
                  </w:r>
                </w:p>
              </w:tc>
              <w:tc>
                <w:tcPr>
                  <w:tcW w:w="380" w:type="pct"/>
                  <w:noWrap w:val="0"/>
                  <w:vAlign w:val="center"/>
                </w:tcPr>
                <w:p w14:paraId="725532C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51.96</w:t>
                  </w:r>
                </w:p>
              </w:tc>
              <w:tc>
                <w:tcPr>
                  <w:tcW w:w="201" w:type="pct"/>
                  <w:noWrap w:val="0"/>
                  <w:vAlign w:val="center"/>
                </w:tcPr>
                <w:p w14:paraId="720D129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08E046B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39AEF6F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30.96</w:t>
                  </w:r>
                </w:p>
              </w:tc>
              <w:tc>
                <w:tcPr>
                  <w:tcW w:w="565" w:type="pct"/>
                  <w:noWrap w:val="0"/>
                  <w:vAlign w:val="center"/>
                </w:tcPr>
                <w:p w14:paraId="0E3CA5F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1m</w:t>
                  </w:r>
                </w:p>
              </w:tc>
            </w:tr>
            <w:tr w14:paraId="7A04383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5B17D44E">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3</w:t>
                  </w:r>
                </w:p>
              </w:tc>
              <w:tc>
                <w:tcPr>
                  <w:tcW w:w="261" w:type="pct"/>
                  <w:vMerge w:val="continue"/>
                  <w:noWrap w:val="0"/>
                  <w:vAlign w:val="center"/>
                </w:tcPr>
                <w:p w14:paraId="2E3A5D23">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p>
              </w:tc>
              <w:tc>
                <w:tcPr>
                  <w:tcW w:w="511" w:type="pct"/>
                  <w:noWrap w:val="0"/>
                  <w:vAlign w:val="center"/>
                </w:tcPr>
                <w:p w14:paraId="5FF45E3D">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pacing w:val="0"/>
                      <w:sz w:val="21"/>
                      <w:szCs w:val="21"/>
                      <w:lang w:val="en-US" w:eastAsia="zh-CN"/>
                    </w:rPr>
                    <w:t>发泡机</w:t>
                  </w:r>
                </w:p>
              </w:tc>
              <w:tc>
                <w:tcPr>
                  <w:tcW w:w="471" w:type="pct"/>
                  <w:noWrap w:val="0"/>
                  <w:vAlign w:val="center"/>
                </w:tcPr>
                <w:p w14:paraId="46937B57">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GJ-RT-2200</w:t>
                  </w:r>
                </w:p>
              </w:tc>
              <w:tc>
                <w:tcPr>
                  <w:tcW w:w="201" w:type="pct"/>
                  <w:noWrap w:val="0"/>
                  <w:vAlign w:val="center"/>
                </w:tcPr>
                <w:p w14:paraId="07D6EC2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49529BF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70</w:t>
                  </w:r>
                </w:p>
              </w:tc>
              <w:tc>
                <w:tcPr>
                  <w:tcW w:w="275" w:type="pct"/>
                  <w:vMerge w:val="continue"/>
                  <w:noWrap w:val="0"/>
                  <w:vAlign w:val="center"/>
                </w:tcPr>
                <w:p w14:paraId="454A217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6C4ECFEC">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66</w:t>
                  </w:r>
                </w:p>
              </w:tc>
              <w:tc>
                <w:tcPr>
                  <w:tcW w:w="228" w:type="pct"/>
                  <w:noWrap w:val="0"/>
                  <w:vAlign w:val="center"/>
                </w:tcPr>
                <w:p w14:paraId="1886D764">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157</w:t>
                  </w:r>
                </w:p>
              </w:tc>
              <w:tc>
                <w:tcPr>
                  <w:tcW w:w="215" w:type="pct"/>
                  <w:noWrap w:val="0"/>
                  <w:vAlign w:val="center"/>
                </w:tcPr>
                <w:p w14:paraId="2434DEDC">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7AD4D11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380" w:type="pct"/>
                  <w:noWrap w:val="0"/>
                  <w:vAlign w:val="center"/>
                </w:tcPr>
                <w:p w14:paraId="0BE0EBE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51.96</w:t>
                  </w:r>
                </w:p>
              </w:tc>
              <w:tc>
                <w:tcPr>
                  <w:tcW w:w="201" w:type="pct"/>
                  <w:noWrap w:val="0"/>
                  <w:vAlign w:val="center"/>
                </w:tcPr>
                <w:p w14:paraId="0566E39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77F3738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5B3C032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30.96</w:t>
                  </w:r>
                </w:p>
              </w:tc>
              <w:tc>
                <w:tcPr>
                  <w:tcW w:w="565" w:type="pct"/>
                  <w:noWrap w:val="0"/>
                  <w:vAlign w:val="center"/>
                </w:tcPr>
                <w:p w14:paraId="24B87D6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3719607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39F491D2">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w:t>
                  </w:r>
                </w:p>
              </w:tc>
              <w:tc>
                <w:tcPr>
                  <w:tcW w:w="261" w:type="pct"/>
                  <w:vMerge w:val="continue"/>
                  <w:noWrap w:val="0"/>
                  <w:vAlign w:val="center"/>
                </w:tcPr>
                <w:p w14:paraId="2AD823AF">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p>
              </w:tc>
              <w:tc>
                <w:tcPr>
                  <w:tcW w:w="511" w:type="pct"/>
                  <w:noWrap w:val="0"/>
                  <w:vAlign w:val="center"/>
                </w:tcPr>
                <w:p w14:paraId="58E71C8A">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EPS节能型自动成型机</w:t>
                  </w:r>
                </w:p>
              </w:tc>
              <w:tc>
                <w:tcPr>
                  <w:tcW w:w="471" w:type="pct"/>
                  <w:noWrap w:val="0"/>
                  <w:vAlign w:val="center"/>
                </w:tcPr>
                <w:p w14:paraId="0FBFFB40">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5211FAA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2040BC1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5E96C3B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76EE67D8">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74</w:t>
                  </w:r>
                </w:p>
              </w:tc>
              <w:tc>
                <w:tcPr>
                  <w:tcW w:w="228" w:type="pct"/>
                  <w:noWrap w:val="0"/>
                  <w:vAlign w:val="center"/>
                </w:tcPr>
                <w:p w14:paraId="225969B2">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162</w:t>
                  </w:r>
                </w:p>
              </w:tc>
              <w:tc>
                <w:tcPr>
                  <w:tcW w:w="215" w:type="pct"/>
                  <w:noWrap w:val="0"/>
                  <w:vAlign w:val="center"/>
                </w:tcPr>
                <w:p w14:paraId="166A7904">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4A27171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380" w:type="pct"/>
                  <w:noWrap w:val="0"/>
                  <w:vAlign w:val="center"/>
                </w:tcPr>
                <w:p w14:paraId="1544513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66.96</w:t>
                  </w:r>
                </w:p>
              </w:tc>
              <w:tc>
                <w:tcPr>
                  <w:tcW w:w="201" w:type="pct"/>
                  <w:noWrap w:val="0"/>
                  <w:vAlign w:val="center"/>
                </w:tcPr>
                <w:p w14:paraId="52BD65B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3E2F809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0E8FA67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45.96</w:t>
                  </w:r>
                </w:p>
              </w:tc>
              <w:tc>
                <w:tcPr>
                  <w:tcW w:w="565" w:type="pct"/>
                  <w:noWrap w:val="0"/>
                  <w:vAlign w:val="center"/>
                </w:tcPr>
                <w:p w14:paraId="2F09F51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29AFDC29">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1F25D200">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5</w:t>
                  </w:r>
                </w:p>
              </w:tc>
              <w:tc>
                <w:tcPr>
                  <w:tcW w:w="261" w:type="pct"/>
                  <w:vMerge w:val="continue"/>
                  <w:noWrap w:val="0"/>
                  <w:vAlign w:val="center"/>
                </w:tcPr>
                <w:p w14:paraId="79DFD07A">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p>
              </w:tc>
              <w:tc>
                <w:tcPr>
                  <w:tcW w:w="511" w:type="pct"/>
                  <w:noWrap w:val="0"/>
                  <w:vAlign w:val="center"/>
                </w:tcPr>
                <w:p w14:paraId="3EB9C3CF">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olor w:val="auto"/>
                      <w:sz w:val="21"/>
                      <w:szCs w:val="21"/>
                      <w:highlight w:val="none"/>
                    </w:rPr>
                    <w:t>EPS节能型自动成型机</w:t>
                  </w:r>
                </w:p>
              </w:tc>
              <w:tc>
                <w:tcPr>
                  <w:tcW w:w="471" w:type="pct"/>
                  <w:noWrap w:val="0"/>
                  <w:vAlign w:val="center"/>
                </w:tcPr>
                <w:p w14:paraId="6D9A97D6">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49BF85DB">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2ED3A88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7EF9F94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2D496E62">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79</w:t>
                  </w:r>
                </w:p>
              </w:tc>
              <w:tc>
                <w:tcPr>
                  <w:tcW w:w="228" w:type="pct"/>
                  <w:noWrap w:val="0"/>
                  <w:vAlign w:val="center"/>
                </w:tcPr>
                <w:p w14:paraId="364B887B">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166</w:t>
                  </w:r>
                </w:p>
              </w:tc>
              <w:tc>
                <w:tcPr>
                  <w:tcW w:w="215" w:type="pct"/>
                  <w:noWrap w:val="0"/>
                  <w:vAlign w:val="center"/>
                </w:tcPr>
                <w:p w14:paraId="479CE43D">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2505C13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380" w:type="pct"/>
                  <w:noWrap w:val="0"/>
                  <w:vAlign w:val="center"/>
                </w:tcPr>
                <w:p w14:paraId="75A6F5F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66.96</w:t>
                  </w:r>
                </w:p>
              </w:tc>
              <w:tc>
                <w:tcPr>
                  <w:tcW w:w="201" w:type="pct"/>
                  <w:noWrap w:val="0"/>
                  <w:vAlign w:val="center"/>
                </w:tcPr>
                <w:p w14:paraId="71AE545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74CA099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1FEEFA2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45.96</w:t>
                  </w:r>
                </w:p>
              </w:tc>
              <w:tc>
                <w:tcPr>
                  <w:tcW w:w="565" w:type="pct"/>
                  <w:noWrap w:val="0"/>
                  <w:vAlign w:val="center"/>
                </w:tcPr>
                <w:p w14:paraId="5961591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7F3528BD">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31BA77A4">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w:t>
                  </w:r>
                </w:p>
              </w:tc>
              <w:tc>
                <w:tcPr>
                  <w:tcW w:w="261" w:type="pct"/>
                  <w:vMerge w:val="continue"/>
                  <w:noWrap w:val="0"/>
                  <w:vAlign w:val="center"/>
                </w:tcPr>
                <w:p w14:paraId="7A90852B">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p>
              </w:tc>
              <w:tc>
                <w:tcPr>
                  <w:tcW w:w="511" w:type="pct"/>
                  <w:noWrap w:val="0"/>
                  <w:vAlign w:val="center"/>
                </w:tcPr>
                <w:p w14:paraId="4B5B49C2">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olor w:val="auto"/>
                      <w:sz w:val="21"/>
                      <w:szCs w:val="21"/>
                      <w:highlight w:val="none"/>
                    </w:rPr>
                    <w:t>EPS节能型自动成型机</w:t>
                  </w:r>
                </w:p>
              </w:tc>
              <w:tc>
                <w:tcPr>
                  <w:tcW w:w="471" w:type="pct"/>
                  <w:noWrap w:val="0"/>
                  <w:vAlign w:val="center"/>
                </w:tcPr>
                <w:p w14:paraId="0D59BA37">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53DC95D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349F3A5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43D771F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64F13483">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83</w:t>
                  </w:r>
                </w:p>
              </w:tc>
              <w:tc>
                <w:tcPr>
                  <w:tcW w:w="228" w:type="pct"/>
                  <w:noWrap w:val="0"/>
                  <w:vAlign w:val="center"/>
                </w:tcPr>
                <w:p w14:paraId="5BC4664C">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170</w:t>
                  </w:r>
                </w:p>
              </w:tc>
              <w:tc>
                <w:tcPr>
                  <w:tcW w:w="215" w:type="pct"/>
                  <w:noWrap w:val="0"/>
                  <w:vAlign w:val="center"/>
                </w:tcPr>
                <w:p w14:paraId="2D758CFA">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7FC91BF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380" w:type="pct"/>
                  <w:noWrap w:val="0"/>
                  <w:vAlign w:val="center"/>
                </w:tcPr>
                <w:p w14:paraId="1F7A3AAB">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66.96</w:t>
                  </w:r>
                </w:p>
              </w:tc>
              <w:tc>
                <w:tcPr>
                  <w:tcW w:w="201" w:type="pct"/>
                  <w:noWrap w:val="0"/>
                  <w:vAlign w:val="center"/>
                </w:tcPr>
                <w:p w14:paraId="34A9C58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429A9E4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0BD0135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45.96</w:t>
                  </w:r>
                </w:p>
              </w:tc>
              <w:tc>
                <w:tcPr>
                  <w:tcW w:w="565" w:type="pct"/>
                  <w:noWrap w:val="0"/>
                  <w:vAlign w:val="center"/>
                </w:tcPr>
                <w:p w14:paraId="26CF4FD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6F10859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7B3CC118">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7</w:t>
                  </w:r>
                </w:p>
              </w:tc>
              <w:tc>
                <w:tcPr>
                  <w:tcW w:w="261" w:type="pct"/>
                  <w:vMerge w:val="continue"/>
                  <w:noWrap w:val="0"/>
                  <w:vAlign w:val="center"/>
                </w:tcPr>
                <w:p w14:paraId="2106DC11">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p>
              </w:tc>
              <w:tc>
                <w:tcPr>
                  <w:tcW w:w="511" w:type="pct"/>
                  <w:noWrap w:val="0"/>
                  <w:vAlign w:val="center"/>
                </w:tcPr>
                <w:p w14:paraId="16C6E7DA">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olor w:val="auto"/>
                      <w:sz w:val="21"/>
                      <w:szCs w:val="21"/>
                      <w:highlight w:val="none"/>
                    </w:rPr>
                    <w:t>EPS节能型自动成型机</w:t>
                  </w:r>
                </w:p>
              </w:tc>
              <w:tc>
                <w:tcPr>
                  <w:tcW w:w="471" w:type="pct"/>
                  <w:noWrap w:val="0"/>
                  <w:vAlign w:val="center"/>
                </w:tcPr>
                <w:p w14:paraId="45CDBAA0">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7FBD9A3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51CA7EB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21F8404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117C99C8">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86</w:t>
                  </w:r>
                </w:p>
              </w:tc>
              <w:tc>
                <w:tcPr>
                  <w:tcW w:w="228" w:type="pct"/>
                  <w:noWrap w:val="0"/>
                  <w:vAlign w:val="center"/>
                </w:tcPr>
                <w:p w14:paraId="0ED5FBF9">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172</w:t>
                  </w:r>
                </w:p>
              </w:tc>
              <w:tc>
                <w:tcPr>
                  <w:tcW w:w="215" w:type="pct"/>
                  <w:noWrap w:val="0"/>
                  <w:vAlign w:val="center"/>
                </w:tcPr>
                <w:p w14:paraId="21EEAABE">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27909E1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10</w:t>
                  </w:r>
                </w:p>
              </w:tc>
              <w:tc>
                <w:tcPr>
                  <w:tcW w:w="380" w:type="pct"/>
                  <w:noWrap w:val="0"/>
                  <w:vAlign w:val="center"/>
                </w:tcPr>
                <w:p w14:paraId="197A7BD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66.96</w:t>
                  </w:r>
                </w:p>
              </w:tc>
              <w:tc>
                <w:tcPr>
                  <w:tcW w:w="201" w:type="pct"/>
                  <w:noWrap w:val="0"/>
                  <w:vAlign w:val="center"/>
                </w:tcPr>
                <w:p w14:paraId="491482E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075CADF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380AFA1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45.96</w:t>
                  </w:r>
                </w:p>
              </w:tc>
              <w:tc>
                <w:tcPr>
                  <w:tcW w:w="565" w:type="pct"/>
                  <w:noWrap w:val="0"/>
                  <w:vAlign w:val="center"/>
                </w:tcPr>
                <w:p w14:paraId="0CE3A18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7F4DAF2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6DEB7670">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8</w:t>
                  </w:r>
                </w:p>
              </w:tc>
              <w:tc>
                <w:tcPr>
                  <w:tcW w:w="261" w:type="pct"/>
                  <w:vMerge w:val="continue"/>
                  <w:noWrap w:val="0"/>
                  <w:vAlign w:val="center"/>
                </w:tcPr>
                <w:p w14:paraId="7E55A326">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p>
              </w:tc>
              <w:tc>
                <w:tcPr>
                  <w:tcW w:w="511" w:type="pct"/>
                  <w:noWrap w:val="0"/>
                  <w:vAlign w:val="center"/>
                </w:tcPr>
                <w:p w14:paraId="3D35D4E9">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olor w:val="auto"/>
                      <w:sz w:val="21"/>
                      <w:szCs w:val="21"/>
                      <w:highlight w:val="none"/>
                    </w:rPr>
                    <w:t>EPS节能型自动成型机</w:t>
                  </w:r>
                </w:p>
              </w:tc>
              <w:tc>
                <w:tcPr>
                  <w:tcW w:w="471" w:type="pct"/>
                  <w:noWrap w:val="0"/>
                  <w:vAlign w:val="center"/>
                </w:tcPr>
                <w:p w14:paraId="015A14D2">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0A11DB4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01EB023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5298105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660749BB">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69</w:t>
                  </w:r>
                </w:p>
              </w:tc>
              <w:tc>
                <w:tcPr>
                  <w:tcW w:w="228" w:type="pct"/>
                  <w:noWrap w:val="0"/>
                  <w:vAlign w:val="center"/>
                </w:tcPr>
                <w:p w14:paraId="2146ED7B">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149</w:t>
                  </w:r>
                </w:p>
              </w:tc>
              <w:tc>
                <w:tcPr>
                  <w:tcW w:w="215" w:type="pct"/>
                  <w:noWrap w:val="0"/>
                  <w:vAlign w:val="center"/>
                </w:tcPr>
                <w:p w14:paraId="712926E5">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55ED1D2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8</w:t>
                  </w:r>
                </w:p>
              </w:tc>
              <w:tc>
                <w:tcPr>
                  <w:tcW w:w="380" w:type="pct"/>
                  <w:noWrap w:val="0"/>
                  <w:vAlign w:val="center"/>
                </w:tcPr>
                <w:p w14:paraId="49E9C9A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66.96</w:t>
                  </w:r>
                </w:p>
              </w:tc>
              <w:tc>
                <w:tcPr>
                  <w:tcW w:w="201" w:type="pct"/>
                  <w:noWrap w:val="0"/>
                  <w:vAlign w:val="center"/>
                </w:tcPr>
                <w:p w14:paraId="56D9937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44198D2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6DA4AAB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45.96</w:t>
                  </w:r>
                </w:p>
              </w:tc>
              <w:tc>
                <w:tcPr>
                  <w:tcW w:w="565" w:type="pct"/>
                  <w:noWrap w:val="0"/>
                  <w:vAlign w:val="center"/>
                </w:tcPr>
                <w:p w14:paraId="3E4E3C5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523C6D1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7D8A5CA1">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9</w:t>
                  </w:r>
                </w:p>
              </w:tc>
              <w:tc>
                <w:tcPr>
                  <w:tcW w:w="261" w:type="pct"/>
                  <w:vMerge w:val="continue"/>
                  <w:noWrap w:val="0"/>
                  <w:vAlign w:val="center"/>
                </w:tcPr>
                <w:p w14:paraId="33797A65">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p>
              </w:tc>
              <w:tc>
                <w:tcPr>
                  <w:tcW w:w="511" w:type="pct"/>
                  <w:noWrap w:val="0"/>
                  <w:vAlign w:val="center"/>
                </w:tcPr>
                <w:p w14:paraId="062E2895">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olor w:val="auto"/>
                      <w:sz w:val="21"/>
                      <w:szCs w:val="21"/>
                      <w:highlight w:val="none"/>
                    </w:rPr>
                    <w:t>EPS节能型自动成型机</w:t>
                  </w:r>
                </w:p>
              </w:tc>
              <w:tc>
                <w:tcPr>
                  <w:tcW w:w="471" w:type="pct"/>
                  <w:noWrap w:val="0"/>
                  <w:vAlign w:val="center"/>
                </w:tcPr>
                <w:p w14:paraId="4E532EAF">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52269E6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3BB31DF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08A2141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sz w:val="21"/>
                      <w:szCs w:val="21"/>
                      <w:lang w:val="en-US" w:eastAsia="zh-CN"/>
                    </w:rPr>
                  </w:pPr>
                </w:p>
              </w:tc>
              <w:tc>
                <w:tcPr>
                  <w:tcW w:w="191" w:type="pct"/>
                  <w:noWrap w:val="0"/>
                  <w:vAlign w:val="center"/>
                </w:tcPr>
                <w:p w14:paraId="4D5D09F1">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84</w:t>
                  </w:r>
                </w:p>
              </w:tc>
              <w:tc>
                <w:tcPr>
                  <w:tcW w:w="228" w:type="pct"/>
                  <w:noWrap w:val="0"/>
                  <w:vAlign w:val="center"/>
                </w:tcPr>
                <w:p w14:paraId="2B55F71C">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157</w:t>
                  </w:r>
                </w:p>
              </w:tc>
              <w:tc>
                <w:tcPr>
                  <w:tcW w:w="215" w:type="pct"/>
                  <w:noWrap w:val="0"/>
                  <w:vAlign w:val="center"/>
                </w:tcPr>
                <w:p w14:paraId="6D094E3B">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2579112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8</w:t>
                  </w:r>
                </w:p>
              </w:tc>
              <w:tc>
                <w:tcPr>
                  <w:tcW w:w="380" w:type="pct"/>
                  <w:noWrap w:val="0"/>
                  <w:vAlign w:val="center"/>
                </w:tcPr>
                <w:p w14:paraId="311AC01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66.96</w:t>
                  </w:r>
                </w:p>
              </w:tc>
              <w:tc>
                <w:tcPr>
                  <w:tcW w:w="201" w:type="pct"/>
                  <w:noWrap w:val="0"/>
                  <w:vAlign w:val="center"/>
                </w:tcPr>
                <w:p w14:paraId="5291EAC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676B2CB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68C5DDE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45.96</w:t>
                  </w:r>
                </w:p>
              </w:tc>
              <w:tc>
                <w:tcPr>
                  <w:tcW w:w="565" w:type="pct"/>
                  <w:noWrap w:val="0"/>
                  <w:vAlign w:val="center"/>
                </w:tcPr>
                <w:p w14:paraId="08875C2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4741582C">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5420F8F6">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bidi="zh-CN"/>
                    </w:rPr>
                    <w:t>10</w:t>
                  </w:r>
                </w:p>
              </w:tc>
              <w:tc>
                <w:tcPr>
                  <w:tcW w:w="261" w:type="pct"/>
                  <w:vMerge w:val="continue"/>
                  <w:noWrap w:val="0"/>
                  <w:vAlign w:val="center"/>
                </w:tcPr>
                <w:p w14:paraId="3D505FE3">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5DF06FD5">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pacing w:val="0"/>
                      <w:sz w:val="21"/>
                      <w:szCs w:val="21"/>
                      <w:lang w:val="en-US" w:eastAsia="zh-CN"/>
                    </w:rPr>
                    <w:t>风机</w:t>
                  </w:r>
                </w:p>
              </w:tc>
              <w:tc>
                <w:tcPr>
                  <w:tcW w:w="471" w:type="pct"/>
                  <w:noWrap w:val="0"/>
                  <w:vAlign w:val="center"/>
                </w:tcPr>
                <w:p w14:paraId="1A2ADB85">
                  <w:pPr>
                    <w:pStyle w:val="8"/>
                    <w:keepNext w:val="0"/>
                    <w:keepLines w:val="0"/>
                    <w:pageBreakBefore w:val="0"/>
                    <w:kinsoku/>
                    <w:wordWrap/>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z w:val="21"/>
                      <w:szCs w:val="21"/>
                      <w:lang w:val="en-US" w:eastAsia="zh-CN" w:bidi="zh-CN"/>
                    </w:rPr>
                  </w:pPr>
                  <w:r>
                    <w:rPr>
                      <w:rFonts w:hint="eastAsia" w:eastAsia="宋体" w:cs="Times New Roman"/>
                      <w:color w:val="auto"/>
                      <w:spacing w:val="0"/>
                      <w:sz w:val="21"/>
                      <w:szCs w:val="21"/>
                      <w:lang w:val="en-US" w:eastAsia="zh-CN" w:bidi="ar-SA"/>
                    </w:rPr>
                    <w:t>8000</w:t>
                  </w:r>
                  <w:r>
                    <w:rPr>
                      <w:rFonts w:hint="eastAsia" w:ascii="Times New Roman" w:hAnsi="Times New Roman" w:eastAsia="宋体" w:cs="Times New Roman"/>
                      <w:color w:val="auto"/>
                      <w:kern w:val="0"/>
                      <w:sz w:val="21"/>
                      <w:szCs w:val="21"/>
                      <w:lang w:val="en-US" w:eastAsia="zh-CN"/>
                    </w:rPr>
                    <w:t>m</w:t>
                  </w:r>
                  <w:r>
                    <w:rPr>
                      <w:rFonts w:hint="eastAsia" w:ascii="Times New Roman" w:hAnsi="Times New Roman" w:eastAsia="宋体" w:cs="Times New Roman"/>
                      <w:color w:val="auto"/>
                      <w:kern w:val="0"/>
                      <w:sz w:val="21"/>
                      <w:szCs w:val="21"/>
                      <w:vertAlign w:val="superscript"/>
                      <w:lang w:val="en-US" w:eastAsia="zh-CN"/>
                    </w:rPr>
                    <w:t>3</w:t>
                  </w:r>
                  <w:r>
                    <w:rPr>
                      <w:rFonts w:hint="eastAsia" w:ascii="Times New Roman" w:hAnsi="Times New Roman" w:eastAsia="宋体" w:cs="Times New Roman"/>
                      <w:color w:val="auto"/>
                      <w:kern w:val="0"/>
                      <w:sz w:val="21"/>
                      <w:szCs w:val="21"/>
                      <w:vertAlign w:val="baseline"/>
                      <w:lang w:val="en-US" w:eastAsia="zh-CN"/>
                    </w:rPr>
                    <w:t>/h</w:t>
                  </w:r>
                </w:p>
              </w:tc>
              <w:tc>
                <w:tcPr>
                  <w:tcW w:w="201" w:type="pct"/>
                  <w:noWrap w:val="0"/>
                  <w:vAlign w:val="center"/>
                </w:tcPr>
                <w:p w14:paraId="4234FC9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cs="Times New Roman"/>
                      <w:color w:val="auto"/>
                      <w:sz w:val="21"/>
                      <w:szCs w:val="21"/>
                      <w:lang w:val="en-US"/>
                    </w:rPr>
                    <w:t>1</w:t>
                  </w:r>
                </w:p>
              </w:tc>
              <w:tc>
                <w:tcPr>
                  <w:tcW w:w="357" w:type="pct"/>
                  <w:noWrap w:val="0"/>
                  <w:vAlign w:val="center"/>
                </w:tcPr>
                <w:p w14:paraId="245473F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bidi="zh-CN"/>
                    </w:rPr>
                    <w:t>85</w:t>
                  </w:r>
                </w:p>
              </w:tc>
              <w:tc>
                <w:tcPr>
                  <w:tcW w:w="275" w:type="pct"/>
                  <w:vMerge w:val="continue"/>
                  <w:noWrap w:val="0"/>
                  <w:vAlign w:val="center"/>
                </w:tcPr>
                <w:p w14:paraId="1A3F40A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0DA5C93F">
                  <w:pPr>
                    <w:pStyle w:val="8"/>
                    <w:keepNext w:val="0"/>
                    <w:keepLines w:val="0"/>
                    <w:pageBreakBefore w:val="0"/>
                    <w:kinsoku/>
                    <w:wordWrap/>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bidi="zh-CN"/>
                    </w:rPr>
                    <w:t>70</w:t>
                  </w:r>
                </w:p>
              </w:tc>
              <w:tc>
                <w:tcPr>
                  <w:tcW w:w="228" w:type="pct"/>
                  <w:noWrap w:val="0"/>
                  <w:vAlign w:val="center"/>
                </w:tcPr>
                <w:p w14:paraId="7677093F">
                  <w:pPr>
                    <w:pStyle w:val="8"/>
                    <w:keepNext w:val="0"/>
                    <w:keepLines w:val="0"/>
                    <w:pageBreakBefore w:val="0"/>
                    <w:kinsoku/>
                    <w:wordWrap/>
                    <w:autoSpaceDE/>
                    <w:autoSpaceDN/>
                    <w:bidi w:val="0"/>
                    <w:adjustRightInd w:val="0"/>
                    <w:snapToGrid w:val="0"/>
                    <w:spacing w:before="0" w:after="0" w:line="240" w:lineRule="auto"/>
                    <w:ind w:right="0" w:rightChars="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bidi="zh-CN"/>
                    </w:rPr>
                    <w:t>165</w:t>
                  </w:r>
                </w:p>
              </w:tc>
              <w:tc>
                <w:tcPr>
                  <w:tcW w:w="215" w:type="pct"/>
                  <w:noWrap w:val="0"/>
                  <w:vAlign w:val="center"/>
                </w:tcPr>
                <w:p w14:paraId="7982B114">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10A3095B">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bidi="zh-CN"/>
                    </w:rPr>
                    <w:t>2</w:t>
                  </w:r>
                </w:p>
              </w:tc>
              <w:tc>
                <w:tcPr>
                  <w:tcW w:w="380" w:type="pct"/>
                  <w:noWrap w:val="0"/>
                  <w:vAlign w:val="center"/>
                </w:tcPr>
                <w:p w14:paraId="2668F7B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73.94</w:t>
                  </w:r>
                </w:p>
              </w:tc>
              <w:tc>
                <w:tcPr>
                  <w:tcW w:w="201" w:type="pct"/>
                  <w:noWrap w:val="0"/>
                  <w:vAlign w:val="center"/>
                </w:tcPr>
                <w:p w14:paraId="6506071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8h</w:t>
                  </w:r>
                </w:p>
              </w:tc>
              <w:tc>
                <w:tcPr>
                  <w:tcW w:w="316" w:type="pct"/>
                  <w:noWrap w:val="0"/>
                  <w:vAlign w:val="center"/>
                </w:tcPr>
                <w:p w14:paraId="25FDD36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15</w:t>
                  </w:r>
                </w:p>
              </w:tc>
              <w:tc>
                <w:tcPr>
                  <w:tcW w:w="284" w:type="pct"/>
                  <w:noWrap w:val="0"/>
                  <w:vAlign w:val="center"/>
                </w:tcPr>
                <w:p w14:paraId="0112324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52.94</w:t>
                  </w:r>
                </w:p>
              </w:tc>
              <w:tc>
                <w:tcPr>
                  <w:tcW w:w="565" w:type="pct"/>
                  <w:noWrap w:val="0"/>
                  <w:vAlign w:val="center"/>
                </w:tcPr>
                <w:p w14:paraId="42614C0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1m</w:t>
                  </w:r>
                </w:p>
              </w:tc>
            </w:tr>
            <w:tr w14:paraId="5EF248D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76516BB1">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11</w:t>
                  </w:r>
                </w:p>
              </w:tc>
              <w:tc>
                <w:tcPr>
                  <w:tcW w:w="261" w:type="pct"/>
                  <w:vMerge w:val="continue"/>
                  <w:noWrap w:val="0"/>
                  <w:vAlign w:val="center"/>
                </w:tcPr>
                <w:p w14:paraId="19FCD212">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1FDC434C">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循环水泵</w:t>
                  </w:r>
                </w:p>
              </w:tc>
              <w:tc>
                <w:tcPr>
                  <w:tcW w:w="471" w:type="pct"/>
                  <w:noWrap w:val="0"/>
                  <w:vAlign w:val="center"/>
                </w:tcPr>
                <w:p w14:paraId="39F8A842">
                  <w:pPr>
                    <w:pStyle w:val="8"/>
                    <w:keepNext w:val="0"/>
                    <w:keepLines w:val="0"/>
                    <w:pageBreakBefore w:val="0"/>
                    <w:kinsoku/>
                    <w:wordWrap/>
                    <w:autoSpaceDE/>
                    <w:autoSpaceDN/>
                    <w:bidi w:val="0"/>
                    <w:adjustRightInd w:val="0"/>
                    <w:snapToGrid w:val="0"/>
                    <w:spacing w:before="0" w:after="0" w:line="240" w:lineRule="auto"/>
                    <w:ind w:right="0" w:rightChars="0"/>
                    <w:jc w:val="center"/>
                    <w:textAlignment w:val="auto"/>
                    <w:rPr>
                      <w:rFonts w:hint="eastAsia" w:eastAsia="宋体" w:cs="Times New Roman"/>
                      <w:color w:val="auto"/>
                      <w:spacing w:val="0"/>
                      <w:sz w:val="21"/>
                      <w:szCs w:val="21"/>
                      <w:lang w:val="en-US" w:eastAsia="zh-CN" w:bidi="ar-SA"/>
                    </w:rPr>
                  </w:pPr>
                  <w:r>
                    <w:rPr>
                      <w:rFonts w:hint="eastAsia" w:ascii="Times New Roman" w:hAnsi="Times New Roman" w:eastAsia="宋体" w:cs="Times New Roman"/>
                      <w:color w:val="auto"/>
                      <w:kern w:val="0"/>
                      <w:sz w:val="21"/>
                      <w:szCs w:val="21"/>
                      <w:lang w:val="en-US" w:eastAsia="zh-CN"/>
                    </w:rPr>
                    <w:t>6m</w:t>
                  </w:r>
                  <w:r>
                    <w:rPr>
                      <w:rFonts w:hint="eastAsia" w:ascii="Times New Roman" w:hAnsi="Times New Roman" w:eastAsia="宋体" w:cs="Times New Roman"/>
                      <w:color w:val="auto"/>
                      <w:kern w:val="0"/>
                      <w:sz w:val="21"/>
                      <w:szCs w:val="21"/>
                      <w:vertAlign w:val="superscript"/>
                      <w:lang w:val="en-US" w:eastAsia="zh-CN"/>
                    </w:rPr>
                    <w:t>3</w:t>
                  </w:r>
                  <w:r>
                    <w:rPr>
                      <w:rFonts w:hint="eastAsia" w:ascii="Times New Roman" w:hAnsi="Times New Roman" w:eastAsia="宋体" w:cs="Times New Roman"/>
                      <w:color w:val="auto"/>
                      <w:kern w:val="0"/>
                      <w:sz w:val="21"/>
                      <w:szCs w:val="21"/>
                      <w:vertAlign w:val="baseline"/>
                      <w:lang w:val="en-US" w:eastAsia="zh-CN"/>
                    </w:rPr>
                    <w:t>/h</w:t>
                  </w:r>
                </w:p>
              </w:tc>
              <w:tc>
                <w:tcPr>
                  <w:tcW w:w="201" w:type="pct"/>
                  <w:noWrap w:val="0"/>
                  <w:vAlign w:val="center"/>
                </w:tcPr>
                <w:p w14:paraId="2437036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2C66B75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85</w:t>
                  </w:r>
                </w:p>
              </w:tc>
              <w:tc>
                <w:tcPr>
                  <w:tcW w:w="275" w:type="pct"/>
                  <w:vMerge w:val="continue"/>
                  <w:noWrap w:val="0"/>
                  <w:vAlign w:val="center"/>
                </w:tcPr>
                <w:p w14:paraId="4B54889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3748247D">
                  <w:pPr>
                    <w:pStyle w:val="8"/>
                    <w:keepNext w:val="0"/>
                    <w:keepLines w:val="0"/>
                    <w:pageBreakBefore w:val="0"/>
                    <w:kinsoku/>
                    <w:wordWrap/>
                    <w:autoSpaceDE/>
                    <w:autoSpaceDN/>
                    <w:bidi w:val="0"/>
                    <w:adjustRightInd w:val="0"/>
                    <w:snapToGrid w:val="0"/>
                    <w:spacing w:before="0" w:after="0" w:line="240" w:lineRule="auto"/>
                    <w:ind w:right="0" w:rightChars="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20</w:t>
                  </w:r>
                </w:p>
              </w:tc>
              <w:tc>
                <w:tcPr>
                  <w:tcW w:w="228" w:type="pct"/>
                  <w:noWrap w:val="0"/>
                  <w:vAlign w:val="center"/>
                </w:tcPr>
                <w:p w14:paraId="33F78B58">
                  <w:pPr>
                    <w:pStyle w:val="8"/>
                    <w:keepNext w:val="0"/>
                    <w:keepLines w:val="0"/>
                    <w:pageBreakBefore w:val="0"/>
                    <w:kinsoku/>
                    <w:wordWrap/>
                    <w:autoSpaceDE/>
                    <w:autoSpaceDN/>
                    <w:bidi w:val="0"/>
                    <w:adjustRightInd w:val="0"/>
                    <w:snapToGrid w:val="0"/>
                    <w:spacing w:before="0" w:after="0" w:line="240" w:lineRule="auto"/>
                    <w:ind w:right="0" w:rightChars="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75</w:t>
                  </w:r>
                </w:p>
              </w:tc>
              <w:tc>
                <w:tcPr>
                  <w:tcW w:w="215" w:type="pct"/>
                  <w:noWrap w:val="0"/>
                  <w:vAlign w:val="center"/>
                </w:tcPr>
                <w:p w14:paraId="7DEBEA78">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0292E53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2</w:t>
                  </w:r>
                </w:p>
              </w:tc>
              <w:tc>
                <w:tcPr>
                  <w:tcW w:w="380" w:type="pct"/>
                  <w:noWrap w:val="0"/>
                  <w:vAlign w:val="center"/>
                </w:tcPr>
                <w:p w14:paraId="15DFD2F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73.94</w:t>
                  </w:r>
                </w:p>
              </w:tc>
              <w:tc>
                <w:tcPr>
                  <w:tcW w:w="201" w:type="pct"/>
                  <w:noWrap w:val="0"/>
                  <w:vAlign w:val="center"/>
                </w:tcPr>
                <w:p w14:paraId="50F90E0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5F3C184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618E416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bidi="zh-CN"/>
                    </w:rPr>
                    <w:t>52.94</w:t>
                  </w:r>
                </w:p>
              </w:tc>
              <w:tc>
                <w:tcPr>
                  <w:tcW w:w="565" w:type="pct"/>
                  <w:noWrap w:val="0"/>
                  <w:vAlign w:val="center"/>
                </w:tcPr>
                <w:p w14:paraId="7983EF8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149C43E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5000" w:type="pct"/>
                  <w:gridSpan w:val="16"/>
                  <w:noWrap w:val="0"/>
                  <w:vAlign w:val="center"/>
                </w:tcPr>
                <w:p w14:paraId="5DFC4BE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b/>
                      <w:bCs/>
                      <w:color w:val="auto"/>
                      <w:sz w:val="21"/>
                      <w:szCs w:val="21"/>
                      <w:lang w:val="en-US" w:eastAsia="zh-CN"/>
                    </w:rPr>
                    <w:t>二期</w:t>
                  </w:r>
                </w:p>
              </w:tc>
            </w:tr>
            <w:tr w14:paraId="161291D9">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86" w:type="pct"/>
                  <w:noWrap w:val="0"/>
                  <w:vAlign w:val="center"/>
                </w:tcPr>
                <w:p w14:paraId="28218467">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w:t>
                  </w:r>
                </w:p>
              </w:tc>
              <w:tc>
                <w:tcPr>
                  <w:tcW w:w="261" w:type="pct"/>
                  <w:vMerge w:val="restart"/>
                  <w:noWrap w:val="0"/>
                  <w:vAlign w:val="center"/>
                </w:tcPr>
                <w:p w14:paraId="5D96D203">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bidi="zh-CN"/>
                    </w:rPr>
                    <w:t>生产车间2</w:t>
                  </w:r>
                </w:p>
              </w:tc>
              <w:tc>
                <w:tcPr>
                  <w:tcW w:w="511" w:type="pct"/>
                  <w:noWrap w:val="0"/>
                  <w:vAlign w:val="center"/>
                </w:tcPr>
                <w:p w14:paraId="54E972CB">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pacing w:val="0"/>
                      <w:sz w:val="21"/>
                      <w:szCs w:val="21"/>
                      <w:lang w:val="en-US" w:eastAsia="zh-CN"/>
                    </w:rPr>
                    <w:t>发泡机</w:t>
                  </w:r>
                </w:p>
              </w:tc>
              <w:tc>
                <w:tcPr>
                  <w:tcW w:w="471" w:type="pct"/>
                  <w:noWrap w:val="0"/>
                  <w:vAlign w:val="center"/>
                </w:tcPr>
                <w:p w14:paraId="09DE1BE4">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rPr>
                    <w:t>GJ-RT-2200</w:t>
                  </w:r>
                </w:p>
              </w:tc>
              <w:tc>
                <w:tcPr>
                  <w:tcW w:w="201" w:type="pct"/>
                  <w:noWrap w:val="0"/>
                  <w:vAlign w:val="center"/>
                </w:tcPr>
                <w:p w14:paraId="44EAD54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ascii="Times New Roman" w:hAnsi="Times New Roman" w:eastAsia="宋体" w:cs="Times New Roman"/>
                      <w:color w:val="auto"/>
                      <w:sz w:val="21"/>
                      <w:szCs w:val="21"/>
                      <w:lang w:val="en-US" w:eastAsia="zh-CN" w:bidi="zh-CN"/>
                    </w:rPr>
                  </w:pPr>
                  <w:r>
                    <w:rPr>
                      <w:rFonts w:cs="Times New Roman"/>
                      <w:color w:val="auto"/>
                      <w:sz w:val="21"/>
                      <w:szCs w:val="21"/>
                      <w:lang w:val="en-US"/>
                    </w:rPr>
                    <w:t>1</w:t>
                  </w:r>
                </w:p>
              </w:tc>
              <w:tc>
                <w:tcPr>
                  <w:tcW w:w="357" w:type="pct"/>
                  <w:noWrap w:val="0"/>
                  <w:vAlign w:val="center"/>
                </w:tcPr>
                <w:p w14:paraId="6AABA6C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70</w:t>
                  </w:r>
                </w:p>
              </w:tc>
              <w:tc>
                <w:tcPr>
                  <w:tcW w:w="275" w:type="pct"/>
                  <w:vMerge w:val="restart"/>
                  <w:noWrap w:val="0"/>
                  <w:vAlign w:val="center"/>
                </w:tcPr>
                <w:p w14:paraId="7931578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车间</w:t>
                  </w:r>
                  <w:r>
                    <w:rPr>
                      <w:rFonts w:cs="Times New Roman"/>
                      <w:color w:val="auto"/>
                      <w:sz w:val="21"/>
                      <w:szCs w:val="21"/>
                    </w:rPr>
                    <w:t>隔声、减振</w:t>
                  </w:r>
                </w:p>
              </w:tc>
              <w:tc>
                <w:tcPr>
                  <w:tcW w:w="191" w:type="pct"/>
                  <w:noWrap w:val="0"/>
                  <w:vAlign w:val="center"/>
                </w:tcPr>
                <w:p w14:paraId="4A29EF1A">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7</w:t>
                  </w:r>
                </w:p>
              </w:tc>
              <w:tc>
                <w:tcPr>
                  <w:tcW w:w="228" w:type="pct"/>
                  <w:noWrap w:val="0"/>
                  <w:vAlign w:val="center"/>
                </w:tcPr>
                <w:p w14:paraId="0F45BA8D">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97</w:t>
                  </w:r>
                </w:p>
              </w:tc>
              <w:tc>
                <w:tcPr>
                  <w:tcW w:w="215" w:type="pct"/>
                  <w:noWrap w:val="0"/>
                  <w:vAlign w:val="center"/>
                </w:tcPr>
                <w:p w14:paraId="202D70FA">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05DF390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5</w:t>
                  </w:r>
                </w:p>
              </w:tc>
              <w:tc>
                <w:tcPr>
                  <w:tcW w:w="380" w:type="pct"/>
                  <w:noWrap w:val="0"/>
                  <w:vAlign w:val="center"/>
                </w:tcPr>
                <w:p w14:paraId="7949773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eastAsia="宋体" w:cs="Times New Roman"/>
                      <w:color w:val="auto"/>
                      <w:sz w:val="21"/>
                      <w:szCs w:val="21"/>
                      <w:lang w:val="en-US" w:eastAsia="zh-CN"/>
                    </w:rPr>
                    <w:t>57.96</w:t>
                  </w:r>
                </w:p>
              </w:tc>
              <w:tc>
                <w:tcPr>
                  <w:tcW w:w="201" w:type="pct"/>
                  <w:noWrap w:val="0"/>
                  <w:vAlign w:val="center"/>
                </w:tcPr>
                <w:p w14:paraId="29B9702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4609AAD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05B70C4B">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kern w:val="2"/>
                      <w:sz w:val="21"/>
                      <w:szCs w:val="21"/>
                      <w:lang w:val="en-US" w:eastAsia="zh-CN" w:bidi="ar-SA"/>
                    </w:rPr>
                  </w:pPr>
                  <w:r>
                    <w:rPr>
                      <w:rFonts w:hint="eastAsia" w:eastAsia="宋体" w:cs="Times New Roman"/>
                      <w:color w:val="auto"/>
                      <w:sz w:val="21"/>
                      <w:szCs w:val="21"/>
                      <w:lang w:val="en-US" w:eastAsia="zh-CN"/>
                    </w:rPr>
                    <w:t>36.96</w:t>
                  </w:r>
                </w:p>
              </w:tc>
              <w:tc>
                <w:tcPr>
                  <w:tcW w:w="565" w:type="pct"/>
                  <w:noWrap w:val="0"/>
                  <w:vAlign w:val="center"/>
                </w:tcPr>
                <w:p w14:paraId="530AE44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668B372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53DD649E">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2</w:t>
                  </w:r>
                </w:p>
              </w:tc>
              <w:tc>
                <w:tcPr>
                  <w:tcW w:w="261" w:type="pct"/>
                  <w:vMerge w:val="continue"/>
                  <w:noWrap w:val="0"/>
                  <w:vAlign w:val="center"/>
                </w:tcPr>
                <w:p w14:paraId="27DA65D0">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0D631936">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pacing w:val="0"/>
                      <w:sz w:val="21"/>
                      <w:szCs w:val="21"/>
                      <w:lang w:val="en-US" w:eastAsia="zh-CN"/>
                    </w:rPr>
                    <w:t>发泡机</w:t>
                  </w:r>
                </w:p>
              </w:tc>
              <w:tc>
                <w:tcPr>
                  <w:tcW w:w="471" w:type="pct"/>
                  <w:noWrap w:val="0"/>
                  <w:vAlign w:val="center"/>
                </w:tcPr>
                <w:p w14:paraId="1B123E47">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z w:val="21"/>
                      <w:szCs w:val="21"/>
                      <w:lang w:val="en-US" w:eastAsia="zh-CN"/>
                    </w:rPr>
                    <w:t>GJ-RT-2200</w:t>
                  </w:r>
                </w:p>
              </w:tc>
              <w:tc>
                <w:tcPr>
                  <w:tcW w:w="201" w:type="pct"/>
                  <w:noWrap w:val="0"/>
                  <w:vAlign w:val="center"/>
                </w:tcPr>
                <w:p w14:paraId="6745A35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7178596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70</w:t>
                  </w:r>
                </w:p>
              </w:tc>
              <w:tc>
                <w:tcPr>
                  <w:tcW w:w="275" w:type="pct"/>
                  <w:vMerge w:val="continue"/>
                  <w:noWrap w:val="0"/>
                  <w:vAlign w:val="center"/>
                </w:tcPr>
                <w:p w14:paraId="71E854C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633247B5">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13</w:t>
                  </w:r>
                </w:p>
              </w:tc>
              <w:tc>
                <w:tcPr>
                  <w:tcW w:w="228" w:type="pct"/>
                  <w:noWrap w:val="0"/>
                  <w:vAlign w:val="center"/>
                </w:tcPr>
                <w:p w14:paraId="2294C0DE">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103</w:t>
                  </w:r>
                </w:p>
              </w:tc>
              <w:tc>
                <w:tcPr>
                  <w:tcW w:w="215" w:type="pct"/>
                  <w:noWrap w:val="0"/>
                  <w:vAlign w:val="center"/>
                </w:tcPr>
                <w:p w14:paraId="0A3DA160">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5C22059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w:t>
                  </w:r>
                </w:p>
              </w:tc>
              <w:tc>
                <w:tcPr>
                  <w:tcW w:w="380" w:type="pct"/>
                  <w:noWrap w:val="0"/>
                  <w:vAlign w:val="center"/>
                </w:tcPr>
                <w:p w14:paraId="27FBF80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eastAsia="宋体" w:cs="Times New Roman"/>
                      <w:color w:val="auto"/>
                      <w:sz w:val="21"/>
                      <w:szCs w:val="21"/>
                      <w:lang w:val="en-US" w:eastAsia="zh-CN"/>
                    </w:rPr>
                    <w:t>51.96</w:t>
                  </w:r>
                </w:p>
              </w:tc>
              <w:tc>
                <w:tcPr>
                  <w:tcW w:w="201" w:type="pct"/>
                  <w:noWrap w:val="0"/>
                  <w:vAlign w:val="center"/>
                </w:tcPr>
                <w:p w14:paraId="0CE7191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73600D8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777F93C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eastAsia="宋体" w:cs="Times New Roman"/>
                      <w:color w:val="auto"/>
                      <w:kern w:val="2"/>
                      <w:sz w:val="21"/>
                      <w:szCs w:val="21"/>
                      <w:lang w:val="en-US" w:eastAsia="zh-CN" w:bidi="ar-SA"/>
                    </w:rPr>
                  </w:pPr>
                  <w:r>
                    <w:rPr>
                      <w:rFonts w:hint="eastAsia" w:eastAsia="宋体" w:cs="Times New Roman"/>
                      <w:color w:val="auto"/>
                      <w:sz w:val="21"/>
                      <w:szCs w:val="21"/>
                      <w:lang w:val="en-US" w:eastAsia="zh-CN"/>
                    </w:rPr>
                    <w:t>30.96</w:t>
                  </w:r>
                </w:p>
              </w:tc>
              <w:tc>
                <w:tcPr>
                  <w:tcW w:w="565" w:type="pct"/>
                  <w:noWrap w:val="0"/>
                  <w:vAlign w:val="center"/>
                </w:tcPr>
                <w:p w14:paraId="7D5882F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60C4AD8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2EDB77BE">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3</w:t>
                  </w:r>
                </w:p>
              </w:tc>
              <w:tc>
                <w:tcPr>
                  <w:tcW w:w="261" w:type="pct"/>
                  <w:vMerge w:val="continue"/>
                  <w:noWrap w:val="0"/>
                  <w:vAlign w:val="center"/>
                </w:tcPr>
                <w:p w14:paraId="73322399">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7FF64C02">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发泡机</w:t>
                  </w:r>
                </w:p>
              </w:tc>
              <w:tc>
                <w:tcPr>
                  <w:tcW w:w="471" w:type="pct"/>
                  <w:noWrap w:val="0"/>
                  <w:vAlign w:val="center"/>
                </w:tcPr>
                <w:p w14:paraId="0ACDD039">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i w:val="0"/>
                      <w:iCs w:val="0"/>
                      <w:color w:val="auto"/>
                      <w:sz w:val="21"/>
                      <w:szCs w:val="21"/>
                      <w:u w:val="none"/>
                      <w:lang w:val="en-US" w:eastAsia="zh-CN" w:bidi="zh-CN"/>
                    </w:rPr>
                  </w:pPr>
                  <w:r>
                    <w:rPr>
                      <w:rFonts w:hint="eastAsia" w:ascii="Times New Roman" w:hAnsi="Times New Roman" w:eastAsia="宋体" w:cs="Times New Roman"/>
                      <w:color w:val="auto"/>
                      <w:sz w:val="21"/>
                      <w:szCs w:val="21"/>
                      <w:lang w:val="en-US" w:eastAsia="zh-CN"/>
                    </w:rPr>
                    <w:t>GJ-RT-2200</w:t>
                  </w:r>
                </w:p>
              </w:tc>
              <w:tc>
                <w:tcPr>
                  <w:tcW w:w="201" w:type="pct"/>
                  <w:noWrap w:val="0"/>
                  <w:vAlign w:val="center"/>
                </w:tcPr>
                <w:p w14:paraId="3DFA164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color w:val="auto"/>
                      <w:sz w:val="21"/>
                      <w:szCs w:val="21"/>
                      <w:lang w:val="en-US"/>
                    </w:rPr>
                  </w:pPr>
                  <w:r>
                    <w:rPr>
                      <w:rFonts w:hint="eastAsia" w:cs="Times New Roman"/>
                      <w:color w:val="auto"/>
                      <w:sz w:val="21"/>
                      <w:szCs w:val="21"/>
                      <w:lang w:val="en-US" w:eastAsia="zh-CN"/>
                    </w:rPr>
                    <w:t>1</w:t>
                  </w:r>
                </w:p>
              </w:tc>
              <w:tc>
                <w:tcPr>
                  <w:tcW w:w="357" w:type="pct"/>
                  <w:noWrap w:val="0"/>
                  <w:vAlign w:val="center"/>
                </w:tcPr>
                <w:p w14:paraId="6F0FD65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rPr>
                    <w:t>70</w:t>
                  </w:r>
                </w:p>
              </w:tc>
              <w:tc>
                <w:tcPr>
                  <w:tcW w:w="275" w:type="pct"/>
                  <w:vMerge w:val="continue"/>
                  <w:noWrap w:val="0"/>
                  <w:vAlign w:val="center"/>
                </w:tcPr>
                <w:p w14:paraId="1132288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30CA458F">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19</w:t>
                  </w:r>
                </w:p>
              </w:tc>
              <w:tc>
                <w:tcPr>
                  <w:tcW w:w="228" w:type="pct"/>
                  <w:noWrap w:val="0"/>
                  <w:vAlign w:val="center"/>
                </w:tcPr>
                <w:p w14:paraId="5971641C">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108</w:t>
                  </w:r>
                </w:p>
              </w:tc>
              <w:tc>
                <w:tcPr>
                  <w:tcW w:w="215" w:type="pct"/>
                  <w:noWrap w:val="0"/>
                  <w:vAlign w:val="center"/>
                </w:tcPr>
                <w:p w14:paraId="584A501F">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7B45D3C6">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w:t>
                  </w:r>
                </w:p>
              </w:tc>
              <w:tc>
                <w:tcPr>
                  <w:tcW w:w="380" w:type="pct"/>
                  <w:noWrap w:val="0"/>
                  <w:vAlign w:val="center"/>
                </w:tcPr>
                <w:p w14:paraId="5BC35E3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rPr>
                    <w:t>51.96</w:t>
                  </w:r>
                </w:p>
              </w:tc>
              <w:tc>
                <w:tcPr>
                  <w:tcW w:w="201" w:type="pct"/>
                  <w:noWrap w:val="0"/>
                  <w:vAlign w:val="center"/>
                </w:tcPr>
                <w:p w14:paraId="793DAE6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08E7E2B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591574D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kern w:val="2"/>
                      <w:sz w:val="21"/>
                      <w:szCs w:val="21"/>
                      <w:lang w:val="en-US" w:eastAsia="zh-CN" w:bidi="ar-SA"/>
                    </w:rPr>
                  </w:pPr>
                  <w:r>
                    <w:rPr>
                      <w:rFonts w:hint="eastAsia" w:cs="Times New Roman"/>
                      <w:color w:val="auto"/>
                      <w:sz w:val="21"/>
                      <w:szCs w:val="21"/>
                      <w:lang w:val="en-US" w:eastAsia="zh-CN"/>
                    </w:rPr>
                    <w:t>30.96</w:t>
                  </w:r>
                </w:p>
              </w:tc>
              <w:tc>
                <w:tcPr>
                  <w:tcW w:w="565" w:type="pct"/>
                  <w:noWrap w:val="0"/>
                  <w:vAlign w:val="center"/>
                </w:tcPr>
                <w:p w14:paraId="0D3A8D7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3CAD77C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3DA1A4A6">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4</w:t>
                  </w:r>
                </w:p>
              </w:tc>
              <w:tc>
                <w:tcPr>
                  <w:tcW w:w="261" w:type="pct"/>
                  <w:vMerge w:val="continue"/>
                  <w:noWrap w:val="0"/>
                  <w:vAlign w:val="center"/>
                </w:tcPr>
                <w:p w14:paraId="7C5B8018">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4E1607D9">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pacing w:val="0"/>
                      <w:sz w:val="21"/>
                      <w:szCs w:val="21"/>
                      <w:lang w:val="en-US" w:eastAsia="zh-CN"/>
                    </w:rPr>
                  </w:pPr>
                  <w:r>
                    <w:rPr>
                      <w:rFonts w:hint="eastAsia" w:ascii="Times New Roman" w:hAnsi="Times New Roman" w:eastAsia="宋体" w:cs="Times New Roman"/>
                      <w:color w:val="auto"/>
                      <w:spacing w:val="0"/>
                      <w:sz w:val="21"/>
                      <w:szCs w:val="21"/>
                      <w:lang w:val="en-US" w:eastAsia="zh-CN"/>
                    </w:rPr>
                    <w:t>发泡机</w:t>
                  </w:r>
                </w:p>
              </w:tc>
              <w:tc>
                <w:tcPr>
                  <w:tcW w:w="471" w:type="pct"/>
                  <w:noWrap w:val="0"/>
                  <w:vAlign w:val="center"/>
                </w:tcPr>
                <w:p w14:paraId="6EAF94D8">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i w:val="0"/>
                      <w:iCs w:val="0"/>
                      <w:color w:val="auto"/>
                      <w:sz w:val="21"/>
                      <w:szCs w:val="21"/>
                      <w:u w:val="none"/>
                      <w:lang w:val="en-US" w:eastAsia="zh-CN" w:bidi="zh-CN"/>
                    </w:rPr>
                  </w:pPr>
                  <w:r>
                    <w:rPr>
                      <w:rFonts w:hint="eastAsia" w:ascii="Times New Roman" w:hAnsi="Times New Roman" w:eastAsia="宋体" w:cs="Times New Roman"/>
                      <w:color w:val="auto"/>
                      <w:sz w:val="21"/>
                      <w:szCs w:val="21"/>
                      <w:lang w:val="en-US" w:eastAsia="zh-CN"/>
                    </w:rPr>
                    <w:t>GJ-RT-2200</w:t>
                  </w:r>
                </w:p>
              </w:tc>
              <w:tc>
                <w:tcPr>
                  <w:tcW w:w="201" w:type="pct"/>
                  <w:noWrap w:val="0"/>
                  <w:vAlign w:val="center"/>
                </w:tcPr>
                <w:p w14:paraId="1E1F29D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cs="Times New Roman"/>
                      <w:color w:val="auto"/>
                      <w:sz w:val="21"/>
                      <w:szCs w:val="21"/>
                      <w:lang w:val="en-US"/>
                    </w:rPr>
                  </w:pPr>
                  <w:r>
                    <w:rPr>
                      <w:rFonts w:hint="eastAsia" w:cs="Times New Roman"/>
                      <w:color w:val="auto"/>
                      <w:sz w:val="21"/>
                      <w:szCs w:val="21"/>
                      <w:lang w:val="en-US" w:eastAsia="zh-CN"/>
                    </w:rPr>
                    <w:t>1</w:t>
                  </w:r>
                </w:p>
              </w:tc>
              <w:tc>
                <w:tcPr>
                  <w:tcW w:w="357" w:type="pct"/>
                  <w:noWrap w:val="0"/>
                  <w:vAlign w:val="center"/>
                </w:tcPr>
                <w:p w14:paraId="1E768AB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rPr>
                    <w:t>70</w:t>
                  </w:r>
                </w:p>
              </w:tc>
              <w:tc>
                <w:tcPr>
                  <w:tcW w:w="275" w:type="pct"/>
                  <w:vMerge w:val="continue"/>
                  <w:noWrap w:val="0"/>
                  <w:vAlign w:val="center"/>
                </w:tcPr>
                <w:p w14:paraId="70B1215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18D1D066">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24</w:t>
                  </w:r>
                </w:p>
              </w:tc>
              <w:tc>
                <w:tcPr>
                  <w:tcW w:w="228" w:type="pct"/>
                  <w:noWrap w:val="0"/>
                  <w:vAlign w:val="center"/>
                </w:tcPr>
                <w:p w14:paraId="73CBA4D9">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113</w:t>
                  </w:r>
                </w:p>
              </w:tc>
              <w:tc>
                <w:tcPr>
                  <w:tcW w:w="215" w:type="pct"/>
                  <w:noWrap w:val="0"/>
                  <w:vAlign w:val="center"/>
                </w:tcPr>
                <w:p w14:paraId="6CB72AB0">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65BC608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w:t>
                  </w:r>
                </w:p>
              </w:tc>
              <w:tc>
                <w:tcPr>
                  <w:tcW w:w="380" w:type="pct"/>
                  <w:noWrap w:val="0"/>
                  <w:vAlign w:val="center"/>
                </w:tcPr>
                <w:p w14:paraId="5056B7CD">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eastAsia="宋体" w:cs="Times New Roman"/>
                      <w:color w:val="auto"/>
                      <w:sz w:val="21"/>
                      <w:szCs w:val="21"/>
                      <w:lang w:val="en-US" w:eastAsia="zh-CN"/>
                    </w:rPr>
                    <w:t>57.96</w:t>
                  </w:r>
                </w:p>
              </w:tc>
              <w:tc>
                <w:tcPr>
                  <w:tcW w:w="201" w:type="pct"/>
                  <w:noWrap w:val="0"/>
                  <w:vAlign w:val="center"/>
                </w:tcPr>
                <w:p w14:paraId="6C6CD03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45FD96B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30A4D3B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rPr>
                    <w:t>36.96</w:t>
                  </w:r>
                </w:p>
              </w:tc>
              <w:tc>
                <w:tcPr>
                  <w:tcW w:w="565" w:type="pct"/>
                  <w:noWrap w:val="0"/>
                  <w:vAlign w:val="center"/>
                </w:tcPr>
                <w:p w14:paraId="6BF7FF1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54CE3CC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725CF5C4">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6</w:t>
                  </w:r>
                </w:p>
              </w:tc>
              <w:tc>
                <w:tcPr>
                  <w:tcW w:w="261" w:type="pct"/>
                  <w:vMerge w:val="continue"/>
                  <w:noWrap w:val="0"/>
                  <w:vAlign w:val="center"/>
                </w:tcPr>
                <w:p w14:paraId="279EAFA3">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12D4DD05">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olor w:val="auto"/>
                      <w:sz w:val="21"/>
                      <w:szCs w:val="21"/>
                      <w:highlight w:val="none"/>
                    </w:rPr>
                    <w:t>EPS节能型自动成型机</w:t>
                  </w:r>
                </w:p>
              </w:tc>
              <w:tc>
                <w:tcPr>
                  <w:tcW w:w="471" w:type="pct"/>
                  <w:noWrap w:val="0"/>
                  <w:vAlign w:val="center"/>
                </w:tcPr>
                <w:p w14:paraId="03F516B2">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18A1AEEB">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50498517">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652358A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70D8FEA8">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23</w:t>
                  </w:r>
                </w:p>
              </w:tc>
              <w:tc>
                <w:tcPr>
                  <w:tcW w:w="228" w:type="pct"/>
                  <w:noWrap w:val="0"/>
                  <w:vAlign w:val="center"/>
                </w:tcPr>
                <w:p w14:paraId="47373922">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99</w:t>
                  </w:r>
                </w:p>
              </w:tc>
              <w:tc>
                <w:tcPr>
                  <w:tcW w:w="215" w:type="pct"/>
                  <w:noWrap w:val="0"/>
                  <w:vAlign w:val="center"/>
                </w:tcPr>
                <w:p w14:paraId="376E73C4">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5F40606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1D650DBA">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40CD2E7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1CC7A34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4B0C03A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3F4DFF9C">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6B999E1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70631EEA">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7</w:t>
                  </w:r>
                </w:p>
              </w:tc>
              <w:tc>
                <w:tcPr>
                  <w:tcW w:w="261" w:type="pct"/>
                  <w:vMerge w:val="continue"/>
                  <w:noWrap w:val="0"/>
                  <w:vAlign w:val="center"/>
                </w:tcPr>
                <w:p w14:paraId="32A2CA1F">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204E1A35">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olor w:val="auto"/>
                      <w:sz w:val="21"/>
                      <w:szCs w:val="21"/>
                      <w:highlight w:val="none"/>
                    </w:rPr>
                    <w:t>EPS节能型自动成型机</w:t>
                  </w:r>
                </w:p>
              </w:tc>
              <w:tc>
                <w:tcPr>
                  <w:tcW w:w="471" w:type="pct"/>
                  <w:noWrap w:val="0"/>
                  <w:vAlign w:val="center"/>
                </w:tcPr>
                <w:p w14:paraId="0F434B3A">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1098A9E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1</w:t>
                  </w:r>
                </w:p>
              </w:tc>
              <w:tc>
                <w:tcPr>
                  <w:tcW w:w="357" w:type="pct"/>
                  <w:noWrap w:val="0"/>
                  <w:vAlign w:val="center"/>
                </w:tcPr>
                <w:p w14:paraId="615182F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rPr>
                    <w:t>85</w:t>
                  </w:r>
                </w:p>
              </w:tc>
              <w:tc>
                <w:tcPr>
                  <w:tcW w:w="275" w:type="pct"/>
                  <w:vMerge w:val="continue"/>
                  <w:noWrap w:val="0"/>
                  <w:vAlign w:val="center"/>
                </w:tcPr>
                <w:p w14:paraId="6722E79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5544C1EF">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33</w:t>
                  </w:r>
                </w:p>
              </w:tc>
              <w:tc>
                <w:tcPr>
                  <w:tcW w:w="228" w:type="pct"/>
                  <w:noWrap w:val="0"/>
                  <w:vAlign w:val="center"/>
                </w:tcPr>
                <w:p w14:paraId="401163D6">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108</w:t>
                  </w:r>
                </w:p>
              </w:tc>
              <w:tc>
                <w:tcPr>
                  <w:tcW w:w="215" w:type="pct"/>
                  <w:noWrap w:val="0"/>
                  <w:vAlign w:val="center"/>
                </w:tcPr>
                <w:p w14:paraId="2B26294B">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2F55884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6E0B465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13F6B33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6872E87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3CA993A5">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4E557A2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5593EFD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34DFAA6C">
                  <w:pPr>
                    <w:keepNext w:val="0"/>
                    <w:keepLines w:val="0"/>
                    <w:pageBreakBefore w:val="0"/>
                    <w:widowControl/>
                    <w:kinsoku/>
                    <w:wordWrap/>
                    <w:autoSpaceDE/>
                    <w:autoSpaceDN/>
                    <w:bidi w:val="0"/>
                    <w:adjustRightInd w:val="0"/>
                    <w:snapToGrid w:val="0"/>
                    <w:spacing w:line="240" w:lineRule="auto"/>
                    <w:ind w:right="0"/>
                    <w:jc w:val="center"/>
                    <w:textAlignment w:val="auto"/>
                    <w:rPr>
                      <w:rFonts w:hint="eastAsia" w:eastAsia="宋体" w:cs="Times New Roman"/>
                      <w:color w:val="auto"/>
                      <w:sz w:val="21"/>
                      <w:szCs w:val="21"/>
                      <w:lang w:val="en-US" w:eastAsia="zh-CN" w:bidi="zh-CN"/>
                    </w:rPr>
                  </w:pPr>
                  <w:r>
                    <w:rPr>
                      <w:rFonts w:hint="eastAsia"/>
                      <w:color w:val="auto"/>
                      <w:lang w:val="en-US" w:eastAsia="zh-CN"/>
                    </w:rPr>
                    <w:t>8</w:t>
                  </w:r>
                </w:p>
              </w:tc>
              <w:tc>
                <w:tcPr>
                  <w:tcW w:w="261" w:type="pct"/>
                  <w:vMerge w:val="continue"/>
                  <w:noWrap w:val="0"/>
                  <w:vAlign w:val="center"/>
                </w:tcPr>
                <w:p w14:paraId="27DE8904">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5173ABC4">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5E2D9AF7">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1B2536FB">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39BFD4F1">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368F256B">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72C16417">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39</w:t>
                  </w:r>
                </w:p>
              </w:tc>
              <w:tc>
                <w:tcPr>
                  <w:tcW w:w="228" w:type="pct"/>
                  <w:noWrap w:val="0"/>
                  <w:vAlign w:val="center"/>
                </w:tcPr>
                <w:p w14:paraId="604A5CC7">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102</w:t>
                  </w:r>
                </w:p>
              </w:tc>
              <w:tc>
                <w:tcPr>
                  <w:tcW w:w="215" w:type="pct"/>
                  <w:noWrap w:val="0"/>
                  <w:vAlign w:val="center"/>
                </w:tcPr>
                <w:p w14:paraId="0C7EDE3E">
                  <w:pPr>
                    <w:keepNext w:val="0"/>
                    <w:keepLines w:val="0"/>
                    <w:pageBreakBefore w:val="0"/>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21CC90B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481D0912">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4C983109">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35CCF66A">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1E78CC09">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37D5C0B6">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7384BDCD">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2F105423">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9</w:t>
                  </w:r>
                </w:p>
              </w:tc>
              <w:tc>
                <w:tcPr>
                  <w:tcW w:w="261" w:type="pct"/>
                  <w:vMerge w:val="continue"/>
                  <w:noWrap w:val="0"/>
                  <w:vAlign w:val="center"/>
                </w:tcPr>
                <w:p w14:paraId="493C6626">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48AF2859">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13D63390">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684417C0">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49BA514E">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1B2FEF0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3A181FB9">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42</w:t>
                  </w:r>
                </w:p>
              </w:tc>
              <w:tc>
                <w:tcPr>
                  <w:tcW w:w="228" w:type="pct"/>
                  <w:noWrap w:val="0"/>
                  <w:vAlign w:val="center"/>
                </w:tcPr>
                <w:p w14:paraId="0CBD2D9A">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104</w:t>
                  </w:r>
                </w:p>
              </w:tc>
              <w:tc>
                <w:tcPr>
                  <w:tcW w:w="215" w:type="pct"/>
                  <w:noWrap w:val="0"/>
                  <w:vAlign w:val="center"/>
                </w:tcPr>
                <w:p w14:paraId="755EF2C2">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6CF1356E">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084306E6">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62E2349C">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589CA5DE">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3BBA1EB3">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4F38784C">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6BAAB0B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5002258C">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w:t>
                  </w:r>
                </w:p>
              </w:tc>
              <w:tc>
                <w:tcPr>
                  <w:tcW w:w="261" w:type="pct"/>
                  <w:vMerge w:val="continue"/>
                  <w:noWrap w:val="0"/>
                  <w:vAlign w:val="center"/>
                </w:tcPr>
                <w:p w14:paraId="7B56F95B">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3684258B">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7851BDB2">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7660E7CA">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632A1904">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19A4F233">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33BF63CE">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48</w:t>
                  </w:r>
                </w:p>
              </w:tc>
              <w:tc>
                <w:tcPr>
                  <w:tcW w:w="228" w:type="pct"/>
                  <w:noWrap w:val="0"/>
                  <w:vAlign w:val="center"/>
                </w:tcPr>
                <w:p w14:paraId="655BD81E">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109</w:t>
                  </w:r>
                </w:p>
              </w:tc>
              <w:tc>
                <w:tcPr>
                  <w:tcW w:w="215" w:type="pct"/>
                  <w:noWrap w:val="0"/>
                  <w:vAlign w:val="center"/>
                </w:tcPr>
                <w:p w14:paraId="4759689E">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501FB819">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5442E16D">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21BCF318">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4F8236DF">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39199BF9">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6A4397ED">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1116B31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6C161E8B">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11</w:t>
                  </w:r>
                </w:p>
              </w:tc>
              <w:tc>
                <w:tcPr>
                  <w:tcW w:w="261" w:type="pct"/>
                  <w:vMerge w:val="continue"/>
                  <w:noWrap w:val="0"/>
                  <w:vAlign w:val="center"/>
                </w:tcPr>
                <w:p w14:paraId="091AB517">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4E54C8FC">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3055291D">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444F4CD6">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489954F0">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6FC4A5A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259B8CCA">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52</w:t>
                  </w:r>
                </w:p>
              </w:tc>
              <w:tc>
                <w:tcPr>
                  <w:tcW w:w="228" w:type="pct"/>
                  <w:noWrap w:val="0"/>
                  <w:vAlign w:val="center"/>
                </w:tcPr>
                <w:p w14:paraId="4347B0DA">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113</w:t>
                  </w:r>
                </w:p>
              </w:tc>
              <w:tc>
                <w:tcPr>
                  <w:tcW w:w="215" w:type="pct"/>
                  <w:noWrap w:val="0"/>
                  <w:vAlign w:val="center"/>
                </w:tcPr>
                <w:p w14:paraId="45BA082F">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1A782823">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236A3DE6">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694CCE32">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1FE17E4C">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092BB741">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22E66555">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0F2634D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607B4CCF">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12</w:t>
                  </w:r>
                </w:p>
              </w:tc>
              <w:tc>
                <w:tcPr>
                  <w:tcW w:w="261" w:type="pct"/>
                  <w:vMerge w:val="continue"/>
                  <w:noWrap w:val="0"/>
                  <w:vAlign w:val="center"/>
                </w:tcPr>
                <w:p w14:paraId="06254B49">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3E8156BB">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34F5A698">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6E621E2F">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07C0DDA3">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015EDBE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22B52B2D">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57</w:t>
                  </w:r>
                </w:p>
              </w:tc>
              <w:tc>
                <w:tcPr>
                  <w:tcW w:w="228" w:type="pct"/>
                  <w:noWrap w:val="0"/>
                  <w:vAlign w:val="center"/>
                </w:tcPr>
                <w:p w14:paraId="66A391C9">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116</w:t>
                  </w:r>
                </w:p>
              </w:tc>
              <w:tc>
                <w:tcPr>
                  <w:tcW w:w="215" w:type="pct"/>
                  <w:noWrap w:val="0"/>
                  <w:vAlign w:val="center"/>
                </w:tcPr>
                <w:p w14:paraId="5331B9A9">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426BC107">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00C9348F">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4C734E6F">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74736D4C">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1D7D721B">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18BDB986">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096780C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0B326E1E">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13</w:t>
                  </w:r>
                </w:p>
              </w:tc>
              <w:tc>
                <w:tcPr>
                  <w:tcW w:w="261" w:type="pct"/>
                  <w:vMerge w:val="continue"/>
                  <w:noWrap w:val="0"/>
                  <w:vAlign w:val="center"/>
                </w:tcPr>
                <w:p w14:paraId="18FA46DE">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30A60DFC">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65AB06A7">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432807EA">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225AB2EA">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73A6376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6B4CEC57">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62</w:t>
                  </w:r>
                </w:p>
              </w:tc>
              <w:tc>
                <w:tcPr>
                  <w:tcW w:w="228" w:type="pct"/>
                  <w:noWrap w:val="0"/>
                  <w:vAlign w:val="center"/>
                </w:tcPr>
                <w:p w14:paraId="722D79C7">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119</w:t>
                  </w:r>
                </w:p>
              </w:tc>
              <w:tc>
                <w:tcPr>
                  <w:tcW w:w="215" w:type="pct"/>
                  <w:noWrap w:val="0"/>
                  <w:vAlign w:val="center"/>
                </w:tcPr>
                <w:p w14:paraId="6069C1AF">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03C279C5">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5FBDBD4F">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7C431CE9">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36D5FC68">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3000280E">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59E3D6F0">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10E91AB5">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4F691C77">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14</w:t>
                  </w:r>
                </w:p>
              </w:tc>
              <w:tc>
                <w:tcPr>
                  <w:tcW w:w="261" w:type="pct"/>
                  <w:vMerge w:val="continue"/>
                  <w:noWrap w:val="0"/>
                  <w:vAlign w:val="center"/>
                </w:tcPr>
                <w:p w14:paraId="5C02374A">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16F6578B">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13D4EC0B">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66900828">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575AD019">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6C5D9E0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38F65D5E">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68</w:t>
                  </w:r>
                </w:p>
              </w:tc>
              <w:tc>
                <w:tcPr>
                  <w:tcW w:w="228" w:type="pct"/>
                  <w:noWrap w:val="0"/>
                  <w:vAlign w:val="center"/>
                </w:tcPr>
                <w:p w14:paraId="45F2C1F6">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120</w:t>
                  </w:r>
                </w:p>
              </w:tc>
              <w:tc>
                <w:tcPr>
                  <w:tcW w:w="215" w:type="pct"/>
                  <w:noWrap w:val="0"/>
                  <w:vAlign w:val="center"/>
                </w:tcPr>
                <w:p w14:paraId="173D6ABA">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7A2E6D73">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4082D089">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307FF765">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3938265B">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5DAF741D">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0390CA15">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446B409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02F93035">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15</w:t>
                  </w:r>
                </w:p>
              </w:tc>
              <w:tc>
                <w:tcPr>
                  <w:tcW w:w="261" w:type="pct"/>
                  <w:vMerge w:val="continue"/>
                  <w:noWrap w:val="0"/>
                  <w:vAlign w:val="center"/>
                </w:tcPr>
                <w:p w14:paraId="6F33FE00">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6DB1D041">
                  <w:pPr>
                    <w:keepNext w:val="0"/>
                    <w:keepLines w:val="0"/>
                    <w:pageBreakBefore w:val="0"/>
                    <w:kinsoku/>
                    <w:wordWrap/>
                    <w:autoSpaceDE/>
                    <w:autoSpaceDN/>
                    <w:bidi w:val="0"/>
                    <w:adjustRightInd w:val="0"/>
                    <w:snapToGrid w:val="0"/>
                    <w:spacing w:line="240" w:lineRule="auto"/>
                    <w:ind w:right="0"/>
                    <w:jc w:val="center"/>
                    <w:textAlignment w:val="auto"/>
                    <w:rPr>
                      <w:rFonts w:hint="eastAsia"/>
                      <w:color w:val="auto"/>
                      <w:sz w:val="21"/>
                      <w:szCs w:val="21"/>
                      <w:highlight w:val="none"/>
                    </w:rPr>
                  </w:pPr>
                  <w:r>
                    <w:rPr>
                      <w:rFonts w:hint="eastAsia"/>
                      <w:color w:val="auto"/>
                      <w:sz w:val="21"/>
                      <w:szCs w:val="21"/>
                      <w:highlight w:val="none"/>
                    </w:rPr>
                    <w:t>EPS节能型自动成型机</w:t>
                  </w:r>
                </w:p>
              </w:tc>
              <w:tc>
                <w:tcPr>
                  <w:tcW w:w="471" w:type="pct"/>
                  <w:noWrap w:val="0"/>
                  <w:vAlign w:val="center"/>
                </w:tcPr>
                <w:p w14:paraId="76EB67CF">
                  <w:pPr>
                    <w:keepNext w:val="0"/>
                    <w:keepLines w:val="0"/>
                    <w:pageBreakBefore w:val="0"/>
                    <w:kinsoku/>
                    <w:wordWrap/>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FJ-VR-1400</w:t>
                  </w:r>
                </w:p>
              </w:tc>
              <w:tc>
                <w:tcPr>
                  <w:tcW w:w="201" w:type="pct"/>
                  <w:noWrap w:val="0"/>
                  <w:vAlign w:val="center"/>
                </w:tcPr>
                <w:p w14:paraId="10F442C3">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w:t>
                  </w:r>
                </w:p>
              </w:tc>
              <w:tc>
                <w:tcPr>
                  <w:tcW w:w="357" w:type="pct"/>
                  <w:noWrap w:val="0"/>
                  <w:vAlign w:val="center"/>
                </w:tcPr>
                <w:p w14:paraId="4706713F">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w:t>
                  </w:r>
                </w:p>
              </w:tc>
              <w:tc>
                <w:tcPr>
                  <w:tcW w:w="275" w:type="pct"/>
                  <w:vMerge w:val="continue"/>
                  <w:noWrap w:val="0"/>
                  <w:vAlign w:val="center"/>
                </w:tcPr>
                <w:p w14:paraId="027A2390">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48EAB6D7">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72</w:t>
                  </w:r>
                </w:p>
              </w:tc>
              <w:tc>
                <w:tcPr>
                  <w:tcW w:w="228" w:type="pct"/>
                  <w:noWrap w:val="0"/>
                  <w:vAlign w:val="center"/>
                </w:tcPr>
                <w:p w14:paraId="3858C1EC">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124</w:t>
                  </w:r>
                </w:p>
              </w:tc>
              <w:tc>
                <w:tcPr>
                  <w:tcW w:w="215" w:type="pct"/>
                  <w:noWrap w:val="0"/>
                  <w:vAlign w:val="center"/>
                </w:tcPr>
                <w:p w14:paraId="1179A9E1">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353" w:type="pct"/>
                  <w:noWrap w:val="0"/>
                  <w:vAlign w:val="center"/>
                </w:tcPr>
                <w:p w14:paraId="04DCE8B4">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8</w:t>
                  </w:r>
                </w:p>
              </w:tc>
              <w:tc>
                <w:tcPr>
                  <w:tcW w:w="380" w:type="pct"/>
                  <w:noWrap w:val="0"/>
                  <w:vAlign w:val="center"/>
                </w:tcPr>
                <w:p w14:paraId="47CB9443">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66.96</w:t>
                  </w:r>
                </w:p>
              </w:tc>
              <w:tc>
                <w:tcPr>
                  <w:tcW w:w="201" w:type="pct"/>
                  <w:noWrap w:val="0"/>
                  <w:vAlign w:val="center"/>
                </w:tcPr>
                <w:p w14:paraId="16B4085D">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4682307E">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46FDF596">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bidi="zh-CN"/>
                    </w:rPr>
                    <w:t>45.96</w:t>
                  </w:r>
                </w:p>
              </w:tc>
              <w:tc>
                <w:tcPr>
                  <w:tcW w:w="565" w:type="pct"/>
                  <w:noWrap w:val="0"/>
                  <w:vAlign w:val="center"/>
                </w:tcPr>
                <w:p w14:paraId="42C17BA7">
                  <w:pPr>
                    <w:keepNext w:val="0"/>
                    <w:keepLines w:val="0"/>
                    <w:pageBreakBefore w:val="0"/>
                    <w:kinsoku/>
                    <w:wordWrap/>
                    <w:overflowPunct w:val="0"/>
                    <w:topLinePunct/>
                    <w:autoSpaceDE/>
                    <w:autoSpaceDN/>
                    <w:bidi w:val="0"/>
                    <w:adjustRightInd w:val="0"/>
                    <w:snapToGrid w:val="0"/>
                    <w:spacing w:line="240" w:lineRule="auto"/>
                    <w:ind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r w14:paraId="021A2F0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12" w:hRule="atLeast"/>
                <w:jc w:val="center"/>
              </w:trPr>
              <w:tc>
                <w:tcPr>
                  <w:tcW w:w="186" w:type="pct"/>
                  <w:noWrap w:val="0"/>
                  <w:vAlign w:val="center"/>
                </w:tcPr>
                <w:p w14:paraId="3EFF3409">
                  <w:pPr>
                    <w:keepNext w:val="0"/>
                    <w:keepLines w:val="0"/>
                    <w:pageBreakBefore w:val="0"/>
                    <w:widowControl/>
                    <w:kinsoku/>
                    <w:wordWrap/>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16</w:t>
                  </w:r>
                </w:p>
              </w:tc>
              <w:tc>
                <w:tcPr>
                  <w:tcW w:w="261" w:type="pct"/>
                  <w:vMerge w:val="continue"/>
                  <w:noWrap w:val="0"/>
                  <w:vAlign w:val="center"/>
                </w:tcPr>
                <w:p w14:paraId="3D5E73A5">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p>
              </w:tc>
              <w:tc>
                <w:tcPr>
                  <w:tcW w:w="511" w:type="pct"/>
                  <w:noWrap w:val="0"/>
                  <w:vAlign w:val="center"/>
                </w:tcPr>
                <w:p w14:paraId="2F80513B">
                  <w:pPr>
                    <w:keepNext w:val="0"/>
                    <w:keepLines w:val="0"/>
                    <w:pageBreakBefore w:val="0"/>
                    <w:kinsoku/>
                    <w:wordWrap/>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ascii="Times New Roman" w:hAnsi="Times New Roman" w:eastAsia="宋体" w:cs="Times New Roman"/>
                      <w:color w:val="auto"/>
                      <w:spacing w:val="0"/>
                      <w:sz w:val="21"/>
                      <w:szCs w:val="21"/>
                      <w:lang w:val="en-US" w:eastAsia="zh-CN"/>
                    </w:rPr>
                    <w:t>风机</w:t>
                  </w:r>
                </w:p>
              </w:tc>
              <w:tc>
                <w:tcPr>
                  <w:tcW w:w="471" w:type="pct"/>
                  <w:shd w:val="clear" w:color="auto" w:fill="auto"/>
                  <w:noWrap w:val="0"/>
                  <w:vAlign w:val="center"/>
                </w:tcPr>
                <w:p w14:paraId="54284625">
                  <w:pPr>
                    <w:adjustRightInd w:val="0"/>
                    <w:snapToGrid w:val="0"/>
                    <w:spacing w:line="240" w:lineRule="auto"/>
                    <w:jc w:val="center"/>
                    <w:rPr>
                      <w:rFonts w:hint="eastAsia"/>
                      <w:color w:val="auto"/>
                      <w:kern w:val="2"/>
                      <w:sz w:val="21"/>
                      <w:szCs w:val="21"/>
                      <w:lang w:val="en-US" w:eastAsia="zh-CN" w:bidi="ar-SA"/>
                    </w:rPr>
                  </w:pPr>
                  <w:r>
                    <w:rPr>
                      <w:rFonts w:hint="eastAsia" w:ascii="Times New Roman" w:hAnsi="Times New Roman" w:eastAsia="宋体" w:cs="Times New Roman"/>
                      <w:color w:val="auto"/>
                      <w:kern w:val="0"/>
                      <w:sz w:val="21"/>
                      <w:szCs w:val="21"/>
                      <w:lang w:val="en-US" w:eastAsia="zh-CN"/>
                    </w:rPr>
                    <w:t>6m</w:t>
                  </w:r>
                  <w:r>
                    <w:rPr>
                      <w:rFonts w:hint="eastAsia" w:ascii="Times New Roman" w:hAnsi="Times New Roman" w:eastAsia="宋体" w:cs="Times New Roman"/>
                      <w:color w:val="auto"/>
                      <w:kern w:val="0"/>
                      <w:sz w:val="21"/>
                      <w:szCs w:val="21"/>
                      <w:vertAlign w:val="superscript"/>
                      <w:lang w:val="en-US" w:eastAsia="zh-CN"/>
                    </w:rPr>
                    <w:t>3</w:t>
                  </w:r>
                  <w:r>
                    <w:rPr>
                      <w:rFonts w:hint="eastAsia" w:ascii="Times New Roman" w:hAnsi="Times New Roman" w:eastAsia="宋体" w:cs="Times New Roman"/>
                      <w:color w:val="auto"/>
                      <w:kern w:val="0"/>
                      <w:sz w:val="21"/>
                      <w:szCs w:val="21"/>
                      <w:vertAlign w:val="baseline"/>
                      <w:lang w:val="en-US" w:eastAsia="zh-CN"/>
                    </w:rPr>
                    <w:t>/h</w:t>
                  </w:r>
                </w:p>
              </w:tc>
              <w:tc>
                <w:tcPr>
                  <w:tcW w:w="201" w:type="pct"/>
                  <w:noWrap w:val="0"/>
                  <w:vAlign w:val="center"/>
                </w:tcPr>
                <w:p w14:paraId="5A9D3688">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cs="Times New Roman"/>
                      <w:color w:val="auto"/>
                      <w:sz w:val="21"/>
                      <w:szCs w:val="21"/>
                      <w:lang w:val="en-US"/>
                    </w:rPr>
                    <w:t>1</w:t>
                  </w:r>
                </w:p>
              </w:tc>
              <w:tc>
                <w:tcPr>
                  <w:tcW w:w="357" w:type="pct"/>
                  <w:noWrap w:val="0"/>
                  <w:vAlign w:val="center"/>
                </w:tcPr>
                <w:p w14:paraId="5A8342BF">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sz w:val="21"/>
                      <w:szCs w:val="21"/>
                      <w:lang w:val="en-US" w:eastAsia="zh-CN" w:bidi="zh-CN"/>
                    </w:rPr>
                  </w:pPr>
                  <w:r>
                    <w:rPr>
                      <w:rFonts w:hint="eastAsia" w:cs="Times New Roman"/>
                      <w:color w:val="auto"/>
                      <w:sz w:val="21"/>
                      <w:szCs w:val="21"/>
                      <w:lang w:val="en-US" w:eastAsia="zh-CN" w:bidi="zh-CN"/>
                    </w:rPr>
                    <w:t>85</w:t>
                  </w:r>
                </w:p>
              </w:tc>
              <w:tc>
                <w:tcPr>
                  <w:tcW w:w="275" w:type="pct"/>
                  <w:vMerge w:val="continue"/>
                  <w:noWrap w:val="0"/>
                  <w:vAlign w:val="center"/>
                </w:tcPr>
                <w:p w14:paraId="4E0A9F92">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lang w:val="en-US" w:eastAsia="zh-CN" w:bidi="zh-CN"/>
                    </w:rPr>
                  </w:pPr>
                </w:p>
              </w:tc>
              <w:tc>
                <w:tcPr>
                  <w:tcW w:w="191" w:type="pct"/>
                  <w:noWrap w:val="0"/>
                  <w:vAlign w:val="center"/>
                </w:tcPr>
                <w:p w14:paraId="44A586AB">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14</w:t>
                  </w:r>
                </w:p>
              </w:tc>
              <w:tc>
                <w:tcPr>
                  <w:tcW w:w="228" w:type="pct"/>
                  <w:noWrap w:val="0"/>
                  <w:vAlign w:val="center"/>
                </w:tcPr>
                <w:p w14:paraId="54198A9B">
                  <w:pPr>
                    <w:pStyle w:val="8"/>
                    <w:keepNext w:val="0"/>
                    <w:keepLines w:val="0"/>
                    <w:pageBreakBefore w:val="0"/>
                    <w:kinsoku/>
                    <w:wordWrap/>
                    <w:autoSpaceDE/>
                    <w:autoSpaceDN/>
                    <w:bidi w:val="0"/>
                    <w:adjustRightInd w:val="0"/>
                    <w:snapToGrid w:val="0"/>
                    <w:spacing w:before="0" w:after="0"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113</w:t>
                  </w:r>
                </w:p>
              </w:tc>
              <w:tc>
                <w:tcPr>
                  <w:tcW w:w="215" w:type="pct"/>
                  <w:noWrap w:val="0"/>
                  <w:vAlign w:val="center"/>
                </w:tcPr>
                <w:p w14:paraId="49AFB40E">
                  <w:pPr>
                    <w:keepNext w:val="0"/>
                    <w:keepLines w:val="0"/>
                    <w:pageBreakBefore w:val="0"/>
                    <w:kinsoku/>
                    <w:wordWrap/>
                    <w:autoSpaceDE/>
                    <w:autoSpaceDN/>
                    <w:bidi w:val="0"/>
                    <w:adjustRightInd w:val="0"/>
                    <w:snapToGrid w:val="0"/>
                    <w:spacing w:line="240" w:lineRule="auto"/>
                    <w:ind w:right="0"/>
                    <w:jc w:val="center"/>
                    <w:textAlignment w:val="auto"/>
                    <w:rPr>
                      <w:rFonts w:hint="eastAsia" w:cs="Times New Roman"/>
                      <w:color w:val="auto"/>
                      <w:sz w:val="21"/>
                      <w:szCs w:val="21"/>
                      <w:lang w:val="en-US" w:eastAsia="zh-CN" w:bidi="zh-CN"/>
                    </w:rPr>
                  </w:pPr>
                  <w:r>
                    <w:rPr>
                      <w:rFonts w:hint="eastAsia" w:cs="Times New Roman"/>
                      <w:color w:val="auto"/>
                      <w:sz w:val="21"/>
                      <w:szCs w:val="21"/>
                      <w:lang w:val="en-US" w:eastAsia="zh-CN"/>
                    </w:rPr>
                    <w:t>1.5</w:t>
                  </w:r>
                </w:p>
              </w:tc>
              <w:tc>
                <w:tcPr>
                  <w:tcW w:w="353" w:type="pct"/>
                  <w:noWrap w:val="0"/>
                  <w:vAlign w:val="center"/>
                </w:tcPr>
                <w:p w14:paraId="57A06C5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2</w:t>
                  </w:r>
                </w:p>
              </w:tc>
              <w:tc>
                <w:tcPr>
                  <w:tcW w:w="380" w:type="pct"/>
                  <w:noWrap w:val="0"/>
                  <w:vAlign w:val="center"/>
                </w:tcPr>
                <w:p w14:paraId="4972E30E">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73.94</w:t>
                  </w:r>
                </w:p>
              </w:tc>
              <w:tc>
                <w:tcPr>
                  <w:tcW w:w="201" w:type="pct"/>
                  <w:noWrap w:val="0"/>
                  <w:vAlign w:val="center"/>
                </w:tcPr>
                <w:p w14:paraId="7EB3500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8h</w:t>
                  </w:r>
                </w:p>
              </w:tc>
              <w:tc>
                <w:tcPr>
                  <w:tcW w:w="316" w:type="pct"/>
                  <w:noWrap w:val="0"/>
                  <w:vAlign w:val="center"/>
                </w:tcPr>
                <w:p w14:paraId="7445C9E9">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15</w:t>
                  </w:r>
                </w:p>
              </w:tc>
              <w:tc>
                <w:tcPr>
                  <w:tcW w:w="284" w:type="pct"/>
                  <w:noWrap w:val="0"/>
                  <w:vAlign w:val="center"/>
                </w:tcPr>
                <w:p w14:paraId="41C1D311">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default" w:cs="Times New Roman"/>
                      <w:color w:val="auto"/>
                      <w:sz w:val="21"/>
                      <w:szCs w:val="21"/>
                      <w:lang w:val="en-US" w:eastAsia="zh-CN" w:bidi="zh-CN"/>
                    </w:rPr>
                  </w:pPr>
                  <w:r>
                    <w:rPr>
                      <w:rFonts w:hint="eastAsia" w:cs="Times New Roman"/>
                      <w:color w:val="auto"/>
                      <w:sz w:val="21"/>
                      <w:szCs w:val="21"/>
                      <w:lang w:val="en-US" w:eastAsia="zh-CN" w:bidi="zh-CN"/>
                    </w:rPr>
                    <w:t>52.94</w:t>
                  </w:r>
                </w:p>
              </w:tc>
              <w:tc>
                <w:tcPr>
                  <w:tcW w:w="565" w:type="pct"/>
                  <w:noWrap w:val="0"/>
                  <w:vAlign w:val="center"/>
                </w:tcPr>
                <w:p w14:paraId="316F51C4">
                  <w:pPr>
                    <w:keepNext w:val="0"/>
                    <w:keepLines w:val="0"/>
                    <w:pageBreakBefore w:val="0"/>
                    <w:kinsoku/>
                    <w:wordWrap/>
                    <w:overflowPunct w:val="0"/>
                    <w:topLinePunct/>
                    <w:autoSpaceDE/>
                    <w:autoSpaceDN/>
                    <w:bidi w:val="0"/>
                    <w:adjustRightInd w:val="0"/>
                    <w:snapToGrid w:val="0"/>
                    <w:spacing w:line="240" w:lineRule="auto"/>
                    <w:ind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1m</w:t>
                  </w:r>
                </w:p>
              </w:tc>
            </w:tr>
          </w:tbl>
          <w:p w14:paraId="7DFAF3F6">
            <w:pPr>
              <w:spacing w:line="360" w:lineRule="auto"/>
              <w:rPr>
                <w:rFonts w:hint="default" w:ascii="Times New Roman" w:hAnsi="Times New Roman" w:eastAsia="宋体" w:cs="Times New Roman"/>
                <w:color w:val="auto"/>
                <w:kern w:val="0"/>
                <w:sz w:val="24"/>
              </w:rPr>
            </w:pPr>
          </w:p>
        </w:tc>
      </w:tr>
    </w:tbl>
    <w:p w14:paraId="0582C6D6">
      <w:pPr>
        <w:pStyle w:val="2"/>
        <w:rPr>
          <w:rFonts w:hint="default"/>
          <w:color w:val="auto"/>
        </w:rPr>
        <w:sectPr>
          <w:pgSz w:w="16840" w:h="11907" w:orient="landscape"/>
          <w:pgMar w:top="1531" w:right="1701" w:bottom="1531" w:left="2127" w:header="851" w:footer="851" w:gutter="0"/>
          <w:pgBorders w:offsetFrom="page">
            <w:top w:val="none" w:sz="0" w:space="0"/>
            <w:left w:val="none" w:sz="0" w:space="0"/>
            <w:bottom w:val="none" w:sz="0" w:space="0"/>
            <w:right w:val="none" w:sz="0" w:space="0"/>
          </w:pgBorders>
          <w:cols w:space="720" w:num="1"/>
          <w:docGrid w:linePitch="312" w:charSpace="0"/>
        </w:sectPr>
      </w:pPr>
    </w:p>
    <w:tbl>
      <w:tblPr>
        <w:tblStyle w:val="30"/>
        <w:tblW w:w="9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8523"/>
      </w:tblGrid>
      <w:tr w14:paraId="699AA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37" w:hRule="atLeast"/>
          <w:jc w:val="center"/>
        </w:trPr>
        <w:tc>
          <w:tcPr>
            <w:tcW w:w="774" w:type="dxa"/>
            <w:noWrap w:val="0"/>
            <w:tcMar>
              <w:left w:w="28" w:type="dxa"/>
              <w:right w:w="28" w:type="dxa"/>
            </w:tcMar>
            <w:vAlign w:val="center"/>
          </w:tcPr>
          <w:p w14:paraId="0F2E2165">
            <w:pPr>
              <w:pStyle w:val="27"/>
              <w:adjustRightInd w:val="0"/>
              <w:snapToGrid w:val="0"/>
              <w:spacing w:before="0" w:beforeAutospacing="0" w:after="0" w:afterAutospacing="0"/>
              <w:jc w:val="center"/>
              <w:rPr>
                <w:rFonts w:hint="default" w:ascii="Times New Roman" w:hAnsi="Times New Roman" w:eastAsia="宋体" w:cs="Times New Roman"/>
                <w:b/>
                <w:color w:val="auto"/>
                <w:sz w:val="28"/>
                <w:szCs w:val="28"/>
              </w:rPr>
            </w:pPr>
          </w:p>
        </w:tc>
        <w:tc>
          <w:tcPr>
            <w:tcW w:w="8468" w:type="dxa"/>
            <w:noWrap w:val="0"/>
            <w:vAlign w:val="top"/>
          </w:tcPr>
          <w:p w14:paraId="36780284">
            <w:pPr>
              <w:adjustRightInd w:val="0"/>
              <w:snapToGrid w:val="0"/>
              <w:spacing w:line="360" w:lineRule="auto"/>
              <w:ind w:firstLine="482" w:firstLineChars="200"/>
              <w:jc w:val="both"/>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2、厂界噪声达标情况分析</w:t>
            </w:r>
          </w:p>
          <w:p w14:paraId="5A75A15F">
            <w:pPr>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lang w:bidi="ar"/>
              </w:rPr>
            </w:pPr>
            <w:r>
              <w:rPr>
                <w:rFonts w:hint="default" w:ascii="Times New Roman" w:hAnsi="Times New Roman" w:eastAsia="宋体" w:cs="Times New Roman"/>
                <w:snapToGrid w:val="0"/>
                <w:color w:val="auto"/>
                <w:kern w:val="0"/>
                <w:sz w:val="24"/>
                <w:lang w:bidi="ar"/>
              </w:rPr>
              <w:t>本项目厂界外50m范围内无声环境保护目标，因此本项目仅分析厂界噪声达标情况。</w:t>
            </w:r>
          </w:p>
          <w:p w14:paraId="42E5A363">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color w:val="auto"/>
                <w:kern w:val="21"/>
                <w:sz w:val="24"/>
                <w:szCs w:val="24"/>
              </w:rPr>
            </w:pPr>
            <w:r>
              <w:rPr>
                <w:rFonts w:hint="default" w:ascii="Times New Roman" w:hAnsi="Times New Roman" w:eastAsia="宋体" w:cs="Times New Roman"/>
                <w:color w:val="auto"/>
                <w:kern w:val="21"/>
                <w:sz w:val="24"/>
                <w:szCs w:val="24"/>
              </w:rPr>
              <w:t>选择《环境影响评价技术导则 声环境》（HJ2.4-2021）中规定的衰减模式，对噪声影响进行预测：</w:t>
            </w:r>
          </w:p>
          <w:p w14:paraId="10D883DB">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⑴预测模式</w:t>
            </w:r>
          </w:p>
          <w:p w14:paraId="1A3C3599">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color w:val="auto"/>
                <w:kern w:val="21"/>
                <w:sz w:val="24"/>
                <w:szCs w:val="24"/>
              </w:rPr>
            </w:pPr>
            <w:r>
              <w:rPr>
                <w:rFonts w:hint="default" w:ascii="Times New Roman" w:hAnsi="Times New Roman" w:eastAsia="宋体" w:cs="Times New Roman"/>
                <w:color w:val="auto"/>
                <w:kern w:val="21"/>
                <w:sz w:val="24"/>
                <w:szCs w:val="24"/>
              </w:rPr>
              <w:t>本次采用《环境影响评价技术导则声环境》（HJ2.4-2021）中工业噪声预测模式进行预测：</w:t>
            </w:r>
          </w:p>
          <w:p w14:paraId="350CABF3">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①室内声源等效室外声源声功率级计算方法</w:t>
            </w:r>
          </w:p>
          <w:p w14:paraId="53CFC092">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Lp</w:t>
            </w:r>
            <w:r>
              <w:rPr>
                <w:rFonts w:hint="default" w:ascii="Times New Roman" w:hAnsi="Times New Roman" w:eastAsia="宋体" w:cs="Times New Roman"/>
                <w:snapToGrid w:val="0"/>
                <w:color w:val="auto"/>
                <w:kern w:val="21"/>
                <w:sz w:val="24"/>
                <w:szCs w:val="24"/>
                <w:vertAlign w:val="subscript"/>
              </w:rPr>
              <w:t>2</w:t>
            </w:r>
            <w:r>
              <w:rPr>
                <w:rFonts w:hint="default" w:ascii="Times New Roman" w:hAnsi="Times New Roman" w:eastAsia="宋体" w:cs="Times New Roman"/>
                <w:snapToGrid w:val="0"/>
                <w:color w:val="auto"/>
                <w:kern w:val="21"/>
                <w:sz w:val="24"/>
                <w:szCs w:val="24"/>
              </w:rPr>
              <w:t>=</w:t>
            </w:r>
            <w:r>
              <w:rPr>
                <w:rFonts w:hint="default" w:ascii="Times New Roman" w:hAnsi="Times New Roman" w:eastAsia="宋体" w:cs="Times New Roman"/>
                <w:i/>
                <w:iCs/>
                <w:snapToGrid w:val="0"/>
                <w:color w:val="auto"/>
                <w:kern w:val="21"/>
                <w:sz w:val="24"/>
                <w:szCs w:val="24"/>
              </w:rPr>
              <w:t>Lp</w:t>
            </w:r>
            <w:r>
              <w:rPr>
                <w:rFonts w:hint="default" w:ascii="Times New Roman" w:hAnsi="Times New Roman" w:eastAsia="宋体" w:cs="Times New Roman"/>
                <w:snapToGrid w:val="0"/>
                <w:color w:val="auto"/>
                <w:kern w:val="21"/>
                <w:sz w:val="24"/>
                <w:szCs w:val="24"/>
                <w:vertAlign w:val="subscript"/>
              </w:rPr>
              <w:t>1</w:t>
            </w:r>
            <w:r>
              <w:rPr>
                <w:rFonts w:hint="default" w:ascii="Times New Roman" w:hAnsi="Times New Roman" w:eastAsia="宋体" w:cs="Times New Roman"/>
                <w:snapToGrid w:val="0"/>
                <w:color w:val="auto"/>
                <w:kern w:val="21"/>
                <w:sz w:val="24"/>
                <w:szCs w:val="24"/>
              </w:rPr>
              <w:t>-（</w:t>
            </w:r>
            <w:r>
              <w:rPr>
                <w:rFonts w:hint="default" w:ascii="Times New Roman" w:hAnsi="Times New Roman" w:eastAsia="宋体" w:cs="Times New Roman"/>
                <w:i/>
                <w:iCs/>
                <w:snapToGrid w:val="0"/>
                <w:color w:val="auto"/>
                <w:kern w:val="21"/>
                <w:sz w:val="24"/>
                <w:szCs w:val="24"/>
              </w:rPr>
              <w:t>TL</w:t>
            </w:r>
            <w:r>
              <w:rPr>
                <w:rFonts w:hint="default" w:ascii="Times New Roman" w:hAnsi="Times New Roman" w:eastAsia="宋体" w:cs="Times New Roman"/>
                <w:snapToGrid w:val="0"/>
                <w:color w:val="auto"/>
                <w:kern w:val="21"/>
                <w:sz w:val="24"/>
                <w:szCs w:val="24"/>
              </w:rPr>
              <w:t>+6）</w:t>
            </w:r>
          </w:p>
          <w:p w14:paraId="27DCFBB1">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式中：</w:t>
            </w:r>
            <w:r>
              <w:rPr>
                <w:rFonts w:hint="default" w:ascii="Times New Roman" w:hAnsi="Times New Roman" w:eastAsia="宋体" w:cs="Times New Roman"/>
                <w:i/>
                <w:iCs/>
                <w:snapToGrid w:val="0"/>
                <w:color w:val="auto"/>
                <w:kern w:val="21"/>
                <w:sz w:val="24"/>
                <w:szCs w:val="24"/>
              </w:rPr>
              <w:t>Lp</w:t>
            </w:r>
            <w:r>
              <w:rPr>
                <w:rFonts w:hint="default" w:ascii="Times New Roman" w:hAnsi="Times New Roman" w:eastAsia="宋体" w:cs="Times New Roman"/>
                <w:snapToGrid w:val="0"/>
                <w:color w:val="auto"/>
                <w:kern w:val="21"/>
                <w:sz w:val="24"/>
                <w:szCs w:val="24"/>
                <w:vertAlign w:val="subscript"/>
              </w:rPr>
              <w:t>1</w:t>
            </w:r>
            <w:r>
              <w:rPr>
                <w:rFonts w:hint="default" w:ascii="Times New Roman" w:hAnsi="Times New Roman" w:eastAsia="宋体" w:cs="Times New Roman"/>
                <w:snapToGrid w:val="0"/>
                <w:color w:val="auto"/>
                <w:kern w:val="21"/>
                <w:sz w:val="24"/>
                <w:szCs w:val="24"/>
              </w:rPr>
              <w:t>-室内某倍频带的声压级，dB；</w:t>
            </w:r>
          </w:p>
          <w:p w14:paraId="4E34C736">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Lp</w:t>
            </w:r>
            <w:r>
              <w:rPr>
                <w:rFonts w:hint="default" w:ascii="Times New Roman" w:hAnsi="Times New Roman" w:eastAsia="宋体" w:cs="Times New Roman"/>
                <w:snapToGrid w:val="0"/>
                <w:color w:val="auto"/>
                <w:kern w:val="21"/>
                <w:sz w:val="24"/>
                <w:szCs w:val="24"/>
                <w:vertAlign w:val="subscript"/>
              </w:rPr>
              <w:t>2</w:t>
            </w:r>
            <w:r>
              <w:rPr>
                <w:rFonts w:hint="default" w:ascii="Times New Roman" w:hAnsi="Times New Roman" w:eastAsia="宋体" w:cs="Times New Roman"/>
                <w:snapToGrid w:val="0"/>
                <w:color w:val="auto"/>
                <w:kern w:val="21"/>
                <w:sz w:val="24"/>
                <w:szCs w:val="24"/>
              </w:rPr>
              <w:t>-室外某倍频带的声压级，dB；</w:t>
            </w:r>
          </w:p>
          <w:p w14:paraId="601251CF">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TL</w:t>
            </w:r>
            <w:r>
              <w:rPr>
                <w:rFonts w:hint="default" w:ascii="Times New Roman" w:hAnsi="Times New Roman" w:eastAsia="宋体" w:cs="Times New Roman"/>
                <w:snapToGrid w:val="0"/>
                <w:color w:val="auto"/>
                <w:kern w:val="21"/>
                <w:sz w:val="24"/>
                <w:szCs w:val="24"/>
              </w:rPr>
              <w:t>-隔墙（或窗户）倍频带的隔声量，dB。</w:t>
            </w:r>
          </w:p>
          <w:p w14:paraId="725D03AD">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将室内声源等效为室外声源，然后按室外声源的计算方法，计算该等效室外声源在第i个预测点的声级L。</w:t>
            </w:r>
          </w:p>
          <w:p w14:paraId="2B2C3FCF">
            <w:pPr>
              <w:keepNext w:val="0"/>
              <w:keepLines w:val="0"/>
              <w:pageBreakBefore w:val="0"/>
              <w:widowControl/>
              <w:kinsoku/>
              <w:wordWrap/>
              <w:overflowPunct w:val="0"/>
              <w:topLinePunct/>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1734820" cy="829310"/>
                  <wp:effectExtent l="0" t="0" r="17780" b="8890"/>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1"/>
                          <a:stretch>
                            <a:fillRect/>
                          </a:stretch>
                        </pic:blipFill>
                        <pic:spPr>
                          <a:xfrm>
                            <a:off x="0" y="0"/>
                            <a:ext cx="1734820" cy="829310"/>
                          </a:xfrm>
                          <a:prstGeom prst="rect">
                            <a:avLst/>
                          </a:prstGeom>
                          <a:noFill/>
                          <a:ln>
                            <a:noFill/>
                          </a:ln>
                        </pic:spPr>
                      </pic:pic>
                    </a:graphicData>
                  </a:graphic>
                </wp:inline>
              </w:drawing>
            </w:r>
          </w:p>
          <w:p w14:paraId="65C147F3">
            <w:pPr>
              <w:keepNext w:val="0"/>
              <w:keepLines w:val="0"/>
              <w:pageBreakBefore w:val="0"/>
              <w:widowControl/>
              <w:kinsoku/>
              <w:wordWrap/>
              <w:overflowPunct w:val="0"/>
              <w:topLinePunct/>
              <w:autoSpaceDE/>
              <w:autoSpaceDN/>
              <w:bidi w:val="0"/>
              <w:adjustRightInd w:val="0"/>
              <w:snapToGrid w:val="0"/>
              <w:spacing w:line="360" w:lineRule="auto"/>
              <w:jc w:val="center"/>
              <w:textAlignment w:val="auto"/>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color w:val="auto"/>
              </w:rPr>
              <w:t>图</w:t>
            </w:r>
            <w:r>
              <w:rPr>
                <w:rFonts w:hint="eastAsia" w:ascii="Times New Roman" w:hAnsi="Times New Roman" w:eastAsia="宋体" w:cs="Times New Roman"/>
                <w:color w:val="auto"/>
                <w:lang w:val="en-US" w:eastAsia="zh-CN"/>
              </w:rPr>
              <w:t>4-1</w:t>
            </w:r>
            <w:r>
              <w:rPr>
                <w:rFonts w:hint="default" w:ascii="Times New Roman" w:hAnsi="Times New Roman" w:eastAsia="宋体" w:cs="Times New Roman"/>
                <w:color w:val="auto"/>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b/>
                <w:bCs/>
                <w:color w:val="auto"/>
                <w:sz w:val="24"/>
                <w:szCs w:val="24"/>
              </w:rPr>
              <w:t>室内声源等效为室外声源图例</w:t>
            </w:r>
          </w:p>
          <w:p w14:paraId="705D5175">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②户外声传播衰减计算公式</w:t>
            </w:r>
          </w:p>
          <w:p w14:paraId="42ACD82F">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i/>
                <w:iCs/>
                <w:color w:val="auto"/>
                <w:kern w:val="21"/>
                <w:sz w:val="24"/>
                <w:szCs w:val="24"/>
              </w:rPr>
            </w:pP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p（r）</w:t>
            </w:r>
            <w:r>
              <w:rPr>
                <w:rFonts w:hint="default" w:ascii="Times New Roman" w:hAnsi="Times New Roman" w:eastAsia="宋体" w:cs="Times New Roman"/>
                <w:snapToGrid w:val="0"/>
                <w:color w:val="auto"/>
                <w:kern w:val="21"/>
                <w:sz w:val="24"/>
                <w:szCs w:val="24"/>
              </w:rPr>
              <w:t>=</w:t>
            </w: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p（r</w:t>
            </w:r>
            <w:r>
              <w:rPr>
                <w:rFonts w:hint="default" w:ascii="Times New Roman" w:hAnsi="Times New Roman" w:eastAsia="宋体" w:cs="Times New Roman"/>
                <w:snapToGrid w:val="0"/>
                <w:color w:val="auto"/>
                <w:kern w:val="21"/>
                <w:sz w:val="24"/>
                <w:szCs w:val="24"/>
                <w:vertAlign w:val="subscript"/>
              </w:rPr>
              <w:t>0</w:t>
            </w:r>
            <w:r>
              <w:rPr>
                <w:rFonts w:hint="default" w:ascii="Times New Roman" w:hAnsi="Times New Roman" w:eastAsia="宋体" w:cs="Times New Roman"/>
                <w:i/>
                <w:iCs/>
                <w:snapToGrid w:val="0"/>
                <w:color w:val="auto"/>
                <w:kern w:val="21"/>
                <w:sz w:val="24"/>
                <w:szCs w:val="24"/>
                <w:vertAlign w:val="subscript"/>
              </w:rPr>
              <w:t>）</w:t>
            </w:r>
            <w:r>
              <w:rPr>
                <w:rFonts w:hint="default" w:ascii="Times New Roman" w:hAnsi="Times New Roman" w:eastAsia="宋体" w:cs="Times New Roman"/>
                <w:snapToGrid w:val="0"/>
                <w:color w:val="auto"/>
                <w:kern w:val="21"/>
                <w:sz w:val="24"/>
                <w:szCs w:val="24"/>
              </w:rPr>
              <w:t>-</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div</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atm</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bar</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gr</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misc</w:t>
            </w:r>
            <w:r>
              <w:rPr>
                <w:rFonts w:hint="default" w:ascii="Times New Roman" w:hAnsi="Times New Roman" w:eastAsia="宋体" w:cs="Times New Roman"/>
                <w:i/>
                <w:iCs/>
                <w:snapToGrid w:val="0"/>
                <w:color w:val="auto"/>
                <w:kern w:val="21"/>
                <w:sz w:val="24"/>
                <w:szCs w:val="24"/>
              </w:rPr>
              <w:t>）</w:t>
            </w:r>
          </w:p>
          <w:p w14:paraId="6E1F3425">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color w:val="auto"/>
                <w:kern w:val="21"/>
                <w:sz w:val="24"/>
                <w:szCs w:val="24"/>
              </w:rPr>
              <w:t>式中：</w:t>
            </w: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p（r）</w:t>
            </w:r>
            <w:r>
              <w:rPr>
                <w:rFonts w:hint="default" w:ascii="Times New Roman" w:hAnsi="Times New Roman" w:eastAsia="宋体" w:cs="Times New Roman"/>
                <w:snapToGrid w:val="0"/>
                <w:color w:val="auto"/>
                <w:kern w:val="21"/>
                <w:sz w:val="24"/>
                <w:szCs w:val="24"/>
              </w:rPr>
              <w:t>-距声源r处的A声级；</w:t>
            </w:r>
          </w:p>
          <w:p w14:paraId="54BB5418">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p（r</w:t>
            </w:r>
            <w:r>
              <w:rPr>
                <w:rFonts w:hint="default" w:ascii="Times New Roman" w:hAnsi="Times New Roman" w:eastAsia="宋体" w:cs="Times New Roman"/>
                <w:snapToGrid w:val="0"/>
                <w:color w:val="auto"/>
                <w:kern w:val="21"/>
                <w:sz w:val="24"/>
                <w:szCs w:val="24"/>
                <w:vertAlign w:val="subscript"/>
              </w:rPr>
              <w:t>0</w:t>
            </w:r>
            <w:r>
              <w:rPr>
                <w:rFonts w:hint="default" w:ascii="Times New Roman" w:hAnsi="Times New Roman" w:eastAsia="宋体" w:cs="Times New Roman"/>
                <w:i/>
                <w:iCs/>
                <w:snapToGrid w:val="0"/>
                <w:color w:val="auto"/>
                <w:kern w:val="21"/>
                <w:sz w:val="24"/>
                <w:szCs w:val="24"/>
                <w:vertAlign w:val="subscript"/>
              </w:rPr>
              <w:t>）</w:t>
            </w:r>
            <w:r>
              <w:rPr>
                <w:rFonts w:hint="default" w:ascii="Times New Roman" w:hAnsi="Times New Roman" w:eastAsia="宋体" w:cs="Times New Roman"/>
                <w:snapToGrid w:val="0"/>
                <w:color w:val="auto"/>
                <w:kern w:val="21"/>
                <w:sz w:val="24"/>
                <w:szCs w:val="24"/>
              </w:rPr>
              <w:t>-参考位置r0处的A声级；</w:t>
            </w:r>
          </w:p>
          <w:p w14:paraId="60C86DBF">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div</w:t>
            </w:r>
            <w:r>
              <w:rPr>
                <w:rFonts w:hint="default" w:ascii="Times New Roman" w:hAnsi="Times New Roman" w:eastAsia="宋体" w:cs="Times New Roman"/>
                <w:snapToGrid w:val="0"/>
                <w:color w:val="auto"/>
                <w:kern w:val="21"/>
                <w:sz w:val="24"/>
                <w:szCs w:val="24"/>
              </w:rPr>
              <w:t>-几何发散引起的倍频带衰减；</w:t>
            </w:r>
          </w:p>
          <w:p w14:paraId="18EA1D10">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atm</w:t>
            </w:r>
            <w:r>
              <w:rPr>
                <w:rFonts w:hint="default" w:ascii="Times New Roman" w:hAnsi="Times New Roman" w:eastAsia="宋体" w:cs="Times New Roman"/>
                <w:snapToGrid w:val="0"/>
                <w:color w:val="auto"/>
                <w:kern w:val="21"/>
                <w:sz w:val="24"/>
                <w:szCs w:val="24"/>
              </w:rPr>
              <w:t>-大气吸收引起的倍频带衰减；</w:t>
            </w:r>
          </w:p>
          <w:p w14:paraId="7C14E616">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bar</w:t>
            </w:r>
            <w:r>
              <w:rPr>
                <w:rFonts w:hint="default" w:ascii="Times New Roman" w:hAnsi="Times New Roman" w:eastAsia="宋体" w:cs="Times New Roman"/>
                <w:snapToGrid w:val="0"/>
                <w:color w:val="auto"/>
                <w:kern w:val="21"/>
                <w:sz w:val="24"/>
                <w:szCs w:val="24"/>
              </w:rPr>
              <w:t>-屏障屏蔽引起的倍频带衰减；</w:t>
            </w:r>
          </w:p>
          <w:p w14:paraId="30633FE2">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gr</w:t>
            </w:r>
            <w:r>
              <w:rPr>
                <w:rFonts w:hint="default" w:ascii="Times New Roman" w:hAnsi="Times New Roman" w:eastAsia="宋体" w:cs="Times New Roman"/>
                <w:snapToGrid w:val="0"/>
                <w:color w:val="auto"/>
                <w:kern w:val="21"/>
                <w:sz w:val="24"/>
                <w:szCs w:val="24"/>
              </w:rPr>
              <w:t>-地面效应引起的倍频带衰减；</w:t>
            </w:r>
          </w:p>
          <w:p w14:paraId="6196D9F0">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misc</w:t>
            </w:r>
            <w:r>
              <w:rPr>
                <w:rFonts w:hint="default" w:ascii="Times New Roman" w:hAnsi="Times New Roman" w:eastAsia="宋体" w:cs="Times New Roman"/>
                <w:snapToGrid w:val="0"/>
                <w:color w:val="auto"/>
                <w:kern w:val="21"/>
                <w:sz w:val="24"/>
                <w:szCs w:val="24"/>
              </w:rPr>
              <w:t>-其他多方面效应引起的倍频带衰减。</w:t>
            </w:r>
          </w:p>
          <w:p w14:paraId="7BE8F274">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在不能取得声源倍频带声功率级或倍频带声压级，只能获得A声功率级或某点A声级时，可按下列工作</w:t>
            </w:r>
            <w:r>
              <w:rPr>
                <w:rFonts w:hint="eastAsia" w:cs="Times New Roman"/>
                <w:snapToGrid w:val="0"/>
                <w:color w:val="auto"/>
                <w:kern w:val="21"/>
                <w:sz w:val="24"/>
                <w:szCs w:val="24"/>
                <w:lang w:eastAsia="zh-CN"/>
              </w:rPr>
              <w:t>做</w:t>
            </w:r>
            <w:bookmarkStart w:id="3" w:name="_GoBack"/>
            <w:bookmarkEnd w:id="3"/>
            <w:r>
              <w:rPr>
                <w:rFonts w:hint="eastAsia" w:cs="Times New Roman"/>
                <w:snapToGrid w:val="0"/>
                <w:color w:val="auto"/>
                <w:kern w:val="21"/>
                <w:sz w:val="24"/>
                <w:szCs w:val="24"/>
                <w:lang w:eastAsia="zh-CN"/>
              </w:rPr>
              <w:t>）</w:t>
            </w:r>
            <w:r>
              <w:rPr>
                <w:rFonts w:hint="default" w:ascii="Times New Roman" w:hAnsi="Times New Roman" w:eastAsia="宋体" w:cs="Times New Roman"/>
                <w:snapToGrid w:val="0"/>
                <w:color w:val="auto"/>
                <w:kern w:val="21"/>
                <w:sz w:val="24"/>
                <w:szCs w:val="24"/>
              </w:rPr>
              <w:t>近似计算。</w:t>
            </w:r>
          </w:p>
          <w:p w14:paraId="71865BBC">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i/>
                <w:iCs/>
                <w:color w:val="auto"/>
                <w:kern w:val="21"/>
                <w:sz w:val="24"/>
                <w:szCs w:val="24"/>
              </w:rPr>
            </w:pP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A（r）</w:t>
            </w:r>
            <w:r>
              <w:rPr>
                <w:rFonts w:hint="default" w:ascii="Times New Roman" w:hAnsi="Times New Roman" w:eastAsia="宋体" w:cs="Times New Roman"/>
                <w:snapToGrid w:val="0"/>
                <w:color w:val="auto"/>
                <w:kern w:val="21"/>
                <w:sz w:val="24"/>
                <w:szCs w:val="24"/>
              </w:rPr>
              <w:t>=</w:t>
            </w: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A（r</w:t>
            </w:r>
            <w:r>
              <w:rPr>
                <w:rFonts w:hint="default" w:ascii="Times New Roman" w:hAnsi="Times New Roman" w:eastAsia="宋体" w:cs="Times New Roman"/>
                <w:snapToGrid w:val="0"/>
                <w:color w:val="auto"/>
                <w:kern w:val="21"/>
                <w:sz w:val="24"/>
                <w:szCs w:val="24"/>
                <w:vertAlign w:val="subscript"/>
              </w:rPr>
              <w:t>0</w:t>
            </w:r>
            <w:r>
              <w:rPr>
                <w:rFonts w:hint="default" w:ascii="Times New Roman" w:hAnsi="Times New Roman" w:eastAsia="宋体" w:cs="Times New Roman"/>
                <w:i/>
                <w:iCs/>
                <w:snapToGrid w:val="0"/>
                <w:color w:val="auto"/>
                <w:kern w:val="21"/>
                <w:sz w:val="24"/>
                <w:szCs w:val="24"/>
                <w:vertAlign w:val="subscript"/>
              </w:rPr>
              <w:t>）</w:t>
            </w:r>
            <w:r>
              <w:rPr>
                <w:rFonts w:hint="default" w:ascii="Times New Roman" w:hAnsi="Times New Roman" w:eastAsia="宋体" w:cs="Times New Roman"/>
                <w:snapToGrid w:val="0"/>
                <w:color w:val="auto"/>
                <w:kern w:val="21"/>
                <w:sz w:val="24"/>
                <w:szCs w:val="24"/>
              </w:rPr>
              <w:t>-</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div</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atm</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bar</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gr</w:t>
            </w:r>
            <w:r>
              <w:rPr>
                <w:rFonts w:hint="default" w:ascii="Times New Roman" w:hAnsi="Times New Roman" w:eastAsia="宋体" w:cs="Times New Roman"/>
                <w:i/>
                <w:iCs/>
                <w:snapToGrid w:val="0"/>
                <w:color w:val="auto"/>
                <w:kern w:val="21"/>
                <w:sz w:val="24"/>
                <w:szCs w:val="24"/>
              </w:rPr>
              <w:t>+A</w:t>
            </w:r>
            <w:r>
              <w:rPr>
                <w:rFonts w:hint="default" w:ascii="Times New Roman" w:hAnsi="Times New Roman" w:eastAsia="宋体" w:cs="Times New Roman"/>
                <w:i/>
                <w:iCs/>
                <w:snapToGrid w:val="0"/>
                <w:color w:val="auto"/>
                <w:kern w:val="21"/>
                <w:sz w:val="24"/>
                <w:szCs w:val="24"/>
                <w:vertAlign w:val="subscript"/>
              </w:rPr>
              <w:t>misc</w:t>
            </w:r>
            <w:r>
              <w:rPr>
                <w:rFonts w:hint="default" w:ascii="Times New Roman" w:hAnsi="Times New Roman" w:eastAsia="宋体" w:cs="Times New Roman"/>
                <w:i/>
                <w:iCs/>
                <w:snapToGrid w:val="0"/>
                <w:color w:val="auto"/>
                <w:kern w:val="21"/>
                <w:sz w:val="24"/>
                <w:szCs w:val="24"/>
              </w:rPr>
              <w:t>）</w:t>
            </w:r>
          </w:p>
          <w:p w14:paraId="06599A5D">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③某点的声压级叠加公式</w:t>
            </w:r>
          </w:p>
          <w:p w14:paraId="35B5BE16">
            <w:pPr>
              <w:keepNext w:val="0"/>
              <w:keepLines w:val="0"/>
              <w:pageBreakBefore w:val="0"/>
              <w:widowControl/>
              <w:kinsoku/>
              <w:wordWrap/>
              <w:overflowPunct w:val="0"/>
              <w:topLinePunct/>
              <w:autoSpaceDE/>
              <w:autoSpaceDN/>
              <w:bidi w:val="0"/>
              <w:adjustRightInd w:val="0"/>
              <w:snapToGrid w:val="0"/>
              <w:spacing w:line="240" w:lineRule="auto"/>
              <w:jc w:val="both"/>
              <w:textAlignment w:val="auto"/>
              <w:rPr>
                <w:rFonts w:hint="default" w:ascii="Times New Roman" w:hAnsi="Times New Roman" w:eastAsia="宋体" w:cs="Times New Roman"/>
                <w:snapToGrid w:val="0"/>
                <w:color w:val="auto"/>
                <w:kern w:val="21"/>
                <w:sz w:val="24"/>
                <w:szCs w:val="24"/>
              </w:rPr>
            </w:pPr>
            <m:oMathPara>
              <m:oMath>
                <m:sSub>
                  <m:sSubPr>
                    <m:ctrlPr>
                      <w:rPr>
                        <w:rFonts w:hint="default" w:ascii="Cambria Math" w:hAnsi="Cambria Math" w:cs="Times New Roman"/>
                        <w:i/>
                        <w:snapToGrid w:val="0"/>
                        <w:color w:val="auto"/>
                        <w:spacing w:val="0"/>
                        <w:kern w:val="21"/>
                        <w:position w:val="0"/>
                        <w:sz w:val="24"/>
                        <w:szCs w:val="24"/>
                        <w:lang w:val="en-US" w:eastAsia="zh-CN"/>
                      </w:rPr>
                    </m:ctrlPr>
                  </m:sSubPr>
                  <m:e>
                    <m:r>
                      <m:rPr>
                        <m:nor/>
                      </m:rPr>
                      <w:rPr>
                        <w:rFonts w:hint="default" w:ascii="Times New Roman" w:hAnsi="Times New Roman" w:cs="Times New Roman"/>
                        <w:i/>
                        <w:snapToGrid w:val="0"/>
                        <w:color w:val="auto"/>
                        <w:spacing w:val="0"/>
                        <w:kern w:val="21"/>
                        <w:position w:val="0"/>
                        <w:sz w:val="24"/>
                        <w:szCs w:val="24"/>
                        <w:lang w:val="en-US" w:eastAsia="zh-CN"/>
                      </w:rPr>
                      <m:t>L</m:t>
                    </m:r>
                    <m:ctrlPr>
                      <w:rPr>
                        <w:rFonts w:hint="default" w:ascii="Cambria Math" w:hAnsi="Cambria Math" w:cs="Times New Roman"/>
                        <w:i/>
                        <w:snapToGrid w:val="0"/>
                        <w:color w:val="auto"/>
                        <w:spacing w:val="0"/>
                        <w:kern w:val="21"/>
                        <w:position w:val="0"/>
                        <w:sz w:val="24"/>
                        <w:szCs w:val="24"/>
                        <w:lang w:val="en-US" w:eastAsia="zh-CN"/>
                      </w:rPr>
                    </m:ctrlPr>
                  </m:e>
                  <m:sub>
                    <m:r>
                      <m:rPr>
                        <m:nor/>
                      </m:rPr>
                      <w:rPr>
                        <w:rFonts w:hint="default" w:ascii="Times New Roman" w:hAnsi="Times New Roman" w:cs="Times New Roman"/>
                        <w:i/>
                        <w:snapToGrid w:val="0"/>
                        <w:color w:val="auto"/>
                        <w:spacing w:val="0"/>
                        <w:kern w:val="21"/>
                        <w:position w:val="0"/>
                        <w:sz w:val="24"/>
                        <w:szCs w:val="24"/>
                        <w:lang w:val="en-US" w:eastAsia="zh-CN"/>
                      </w:rPr>
                      <m:t>eqg</m:t>
                    </m:r>
                    <m:ctrlPr>
                      <w:rPr>
                        <w:rFonts w:hint="default" w:ascii="Cambria Math" w:hAnsi="Cambria Math" w:cs="Times New Roman"/>
                        <w:i/>
                        <w:snapToGrid w:val="0"/>
                        <w:color w:val="auto"/>
                        <w:spacing w:val="0"/>
                        <w:kern w:val="21"/>
                        <w:position w:val="0"/>
                        <w:sz w:val="24"/>
                        <w:szCs w:val="24"/>
                        <w:lang w:val="en-US" w:eastAsia="zh-CN"/>
                      </w:rPr>
                    </m:ctrlPr>
                  </m:sub>
                </m:sSub>
                <m:r>
                  <m:rPr>
                    <m:nor/>
                    <m:sty m:val="p"/>
                  </m:rPr>
                  <w:rPr>
                    <w:rFonts w:hint="default" w:ascii="Times New Roman" w:hAnsi="Times New Roman" w:cs="Times New Roman"/>
                    <w:b w:val="0"/>
                    <w:i w:val="0"/>
                    <w:snapToGrid w:val="0"/>
                    <w:color w:val="auto"/>
                    <w:spacing w:val="0"/>
                    <w:kern w:val="21"/>
                    <w:position w:val="0"/>
                    <w:sz w:val="24"/>
                    <w:szCs w:val="24"/>
                  </w:rPr>
                  <m:t>=</m:t>
                </m:r>
                <m:r>
                  <m:rPr>
                    <m:nor/>
                    <m:sty m:val="p"/>
                  </m:rPr>
                  <w:rPr>
                    <w:rFonts w:hint="default" w:ascii="Times New Roman" w:hAnsi="Times New Roman" w:cs="Times New Roman"/>
                    <w:b w:val="0"/>
                    <w:i w:val="0"/>
                    <w:snapToGrid w:val="0"/>
                    <w:color w:val="auto"/>
                    <w:spacing w:val="0"/>
                    <w:kern w:val="21"/>
                    <w:position w:val="0"/>
                    <w:sz w:val="24"/>
                    <w:szCs w:val="24"/>
                    <w:lang w:val="en-US" w:eastAsia="zh-CN"/>
                  </w:rPr>
                  <m:t>10</m:t>
                </m:r>
                <m:r>
                  <m:rPr>
                    <m:nor/>
                  </m:rPr>
                  <w:rPr>
                    <w:rFonts w:hint="default" w:ascii="Times New Roman" w:hAnsi="Times New Roman" w:cs="Times New Roman"/>
                    <w:i/>
                    <w:snapToGrid w:val="0"/>
                    <w:color w:val="auto"/>
                    <w:spacing w:val="0"/>
                    <w:kern w:val="21"/>
                    <w:position w:val="0"/>
                    <w:sz w:val="24"/>
                    <w:szCs w:val="24"/>
                    <w:lang w:val="en-US" w:eastAsia="zh-CN"/>
                  </w:rPr>
                  <m:t>lg</m:t>
                </m:r>
                <m:d>
                  <m:dPr>
                    <m:ctrlPr>
                      <w:rPr>
                        <w:rFonts w:hint="default" w:ascii="Cambria Math" w:hAnsi="Cambria Math" w:cs="Times New Roman"/>
                        <w:i/>
                        <w:snapToGrid w:val="0"/>
                        <w:color w:val="auto"/>
                        <w:spacing w:val="0"/>
                        <w:kern w:val="21"/>
                        <w:position w:val="0"/>
                        <w:sz w:val="24"/>
                        <w:szCs w:val="24"/>
                        <w:lang w:val="en-US" w:eastAsia="zh-CN"/>
                      </w:rPr>
                    </m:ctrlPr>
                  </m:dPr>
                  <m:e>
                    <m:f>
                      <m:fPr>
                        <m:ctrlPr>
                          <w:rPr>
                            <w:rFonts w:hint="default" w:ascii="Cambria Math" w:hAnsi="Cambria Math" w:cs="Times New Roman"/>
                            <w:i/>
                            <w:snapToGrid w:val="0"/>
                            <w:color w:val="auto"/>
                            <w:spacing w:val="0"/>
                            <w:kern w:val="21"/>
                            <w:position w:val="0"/>
                            <w:sz w:val="24"/>
                            <w:szCs w:val="24"/>
                            <w:lang w:val="en-US" w:eastAsia="zh-CN"/>
                          </w:rPr>
                        </m:ctrlPr>
                      </m:fPr>
                      <m:num>
                        <m:r>
                          <m:rPr>
                            <m:nor/>
                            <m:sty m:val="p"/>
                          </m:rPr>
                          <w:rPr>
                            <w:rFonts w:hint="default" w:ascii="Times New Roman" w:hAnsi="Times New Roman" w:cs="Times New Roman"/>
                            <w:b w:val="0"/>
                            <w:i w:val="0"/>
                            <w:snapToGrid w:val="0"/>
                            <w:color w:val="auto"/>
                            <w:spacing w:val="0"/>
                            <w:kern w:val="21"/>
                            <w:position w:val="0"/>
                            <w:sz w:val="24"/>
                            <w:szCs w:val="24"/>
                            <w:lang w:val="en-US" w:eastAsia="zh-CN"/>
                          </w:rPr>
                          <m:t>1</m:t>
                        </m:r>
                        <m:ctrlPr>
                          <w:rPr>
                            <w:rFonts w:hint="default" w:ascii="Cambria Math" w:hAnsi="Cambria Math" w:cs="Times New Roman"/>
                            <w:i/>
                            <w:snapToGrid w:val="0"/>
                            <w:color w:val="auto"/>
                            <w:spacing w:val="0"/>
                            <w:kern w:val="21"/>
                            <w:position w:val="0"/>
                            <w:sz w:val="24"/>
                            <w:szCs w:val="24"/>
                            <w:lang w:val="en-US" w:eastAsia="zh-CN"/>
                          </w:rPr>
                        </m:ctrlPr>
                      </m:num>
                      <m:den>
                        <m:r>
                          <m:rPr>
                            <m:nor/>
                          </m:rPr>
                          <w:rPr>
                            <w:rFonts w:hint="default" w:ascii="Times New Roman" w:hAnsi="Times New Roman" w:cs="Times New Roman"/>
                            <w:i/>
                            <w:snapToGrid w:val="0"/>
                            <w:color w:val="auto"/>
                            <w:spacing w:val="0"/>
                            <w:kern w:val="21"/>
                            <w:position w:val="0"/>
                            <w:sz w:val="24"/>
                            <w:szCs w:val="24"/>
                            <w:lang w:val="en-US" w:eastAsia="zh-CN"/>
                          </w:rPr>
                          <m:t>T</m:t>
                        </m:r>
                        <m:ctrlPr>
                          <w:rPr>
                            <w:rFonts w:hint="default" w:ascii="Cambria Math" w:hAnsi="Cambria Math" w:cs="Times New Roman"/>
                            <w:i/>
                            <w:snapToGrid w:val="0"/>
                            <w:color w:val="auto"/>
                            <w:spacing w:val="0"/>
                            <w:kern w:val="21"/>
                            <w:position w:val="0"/>
                            <w:sz w:val="24"/>
                            <w:szCs w:val="24"/>
                            <w:lang w:val="en-US" w:eastAsia="zh-CN"/>
                          </w:rPr>
                        </m:ctrlPr>
                      </m:den>
                    </m:f>
                    <m:nary>
                      <m:naryPr>
                        <m:chr m:val="∑"/>
                        <m:limLoc m:val="undOvr"/>
                        <m:supHide m:val="1"/>
                        <m:ctrlPr>
                          <w:rPr>
                            <w:rFonts w:hint="default" w:ascii="Cambria Math" w:hAnsi="Cambria Math" w:cs="Times New Roman"/>
                            <w:i/>
                            <w:snapToGrid w:val="0"/>
                            <w:color w:val="auto"/>
                            <w:spacing w:val="0"/>
                            <w:kern w:val="21"/>
                            <w:position w:val="0"/>
                            <w:sz w:val="24"/>
                            <w:szCs w:val="24"/>
                            <w:lang w:val="en-US" w:eastAsia="zh-CN"/>
                          </w:rPr>
                        </m:ctrlPr>
                      </m:naryPr>
                      <m:sub>
                        <m:r>
                          <m:rPr>
                            <m:nor/>
                          </m:rPr>
                          <w:rPr>
                            <w:rFonts w:hint="default" w:ascii="Times New Roman" w:hAnsi="Times New Roman" w:cs="Times New Roman"/>
                            <w:i/>
                            <w:snapToGrid w:val="0"/>
                            <w:color w:val="auto"/>
                            <w:spacing w:val="0"/>
                            <w:kern w:val="21"/>
                            <w:position w:val="0"/>
                            <w:sz w:val="24"/>
                            <w:szCs w:val="24"/>
                            <w:lang w:val="en-US" w:eastAsia="zh-CN"/>
                          </w:rPr>
                          <m:t>i</m:t>
                        </m:r>
                        <m:ctrlPr>
                          <w:rPr>
                            <w:rFonts w:hint="default" w:ascii="Cambria Math" w:hAnsi="Cambria Math" w:cs="Times New Roman"/>
                            <w:i/>
                            <w:snapToGrid w:val="0"/>
                            <w:color w:val="auto"/>
                            <w:spacing w:val="0"/>
                            <w:kern w:val="21"/>
                            <w:position w:val="0"/>
                            <w:sz w:val="24"/>
                            <w:szCs w:val="24"/>
                            <w:lang w:val="en-US" w:eastAsia="zh-CN"/>
                          </w:rPr>
                        </m:ctrlPr>
                      </m:sub>
                      <m:sup>
                        <m:ctrlPr>
                          <w:rPr>
                            <w:rFonts w:hint="default" w:ascii="Cambria Math" w:hAnsi="Cambria Math" w:cs="Times New Roman"/>
                            <w:i/>
                            <w:snapToGrid w:val="0"/>
                            <w:color w:val="auto"/>
                            <w:spacing w:val="0"/>
                            <w:kern w:val="21"/>
                            <w:position w:val="0"/>
                            <w:sz w:val="24"/>
                            <w:szCs w:val="24"/>
                            <w:lang w:val="en-US" w:eastAsia="zh-CN"/>
                          </w:rPr>
                        </m:ctrlPr>
                      </m:sup>
                      <m:e>
                        <m:sSub>
                          <m:sSubPr>
                            <m:ctrlPr>
                              <w:rPr>
                                <w:rFonts w:hint="default" w:ascii="Cambria Math" w:hAnsi="Cambria Math" w:cs="Times New Roman"/>
                                <w:i/>
                                <w:snapToGrid w:val="0"/>
                                <w:color w:val="auto"/>
                                <w:spacing w:val="0"/>
                                <w:kern w:val="21"/>
                                <w:position w:val="0"/>
                                <w:sz w:val="24"/>
                                <w:szCs w:val="24"/>
                                <w:lang w:val="en-US" w:eastAsia="zh-CN"/>
                              </w:rPr>
                            </m:ctrlPr>
                          </m:sSubPr>
                          <m:e>
                            <m:r>
                              <m:rPr>
                                <m:nor/>
                              </m:rPr>
                              <w:rPr>
                                <w:rFonts w:hint="default" w:ascii="Times New Roman" w:hAnsi="Times New Roman" w:cs="Times New Roman"/>
                                <w:i/>
                                <w:snapToGrid w:val="0"/>
                                <w:color w:val="auto"/>
                                <w:spacing w:val="0"/>
                                <w:kern w:val="21"/>
                                <w:position w:val="0"/>
                                <w:sz w:val="24"/>
                                <w:szCs w:val="24"/>
                                <w:lang w:val="en-US" w:eastAsia="zh-CN"/>
                              </w:rPr>
                              <m:t>t</m:t>
                            </m:r>
                            <m:ctrlPr>
                              <w:rPr>
                                <w:rFonts w:hint="default" w:ascii="Cambria Math" w:hAnsi="Cambria Math" w:cs="Times New Roman"/>
                                <w:i/>
                                <w:snapToGrid w:val="0"/>
                                <w:color w:val="auto"/>
                                <w:spacing w:val="0"/>
                                <w:kern w:val="21"/>
                                <w:position w:val="0"/>
                                <w:sz w:val="24"/>
                                <w:szCs w:val="24"/>
                                <w:lang w:val="en-US" w:eastAsia="zh-CN"/>
                              </w:rPr>
                            </m:ctrlPr>
                          </m:e>
                          <m:sub>
                            <m:r>
                              <m:rPr>
                                <m:nor/>
                              </m:rPr>
                              <w:rPr>
                                <w:rFonts w:hint="default" w:ascii="Times New Roman" w:hAnsi="Times New Roman" w:cs="Times New Roman"/>
                                <w:i/>
                                <w:snapToGrid w:val="0"/>
                                <w:color w:val="auto"/>
                                <w:spacing w:val="0"/>
                                <w:kern w:val="21"/>
                                <w:position w:val="0"/>
                                <w:sz w:val="24"/>
                                <w:szCs w:val="24"/>
                                <w:lang w:val="en-US" w:eastAsia="zh-CN"/>
                              </w:rPr>
                              <m:t>i</m:t>
                            </m:r>
                            <m:ctrlPr>
                              <w:rPr>
                                <w:rFonts w:hint="default" w:ascii="Cambria Math" w:hAnsi="Cambria Math" w:cs="Times New Roman"/>
                                <w:i/>
                                <w:snapToGrid w:val="0"/>
                                <w:color w:val="auto"/>
                                <w:spacing w:val="0"/>
                                <w:kern w:val="21"/>
                                <w:position w:val="0"/>
                                <w:sz w:val="24"/>
                                <w:szCs w:val="24"/>
                                <w:lang w:val="en-US" w:eastAsia="zh-CN"/>
                              </w:rPr>
                            </m:ctrlPr>
                          </m:sub>
                        </m:sSub>
                        <m:sSup>
                          <m:sSupPr>
                            <m:ctrlPr>
                              <w:rPr>
                                <w:rFonts w:hint="default" w:ascii="Cambria Math" w:hAnsi="Cambria Math" w:cs="Times New Roman"/>
                                <w:i/>
                                <w:snapToGrid w:val="0"/>
                                <w:color w:val="auto"/>
                                <w:spacing w:val="0"/>
                                <w:kern w:val="21"/>
                                <w:position w:val="0"/>
                                <w:sz w:val="24"/>
                                <w:szCs w:val="24"/>
                                <w:lang w:val="en-US" w:eastAsia="zh-CN"/>
                              </w:rPr>
                            </m:ctrlPr>
                          </m:sSupPr>
                          <m:e>
                            <m:r>
                              <m:rPr>
                                <m:nor/>
                                <m:sty m:val="p"/>
                              </m:rPr>
                              <w:rPr>
                                <w:rFonts w:hint="default" w:ascii="Times New Roman" w:hAnsi="Times New Roman" w:cs="Times New Roman"/>
                                <w:b w:val="0"/>
                                <w:i w:val="0"/>
                                <w:snapToGrid w:val="0"/>
                                <w:color w:val="auto"/>
                                <w:spacing w:val="0"/>
                                <w:kern w:val="21"/>
                                <w:position w:val="0"/>
                                <w:sz w:val="24"/>
                                <w:szCs w:val="24"/>
                                <w:lang w:val="en-US" w:eastAsia="zh-CN"/>
                              </w:rPr>
                              <m:t>10</m:t>
                            </m:r>
                            <m:ctrlPr>
                              <w:rPr>
                                <w:rFonts w:hint="default" w:ascii="Cambria Math" w:hAnsi="Cambria Math" w:cs="Times New Roman"/>
                                <w:i/>
                                <w:snapToGrid w:val="0"/>
                                <w:color w:val="auto"/>
                                <w:spacing w:val="0"/>
                                <w:kern w:val="21"/>
                                <w:position w:val="0"/>
                                <w:sz w:val="24"/>
                                <w:szCs w:val="24"/>
                                <w:lang w:val="en-US" w:eastAsia="zh-CN"/>
                              </w:rPr>
                            </m:ctrlPr>
                          </m:e>
                          <m:sup>
                            <m:sSub>
                              <m:sSubPr>
                                <m:ctrlPr>
                                  <w:rPr>
                                    <w:rFonts w:hint="default" w:ascii="Cambria Math" w:hAnsi="Cambria Math" w:cs="Times New Roman"/>
                                    <w:i/>
                                    <w:snapToGrid w:val="0"/>
                                    <w:color w:val="auto"/>
                                    <w:spacing w:val="0"/>
                                    <w:kern w:val="21"/>
                                    <w:position w:val="0"/>
                                    <w:sz w:val="24"/>
                                    <w:szCs w:val="24"/>
                                    <w:lang w:val="en-US" w:eastAsia="zh-CN"/>
                                  </w:rPr>
                                </m:ctrlPr>
                              </m:sSubPr>
                              <m:e>
                                <m:r>
                                  <m:rPr>
                                    <m:nor/>
                                    <m:sty m:val="p"/>
                                  </m:rPr>
                                  <w:rPr>
                                    <w:rFonts w:hint="default" w:ascii="Times New Roman" w:hAnsi="Times New Roman" w:cs="Times New Roman"/>
                                    <w:b w:val="0"/>
                                    <w:i w:val="0"/>
                                    <w:snapToGrid w:val="0"/>
                                    <w:color w:val="auto"/>
                                    <w:spacing w:val="0"/>
                                    <w:kern w:val="21"/>
                                    <w:position w:val="0"/>
                                    <w:sz w:val="24"/>
                                    <w:szCs w:val="24"/>
                                    <w:lang w:val="en-US" w:eastAsia="zh-CN"/>
                                  </w:rPr>
                                  <m:t>0.1</m:t>
                                </m:r>
                                <m:r>
                                  <m:rPr>
                                    <m:nor/>
                                  </m:rPr>
                                  <w:rPr>
                                    <w:rFonts w:hint="default" w:ascii="Times New Roman" w:hAnsi="Times New Roman" w:cs="Times New Roman"/>
                                    <w:i/>
                                    <w:snapToGrid w:val="0"/>
                                    <w:color w:val="auto"/>
                                    <w:spacing w:val="0"/>
                                    <w:kern w:val="21"/>
                                    <w:position w:val="0"/>
                                    <w:sz w:val="24"/>
                                    <w:szCs w:val="24"/>
                                    <w:lang w:val="en-US" w:eastAsia="zh-CN"/>
                                  </w:rPr>
                                  <m:t>L</m:t>
                                </m:r>
                                <m:ctrlPr>
                                  <w:rPr>
                                    <w:rFonts w:hint="default" w:ascii="Cambria Math" w:hAnsi="Cambria Math" w:cs="Times New Roman"/>
                                    <w:i/>
                                    <w:snapToGrid w:val="0"/>
                                    <w:color w:val="auto"/>
                                    <w:spacing w:val="0"/>
                                    <w:kern w:val="21"/>
                                    <w:position w:val="0"/>
                                    <w:sz w:val="24"/>
                                    <w:szCs w:val="24"/>
                                    <w:lang w:val="en-US" w:eastAsia="zh-CN"/>
                                  </w:rPr>
                                </m:ctrlPr>
                              </m:e>
                              <m:sub>
                                <m:r>
                                  <m:rPr>
                                    <m:nor/>
                                  </m:rPr>
                                  <w:rPr>
                                    <w:rFonts w:hint="default" w:ascii="Times New Roman" w:hAnsi="Times New Roman" w:cs="Times New Roman"/>
                                    <w:i/>
                                    <w:snapToGrid w:val="0"/>
                                    <w:color w:val="auto"/>
                                    <w:spacing w:val="0"/>
                                    <w:kern w:val="21"/>
                                    <w:position w:val="0"/>
                                    <w:sz w:val="24"/>
                                    <w:szCs w:val="24"/>
                                    <w:lang w:val="en-US" w:eastAsia="zh-CN"/>
                                  </w:rPr>
                                  <m:t>Ai</m:t>
                                </m:r>
                                <m:ctrlPr>
                                  <w:rPr>
                                    <w:rFonts w:hint="default" w:ascii="Cambria Math" w:hAnsi="Cambria Math" w:cs="Times New Roman"/>
                                    <w:i/>
                                    <w:snapToGrid w:val="0"/>
                                    <w:color w:val="auto"/>
                                    <w:spacing w:val="0"/>
                                    <w:kern w:val="21"/>
                                    <w:position w:val="0"/>
                                    <w:sz w:val="24"/>
                                    <w:szCs w:val="24"/>
                                    <w:lang w:val="en-US" w:eastAsia="zh-CN"/>
                                  </w:rPr>
                                </m:ctrlPr>
                              </m:sub>
                            </m:sSub>
                            <m:ctrlPr>
                              <w:rPr>
                                <w:rFonts w:hint="default" w:ascii="Cambria Math" w:hAnsi="Cambria Math" w:cs="Times New Roman"/>
                                <w:i/>
                                <w:snapToGrid w:val="0"/>
                                <w:color w:val="auto"/>
                                <w:spacing w:val="0"/>
                                <w:kern w:val="21"/>
                                <w:position w:val="0"/>
                                <w:sz w:val="24"/>
                                <w:szCs w:val="24"/>
                                <w:lang w:val="en-US" w:eastAsia="zh-CN"/>
                              </w:rPr>
                            </m:ctrlPr>
                          </m:sup>
                        </m:sSup>
                        <m:ctrlPr>
                          <w:rPr>
                            <w:rFonts w:hint="default" w:ascii="Cambria Math" w:hAnsi="Cambria Math" w:cs="Times New Roman"/>
                            <w:i/>
                            <w:snapToGrid w:val="0"/>
                            <w:color w:val="auto"/>
                            <w:spacing w:val="0"/>
                            <w:kern w:val="21"/>
                            <w:position w:val="0"/>
                            <w:sz w:val="24"/>
                            <w:szCs w:val="24"/>
                            <w:lang w:val="en-US" w:eastAsia="zh-CN"/>
                          </w:rPr>
                        </m:ctrlPr>
                      </m:e>
                    </m:nary>
                    <m:ctrlPr>
                      <w:rPr>
                        <w:rFonts w:hint="default" w:ascii="Cambria Math" w:hAnsi="Cambria Math" w:cs="Times New Roman"/>
                        <w:i/>
                        <w:snapToGrid w:val="0"/>
                        <w:color w:val="auto"/>
                        <w:spacing w:val="0"/>
                        <w:kern w:val="21"/>
                        <w:position w:val="0"/>
                        <w:sz w:val="24"/>
                        <w:szCs w:val="24"/>
                        <w:lang w:val="en-US" w:eastAsia="zh-CN"/>
                      </w:rPr>
                    </m:ctrlPr>
                  </m:e>
                </m:d>
              </m:oMath>
            </m:oMathPara>
          </w:p>
          <w:p w14:paraId="177F7526">
            <w:pPr>
              <w:widowControl/>
              <w:overflowPunct w:val="0"/>
              <w:topLinePunct/>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式中：</w:t>
            </w: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eqg</w:t>
            </w:r>
            <w:r>
              <w:rPr>
                <w:rFonts w:hint="default" w:ascii="Times New Roman" w:hAnsi="Times New Roman" w:eastAsia="宋体" w:cs="Times New Roman"/>
                <w:snapToGrid w:val="0"/>
                <w:color w:val="auto"/>
                <w:kern w:val="21"/>
                <w:sz w:val="24"/>
                <w:szCs w:val="24"/>
              </w:rPr>
              <w:t>-建设项目声源在预测点的等效声级贡献值，dB</w:t>
            </w:r>
            <w:r>
              <w:rPr>
                <w:rFonts w:hint="eastAsia" w:cs="Times New Roman"/>
                <w:snapToGrid w:val="0"/>
                <w:color w:val="auto"/>
                <w:kern w:val="21"/>
                <w:sz w:val="24"/>
                <w:szCs w:val="24"/>
                <w:lang w:eastAsia="zh-CN"/>
              </w:rPr>
              <w:t>（</w:t>
            </w:r>
            <w:r>
              <w:rPr>
                <w:rFonts w:hint="default" w:ascii="Times New Roman" w:hAnsi="Times New Roman" w:eastAsia="宋体" w:cs="Times New Roman"/>
                <w:snapToGrid w:val="0"/>
                <w:color w:val="auto"/>
                <w:kern w:val="21"/>
                <w:sz w:val="24"/>
                <w:szCs w:val="24"/>
              </w:rPr>
              <w:t>A</w:t>
            </w:r>
            <w:r>
              <w:rPr>
                <w:rFonts w:hint="eastAsia" w:cs="Times New Roman"/>
                <w:snapToGrid w:val="0"/>
                <w:color w:val="auto"/>
                <w:kern w:val="21"/>
                <w:sz w:val="24"/>
                <w:szCs w:val="24"/>
                <w:lang w:eastAsia="zh-CN"/>
              </w:rPr>
              <w:t>）</w:t>
            </w:r>
            <w:r>
              <w:rPr>
                <w:rFonts w:hint="default" w:ascii="Times New Roman" w:hAnsi="Times New Roman" w:eastAsia="宋体" w:cs="Times New Roman"/>
                <w:snapToGrid w:val="0"/>
                <w:color w:val="auto"/>
                <w:kern w:val="21"/>
                <w:sz w:val="24"/>
                <w:szCs w:val="24"/>
              </w:rPr>
              <w:t>；</w:t>
            </w:r>
          </w:p>
          <w:p w14:paraId="7300ACB6">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L</w:t>
            </w:r>
            <w:r>
              <w:rPr>
                <w:rFonts w:hint="default" w:ascii="Times New Roman" w:hAnsi="Times New Roman" w:eastAsia="宋体" w:cs="Times New Roman"/>
                <w:i/>
                <w:iCs/>
                <w:snapToGrid w:val="0"/>
                <w:color w:val="auto"/>
                <w:kern w:val="21"/>
                <w:sz w:val="24"/>
                <w:szCs w:val="24"/>
                <w:vertAlign w:val="subscript"/>
              </w:rPr>
              <w:t>Ai</w:t>
            </w:r>
            <w:r>
              <w:rPr>
                <w:rFonts w:hint="default" w:ascii="Times New Roman" w:hAnsi="Times New Roman" w:eastAsia="宋体" w:cs="Times New Roman"/>
                <w:i/>
                <w:iCs/>
                <w:snapToGrid w:val="0"/>
                <w:color w:val="auto"/>
                <w:kern w:val="21"/>
                <w:sz w:val="24"/>
                <w:szCs w:val="24"/>
              </w:rPr>
              <w:t>-i</w:t>
            </w:r>
            <w:r>
              <w:rPr>
                <w:rFonts w:hint="default" w:ascii="Times New Roman" w:hAnsi="Times New Roman" w:eastAsia="宋体" w:cs="Times New Roman"/>
                <w:snapToGrid w:val="0"/>
                <w:color w:val="auto"/>
                <w:kern w:val="21"/>
                <w:sz w:val="24"/>
                <w:szCs w:val="24"/>
              </w:rPr>
              <w:t>-声源在预测点产生的A声级，dB</w:t>
            </w:r>
            <w:r>
              <w:rPr>
                <w:rFonts w:hint="eastAsia" w:cs="Times New Roman"/>
                <w:snapToGrid w:val="0"/>
                <w:color w:val="auto"/>
                <w:kern w:val="21"/>
                <w:sz w:val="24"/>
                <w:szCs w:val="24"/>
                <w:lang w:eastAsia="zh-CN"/>
              </w:rPr>
              <w:t>（</w:t>
            </w:r>
            <w:r>
              <w:rPr>
                <w:rFonts w:hint="default" w:ascii="Times New Roman" w:hAnsi="Times New Roman" w:eastAsia="宋体" w:cs="Times New Roman"/>
                <w:snapToGrid w:val="0"/>
                <w:color w:val="auto"/>
                <w:kern w:val="21"/>
                <w:sz w:val="24"/>
                <w:szCs w:val="24"/>
              </w:rPr>
              <w:t>A</w:t>
            </w:r>
            <w:r>
              <w:rPr>
                <w:rFonts w:hint="eastAsia" w:cs="Times New Roman"/>
                <w:snapToGrid w:val="0"/>
                <w:color w:val="auto"/>
                <w:kern w:val="21"/>
                <w:sz w:val="24"/>
                <w:szCs w:val="24"/>
                <w:lang w:eastAsia="zh-CN"/>
              </w:rPr>
              <w:t>）</w:t>
            </w:r>
            <w:r>
              <w:rPr>
                <w:rFonts w:hint="default" w:ascii="Times New Roman" w:hAnsi="Times New Roman" w:eastAsia="宋体" w:cs="Times New Roman"/>
                <w:snapToGrid w:val="0"/>
                <w:color w:val="auto"/>
                <w:kern w:val="21"/>
                <w:sz w:val="24"/>
                <w:szCs w:val="24"/>
              </w:rPr>
              <w:t>；</w:t>
            </w:r>
          </w:p>
          <w:p w14:paraId="6E424DF3">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snapToGrid w:val="0"/>
                <w:color w:val="auto"/>
                <w:kern w:val="21"/>
                <w:sz w:val="24"/>
                <w:szCs w:val="24"/>
              </w:rPr>
              <w:t>t-预测计算的时间段，s；</w:t>
            </w:r>
          </w:p>
          <w:p w14:paraId="3DF6E56A">
            <w:pPr>
              <w:widowControl/>
              <w:overflowPunct w:val="0"/>
              <w:topLinePunct/>
              <w:adjustRightInd w:val="0"/>
              <w:snapToGrid w:val="0"/>
              <w:spacing w:line="360" w:lineRule="auto"/>
              <w:ind w:firstLine="1200" w:firstLineChars="500"/>
              <w:jc w:val="both"/>
              <w:rPr>
                <w:rFonts w:hint="default" w:ascii="Times New Roman" w:hAnsi="Times New Roman" w:eastAsia="宋体" w:cs="Times New Roman"/>
                <w:snapToGrid w:val="0"/>
                <w:color w:val="auto"/>
                <w:kern w:val="21"/>
                <w:sz w:val="24"/>
                <w:szCs w:val="24"/>
              </w:rPr>
            </w:pPr>
            <w:r>
              <w:rPr>
                <w:rFonts w:hint="default" w:ascii="Times New Roman" w:hAnsi="Times New Roman" w:eastAsia="宋体" w:cs="Times New Roman"/>
                <w:i/>
                <w:iCs/>
                <w:snapToGrid w:val="0"/>
                <w:color w:val="auto"/>
                <w:kern w:val="21"/>
                <w:sz w:val="24"/>
                <w:szCs w:val="24"/>
              </w:rPr>
              <w:t>t</w:t>
            </w:r>
            <w:r>
              <w:rPr>
                <w:rFonts w:hint="default" w:ascii="Times New Roman" w:hAnsi="Times New Roman" w:eastAsia="宋体" w:cs="Times New Roman"/>
                <w:i/>
                <w:iCs/>
                <w:snapToGrid w:val="0"/>
                <w:color w:val="auto"/>
                <w:kern w:val="21"/>
                <w:sz w:val="24"/>
                <w:szCs w:val="24"/>
                <w:vertAlign w:val="subscript"/>
              </w:rPr>
              <w:t>i</w:t>
            </w:r>
            <w:r>
              <w:rPr>
                <w:rFonts w:hint="default" w:ascii="Times New Roman" w:hAnsi="Times New Roman" w:eastAsia="宋体" w:cs="Times New Roman"/>
                <w:i/>
                <w:iCs/>
                <w:snapToGrid w:val="0"/>
                <w:color w:val="auto"/>
                <w:kern w:val="21"/>
                <w:sz w:val="24"/>
                <w:szCs w:val="24"/>
              </w:rPr>
              <w:t>-i</w:t>
            </w:r>
            <w:r>
              <w:rPr>
                <w:rFonts w:hint="default" w:ascii="Times New Roman" w:hAnsi="Times New Roman" w:eastAsia="宋体" w:cs="Times New Roman"/>
                <w:snapToGrid w:val="0"/>
                <w:color w:val="auto"/>
                <w:kern w:val="21"/>
                <w:sz w:val="24"/>
                <w:szCs w:val="24"/>
              </w:rPr>
              <w:t>-声源在T时段内的运行时间，s。</w:t>
            </w:r>
          </w:p>
          <w:p w14:paraId="475CB2AD">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预测步骤：</w:t>
            </w:r>
          </w:p>
          <w:p w14:paraId="77E53D3F">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fldChar w:fldCharType="begin"/>
            </w:r>
            <w:r>
              <w:rPr>
                <w:rFonts w:hint="default" w:ascii="Times New Roman" w:hAnsi="Times New Roman" w:eastAsia="宋体" w:cs="Times New Roman"/>
                <w:color w:val="auto"/>
                <w:kern w:val="0"/>
                <w:sz w:val="24"/>
                <w:szCs w:val="24"/>
                <w:lang w:bidi="ar"/>
              </w:rPr>
              <w:instrText xml:space="preserve"> = 1 \* GB3 </w:instrText>
            </w:r>
            <w:r>
              <w:rPr>
                <w:rFonts w:hint="default" w:ascii="Times New Roman" w:hAnsi="Times New Roman" w:eastAsia="宋体" w:cs="Times New Roman"/>
                <w:color w:val="auto"/>
                <w:kern w:val="0"/>
                <w:sz w:val="24"/>
                <w:szCs w:val="24"/>
                <w:lang w:bidi="ar"/>
              </w:rPr>
              <w:fldChar w:fldCharType="separate"/>
            </w:r>
            <w:r>
              <w:rPr>
                <w:rFonts w:hint="default" w:ascii="Times New Roman" w:hAnsi="Times New Roman" w:eastAsia="宋体" w:cs="Times New Roman"/>
                <w:color w:val="auto"/>
                <w:kern w:val="0"/>
                <w:sz w:val="24"/>
                <w:szCs w:val="24"/>
                <w:lang w:bidi="ar"/>
              </w:rPr>
              <w:t>①</w:t>
            </w:r>
            <w:r>
              <w:rPr>
                <w:rFonts w:hint="default" w:ascii="Times New Roman" w:hAnsi="Times New Roman" w:eastAsia="宋体" w:cs="Times New Roman"/>
                <w:color w:val="auto"/>
                <w:kern w:val="0"/>
                <w:sz w:val="24"/>
                <w:szCs w:val="24"/>
                <w:lang w:bidi="ar"/>
              </w:rPr>
              <w:fldChar w:fldCharType="end"/>
            </w:r>
            <w:r>
              <w:rPr>
                <w:rFonts w:hint="default" w:ascii="Times New Roman" w:hAnsi="Times New Roman" w:eastAsia="宋体" w:cs="Times New Roman"/>
                <w:color w:val="auto"/>
                <w:kern w:val="0"/>
                <w:sz w:val="24"/>
                <w:szCs w:val="24"/>
                <w:lang w:bidi="ar"/>
              </w:rPr>
              <w:t>建立坐标系，确定各声源坐标和预测点坐标，并根据声源性质以及预测点与声源之间的距离等情况，把声源简化成点声源，或线声源，或面声源。</w:t>
            </w:r>
          </w:p>
          <w:p w14:paraId="3E248592">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②根据已获得的声源源强的数据和各声源到预测点的声波传播条件资料，计算出噪声从各声源传播到预测点的声衰减量，由此计算出各声源单独作用在预测点时产生的A声级（</w:t>
            </w:r>
            <w:r>
              <w:rPr>
                <w:rFonts w:hint="default" w:ascii="Times New Roman" w:hAnsi="Times New Roman" w:eastAsia="宋体" w:cs="Times New Roman"/>
                <w:i/>
                <w:iCs/>
                <w:color w:val="auto"/>
                <w:kern w:val="0"/>
                <w:sz w:val="24"/>
                <w:szCs w:val="24"/>
                <w:lang w:bidi="ar"/>
              </w:rPr>
              <w:t>L</w:t>
            </w:r>
            <w:r>
              <w:rPr>
                <w:rFonts w:hint="default" w:ascii="Times New Roman" w:hAnsi="Times New Roman" w:eastAsia="宋体" w:cs="Times New Roman"/>
                <w:i/>
                <w:iCs/>
                <w:color w:val="auto"/>
                <w:kern w:val="0"/>
                <w:sz w:val="24"/>
                <w:szCs w:val="24"/>
                <w:vertAlign w:val="subscript"/>
                <w:lang w:bidi="ar"/>
              </w:rPr>
              <w:t>Ai</w:t>
            </w:r>
            <w:r>
              <w:rPr>
                <w:rFonts w:hint="default" w:ascii="Times New Roman" w:hAnsi="Times New Roman" w:eastAsia="宋体" w:cs="Times New Roman"/>
                <w:color w:val="auto"/>
                <w:kern w:val="0"/>
                <w:sz w:val="24"/>
                <w:szCs w:val="24"/>
                <w:lang w:bidi="ar"/>
              </w:rPr>
              <w:t>）或等效感觉噪声级（</w:t>
            </w:r>
            <w:r>
              <w:rPr>
                <w:rFonts w:hint="default" w:ascii="Times New Roman" w:hAnsi="Times New Roman" w:eastAsia="宋体" w:cs="Times New Roman"/>
                <w:i/>
                <w:iCs/>
                <w:color w:val="auto"/>
                <w:kern w:val="0"/>
                <w:sz w:val="24"/>
                <w:szCs w:val="24"/>
                <w:lang w:bidi="ar"/>
              </w:rPr>
              <w:t>L</w:t>
            </w:r>
            <w:r>
              <w:rPr>
                <w:rFonts w:hint="default" w:ascii="Times New Roman" w:hAnsi="Times New Roman" w:eastAsia="宋体" w:cs="Times New Roman"/>
                <w:i/>
                <w:iCs/>
                <w:color w:val="auto"/>
                <w:kern w:val="0"/>
                <w:sz w:val="24"/>
                <w:szCs w:val="24"/>
                <w:vertAlign w:val="subscript"/>
                <w:lang w:bidi="ar"/>
              </w:rPr>
              <w:t>eqn</w:t>
            </w:r>
            <w:r>
              <w:rPr>
                <w:rFonts w:hint="default" w:ascii="Times New Roman" w:hAnsi="Times New Roman" w:eastAsia="宋体" w:cs="Times New Roman"/>
                <w:color w:val="auto"/>
                <w:kern w:val="0"/>
                <w:sz w:val="24"/>
                <w:szCs w:val="24"/>
                <w:lang w:bidi="ar"/>
              </w:rPr>
              <w:t>）。</w:t>
            </w:r>
          </w:p>
          <w:p w14:paraId="4EF90407">
            <w:pPr>
              <w:adjustRightInd w:val="0"/>
              <w:snapToGrid w:val="0"/>
              <w:spacing w:line="360" w:lineRule="auto"/>
              <w:ind w:left="480"/>
              <w:jc w:val="both"/>
              <w:rPr>
                <w:rFonts w:hint="default" w:ascii="Times New Roman" w:hAnsi="Times New Roman" w:eastAsia="宋体" w:cs="Times New Roman"/>
                <w:color w:val="auto"/>
                <w:kern w:val="0"/>
                <w:sz w:val="24"/>
                <w:lang w:bidi="ar"/>
              </w:rPr>
            </w:pPr>
            <w:r>
              <w:rPr>
                <w:rFonts w:hint="default" w:ascii="Times New Roman" w:hAnsi="Times New Roman" w:eastAsia="宋体" w:cs="Times New Roman"/>
                <w:b/>
                <w:bCs/>
                <w:color w:val="auto"/>
                <w:sz w:val="24"/>
              </w:rPr>
              <w:fldChar w:fldCharType="begin"/>
            </w:r>
            <w:r>
              <w:rPr>
                <w:rFonts w:hint="default" w:ascii="Times New Roman" w:hAnsi="Times New Roman" w:eastAsia="宋体" w:cs="Times New Roman"/>
                <w:b/>
                <w:bCs/>
                <w:color w:val="auto"/>
                <w:sz w:val="24"/>
              </w:rPr>
              <w:instrText xml:space="preserve"> = 2 \* GB2 \* MERGEFORMAT </w:instrText>
            </w:r>
            <w:r>
              <w:rPr>
                <w:rFonts w:hint="default" w:ascii="Times New Roman" w:hAnsi="Times New Roman" w:eastAsia="宋体" w:cs="Times New Roman"/>
                <w:b/>
                <w:bCs/>
                <w:color w:val="auto"/>
                <w:sz w:val="24"/>
              </w:rPr>
              <w:fldChar w:fldCharType="separate"/>
            </w:r>
            <w:r>
              <w:rPr>
                <w:rFonts w:hint="default" w:ascii="Times New Roman" w:hAnsi="Times New Roman" w:eastAsia="宋体" w:cs="Times New Roman"/>
                <w:b/>
                <w:bCs/>
                <w:color w:val="auto"/>
                <w:sz w:val="24"/>
              </w:rPr>
              <w:t>⑵</w:t>
            </w:r>
            <w:r>
              <w:rPr>
                <w:rFonts w:hint="default" w:ascii="Times New Roman" w:hAnsi="Times New Roman" w:eastAsia="宋体" w:cs="Times New Roman"/>
                <w:b/>
                <w:bCs/>
                <w:color w:val="auto"/>
                <w:sz w:val="24"/>
              </w:rPr>
              <w:fldChar w:fldCharType="end"/>
            </w:r>
            <w:r>
              <w:rPr>
                <w:rFonts w:hint="default" w:ascii="Times New Roman" w:hAnsi="Times New Roman" w:eastAsia="宋体" w:cs="Times New Roman"/>
                <w:b/>
                <w:bCs/>
                <w:color w:val="auto"/>
                <w:sz w:val="24"/>
              </w:rPr>
              <w:t>预测结果</w:t>
            </w:r>
          </w:p>
          <w:p w14:paraId="2EB862AD">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kern w:val="0"/>
                <w:sz w:val="24"/>
                <w:lang w:bidi="ar"/>
              </w:rPr>
              <w:t>根据《环境影响评价技术导则 声环境》（HJ2.4-2021），项目设备等运行噪声对各预测点的影响预测结果见下表。</w:t>
            </w:r>
          </w:p>
          <w:p w14:paraId="3088EF32">
            <w:pPr>
              <w:snapToGrid w:val="0"/>
              <w:ind w:firstLine="630" w:firstLineChars="300"/>
              <w:jc w:val="both"/>
              <w:rPr>
                <w:rFonts w:hint="eastAsia" w:ascii="Times New Roman" w:hAnsi="Times New Roman" w:eastAsia="宋体" w:cs="Times New Roman"/>
                <w:b/>
                <w:bCs/>
                <w:color w:val="auto"/>
                <w:sz w:val="24"/>
                <w:lang w:eastAsia="zh-CN"/>
              </w:rPr>
            </w:pPr>
            <w:r>
              <w:rPr>
                <w:rFonts w:hint="default" w:ascii="Times New Roman" w:hAnsi="Times New Roman" w:eastAsia="宋体" w:cs="Times New Roman"/>
                <w:bCs/>
                <w:color w:val="auto"/>
              </w:rPr>
              <w:t>表</w:t>
            </w:r>
            <w:r>
              <w:rPr>
                <w:rFonts w:hint="eastAsia" w:ascii="Times New Roman" w:hAnsi="Times New Roman" w:eastAsia="宋体" w:cs="Times New Roman"/>
                <w:bCs/>
                <w:color w:val="auto"/>
                <w:lang w:val="en-US" w:eastAsia="zh-CN"/>
              </w:rPr>
              <w:t>4-1</w:t>
            </w:r>
            <w:r>
              <w:rPr>
                <w:rFonts w:hint="eastAsia" w:cs="Times New Roman"/>
                <w:bCs/>
                <w:color w:val="auto"/>
                <w:lang w:val="en-US" w:eastAsia="zh-CN"/>
              </w:rPr>
              <w:t>6</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本项目噪声预测结果一览表           </w:t>
            </w:r>
            <w:r>
              <w:rPr>
                <w:rFonts w:hint="default" w:ascii="Times New Roman" w:hAnsi="Times New Roman" w:eastAsia="宋体" w:cs="Times New Roman"/>
                <w:color w:val="auto"/>
              </w:rPr>
              <w:t>单位：dB</w:t>
            </w:r>
            <w:r>
              <w:rPr>
                <w:rFonts w:hint="eastAsia" w:cs="Times New Roman"/>
                <w:color w:val="auto"/>
                <w:lang w:eastAsia="zh-CN"/>
              </w:rPr>
              <w:t>（</w:t>
            </w:r>
            <w:r>
              <w:rPr>
                <w:rFonts w:hint="default" w:ascii="Times New Roman" w:hAnsi="Times New Roman" w:eastAsia="宋体" w:cs="Times New Roman"/>
                <w:color w:val="auto"/>
              </w:rPr>
              <w:t>A</w:t>
            </w:r>
            <w:r>
              <w:rPr>
                <w:rFonts w:hint="eastAsia" w:cs="Times New Roman"/>
                <w:color w:val="auto"/>
                <w:lang w:eastAsia="zh-CN"/>
              </w:rPr>
              <w:t>）</w:t>
            </w:r>
          </w:p>
          <w:tbl>
            <w:tblPr>
              <w:tblStyle w:val="30"/>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857"/>
              <w:gridCol w:w="2739"/>
              <w:gridCol w:w="1566"/>
              <w:gridCol w:w="1473"/>
              <w:gridCol w:w="1585"/>
            </w:tblGrid>
            <w:tr w14:paraId="27CD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57" w:type="dxa"/>
                  <w:vMerge w:val="restart"/>
                  <w:noWrap w:val="0"/>
                  <w:vAlign w:val="center"/>
                </w:tcPr>
                <w:p w14:paraId="6F2047DF">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序号</w:t>
                  </w:r>
                </w:p>
              </w:tc>
              <w:tc>
                <w:tcPr>
                  <w:tcW w:w="2739" w:type="dxa"/>
                  <w:vMerge w:val="restart"/>
                  <w:noWrap w:val="0"/>
                  <w:vAlign w:val="center"/>
                </w:tcPr>
                <w:p w14:paraId="73864B8B">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预测点位名称</w:t>
                  </w:r>
                </w:p>
              </w:tc>
              <w:tc>
                <w:tcPr>
                  <w:tcW w:w="1566" w:type="dxa"/>
                  <w:noWrap w:val="0"/>
                  <w:vAlign w:val="center"/>
                </w:tcPr>
                <w:p w14:paraId="1BC70FF9">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噪声标准</w:t>
                  </w:r>
                </w:p>
              </w:tc>
              <w:tc>
                <w:tcPr>
                  <w:tcW w:w="1473" w:type="dxa"/>
                  <w:noWrap w:val="0"/>
                  <w:vAlign w:val="center"/>
                </w:tcPr>
                <w:p w14:paraId="0624E342">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噪声贡献值</w:t>
                  </w:r>
                </w:p>
              </w:tc>
              <w:tc>
                <w:tcPr>
                  <w:tcW w:w="1585" w:type="dxa"/>
                  <w:noWrap w:val="0"/>
                  <w:vAlign w:val="center"/>
                </w:tcPr>
                <w:p w14:paraId="5ED8305D">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超标和达标情况</w:t>
                  </w:r>
                </w:p>
              </w:tc>
            </w:tr>
            <w:tr w14:paraId="7B282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57" w:type="dxa"/>
                  <w:vMerge w:val="continue"/>
                  <w:noWrap w:val="0"/>
                  <w:vAlign w:val="center"/>
                </w:tcPr>
                <w:p w14:paraId="7A6A1F91">
                  <w:pPr>
                    <w:pStyle w:val="80"/>
                    <w:snapToGrid w:val="0"/>
                    <w:spacing w:line="240" w:lineRule="auto"/>
                    <w:ind w:firstLine="0" w:firstLineChars="0"/>
                    <w:jc w:val="center"/>
                    <w:rPr>
                      <w:rFonts w:hint="default" w:ascii="Times New Roman" w:hAnsi="Times New Roman" w:eastAsia="宋体" w:cs="Times New Roman"/>
                      <w:b/>
                      <w:color w:val="auto"/>
                      <w:sz w:val="21"/>
                    </w:rPr>
                  </w:pPr>
                </w:p>
              </w:tc>
              <w:tc>
                <w:tcPr>
                  <w:tcW w:w="2739" w:type="dxa"/>
                  <w:vMerge w:val="continue"/>
                  <w:noWrap w:val="0"/>
                  <w:vAlign w:val="center"/>
                </w:tcPr>
                <w:p w14:paraId="6CD33C4F">
                  <w:pPr>
                    <w:pStyle w:val="80"/>
                    <w:snapToGrid w:val="0"/>
                    <w:spacing w:line="240" w:lineRule="auto"/>
                    <w:ind w:firstLine="0" w:firstLineChars="0"/>
                    <w:jc w:val="center"/>
                    <w:rPr>
                      <w:rFonts w:hint="default" w:ascii="Times New Roman" w:hAnsi="Times New Roman" w:eastAsia="宋体" w:cs="Times New Roman"/>
                      <w:b/>
                      <w:color w:val="auto"/>
                      <w:sz w:val="21"/>
                    </w:rPr>
                  </w:pPr>
                </w:p>
              </w:tc>
              <w:tc>
                <w:tcPr>
                  <w:tcW w:w="1566" w:type="dxa"/>
                  <w:noWrap w:val="0"/>
                  <w:vAlign w:val="center"/>
                </w:tcPr>
                <w:p w14:paraId="36F25175">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昼间</w:t>
                  </w:r>
                </w:p>
              </w:tc>
              <w:tc>
                <w:tcPr>
                  <w:tcW w:w="1473" w:type="dxa"/>
                  <w:noWrap w:val="0"/>
                  <w:vAlign w:val="center"/>
                </w:tcPr>
                <w:p w14:paraId="659F84E8">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昼间</w:t>
                  </w:r>
                </w:p>
              </w:tc>
              <w:tc>
                <w:tcPr>
                  <w:tcW w:w="1585" w:type="dxa"/>
                  <w:noWrap w:val="0"/>
                  <w:vAlign w:val="center"/>
                </w:tcPr>
                <w:p w14:paraId="2DB1DBE0">
                  <w:pPr>
                    <w:pStyle w:val="80"/>
                    <w:snapToGrid w:val="0"/>
                    <w:spacing w:line="240" w:lineRule="auto"/>
                    <w:ind w:firstLine="0" w:firstLineChars="0"/>
                    <w:jc w:val="center"/>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昼间</w:t>
                  </w:r>
                </w:p>
              </w:tc>
            </w:tr>
            <w:tr w14:paraId="455A4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57" w:type="dxa"/>
                  <w:noWrap w:val="0"/>
                  <w:vAlign w:val="center"/>
                </w:tcPr>
                <w:p w14:paraId="719252DF">
                  <w:pPr>
                    <w:pStyle w:val="80"/>
                    <w:snapToGrid w:val="0"/>
                    <w:spacing w:line="240" w:lineRule="auto"/>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1</w:t>
                  </w:r>
                  <w:r>
                    <w:rPr>
                      <w:rFonts w:hint="default" w:ascii="Times New Roman" w:hAnsi="Times New Roman" w:eastAsia="宋体" w:cs="Times New Roman"/>
                      <w:color w:val="auto"/>
                      <w:sz w:val="21"/>
                      <w:vertAlign w:val="baseline"/>
                    </w:rPr>
                    <w:t>#</w:t>
                  </w:r>
                </w:p>
              </w:tc>
              <w:tc>
                <w:tcPr>
                  <w:tcW w:w="2739" w:type="dxa"/>
                  <w:noWrap w:val="0"/>
                  <w:vAlign w:val="center"/>
                </w:tcPr>
                <w:p w14:paraId="514B866D">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厂界北侧</w:t>
                  </w:r>
                </w:p>
              </w:tc>
              <w:tc>
                <w:tcPr>
                  <w:tcW w:w="1566" w:type="dxa"/>
                  <w:vMerge w:val="restart"/>
                  <w:noWrap w:val="0"/>
                  <w:vAlign w:val="center"/>
                </w:tcPr>
                <w:p w14:paraId="1D5249AA">
                  <w:pPr>
                    <w:adjustRightInd w:val="0"/>
                    <w:snapToGrid w:val="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rPr>
                    <w:t>65</w:t>
                  </w:r>
                </w:p>
              </w:tc>
              <w:tc>
                <w:tcPr>
                  <w:tcW w:w="1473" w:type="dxa"/>
                  <w:noWrap w:val="0"/>
                  <w:vAlign w:val="center"/>
                </w:tcPr>
                <w:p w14:paraId="6F7F19F0">
                  <w:pPr>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58.2</w:t>
                  </w:r>
                </w:p>
              </w:tc>
              <w:tc>
                <w:tcPr>
                  <w:tcW w:w="1585" w:type="dxa"/>
                  <w:vMerge w:val="restart"/>
                  <w:noWrap w:val="0"/>
                  <w:vAlign w:val="center"/>
                </w:tcPr>
                <w:p w14:paraId="29ADF40C">
                  <w:pPr>
                    <w:adjustRightInd w:val="0"/>
                    <w:snapToGrid w:val="0"/>
                    <w:jc w:val="center"/>
                    <w:rPr>
                      <w:rFonts w:hint="default" w:ascii="Times New Roman" w:hAnsi="Times New Roman" w:eastAsia="宋体" w:cs="Times New Roman"/>
                      <w:bCs/>
                      <w:color w:val="auto"/>
                    </w:rPr>
                  </w:pPr>
                  <w:r>
                    <w:rPr>
                      <w:rFonts w:hint="default" w:ascii="Times New Roman" w:hAnsi="Times New Roman" w:eastAsia="宋体" w:cs="Times New Roman"/>
                      <w:bCs/>
                      <w:color w:val="auto"/>
                    </w:rPr>
                    <w:t>达标</w:t>
                  </w:r>
                </w:p>
              </w:tc>
            </w:tr>
            <w:tr w14:paraId="3108F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57" w:type="dxa"/>
                  <w:noWrap w:val="0"/>
                  <w:vAlign w:val="center"/>
                </w:tcPr>
                <w:p w14:paraId="7602FD6F">
                  <w:pPr>
                    <w:pStyle w:val="80"/>
                    <w:snapToGrid w:val="0"/>
                    <w:spacing w:line="240" w:lineRule="auto"/>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2#</w:t>
                  </w:r>
                </w:p>
              </w:tc>
              <w:tc>
                <w:tcPr>
                  <w:tcW w:w="2739" w:type="dxa"/>
                  <w:noWrap w:val="0"/>
                  <w:vAlign w:val="center"/>
                </w:tcPr>
                <w:p w14:paraId="471965CF">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厂界东侧</w:t>
                  </w:r>
                </w:p>
              </w:tc>
              <w:tc>
                <w:tcPr>
                  <w:tcW w:w="1566" w:type="dxa"/>
                  <w:vMerge w:val="continue"/>
                  <w:noWrap w:val="0"/>
                  <w:vAlign w:val="center"/>
                </w:tcPr>
                <w:p w14:paraId="6971C40E">
                  <w:pPr>
                    <w:adjustRightInd w:val="0"/>
                    <w:snapToGrid w:val="0"/>
                    <w:jc w:val="center"/>
                    <w:rPr>
                      <w:rFonts w:hint="default" w:ascii="Times New Roman" w:hAnsi="Times New Roman" w:eastAsia="宋体" w:cs="Times New Roman"/>
                      <w:color w:val="auto"/>
                    </w:rPr>
                  </w:pPr>
                </w:p>
              </w:tc>
              <w:tc>
                <w:tcPr>
                  <w:tcW w:w="1473" w:type="dxa"/>
                  <w:noWrap w:val="0"/>
                  <w:vAlign w:val="center"/>
                </w:tcPr>
                <w:p w14:paraId="1A4F04E7">
                  <w:pPr>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59.7</w:t>
                  </w:r>
                </w:p>
              </w:tc>
              <w:tc>
                <w:tcPr>
                  <w:tcW w:w="1585" w:type="dxa"/>
                  <w:vMerge w:val="continue"/>
                  <w:noWrap w:val="0"/>
                  <w:vAlign w:val="center"/>
                </w:tcPr>
                <w:p w14:paraId="6B7780A9">
                  <w:pPr>
                    <w:adjustRightInd w:val="0"/>
                    <w:snapToGrid w:val="0"/>
                    <w:jc w:val="center"/>
                    <w:rPr>
                      <w:rFonts w:hint="default" w:ascii="Times New Roman" w:hAnsi="Times New Roman" w:eastAsia="宋体" w:cs="Times New Roman"/>
                      <w:color w:val="auto"/>
                    </w:rPr>
                  </w:pPr>
                </w:p>
              </w:tc>
            </w:tr>
            <w:tr w14:paraId="2BA15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57" w:type="dxa"/>
                  <w:noWrap w:val="0"/>
                  <w:vAlign w:val="center"/>
                </w:tcPr>
                <w:p w14:paraId="16F28469">
                  <w:pPr>
                    <w:pStyle w:val="80"/>
                    <w:snapToGrid w:val="0"/>
                    <w:spacing w:line="240" w:lineRule="auto"/>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3#</w:t>
                  </w:r>
                </w:p>
              </w:tc>
              <w:tc>
                <w:tcPr>
                  <w:tcW w:w="2739" w:type="dxa"/>
                  <w:noWrap w:val="0"/>
                  <w:vAlign w:val="center"/>
                </w:tcPr>
                <w:p w14:paraId="0E749954">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厂界南侧</w:t>
                  </w:r>
                </w:p>
              </w:tc>
              <w:tc>
                <w:tcPr>
                  <w:tcW w:w="1566" w:type="dxa"/>
                  <w:vMerge w:val="continue"/>
                  <w:noWrap w:val="0"/>
                  <w:vAlign w:val="center"/>
                </w:tcPr>
                <w:p w14:paraId="12D5F0ED">
                  <w:pPr>
                    <w:adjustRightInd w:val="0"/>
                    <w:snapToGrid w:val="0"/>
                    <w:jc w:val="center"/>
                    <w:rPr>
                      <w:rFonts w:hint="default" w:ascii="Times New Roman" w:hAnsi="Times New Roman" w:eastAsia="宋体" w:cs="Times New Roman"/>
                      <w:color w:val="auto"/>
                    </w:rPr>
                  </w:pPr>
                </w:p>
              </w:tc>
              <w:tc>
                <w:tcPr>
                  <w:tcW w:w="1473" w:type="dxa"/>
                  <w:noWrap w:val="0"/>
                  <w:vAlign w:val="center"/>
                </w:tcPr>
                <w:p w14:paraId="66B4D3ED">
                  <w:pPr>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61.3</w:t>
                  </w:r>
                </w:p>
              </w:tc>
              <w:tc>
                <w:tcPr>
                  <w:tcW w:w="1585" w:type="dxa"/>
                  <w:vMerge w:val="continue"/>
                  <w:noWrap w:val="0"/>
                  <w:vAlign w:val="center"/>
                </w:tcPr>
                <w:p w14:paraId="408C7310">
                  <w:pPr>
                    <w:adjustRightInd w:val="0"/>
                    <w:snapToGrid w:val="0"/>
                    <w:jc w:val="center"/>
                    <w:rPr>
                      <w:rFonts w:hint="default" w:ascii="Times New Roman" w:hAnsi="Times New Roman" w:eastAsia="宋体" w:cs="Times New Roman"/>
                      <w:color w:val="auto"/>
                    </w:rPr>
                  </w:pPr>
                </w:p>
              </w:tc>
            </w:tr>
            <w:tr w14:paraId="568B7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857" w:type="dxa"/>
                  <w:noWrap w:val="0"/>
                  <w:vAlign w:val="center"/>
                </w:tcPr>
                <w:p w14:paraId="1E82928D">
                  <w:pPr>
                    <w:pStyle w:val="80"/>
                    <w:snapToGrid w:val="0"/>
                    <w:spacing w:line="240" w:lineRule="auto"/>
                    <w:ind w:firstLine="0" w:firstLineChars="0"/>
                    <w:jc w:val="center"/>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4#</w:t>
                  </w:r>
                </w:p>
              </w:tc>
              <w:tc>
                <w:tcPr>
                  <w:tcW w:w="2739" w:type="dxa"/>
                  <w:noWrap w:val="0"/>
                  <w:vAlign w:val="center"/>
                </w:tcPr>
                <w:p w14:paraId="7F3AEC37">
                  <w:pPr>
                    <w:adjustRightInd w:val="0"/>
                    <w:snapToGrid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厂界西侧</w:t>
                  </w:r>
                </w:p>
              </w:tc>
              <w:tc>
                <w:tcPr>
                  <w:tcW w:w="1566" w:type="dxa"/>
                  <w:vMerge w:val="continue"/>
                  <w:noWrap w:val="0"/>
                  <w:vAlign w:val="center"/>
                </w:tcPr>
                <w:p w14:paraId="495A2F3C">
                  <w:pPr>
                    <w:adjustRightInd w:val="0"/>
                    <w:snapToGrid w:val="0"/>
                    <w:jc w:val="center"/>
                    <w:rPr>
                      <w:rFonts w:hint="default" w:ascii="Times New Roman" w:hAnsi="Times New Roman" w:eastAsia="宋体" w:cs="Times New Roman"/>
                      <w:color w:val="auto"/>
                    </w:rPr>
                  </w:pPr>
                </w:p>
              </w:tc>
              <w:tc>
                <w:tcPr>
                  <w:tcW w:w="1473" w:type="dxa"/>
                  <w:noWrap w:val="0"/>
                  <w:vAlign w:val="center"/>
                </w:tcPr>
                <w:p w14:paraId="24EA1726">
                  <w:pPr>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60.5</w:t>
                  </w:r>
                </w:p>
              </w:tc>
              <w:tc>
                <w:tcPr>
                  <w:tcW w:w="1585" w:type="dxa"/>
                  <w:vMerge w:val="continue"/>
                  <w:noWrap w:val="0"/>
                  <w:vAlign w:val="center"/>
                </w:tcPr>
                <w:p w14:paraId="09FF6615">
                  <w:pPr>
                    <w:adjustRightInd w:val="0"/>
                    <w:snapToGrid w:val="0"/>
                    <w:jc w:val="center"/>
                    <w:rPr>
                      <w:rFonts w:hint="default" w:ascii="Times New Roman" w:hAnsi="Times New Roman" w:eastAsia="宋体" w:cs="Times New Roman"/>
                      <w:color w:val="auto"/>
                    </w:rPr>
                  </w:pPr>
                </w:p>
              </w:tc>
            </w:tr>
          </w:tbl>
          <w:p w14:paraId="5572478C">
            <w:pPr>
              <w:widowControl/>
              <w:adjustRightInd w:val="0"/>
              <w:snapToGrid w:val="0"/>
              <w:spacing w:line="360" w:lineRule="auto"/>
              <w:ind w:firstLine="480" w:firstLineChars="200"/>
              <w:jc w:val="both"/>
              <w:rPr>
                <w:color w:val="auto"/>
              </w:rPr>
            </w:pPr>
            <w:r>
              <w:rPr>
                <w:bCs/>
                <w:color w:val="auto"/>
                <w:sz w:val="24"/>
                <w:szCs w:val="24"/>
              </w:rPr>
              <w:t>根据上表，本项目设备噪声经基础减振、距离衰减后，厂界</w:t>
            </w:r>
            <w:r>
              <w:rPr>
                <w:rFonts w:hint="eastAsia"/>
                <w:bCs/>
                <w:color w:val="auto"/>
                <w:sz w:val="24"/>
                <w:szCs w:val="24"/>
                <w:lang w:eastAsia="zh-CN"/>
              </w:rPr>
              <w:t>最大</w:t>
            </w:r>
            <w:r>
              <w:rPr>
                <w:bCs/>
                <w:color w:val="auto"/>
                <w:sz w:val="24"/>
                <w:szCs w:val="24"/>
              </w:rPr>
              <w:t>噪声</w:t>
            </w:r>
            <w:r>
              <w:rPr>
                <w:rFonts w:hint="eastAsia"/>
                <w:bCs/>
                <w:color w:val="auto"/>
                <w:sz w:val="24"/>
                <w:szCs w:val="24"/>
                <w:lang w:eastAsia="zh-CN"/>
              </w:rPr>
              <w:t>贡献值</w:t>
            </w:r>
            <w:r>
              <w:rPr>
                <w:bCs/>
                <w:color w:val="auto"/>
                <w:sz w:val="24"/>
                <w:szCs w:val="24"/>
              </w:rPr>
              <w:t>为</w:t>
            </w:r>
            <w:r>
              <w:rPr>
                <w:rFonts w:hint="eastAsia"/>
                <w:bCs/>
                <w:color w:val="auto"/>
                <w:sz w:val="24"/>
                <w:szCs w:val="24"/>
                <w:lang w:val="en-US" w:eastAsia="zh-CN"/>
              </w:rPr>
              <w:t>厂界南侧61.3</w:t>
            </w:r>
            <w:r>
              <w:rPr>
                <w:bCs/>
                <w:color w:val="auto"/>
                <w:sz w:val="24"/>
                <w:szCs w:val="24"/>
              </w:rPr>
              <w:t>dB</w:t>
            </w:r>
            <w:r>
              <w:rPr>
                <w:rFonts w:hint="eastAsia"/>
                <w:bCs/>
                <w:color w:val="auto"/>
                <w:sz w:val="24"/>
                <w:szCs w:val="24"/>
                <w:lang w:val="en-US" w:eastAsia="zh-CN"/>
              </w:rPr>
              <w:t>（</w:t>
            </w:r>
            <w:r>
              <w:rPr>
                <w:bCs/>
                <w:color w:val="auto"/>
                <w:sz w:val="24"/>
                <w:szCs w:val="24"/>
              </w:rPr>
              <w:t>A</w:t>
            </w:r>
            <w:r>
              <w:rPr>
                <w:rFonts w:hint="eastAsia"/>
                <w:bCs/>
                <w:color w:val="auto"/>
                <w:sz w:val="24"/>
                <w:szCs w:val="24"/>
                <w:lang w:val="en-US" w:eastAsia="zh-CN"/>
              </w:rPr>
              <w:t>）</w:t>
            </w:r>
            <w:r>
              <w:rPr>
                <w:bCs/>
                <w:color w:val="auto"/>
                <w:sz w:val="24"/>
                <w:szCs w:val="24"/>
              </w:rPr>
              <w:t>，</w:t>
            </w:r>
            <w:r>
              <w:rPr>
                <w:rFonts w:hint="eastAsia"/>
                <w:bCs/>
                <w:color w:val="auto"/>
                <w:sz w:val="24"/>
                <w:szCs w:val="24"/>
                <w:lang w:val="en-US" w:eastAsia="zh-CN"/>
              </w:rPr>
              <w:t>可</w:t>
            </w:r>
            <w:r>
              <w:rPr>
                <w:bCs/>
                <w:color w:val="auto"/>
                <w:sz w:val="24"/>
                <w:szCs w:val="24"/>
              </w:rPr>
              <w:t>满足《工业企业厂界环境噪声排放标准》（GB12348-2008）中</w:t>
            </w:r>
            <w:r>
              <w:rPr>
                <w:rFonts w:hint="eastAsia"/>
                <w:bCs/>
                <w:color w:val="auto"/>
                <w:sz w:val="24"/>
                <w:szCs w:val="24"/>
                <w:lang w:val="en-US" w:eastAsia="zh-CN"/>
              </w:rPr>
              <w:t>3</w:t>
            </w:r>
            <w:r>
              <w:rPr>
                <w:bCs/>
                <w:color w:val="auto"/>
                <w:sz w:val="24"/>
                <w:szCs w:val="24"/>
              </w:rPr>
              <w:t>类区标准限值要求。</w:t>
            </w:r>
          </w:p>
          <w:p w14:paraId="771F960C">
            <w:pPr>
              <w:widowControl/>
              <w:adjustRightInd w:val="0"/>
              <w:snapToGrid w:val="0"/>
              <w:spacing w:line="360" w:lineRule="auto"/>
              <w:ind w:firstLine="482" w:firstLineChars="200"/>
              <w:jc w:val="both"/>
              <w:rPr>
                <w:rFonts w:hint="default" w:ascii="Times New Roman" w:hAnsi="Times New Roman" w:eastAsia="宋体" w:cs="Times New Roman"/>
                <w:b/>
                <w:bCs/>
                <w:color w:val="auto"/>
                <w:kern w:val="0"/>
                <w:sz w:val="24"/>
                <w:lang w:bidi="ar"/>
              </w:rPr>
            </w:pPr>
            <w:r>
              <w:rPr>
                <w:rFonts w:hint="default" w:ascii="Times New Roman" w:hAnsi="Times New Roman" w:eastAsia="宋体" w:cs="Times New Roman"/>
                <w:b/>
                <w:bCs/>
                <w:color w:val="auto"/>
                <w:kern w:val="0"/>
                <w:sz w:val="24"/>
                <w:lang w:bidi="ar"/>
              </w:rPr>
              <w:t>⑶防治措施</w:t>
            </w:r>
          </w:p>
          <w:p w14:paraId="2C9C453B">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根据《排污许可证申请与核发技术规范 工业噪声》（HJ1301-2023），工业噪声污染防治应满足GB/T50087和HJ2034中噪声控制相关要求。</w:t>
            </w:r>
          </w:p>
          <w:p w14:paraId="4F5BE9EF">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①优化产噪设施布局和物流运输路线，优先采用低噪声设备和运输工具。</w:t>
            </w:r>
          </w:p>
          <w:p w14:paraId="7D44E343">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②设备的运行和维护应符合设备说明书和相关技术规范的规定，定期检查其活动机构（如铰链、锁扣等）和密封机构（材料）磨损情况等，及时保养、更换。</w:t>
            </w:r>
          </w:p>
          <w:p w14:paraId="7718B8FF">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③噪声控制设备中的易损设备、配件和通用材料，由工业噪声排污单位按机械设备管理规程和工艺安全运行要求储备，保证治理设施的正常使用。</w:t>
            </w:r>
          </w:p>
          <w:p w14:paraId="3929EFF7">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④所有噪声与振动控制设备：都应根据其使用环境的卫生条件、介质属性等要素，制定相应的运行和维护规程，确保其性能和使用寿命。</w:t>
            </w:r>
          </w:p>
          <w:p w14:paraId="5E3F1B33">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bidi="ar"/>
              </w:rPr>
              <w:t>⑤定期对噪声污染防治设施进行检查维护，确保噪声污染防治设施可靠有效。</w:t>
            </w:r>
          </w:p>
          <w:p w14:paraId="5B27D548">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kern w:val="0"/>
                <w:sz w:val="24"/>
                <w:lang w:bidi="ar"/>
              </w:rPr>
              <w:t>综上，</w:t>
            </w:r>
            <w:r>
              <w:rPr>
                <w:rFonts w:hint="default" w:ascii="Times New Roman" w:hAnsi="Times New Roman" w:eastAsia="宋体" w:cs="Times New Roman"/>
                <w:color w:val="auto"/>
                <w:kern w:val="0"/>
                <w:sz w:val="24"/>
                <w:szCs w:val="24"/>
                <w:lang w:bidi="ar"/>
              </w:rPr>
              <w:t>本项目通过选用低噪声设备，生产设备噪声经基础减振、厂房墙壁隔声，同时加强设备保养及距离衰减后，项目厂界噪声排放源强满足《工业企业厂界环境噪声排放标准》（GB12348-2008）中3类昼间标准限值要求</w:t>
            </w:r>
            <w:r>
              <w:rPr>
                <w:rFonts w:hint="default" w:ascii="Times New Roman" w:hAnsi="Times New Roman" w:eastAsia="宋体" w:cs="Times New Roman"/>
                <w:color w:val="auto"/>
                <w:kern w:val="0"/>
                <w:sz w:val="24"/>
                <w:lang w:bidi="ar"/>
              </w:rPr>
              <w:t>。</w:t>
            </w:r>
          </w:p>
          <w:p w14:paraId="76800278">
            <w:pPr>
              <w:adjustRightInd w:val="0"/>
              <w:snapToGrid w:val="0"/>
              <w:spacing w:line="360" w:lineRule="auto"/>
              <w:ind w:firstLine="482" w:firstLineChars="200"/>
              <w:jc w:val="both"/>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3、运营期噪声监测要求</w:t>
            </w:r>
          </w:p>
          <w:p w14:paraId="05F11A3D">
            <w:pPr>
              <w:widowControl/>
              <w:adjustRightInd w:val="0"/>
              <w:snapToGrid w:val="0"/>
              <w:spacing w:line="360" w:lineRule="auto"/>
              <w:ind w:firstLine="480" w:firstLineChars="200"/>
              <w:jc w:val="both"/>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kern w:val="0"/>
                <w:sz w:val="24"/>
              </w:rPr>
              <w:t>根据《排污单位自行监测技术指南 总则》（HJ1207-2021）</w:t>
            </w:r>
            <w:r>
              <w:rPr>
                <w:rFonts w:hint="default" w:ascii="Times New Roman" w:hAnsi="Times New Roman" w:eastAsia="宋体" w:cs="Times New Roman"/>
                <w:snapToGrid w:val="0"/>
                <w:color w:val="auto"/>
                <w:kern w:val="0"/>
                <w:sz w:val="24"/>
                <w:lang w:bidi="ar"/>
              </w:rPr>
              <w:t>中的相关要求，</w:t>
            </w:r>
            <w:r>
              <w:rPr>
                <w:rFonts w:hint="default" w:ascii="Times New Roman" w:hAnsi="Times New Roman" w:eastAsia="宋体" w:cs="Times New Roman"/>
                <w:color w:val="auto"/>
                <w:kern w:val="0"/>
                <w:sz w:val="24"/>
                <w:lang w:bidi="ar"/>
              </w:rPr>
              <w:t>本项目噪声监测要求及执行标准见下表。</w:t>
            </w:r>
          </w:p>
          <w:tbl>
            <w:tblPr>
              <w:tblStyle w:val="30"/>
              <w:tblpPr w:leftFromText="180" w:rightFromText="180" w:vertAnchor="text" w:horzAnchor="page" w:tblpX="127" w:tblpY="312"/>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3"/>
              <w:gridCol w:w="1901"/>
              <w:gridCol w:w="1158"/>
              <w:gridCol w:w="1355"/>
              <w:gridCol w:w="3137"/>
            </w:tblGrid>
            <w:tr w14:paraId="66B3A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37" w:type="pct"/>
                  <w:noWrap w:val="0"/>
                  <w:vAlign w:val="center"/>
                </w:tcPr>
                <w:p w14:paraId="53A2F88A">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类别</w:t>
                  </w:r>
                </w:p>
              </w:tc>
              <w:tc>
                <w:tcPr>
                  <w:tcW w:w="1149" w:type="pct"/>
                  <w:noWrap w:val="0"/>
                  <w:vAlign w:val="center"/>
                </w:tcPr>
                <w:p w14:paraId="3ACB7610">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监测点位置</w:t>
                  </w:r>
                </w:p>
              </w:tc>
              <w:tc>
                <w:tcPr>
                  <w:tcW w:w="700" w:type="pct"/>
                  <w:noWrap w:val="0"/>
                  <w:vAlign w:val="center"/>
                </w:tcPr>
                <w:p w14:paraId="757FBC0A">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监测项目</w:t>
                  </w:r>
                </w:p>
              </w:tc>
              <w:tc>
                <w:tcPr>
                  <w:tcW w:w="819" w:type="pct"/>
                  <w:noWrap w:val="0"/>
                  <w:vAlign w:val="center"/>
                </w:tcPr>
                <w:p w14:paraId="41DFBC0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监测频率</w:t>
                  </w:r>
                </w:p>
              </w:tc>
              <w:tc>
                <w:tcPr>
                  <w:tcW w:w="1892" w:type="pct"/>
                  <w:noWrap w:val="0"/>
                  <w:vAlign w:val="center"/>
                </w:tcPr>
                <w:p w14:paraId="5F5B77AF">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执行标准</w:t>
                  </w:r>
                </w:p>
              </w:tc>
            </w:tr>
            <w:tr w14:paraId="6958D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trPr>
              <w:tc>
                <w:tcPr>
                  <w:tcW w:w="437" w:type="pct"/>
                  <w:noWrap w:val="0"/>
                  <w:vAlign w:val="center"/>
                </w:tcPr>
                <w:p w14:paraId="0076D263">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1149" w:type="pct"/>
                  <w:noWrap w:val="0"/>
                  <w:vAlign w:val="center"/>
                </w:tcPr>
                <w:p w14:paraId="355FFEB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厂界四周外1m处</w:t>
                  </w:r>
                </w:p>
              </w:tc>
              <w:tc>
                <w:tcPr>
                  <w:tcW w:w="700" w:type="pct"/>
                  <w:noWrap w:val="0"/>
                  <w:vAlign w:val="center"/>
                </w:tcPr>
                <w:p w14:paraId="2AB08015">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昼间噪声</w:t>
                  </w:r>
                </w:p>
              </w:tc>
              <w:tc>
                <w:tcPr>
                  <w:tcW w:w="819" w:type="pct"/>
                  <w:noWrap w:val="0"/>
                  <w:vAlign w:val="center"/>
                </w:tcPr>
                <w:p w14:paraId="1B657C73">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1次/季度</w:t>
                  </w:r>
                </w:p>
              </w:tc>
              <w:tc>
                <w:tcPr>
                  <w:tcW w:w="1892" w:type="pct"/>
                  <w:noWrap w:val="0"/>
                  <w:vAlign w:val="center"/>
                </w:tcPr>
                <w:p w14:paraId="125FA055">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《工业企业厂界环境噪声排放标准》（GB12348-2008）中的3类区</w:t>
                  </w:r>
                  <w:r>
                    <w:rPr>
                      <w:rFonts w:hint="eastAsia" w:ascii="Times New Roman" w:hAnsi="Times New Roman" w:eastAsia="宋体" w:cs="Times New Roman"/>
                      <w:color w:val="auto"/>
                      <w:sz w:val="21"/>
                      <w:szCs w:val="21"/>
                      <w:lang w:val="en-US" w:eastAsia="zh-CN"/>
                    </w:rPr>
                    <w:t>昼间</w:t>
                  </w:r>
                  <w:r>
                    <w:rPr>
                      <w:rFonts w:hint="default" w:ascii="Times New Roman" w:hAnsi="Times New Roman" w:eastAsia="宋体" w:cs="Times New Roman"/>
                      <w:color w:val="auto"/>
                      <w:sz w:val="21"/>
                      <w:szCs w:val="21"/>
                    </w:rPr>
                    <w:t>标准限值</w:t>
                  </w:r>
                </w:p>
              </w:tc>
            </w:tr>
            <w:tr w14:paraId="4DB78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gridSpan w:val="5"/>
                  <w:noWrap w:val="0"/>
                  <w:vAlign w:val="center"/>
                </w:tcPr>
                <w:p w14:paraId="3EDF2127">
                  <w:pPr>
                    <w:adjustRightInd w:val="0"/>
                    <w:snapToGrid w:val="0"/>
                    <w:jc w:val="both"/>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备注：本项目夜间不生产。</w:t>
                  </w:r>
                </w:p>
              </w:tc>
            </w:tr>
          </w:tbl>
          <w:p w14:paraId="048D8BE3">
            <w:pPr>
              <w:adjustRightInd w:val="0"/>
              <w:snapToGrid w:val="0"/>
              <w:ind w:firstLine="420" w:firstLineChars="200"/>
              <w:jc w:val="both"/>
              <w:rPr>
                <w:rFonts w:hint="default" w:ascii="Times New Roman" w:hAnsi="Times New Roman" w:eastAsia="宋体" w:cs="Times New Roman"/>
                <w:color w:val="auto"/>
                <w:kern w:val="0"/>
                <w:sz w:val="24"/>
              </w:rPr>
            </w:pPr>
            <w:r>
              <w:rPr>
                <w:rFonts w:hint="default" w:ascii="Times New Roman" w:hAnsi="Times New Roman" w:eastAsia="宋体" w:cs="Times New Roman"/>
                <w:bCs/>
                <w:color w:val="auto"/>
              </w:rPr>
              <w:t>表</w:t>
            </w:r>
            <w:r>
              <w:rPr>
                <w:rFonts w:hint="eastAsia" w:ascii="Times New Roman" w:hAnsi="Times New Roman" w:eastAsia="宋体" w:cs="Times New Roman"/>
                <w:bCs/>
                <w:color w:val="auto"/>
                <w:lang w:val="en-US" w:eastAsia="zh-CN"/>
              </w:rPr>
              <w:t>4-1</w:t>
            </w:r>
            <w:r>
              <w:rPr>
                <w:rFonts w:hint="eastAsia" w:cs="Times New Roman"/>
                <w:bCs/>
                <w:color w:val="auto"/>
                <w:lang w:val="en-US" w:eastAsia="zh-CN"/>
              </w:rPr>
              <w:t>7</w:t>
            </w:r>
            <w:r>
              <w:rPr>
                <w:rFonts w:hint="default" w:ascii="Times New Roman" w:hAnsi="Times New Roman" w:eastAsia="宋体" w:cs="Times New Roman"/>
                <w:b/>
                <w:bCs/>
                <w:color w:val="auto"/>
              </w:rPr>
              <w:t xml:space="preserve">       </w:t>
            </w:r>
            <w:r>
              <w:rPr>
                <w:rFonts w:hint="default" w:ascii="Times New Roman" w:hAnsi="Times New Roman" w:eastAsia="宋体" w:cs="Times New Roman"/>
                <w:b/>
                <w:bCs/>
                <w:color w:val="auto"/>
                <w:sz w:val="24"/>
              </w:rPr>
              <w:t xml:space="preserve"> 本项目运营期噪声监测要求及执行标准一览表</w:t>
            </w:r>
          </w:p>
          <w:p w14:paraId="1DA7FC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highlight w:val="none"/>
              </w:rPr>
            </w:pPr>
            <w:r>
              <w:rPr>
                <w:b/>
                <w:bCs/>
                <w:color w:val="auto"/>
                <w:sz w:val="24"/>
                <w:highlight w:val="none"/>
              </w:rPr>
              <w:t>四、运营期固体废物</w:t>
            </w:r>
          </w:p>
          <w:p w14:paraId="6412F464">
            <w:pPr>
              <w:adjustRightInd w:val="0"/>
              <w:snapToGrid w:val="0"/>
              <w:spacing w:line="360" w:lineRule="auto"/>
              <w:ind w:firstLine="482" w:firstLineChars="200"/>
              <w:rPr>
                <w:b/>
                <w:bCs/>
                <w:color w:val="auto"/>
                <w:sz w:val="24"/>
                <w:szCs w:val="24"/>
                <w:highlight w:val="none"/>
              </w:rPr>
            </w:pPr>
            <w:r>
              <w:rPr>
                <w:b/>
                <w:bCs/>
                <w:color w:val="auto"/>
                <w:sz w:val="24"/>
                <w:szCs w:val="24"/>
                <w:highlight w:val="none"/>
              </w:rPr>
              <w:t>1、固体废物产生情况</w:t>
            </w:r>
          </w:p>
          <w:p w14:paraId="1BCA1796">
            <w:pPr>
              <w:spacing w:line="360" w:lineRule="auto"/>
              <w:ind w:firstLine="480" w:firstLineChars="200"/>
              <w:rPr>
                <w:color w:val="auto"/>
                <w:sz w:val="24"/>
                <w:szCs w:val="24"/>
                <w:highlight w:val="none"/>
              </w:rPr>
            </w:pPr>
            <w:r>
              <w:rPr>
                <w:color w:val="auto"/>
                <w:sz w:val="24"/>
                <w:szCs w:val="24"/>
                <w:highlight w:val="none"/>
              </w:rPr>
              <w:t>本</w:t>
            </w:r>
            <w:r>
              <w:rPr>
                <w:color w:val="auto"/>
                <w:kern w:val="0"/>
                <w:sz w:val="24"/>
                <w:szCs w:val="24"/>
                <w:highlight w:val="none"/>
              </w:rPr>
              <w:t>项目固体废物主要为</w:t>
            </w:r>
            <w:r>
              <w:rPr>
                <w:rFonts w:hint="eastAsia"/>
                <w:color w:val="auto"/>
                <w:kern w:val="0"/>
                <w:sz w:val="24"/>
                <w:szCs w:val="24"/>
                <w:highlight w:val="none"/>
              </w:rPr>
              <w:t>废包装袋、不合格品、废活性炭、废润滑油、废润滑油桶及生活垃圾</w:t>
            </w:r>
            <w:r>
              <w:rPr>
                <w:color w:val="auto"/>
                <w:kern w:val="0"/>
                <w:sz w:val="24"/>
                <w:szCs w:val="24"/>
                <w:highlight w:val="none"/>
              </w:rPr>
              <w:t>。</w:t>
            </w:r>
          </w:p>
          <w:p w14:paraId="4848C7F5">
            <w:pPr>
              <w:spacing w:line="360" w:lineRule="auto"/>
              <w:ind w:firstLine="480" w:firstLineChars="200"/>
              <w:rPr>
                <w:rFonts w:hint="eastAsia"/>
                <w:color w:val="auto"/>
                <w:kern w:val="0"/>
                <w:sz w:val="24"/>
                <w:highlight w:val="none"/>
              </w:rPr>
            </w:pPr>
            <w:r>
              <w:rPr>
                <w:rFonts w:hint="eastAsia"/>
                <w:color w:val="auto"/>
                <w:kern w:val="0"/>
                <w:sz w:val="24"/>
                <w:highlight w:val="none"/>
              </w:rPr>
              <w:t>⑴废包装袋</w:t>
            </w:r>
          </w:p>
          <w:p w14:paraId="0700A6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kern w:val="0"/>
                <w:sz w:val="24"/>
                <w:szCs w:val="24"/>
                <w:highlight w:val="none"/>
              </w:rPr>
            </w:pPr>
            <w:r>
              <w:rPr>
                <w:rFonts w:hint="eastAsia"/>
                <w:color w:val="auto"/>
                <w:kern w:val="0"/>
                <w:sz w:val="24"/>
                <w:szCs w:val="24"/>
                <w:highlight w:val="none"/>
              </w:rPr>
              <w:t>本项目上料过程会产生一定的废包装袋，根据建设单位提供资料，本项目原料可发性聚苯乙烯颗粒均为袋装，每袋10kg，则年产生废包装袋约</w:t>
            </w:r>
            <w:r>
              <w:rPr>
                <w:rFonts w:hint="eastAsia"/>
                <w:color w:val="auto"/>
                <w:kern w:val="0"/>
                <w:sz w:val="24"/>
                <w:szCs w:val="24"/>
                <w:highlight w:val="none"/>
                <w:lang w:val="en-US" w:eastAsia="zh-CN"/>
              </w:rPr>
              <w:t>13.</w:t>
            </w:r>
            <w:r>
              <w:rPr>
                <w:rFonts w:hint="eastAsia"/>
                <w:color w:val="auto"/>
                <w:kern w:val="0"/>
                <w:sz w:val="24"/>
                <w:szCs w:val="24"/>
                <w:highlight w:val="none"/>
              </w:rPr>
              <w:t>5万个，每个包装袋克重约20g</w:t>
            </w:r>
            <w:r>
              <w:rPr>
                <w:rFonts w:hint="eastAsia"/>
                <w:color w:val="auto"/>
                <w:kern w:val="0"/>
                <w:sz w:val="24"/>
                <w:szCs w:val="24"/>
                <w:highlight w:val="none"/>
                <w:lang w:eastAsia="zh-CN"/>
              </w:rPr>
              <w:t>。</w:t>
            </w:r>
            <w:r>
              <w:rPr>
                <w:rFonts w:hint="eastAsia"/>
                <w:color w:val="auto"/>
                <w:kern w:val="0"/>
                <w:sz w:val="24"/>
                <w:szCs w:val="24"/>
                <w:highlight w:val="none"/>
                <w:lang w:val="en-US" w:eastAsia="zh-CN"/>
              </w:rPr>
              <w:t>其中，一期废包装袋产生约4.5万个，则一期废包装袋产生量为0.9t/a，二期废包装袋产生约9.0万个，则二期废包装袋产生量为1.8t/a，二期建成后全厂废包装袋产生量为2.7t/a，</w:t>
            </w:r>
            <w:r>
              <w:rPr>
                <w:rFonts w:hint="eastAsia"/>
                <w:color w:val="auto"/>
                <w:kern w:val="0"/>
                <w:sz w:val="24"/>
                <w:szCs w:val="24"/>
                <w:highlight w:val="none"/>
              </w:rPr>
              <w:t>集中收集后定期</w:t>
            </w:r>
            <w:r>
              <w:rPr>
                <w:rFonts w:hint="eastAsia"/>
                <w:color w:val="auto"/>
                <w:kern w:val="0"/>
                <w:sz w:val="24"/>
                <w:szCs w:val="24"/>
                <w:highlight w:val="none"/>
                <w:lang w:val="en-US" w:eastAsia="zh-CN"/>
              </w:rPr>
              <w:t>外售于</w:t>
            </w:r>
            <w:r>
              <w:rPr>
                <w:rFonts w:hint="eastAsia"/>
                <w:color w:val="auto"/>
                <w:kern w:val="0"/>
                <w:sz w:val="24"/>
                <w:szCs w:val="24"/>
                <w:highlight w:val="none"/>
              </w:rPr>
              <w:t>废品回收</w:t>
            </w:r>
            <w:r>
              <w:rPr>
                <w:rFonts w:hint="eastAsia"/>
                <w:color w:val="auto"/>
                <w:kern w:val="0"/>
                <w:sz w:val="24"/>
                <w:szCs w:val="24"/>
                <w:highlight w:val="none"/>
                <w:lang w:val="en-US" w:eastAsia="zh-CN"/>
              </w:rPr>
              <w:t>站</w:t>
            </w:r>
            <w:r>
              <w:rPr>
                <w:rFonts w:hint="eastAsia"/>
                <w:color w:val="auto"/>
                <w:kern w:val="0"/>
                <w:sz w:val="24"/>
                <w:szCs w:val="24"/>
                <w:highlight w:val="none"/>
              </w:rPr>
              <w:t>。</w:t>
            </w:r>
          </w:p>
          <w:p w14:paraId="386BAC31">
            <w:pPr>
              <w:spacing w:line="360" w:lineRule="auto"/>
              <w:ind w:firstLine="480" w:firstLineChars="200"/>
              <w:rPr>
                <w:rFonts w:hint="eastAsia"/>
                <w:color w:val="auto"/>
                <w:kern w:val="0"/>
                <w:sz w:val="24"/>
                <w:highlight w:val="none"/>
              </w:rPr>
            </w:pPr>
            <w:r>
              <w:rPr>
                <w:rFonts w:hint="eastAsia"/>
                <w:color w:val="auto"/>
                <w:kern w:val="0"/>
                <w:sz w:val="24"/>
                <w:highlight w:val="none"/>
              </w:rPr>
              <w:t>⑵不合格品</w:t>
            </w:r>
          </w:p>
          <w:p w14:paraId="287CB91F">
            <w:pPr>
              <w:spacing w:line="360" w:lineRule="auto"/>
              <w:ind w:firstLine="480" w:firstLineChars="200"/>
              <w:rPr>
                <w:rFonts w:hint="eastAsia"/>
                <w:color w:val="auto"/>
                <w:kern w:val="0"/>
                <w:sz w:val="24"/>
                <w:szCs w:val="24"/>
                <w:highlight w:val="none"/>
                <w:lang w:val="en-US" w:eastAsia="zh-CN"/>
              </w:rPr>
            </w:pPr>
            <w:r>
              <w:rPr>
                <w:rFonts w:hint="eastAsia"/>
                <w:color w:val="auto"/>
                <w:kern w:val="0"/>
                <w:sz w:val="24"/>
                <w:szCs w:val="24"/>
                <w:highlight w:val="none"/>
              </w:rPr>
              <w:t>本项目冷却脱模过程会产生一定的不合格品，根据《排放源统计调查产排污核算方法和系数手册》中“292塑料制品行业系数手册”，</w:t>
            </w:r>
            <w:r>
              <w:rPr>
                <w:rFonts w:hint="eastAsia"/>
                <w:color w:val="auto"/>
                <w:kern w:val="0"/>
                <w:sz w:val="24"/>
                <w:szCs w:val="24"/>
                <w:highlight w:val="none"/>
                <w:lang w:val="en-US" w:eastAsia="zh-CN"/>
              </w:rPr>
              <w:t>具体系数见下表。</w:t>
            </w:r>
          </w:p>
          <w:p w14:paraId="517280F7">
            <w:pPr>
              <w:adjustRightInd w:val="0"/>
              <w:snapToGrid w:val="0"/>
              <w:ind w:firstLine="420" w:firstLineChars="200"/>
              <w:rPr>
                <w:b/>
                <w:bCs/>
                <w:color w:val="auto"/>
                <w:szCs w:val="21"/>
                <w:highlight w:val="none"/>
              </w:rPr>
            </w:pPr>
            <w:r>
              <w:rPr>
                <w:color w:val="auto"/>
                <w:szCs w:val="21"/>
                <w:highlight w:val="none"/>
              </w:rPr>
              <w:t>表</w:t>
            </w:r>
            <w:r>
              <w:rPr>
                <w:rFonts w:hint="eastAsia"/>
                <w:color w:val="auto"/>
                <w:szCs w:val="21"/>
                <w:highlight w:val="none"/>
                <w:lang w:val="en-US" w:eastAsia="zh-CN"/>
              </w:rPr>
              <w:t>4-18</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b/>
                <w:bCs/>
                <w:color w:val="auto"/>
                <w:szCs w:val="21"/>
                <w:highlight w:val="none"/>
              </w:rPr>
              <w:t xml:space="preserve">    </w:t>
            </w:r>
            <w:r>
              <w:rPr>
                <w:rFonts w:hint="eastAsia"/>
                <w:b/>
                <w:bCs/>
                <w:color w:val="auto"/>
                <w:sz w:val="24"/>
                <w:highlight w:val="none"/>
                <w:lang w:val="en-US" w:eastAsia="zh-CN"/>
              </w:rPr>
              <w:t>泡沫塑料制造行业系数</w:t>
            </w:r>
            <w:r>
              <w:rPr>
                <w:b/>
                <w:bCs/>
                <w:color w:val="auto"/>
                <w:sz w:val="24"/>
                <w:highlight w:val="none"/>
              </w:rPr>
              <w:t>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58"/>
              <w:gridCol w:w="1658"/>
              <w:gridCol w:w="1658"/>
              <w:gridCol w:w="1659"/>
              <w:gridCol w:w="1661"/>
            </w:tblGrid>
            <w:tr w14:paraId="18C5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99" w:type="pct"/>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6535AA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bCs/>
                      <w:color w:val="auto"/>
                      <w:kern w:val="0"/>
                      <w:sz w:val="21"/>
                      <w:szCs w:val="21"/>
                      <w:highlight w:val="none"/>
                      <w:vertAlign w:val="baseline"/>
                      <w:lang w:val="en-US" w:eastAsia="zh-CN"/>
                    </w:rPr>
                  </w:pPr>
                  <w:r>
                    <w:rPr>
                      <w:rFonts w:hint="eastAsia"/>
                      <w:b/>
                      <w:bCs/>
                      <w:color w:val="auto"/>
                      <w:kern w:val="0"/>
                      <w:sz w:val="21"/>
                      <w:szCs w:val="21"/>
                      <w:highlight w:val="none"/>
                      <w:vertAlign w:val="baseline"/>
                      <w:lang w:val="en-US" w:eastAsia="zh-CN"/>
                    </w:rPr>
                    <w:t>产品名称</w:t>
                  </w:r>
                </w:p>
              </w:tc>
              <w:tc>
                <w:tcPr>
                  <w:tcW w:w="999"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2713A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bCs/>
                      <w:color w:val="auto"/>
                      <w:kern w:val="0"/>
                      <w:sz w:val="21"/>
                      <w:szCs w:val="21"/>
                      <w:highlight w:val="none"/>
                      <w:vertAlign w:val="baseline"/>
                      <w:lang w:val="en-US" w:eastAsia="zh-CN"/>
                    </w:rPr>
                  </w:pPr>
                  <w:r>
                    <w:rPr>
                      <w:rFonts w:hint="eastAsia"/>
                      <w:b/>
                      <w:bCs/>
                      <w:color w:val="auto"/>
                      <w:kern w:val="0"/>
                      <w:sz w:val="21"/>
                      <w:szCs w:val="21"/>
                      <w:highlight w:val="none"/>
                      <w:vertAlign w:val="baseline"/>
                      <w:lang w:val="en-US" w:eastAsia="zh-CN"/>
                    </w:rPr>
                    <w:t>规模等级</w:t>
                  </w:r>
                </w:p>
              </w:tc>
              <w:tc>
                <w:tcPr>
                  <w:tcW w:w="999"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0E52CD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bCs/>
                      <w:color w:val="auto"/>
                      <w:kern w:val="0"/>
                      <w:sz w:val="21"/>
                      <w:szCs w:val="21"/>
                      <w:highlight w:val="none"/>
                      <w:vertAlign w:val="baseline"/>
                      <w:lang w:val="en-US" w:eastAsia="zh-CN"/>
                    </w:rPr>
                  </w:pPr>
                  <w:r>
                    <w:rPr>
                      <w:rFonts w:hint="eastAsia"/>
                      <w:b/>
                      <w:bCs/>
                      <w:color w:val="auto"/>
                      <w:kern w:val="0"/>
                      <w:sz w:val="21"/>
                      <w:szCs w:val="21"/>
                      <w:highlight w:val="none"/>
                      <w:vertAlign w:val="baseline"/>
                      <w:lang w:val="en-US" w:eastAsia="zh-CN"/>
                    </w:rPr>
                    <w:t>污染物类别</w:t>
                  </w:r>
                </w:p>
              </w:tc>
              <w:tc>
                <w:tcPr>
                  <w:tcW w:w="1000"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51B720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bCs/>
                      <w:color w:val="auto"/>
                      <w:kern w:val="0"/>
                      <w:sz w:val="21"/>
                      <w:szCs w:val="21"/>
                      <w:highlight w:val="none"/>
                      <w:vertAlign w:val="baseline"/>
                      <w:lang w:val="en-US" w:eastAsia="zh-CN"/>
                    </w:rPr>
                  </w:pPr>
                  <w:r>
                    <w:rPr>
                      <w:rFonts w:hint="eastAsia"/>
                      <w:b/>
                      <w:bCs/>
                      <w:color w:val="auto"/>
                      <w:kern w:val="0"/>
                      <w:sz w:val="21"/>
                      <w:szCs w:val="21"/>
                      <w:highlight w:val="none"/>
                      <w:vertAlign w:val="baseline"/>
                      <w:lang w:val="en-US" w:eastAsia="zh-CN"/>
                    </w:rPr>
                    <w:t>单位</w:t>
                  </w:r>
                </w:p>
              </w:tc>
              <w:tc>
                <w:tcPr>
                  <w:tcW w:w="1001" w:type="pct"/>
                  <w:tcBorders>
                    <w:top w:val="single" w:color="000000" w:sz="12" w:space="0"/>
                    <w:left w:val="single" w:color="000000" w:sz="4" w:space="0"/>
                    <w:bottom w:val="single" w:color="000000" w:sz="4" w:space="0"/>
                    <w:right w:val="single" w:color="000000" w:sz="12" w:space="0"/>
                  </w:tcBorders>
                  <w:shd w:val="clear" w:color="auto" w:fill="auto"/>
                  <w:vAlign w:val="center"/>
                </w:tcPr>
                <w:p w14:paraId="3DF45B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bCs/>
                      <w:color w:val="auto"/>
                      <w:kern w:val="0"/>
                      <w:sz w:val="21"/>
                      <w:szCs w:val="21"/>
                      <w:highlight w:val="none"/>
                      <w:vertAlign w:val="baseline"/>
                      <w:lang w:val="en-US" w:eastAsia="zh-CN"/>
                    </w:rPr>
                  </w:pPr>
                  <w:r>
                    <w:rPr>
                      <w:rFonts w:hint="eastAsia"/>
                      <w:b/>
                      <w:bCs/>
                      <w:color w:val="auto"/>
                      <w:kern w:val="0"/>
                      <w:sz w:val="21"/>
                      <w:szCs w:val="21"/>
                      <w:highlight w:val="none"/>
                      <w:vertAlign w:val="baseline"/>
                      <w:lang w:val="en-US" w:eastAsia="zh-CN"/>
                    </w:rPr>
                    <w:t>产物系数</w:t>
                  </w:r>
                </w:p>
              </w:tc>
            </w:tr>
            <w:tr w14:paraId="07EA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999" w:type="pct"/>
                  <w:tcBorders>
                    <w:top w:val="single" w:color="000000" w:sz="4" w:space="0"/>
                    <w:left w:val="single" w:color="000000" w:sz="12" w:space="0"/>
                    <w:bottom w:val="single" w:color="000000" w:sz="12" w:space="0"/>
                    <w:right w:val="single" w:color="000000" w:sz="4" w:space="0"/>
                  </w:tcBorders>
                  <w:shd w:val="clear" w:color="auto" w:fill="auto"/>
                  <w:vAlign w:val="center"/>
                </w:tcPr>
                <w:p w14:paraId="2E6D04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color w:val="auto"/>
                      <w:kern w:val="0"/>
                      <w:sz w:val="21"/>
                      <w:szCs w:val="21"/>
                      <w:highlight w:val="none"/>
                      <w:vertAlign w:val="baseline"/>
                      <w:lang w:val="en-US" w:eastAsia="zh-CN"/>
                    </w:rPr>
                  </w:pPr>
                  <w:r>
                    <w:rPr>
                      <w:rFonts w:hint="eastAsia"/>
                      <w:b w:val="0"/>
                      <w:color w:val="auto"/>
                      <w:kern w:val="0"/>
                      <w:sz w:val="21"/>
                      <w:szCs w:val="21"/>
                      <w:highlight w:val="none"/>
                      <w:vertAlign w:val="baseline"/>
                      <w:lang w:val="en-US" w:eastAsia="zh-CN"/>
                    </w:rPr>
                    <w:t>泡沫塑料</w:t>
                  </w:r>
                </w:p>
              </w:tc>
              <w:tc>
                <w:tcPr>
                  <w:tcW w:w="999"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610860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color w:val="auto"/>
                      <w:kern w:val="0"/>
                      <w:sz w:val="21"/>
                      <w:szCs w:val="21"/>
                      <w:highlight w:val="none"/>
                      <w:vertAlign w:val="baseline"/>
                      <w:lang w:val="en-US" w:eastAsia="zh-CN"/>
                    </w:rPr>
                  </w:pPr>
                  <w:r>
                    <w:rPr>
                      <w:rFonts w:hint="eastAsia"/>
                      <w:b w:val="0"/>
                      <w:color w:val="auto"/>
                      <w:kern w:val="0"/>
                      <w:sz w:val="21"/>
                      <w:szCs w:val="21"/>
                      <w:highlight w:val="none"/>
                      <w:vertAlign w:val="baseline"/>
                      <w:lang w:val="en-US" w:eastAsia="zh-CN"/>
                    </w:rPr>
                    <w:t>所有规模</w:t>
                  </w:r>
                </w:p>
              </w:tc>
              <w:tc>
                <w:tcPr>
                  <w:tcW w:w="999"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2D0BB1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color w:val="auto"/>
                      <w:kern w:val="0"/>
                      <w:sz w:val="21"/>
                      <w:szCs w:val="21"/>
                      <w:highlight w:val="none"/>
                      <w:vertAlign w:val="baseline"/>
                      <w:lang w:val="en-US" w:eastAsia="zh-CN"/>
                    </w:rPr>
                  </w:pPr>
                  <w:r>
                    <w:rPr>
                      <w:rFonts w:hint="eastAsia"/>
                      <w:b w:val="0"/>
                      <w:color w:val="auto"/>
                      <w:kern w:val="0"/>
                      <w:sz w:val="21"/>
                      <w:szCs w:val="21"/>
                      <w:highlight w:val="none"/>
                      <w:vertAlign w:val="baseline"/>
                      <w:lang w:val="en-US" w:eastAsia="zh-CN"/>
                    </w:rPr>
                    <w:t>一般固废</w:t>
                  </w:r>
                </w:p>
              </w:tc>
              <w:tc>
                <w:tcPr>
                  <w:tcW w:w="1000"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4E667F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color w:val="auto"/>
                      <w:kern w:val="0"/>
                      <w:sz w:val="21"/>
                      <w:szCs w:val="21"/>
                      <w:highlight w:val="none"/>
                      <w:vertAlign w:val="baseline"/>
                      <w:lang w:val="en-US" w:eastAsia="zh-CN"/>
                    </w:rPr>
                  </w:pPr>
                  <w:r>
                    <w:rPr>
                      <w:rFonts w:hint="eastAsia"/>
                      <w:b w:val="0"/>
                      <w:color w:val="auto"/>
                      <w:kern w:val="0"/>
                      <w:sz w:val="21"/>
                      <w:szCs w:val="21"/>
                      <w:highlight w:val="none"/>
                      <w:vertAlign w:val="baseline"/>
                      <w:lang w:val="en-US" w:eastAsia="zh-CN"/>
                    </w:rPr>
                    <w:t>千克/吨-产品</w:t>
                  </w:r>
                </w:p>
              </w:tc>
              <w:tc>
                <w:tcPr>
                  <w:tcW w:w="1001"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1E75E3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color w:val="auto"/>
                      <w:kern w:val="0"/>
                      <w:sz w:val="21"/>
                      <w:szCs w:val="21"/>
                      <w:highlight w:val="none"/>
                      <w:vertAlign w:val="baseline"/>
                      <w:lang w:val="en-US" w:eastAsia="zh-CN"/>
                    </w:rPr>
                  </w:pPr>
                  <w:r>
                    <w:rPr>
                      <w:rFonts w:hint="eastAsia"/>
                      <w:b w:val="0"/>
                      <w:color w:val="auto"/>
                      <w:kern w:val="0"/>
                      <w:sz w:val="21"/>
                      <w:szCs w:val="21"/>
                      <w:highlight w:val="none"/>
                      <w:vertAlign w:val="baseline"/>
                      <w:lang w:val="en-US" w:eastAsia="zh-CN"/>
                    </w:rPr>
                    <w:t>4.00</w:t>
                  </w:r>
                </w:p>
              </w:tc>
            </w:tr>
          </w:tbl>
          <w:p w14:paraId="6C0D6E1C">
            <w:pPr>
              <w:spacing w:line="360" w:lineRule="auto"/>
              <w:ind w:firstLine="480" w:firstLineChars="200"/>
              <w:rPr>
                <w:rFonts w:hint="eastAsia"/>
                <w:color w:val="auto"/>
                <w:kern w:val="0"/>
                <w:sz w:val="24"/>
                <w:szCs w:val="24"/>
                <w:highlight w:val="none"/>
              </w:rPr>
            </w:pPr>
            <w:r>
              <w:rPr>
                <w:rFonts w:hint="eastAsia"/>
                <w:color w:val="auto"/>
                <w:kern w:val="0"/>
                <w:sz w:val="24"/>
                <w:szCs w:val="24"/>
                <w:highlight w:val="none"/>
              </w:rPr>
              <w:t>本项目产品泡沫箱为</w:t>
            </w:r>
            <w:r>
              <w:rPr>
                <w:rFonts w:hint="eastAsia"/>
                <w:color w:val="auto"/>
                <w:kern w:val="0"/>
                <w:sz w:val="24"/>
                <w:szCs w:val="24"/>
                <w:highlight w:val="none"/>
                <w:lang w:val="en-US" w:eastAsia="zh-CN"/>
              </w:rPr>
              <w:t>生产规模1278</w:t>
            </w:r>
            <w:r>
              <w:rPr>
                <w:rFonts w:hint="eastAsia"/>
                <w:color w:val="auto"/>
                <w:kern w:val="0"/>
                <w:sz w:val="24"/>
                <w:szCs w:val="24"/>
                <w:highlight w:val="none"/>
              </w:rPr>
              <w:t>t/a，</w:t>
            </w:r>
            <w:r>
              <w:rPr>
                <w:rFonts w:hint="eastAsia"/>
                <w:color w:val="auto"/>
                <w:kern w:val="0"/>
                <w:sz w:val="24"/>
                <w:szCs w:val="24"/>
                <w:highlight w:val="none"/>
                <w:lang w:val="en-US" w:eastAsia="zh-CN"/>
              </w:rPr>
              <w:t>其中，一期泡沫箱生产规模426t/a，二期泡沫箱生产规模852t/a，</w:t>
            </w:r>
            <w:r>
              <w:rPr>
                <w:rFonts w:hint="eastAsia"/>
                <w:color w:val="auto"/>
                <w:kern w:val="0"/>
                <w:sz w:val="24"/>
                <w:szCs w:val="24"/>
                <w:highlight w:val="none"/>
              </w:rPr>
              <w:t>则</w:t>
            </w:r>
            <w:r>
              <w:rPr>
                <w:rFonts w:hint="eastAsia"/>
                <w:color w:val="auto"/>
                <w:kern w:val="0"/>
                <w:sz w:val="24"/>
                <w:szCs w:val="24"/>
                <w:highlight w:val="none"/>
                <w:lang w:val="en-US" w:eastAsia="zh-CN"/>
              </w:rPr>
              <w:t>一期</w:t>
            </w:r>
            <w:r>
              <w:rPr>
                <w:rFonts w:hint="eastAsia"/>
                <w:color w:val="auto"/>
                <w:kern w:val="0"/>
                <w:sz w:val="24"/>
                <w:szCs w:val="24"/>
                <w:highlight w:val="none"/>
              </w:rPr>
              <w:t>不合格品</w:t>
            </w:r>
            <w:r>
              <w:rPr>
                <w:rFonts w:hint="eastAsia"/>
                <w:color w:val="auto"/>
                <w:kern w:val="0"/>
                <w:sz w:val="24"/>
                <w:szCs w:val="24"/>
                <w:highlight w:val="none"/>
                <w:lang w:val="en-US" w:eastAsia="zh-CN"/>
              </w:rPr>
              <w:t>产生量</w:t>
            </w:r>
            <w:r>
              <w:rPr>
                <w:rFonts w:hint="eastAsia"/>
                <w:color w:val="auto"/>
                <w:kern w:val="0"/>
                <w:sz w:val="24"/>
                <w:szCs w:val="24"/>
                <w:highlight w:val="none"/>
              </w:rPr>
              <w:t>为</w:t>
            </w:r>
            <w:r>
              <w:rPr>
                <w:rFonts w:hint="eastAsia"/>
                <w:color w:val="auto"/>
                <w:kern w:val="0"/>
                <w:sz w:val="24"/>
                <w:szCs w:val="24"/>
                <w:highlight w:val="none"/>
                <w:lang w:val="en-US" w:eastAsia="zh-CN"/>
              </w:rPr>
              <w:t>1.704</w:t>
            </w:r>
            <w:r>
              <w:rPr>
                <w:rFonts w:hint="eastAsia"/>
                <w:color w:val="auto"/>
                <w:kern w:val="0"/>
                <w:sz w:val="24"/>
                <w:szCs w:val="24"/>
                <w:highlight w:val="none"/>
              </w:rPr>
              <w:t>t/a，</w:t>
            </w:r>
            <w:r>
              <w:rPr>
                <w:rFonts w:hint="eastAsia"/>
                <w:color w:val="auto"/>
                <w:kern w:val="0"/>
                <w:sz w:val="24"/>
                <w:szCs w:val="24"/>
                <w:highlight w:val="none"/>
                <w:lang w:val="en-US" w:eastAsia="zh-CN"/>
              </w:rPr>
              <w:t>二期</w:t>
            </w:r>
            <w:r>
              <w:rPr>
                <w:rFonts w:hint="eastAsia"/>
                <w:color w:val="auto"/>
                <w:kern w:val="0"/>
                <w:sz w:val="24"/>
                <w:szCs w:val="24"/>
                <w:highlight w:val="none"/>
              </w:rPr>
              <w:t>不合格品</w:t>
            </w:r>
            <w:r>
              <w:rPr>
                <w:rFonts w:hint="eastAsia"/>
                <w:color w:val="auto"/>
                <w:kern w:val="0"/>
                <w:sz w:val="24"/>
                <w:szCs w:val="24"/>
                <w:highlight w:val="none"/>
                <w:lang w:val="en-US" w:eastAsia="zh-CN"/>
              </w:rPr>
              <w:t>产生量</w:t>
            </w:r>
            <w:r>
              <w:rPr>
                <w:rFonts w:hint="eastAsia"/>
                <w:color w:val="auto"/>
                <w:kern w:val="0"/>
                <w:sz w:val="24"/>
                <w:szCs w:val="24"/>
                <w:highlight w:val="none"/>
              </w:rPr>
              <w:t>为</w:t>
            </w:r>
            <w:r>
              <w:rPr>
                <w:rFonts w:hint="eastAsia"/>
                <w:color w:val="auto"/>
                <w:kern w:val="0"/>
                <w:sz w:val="24"/>
                <w:szCs w:val="24"/>
                <w:highlight w:val="none"/>
                <w:lang w:val="en-US" w:eastAsia="zh-CN"/>
              </w:rPr>
              <w:t>3.408t/a，二期建成后全厂不合格品产生量为5.112t/a，</w:t>
            </w:r>
            <w:r>
              <w:rPr>
                <w:rFonts w:hint="eastAsia"/>
                <w:color w:val="auto"/>
                <w:kern w:val="0"/>
                <w:sz w:val="24"/>
                <w:szCs w:val="24"/>
                <w:highlight w:val="none"/>
              </w:rPr>
              <w:t>集中收集后定期</w:t>
            </w:r>
            <w:r>
              <w:rPr>
                <w:rFonts w:hint="eastAsia"/>
                <w:color w:val="auto"/>
                <w:kern w:val="0"/>
                <w:sz w:val="24"/>
                <w:szCs w:val="24"/>
                <w:highlight w:val="none"/>
                <w:lang w:val="en-US" w:eastAsia="zh-CN"/>
              </w:rPr>
              <w:t>外售于</w:t>
            </w:r>
            <w:r>
              <w:rPr>
                <w:rFonts w:hint="eastAsia"/>
                <w:color w:val="auto"/>
                <w:kern w:val="0"/>
                <w:sz w:val="24"/>
                <w:szCs w:val="24"/>
                <w:highlight w:val="none"/>
              </w:rPr>
              <w:t>废品回收</w:t>
            </w:r>
            <w:r>
              <w:rPr>
                <w:rFonts w:hint="eastAsia"/>
                <w:color w:val="auto"/>
                <w:kern w:val="0"/>
                <w:sz w:val="24"/>
                <w:szCs w:val="24"/>
                <w:highlight w:val="none"/>
                <w:lang w:val="en-US" w:eastAsia="zh-CN"/>
              </w:rPr>
              <w:t>站</w:t>
            </w:r>
            <w:r>
              <w:rPr>
                <w:rFonts w:hint="eastAsia"/>
                <w:color w:val="auto"/>
                <w:kern w:val="0"/>
                <w:sz w:val="24"/>
                <w:szCs w:val="24"/>
                <w:highlight w:val="none"/>
              </w:rPr>
              <w:t>。</w:t>
            </w:r>
          </w:p>
          <w:p w14:paraId="241C40F6">
            <w:pPr>
              <w:spacing w:line="360" w:lineRule="auto"/>
              <w:ind w:firstLine="480" w:firstLineChars="200"/>
              <w:rPr>
                <w:rFonts w:hint="default" w:eastAsia="宋体"/>
                <w:color w:val="auto"/>
                <w:kern w:val="0"/>
                <w:sz w:val="24"/>
                <w:highlight w:val="none"/>
                <w:lang w:val="en-US" w:eastAsia="zh-CN"/>
              </w:rPr>
            </w:pPr>
            <w:r>
              <w:rPr>
                <w:rFonts w:hint="eastAsia"/>
                <w:color w:val="auto"/>
                <w:kern w:val="0"/>
                <w:sz w:val="24"/>
                <w:highlight w:val="none"/>
              </w:rPr>
              <w:t>⑶</w:t>
            </w:r>
            <w:r>
              <w:rPr>
                <w:rFonts w:hint="eastAsia"/>
                <w:color w:val="auto"/>
                <w:kern w:val="0"/>
                <w:sz w:val="24"/>
                <w:highlight w:val="none"/>
                <w:lang w:val="en-US" w:eastAsia="zh-CN"/>
              </w:rPr>
              <w:t>废边角料</w:t>
            </w:r>
          </w:p>
          <w:p w14:paraId="329D3175">
            <w:pPr>
              <w:spacing w:line="360" w:lineRule="auto"/>
              <w:ind w:firstLine="480" w:firstLineChars="200"/>
              <w:rPr>
                <w:rFonts w:hint="default" w:eastAsia="宋体"/>
                <w:color w:val="auto"/>
                <w:kern w:val="0"/>
                <w:sz w:val="24"/>
                <w:highlight w:val="none"/>
                <w:lang w:val="en-US" w:eastAsia="zh-CN"/>
              </w:rPr>
            </w:pPr>
            <w:r>
              <w:rPr>
                <w:rFonts w:hint="eastAsia"/>
                <w:color w:val="auto"/>
                <w:kern w:val="0"/>
                <w:sz w:val="24"/>
                <w:highlight w:val="none"/>
                <w:lang w:val="en-US" w:eastAsia="zh-CN"/>
              </w:rPr>
              <w:t>本项目生产过程中回产生的废边角料，</w:t>
            </w:r>
            <w:r>
              <w:rPr>
                <w:rFonts w:hint="eastAsia"/>
                <w:color w:val="auto"/>
                <w:kern w:val="0"/>
                <w:sz w:val="24"/>
                <w:szCs w:val="24"/>
                <w:highlight w:val="none"/>
              </w:rPr>
              <w:t>根据建设单位提供资料，</w:t>
            </w:r>
            <w:r>
              <w:rPr>
                <w:rFonts w:hint="eastAsia"/>
                <w:color w:val="auto"/>
                <w:kern w:val="0"/>
                <w:sz w:val="24"/>
                <w:szCs w:val="24"/>
                <w:highlight w:val="none"/>
                <w:lang w:val="en-US" w:eastAsia="zh-CN"/>
              </w:rPr>
              <w:t>本项目废边角料产生量为0.13t，其中，一期产生的废边角料为0.063t，二期产生的废边角料为0.067t，</w:t>
            </w:r>
            <w:r>
              <w:rPr>
                <w:rFonts w:hint="eastAsia"/>
                <w:color w:val="auto"/>
                <w:kern w:val="0"/>
                <w:sz w:val="24"/>
                <w:szCs w:val="24"/>
                <w:highlight w:val="none"/>
              </w:rPr>
              <w:t>集中收集后定期</w:t>
            </w:r>
            <w:r>
              <w:rPr>
                <w:rFonts w:hint="eastAsia"/>
                <w:color w:val="auto"/>
                <w:kern w:val="0"/>
                <w:sz w:val="24"/>
                <w:szCs w:val="24"/>
                <w:highlight w:val="none"/>
                <w:lang w:val="en-US" w:eastAsia="zh-CN"/>
              </w:rPr>
              <w:t>外售于</w:t>
            </w:r>
            <w:r>
              <w:rPr>
                <w:rFonts w:hint="eastAsia"/>
                <w:color w:val="auto"/>
                <w:kern w:val="0"/>
                <w:sz w:val="24"/>
                <w:szCs w:val="24"/>
                <w:highlight w:val="none"/>
              </w:rPr>
              <w:t>废品回收</w:t>
            </w:r>
            <w:r>
              <w:rPr>
                <w:rFonts w:hint="eastAsia"/>
                <w:color w:val="auto"/>
                <w:kern w:val="0"/>
                <w:sz w:val="24"/>
                <w:szCs w:val="24"/>
                <w:highlight w:val="none"/>
                <w:lang w:val="en-US" w:eastAsia="zh-CN"/>
              </w:rPr>
              <w:t>站</w:t>
            </w:r>
            <w:r>
              <w:rPr>
                <w:rFonts w:hint="eastAsia"/>
                <w:color w:val="auto"/>
                <w:kern w:val="0"/>
                <w:sz w:val="24"/>
                <w:szCs w:val="24"/>
                <w:highlight w:val="none"/>
              </w:rPr>
              <w:t>。</w:t>
            </w:r>
          </w:p>
          <w:p w14:paraId="26D3D0D5">
            <w:pPr>
              <w:spacing w:line="360" w:lineRule="auto"/>
              <w:ind w:firstLine="480" w:firstLineChars="200"/>
              <w:rPr>
                <w:rFonts w:hint="eastAsia"/>
                <w:color w:val="auto"/>
                <w:kern w:val="0"/>
                <w:sz w:val="24"/>
                <w:highlight w:val="none"/>
              </w:rPr>
            </w:pPr>
            <w:r>
              <w:rPr>
                <w:rFonts w:hint="eastAsia"/>
                <w:color w:val="auto"/>
                <w:kern w:val="0"/>
                <w:sz w:val="24"/>
                <w:szCs w:val="24"/>
                <w:highlight w:val="none"/>
              </w:rPr>
              <w:t>⑷</w:t>
            </w:r>
            <w:r>
              <w:rPr>
                <w:color w:val="auto"/>
                <w:kern w:val="0"/>
                <w:sz w:val="24"/>
                <w:highlight w:val="none"/>
              </w:rPr>
              <w:t>废润滑油</w:t>
            </w:r>
          </w:p>
          <w:p w14:paraId="11BED0AB">
            <w:pPr>
              <w:autoSpaceDE w:val="0"/>
              <w:autoSpaceDN w:val="0"/>
              <w:adjustRightInd w:val="0"/>
              <w:snapToGrid w:val="0"/>
              <w:spacing w:line="360" w:lineRule="auto"/>
              <w:ind w:firstLine="480" w:firstLineChars="200"/>
              <w:rPr>
                <w:rFonts w:hint="eastAsia"/>
                <w:color w:val="auto"/>
                <w:kern w:val="0"/>
                <w:sz w:val="24"/>
                <w:highlight w:val="none"/>
              </w:rPr>
            </w:pPr>
            <w:r>
              <w:rPr>
                <w:color w:val="auto"/>
                <w:kern w:val="0"/>
                <w:sz w:val="24"/>
                <w:highlight w:val="none"/>
              </w:rPr>
              <w:t>本项目设备</w:t>
            </w:r>
            <w:r>
              <w:rPr>
                <w:rFonts w:hint="eastAsia"/>
                <w:color w:val="auto"/>
                <w:kern w:val="0"/>
                <w:sz w:val="24"/>
                <w:highlight w:val="none"/>
              </w:rPr>
              <w:t>需定期保养</w:t>
            </w:r>
            <w:r>
              <w:rPr>
                <w:color w:val="auto"/>
                <w:kern w:val="0"/>
                <w:sz w:val="24"/>
                <w:highlight w:val="none"/>
              </w:rPr>
              <w:t>检修，</w:t>
            </w:r>
            <w:r>
              <w:rPr>
                <w:rFonts w:hint="eastAsia"/>
                <w:color w:val="auto"/>
                <w:kern w:val="0"/>
                <w:sz w:val="24"/>
                <w:highlight w:val="none"/>
              </w:rPr>
              <w:t>保养</w:t>
            </w:r>
            <w:r>
              <w:rPr>
                <w:color w:val="auto"/>
                <w:kern w:val="0"/>
                <w:sz w:val="24"/>
                <w:highlight w:val="none"/>
              </w:rPr>
              <w:t>检修过程</w:t>
            </w:r>
            <w:r>
              <w:rPr>
                <w:rFonts w:hint="eastAsia"/>
                <w:color w:val="auto"/>
                <w:kern w:val="0"/>
                <w:sz w:val="24"/>
                <w:highlight w:val="none"/>
              </w:rPr>
              <w:t>中</w:t>
            </w:r>
            <w:r>
              <w:rPr>
                <w:color w:val="auto"/>
                <w:kern w:val="0"/>
                <w:sz w:val="24"/>
                <w:highlight w:val="none"/>
              </w:rPr>
              <w:t>废润滑油产生量</w:t>
            </w:r>
            <w:r>
              <w:rPr>
                <w:rFonts w:hint="eastAsia"/>
                <w:color w:val="auto"/>
                <w:kern w:val="0"/>
                <w:sz w:val="24"/>
                <w:highlight w:val="none"/>
              </w:rPr>
              <w:t>约</w:t>
            </w:r>
            <w:r>
              <w:rPr>
                <w:color w:val="auto"/>
                <w:kern w:val="0"/>
                <w:sz w:val="24"/>
                <w:highlight w:val="none"/>
              </w:rPr>
              <w:t>为0.</w:t>
            </w:r>
            <w:r>
              <w:rPr>
                <w:rFonts w:hint="eastAsia"/>
                <w:color w:val="auto"/>
                <w:kern w:val="0"/>
                <w:sz w:val="24"/>
                <w:highlight w:val="none"/>
              </w:rPr>
              <w:t>0</w:t>
            </w:r>
            <w:r>
              <w:rPr>
                <w:rFonts w:hint="eastAsia"/>
                <w:color w:val="auto"/>
                <w:kern w:val="0"/>
                <w:sz w:val="24"/>
                <w:highlight w:val="none"/>
                <w:lang w:val="en-US" w:eastAsia="zh-CN"/>
              </w:rPr>
              <w:t>3</w:t>
            </w:r>
            <w:r>
              <w:rPr>
                <w:color w:val="auto"/>
                <w:kern w:val="0"/>
                <w:sz w:val="24"/>
                <w:highlight w:val="none"/>
              </w:rPr>
              <w:t>t/a</w:t>
            </w:r>
            <w:r>
              <w:rPr>
                <w:rFonts w:hint="eastAsia"/>
                <w:color w:val="auto"/>
                <w:kern w:val="0"/>
                <w:sz w:val="24"/>
                <w:highlight w:val="none"/>
                <w:lang w:eastAsia="zh-CN"/>
              </w:rPr>
              <w:t>，</w:t>
            </w:r>
            <w:r>
              <w:rPr>
                <w:rFonts w:hint="eastAsia"/>
                <w:color w:val="auto"/>
                <w:kern w:val="0"/>
                <w:sz w:val="24"/>
                <w:highlight w:val="none"/>
                <w:lang w:val="en-US" w:eastAsia="zh-CN"/>
              </w:rPr>
              <w:t>其中，一期年产生0.01</w:t>
            </w:r>
            <w:r>
              <w:rPr>
                <w:color w:val="auto"/>
                <w:kern w:val="0"/>
                <w:sz w:val="24"/>
                <w:highlight w:val="none"/>
              </w:rPr>
              <w:t>t/a</w:t>
            </w:r>
            <w:r>
              <w:rPr>
                <w:rFonts w:hint="eastAsia"/>
                <w:color w:val="auto"/>
                <w:kern w:val="0"/>
                <w:sz w:val="24"/>
                <w:highlight w:val="none"/>
                <w:lang w:eastAsia="zh-CN"/>
              </w:rPr>
              <w:t>，</w:t>
            </w:r>
            <w:r>
              <w:rPr>
                <w:rFonts w:hint="eastAsia"/>
                <w:color w:val="auto"/>
                <w:kern w:val="0"/>
                <w:sz w:val="24"/>
                <w:highlight w:val="none"/>
                <w:lang w:val="en-US" w:eastAsia="zh-CN"/>
              </w:rPr>
              <w:t>二期年产生0.02</w:t>
            </w:r>
            <w:r>
              <w:rPr>
                <w:color w:val="auto"/>
                <w:kern w:val="0"/>
                <w:sz w:val="24"/>
                <w:highlight w:val="none"/>
              </w:rPr>
              <w:t>t/a</w:t>
            </w:r>
            <w:r>
              <w:rPr>
                <w:rFonts w:hint="eastAsia"/>
                <w:color w:val="auto"/>
                <w:kern w:val="0"/>
                <w:sz w:val="24"/>
                <w:highlight w:val="none"/>
              </w:rPr>
              <w:t>。</w:t>
            </w:r>
            <w:r>
              <w:rPr>
                <w:color w:val="auto"/>
                <w:kern w:val="0"/>
                <w:sz w:val="24"/>
                <w:highlight w:val="none"/>
              </w:rPr>
              <w:t>根据《国家危险废物名录（202</w:t>
            </w:r>
            <w:r>
              <w:rPr>
                <w:rFonts w:hint="eastAsia"/>
                <w:color w:val="auto"/>
                <w:kern w:val="0"/>
                <w:sz w:val="24"/>
                <w:highlight w:val="none"/>
              </w:rPr>
              <w:t>5</w:t>
            </w:r>
            <w:r>
              <w:rPr>
                <w:color w:val="auto"/>
                <w:kern w:val="0"/>
                <w:sz w:val="24"/>
                <w:highlight w:val="none"/>
              </w:rPr>
              <w:t>年版）》，废润滑油属于危险废物，危废代码为：HW08，900-2</w:t>
            </w:r>
            <w:r>
              <w:rPr>
                <w:rFonts w:hint="eastAsia"/>
                <w:color w:val="auto"/>
                <w:kern w:val="0"/>
                <w:sz w:val="24"/>
                <w:highlight w:val="none"/>
              </w:rPr>
              <w:t>14-08，采用专用闭口储油桶收集</w:t>
            </w:r>
            <w:r>
              <w:rPr>
                <w:rFonts w:hint="eastAsia"/>
                <w:color w:val="auto"/>
                <w:kern w:val="0"/>
                <w:sz w:val="24"/>
                <w:highlight w:val="none"/>
                <w:lang w:val="en-US" w:eastAsia="zh-CN"/>
              </w:rPr>
              <w:t>后存放于托盘上，分区</w:t>
            </w:r>
            <w:r>
              <w:rPr>
                <w:color w:val="auto"/>
                <w:kern w:val="0"/>
                <w:sz w:val="24"/>
                <w:highlight w:val="none"/>
              </w:rPr>
              <w:t>暂存于危废</w:t>
            </w:r>
            <w:r>
              <w:rPr>
                <w:rFonts w:hint="eastAsia"/>
                <w:color w:val="auto"/>
                <w:kern w:val="0"/>
                <w:sz w:val="24"/>
                <w:highlight w:val="none"/>
              </w:rPr>
              <w:t>贮存</w:t>
            </w:r>
            <w:r>
              <w:rPr>
                <w:rFonts w:hint="eastAsia"/>
                <w:color w:val="auto"/>
                <w:kern w:val="0"/>
                <w:sz w:val="24"/>
                <w:highlight w:val="none"/>
                <w:lang w:val="en-US" w:eastAsia="zh-CN"/>
              </w:rPr>
              <w:t>点</w:t>
            </w:r>
            <w:r>
              <w:rPr>
                <w:color w:val="auto"/>
                <w:kern w:val="0"/>
                <w:sz w:val="24"/>
                <w:highlight w:val="none"/>
              </w:rPr>
              <w:t>（</w:t>
            </w:r>
            <w:r>
              <w:rPr>
                <w:rFonts w:hint="eastAsia"/>
                <w:color w:val="auto"/>
                <w:kern w:val="0"/>
                <w:sz w:val="24"/>
                <w:highlight w:val="none"/>
                <w:lang w:val="en-US" w:eastAsia="zh-CN"/>
              </w:rPr>
              <w:t>1座，10</w:t>
            </w:r>
            <w:r>
              <w:rPr>
                <w:color w:val="auto"/>
                <w:kern w:val="0"/>
                <w:sz w:val="24"/>
                <w:highlight w:val="none"/>
              </w:rPr>
              <w:t>m</w:t>
            </w:r>
            <w:r>
              <w:rPr>
                <w:color w:val="auto"/>
                <w:kern w:val="0"/>
                <w:sz w:val="24"/>
                <w:highlight w:val="none"/>
                <w:vertAlign w:val="superscript"/>
              </w:rPr>
              <w:t>2</w:t>
            </w:r>
            <w:r>
              <w:rPr>
                <w:color w:val="auto"/>
                <w:kern w:val="0"/>
                <w:sz w:val="24"/>
                <w:highlight w:val="none"/>
              </w:rPr>
              <w:t>），定期交由有资质的单位进行处置。</w:t>
            </w:r>
          </w:p>
          <w:p w14:paraId="55646B57">
            <w:pPr>
              <w:spacing w:line="360" w:lineRule="auto"/>
              <w:ind w:firstLine="480" w:firstLineChars="200"/>
              <w:rPr>
                <w:rFonts w:hint="eastAsia"/>
                <w:color w:val="auto"/>
                <w:kern w:val="0"/>
                <w:sz w:val="24"/>
                <w:szCs w:val="24"/>
                <w:highlight w:val="none"/>
              </w:rPr>
            </w:pPr>
            <w:r>
              <w:rPr>
                <w:rFonts w:hint="eastAsia"/>
                <w:color w:val="auto"/>
                <w:kern w:val="0"/>
                <w:sz w:val="24"/>
                <w:szCs w:val="24"/>
                <w:highlight w:val="none"/>
              </w:rPr>
              <w:t>⑸废润滑油桶</w:t>
            </w:r>
          </w:p>
          <w:p w14:paraId="6C252FF2">
            <w:pPr>
              <w:autoSpaceDE w:val="0"/>
              <w:autoSpaceDN w:val="0"/>
              <w:adjustRightInd w:val="0"/>
              <w:snapToGrid w:val="0"/>
              <w:spacing w:line="360" w:lineRule="auto"/>
              <w:ind w:firstLine="480" w:firstLineChars="200"/>
              <w:rPr>
                <w:color w:val="auto"/>
                <w:sz w:val="24"/>
                <w:highlight w:val="none"/>
              </w:rPr>
            </w:pPr>
            <w:r>
              <w:rPr>
                <w:rFonts w:hint="eastAsia"/>
                <w:color w:val="auto"/>
                <w:kern w:val="0"/>
                <w:sz w:val="24"/>
                <w:szCs w:val="24"/>
                <w:highlight w:val="none"/>
              </w:rPr>
              <w:t>本项目润滑油</w:t>
            </w:r>
            <w:r>
              <w:rPr>
                <w:rFonts w:hint="eastAsia"/>
                <w:color w:val="auto"/>
                <w:sz w:val="24"/>
                <w:szCs w:val="24"/>
                <w:highlight w:val="none"/>
                <w:lang w:val="en-US" w:eastAsia="zh-CN"/>
              </w:rPr>
              <w:t>桶规格为20L/桶</w:t>
            </w:r>
            <w:r>
              <w:rPr>
                <w:rFonts w:hint="eastAsia"/>
                <w:color w:val="auto"/>
                <w:sz w:val="24"/>
                <w:szCs w:val="24"/>
                <w:highlight w:val="none"/>
              </w:rPr>
              <w:t>，</w:t>
            </w:r>
            <w:r>
              <w:rPr>
                <w:rFonts w:hint="eastAsia"/>
                <w:color w:val="auto"/>
                <w:sz w:val="24"/>
                <w:szCs w:val="24"/>
                <w:highlight w:val="none"/>
                <w:lang w:val="en-US" w:eastAsia="zh-CN"/>
              </w:rPr>
              <w:t>年用量为40L/a，则</w:t>
            </w:r>
            <w:r>
              <w:rPr>
                <w:rFonts w:hint="eastAsia"/>
                <w:color w:val="auto"/>
                <w:kern w:val="0"/>
                <w:sz w:val="24"/>
                <w:szCs w:val="24"/>
                <w:highlight w:val="none"/>
              </w:rPr>
              <w:t>保养</w:t>
            </w:r>
            <w:r>
              <w:rPr>
                <w:color w:val="auto"/>
                <w:kern w:val="0"/>
                <w:sz w:val="24"/>
                <w:szCs w:val="24"/>
                <w:highlight w:val="none"/>
              </w:rPr>
              <w:t>检修</w:t>
            </w:r>
            <w:r>
              <w:rPr>
                <w:rFonts w:hint="eastAsia"/>
                <w:color w:val="auto"/>
                <w:sz w:val="24"/>
                <w:szCs w:val="24"/>
                <w:highlight w:val="none"/>
              </w:rPr>
              <w:t>的废</w:t>
            </w:r>
            <w:r>
              <w:rPr>
                <w:rFonts w:hint="eastAsia"/>
                <w:color w:val="auto"/>
                <w:kern w:val="0"/>
                <w:sz w:val="24"/>
                <w:szCs w:val="24"/>
                <w:highlight w:val="none"/>
              </w:rPr>
              <w:t>润滑油</w:t>
            </w:r>
            <w:r>
              <w:rPr>
                <w:rFonts w:hint="eastAsia"/>
                <w:color w:val="auto"/>
                <w:sz w:val="24"/>
                <w:szCs w:val="24"/>
                <w:highlight w:val="none"/>
                <w:lang w:val="en-US" w:eastAsia="zh-CN"/>
              </w:rPr>
              <w:t>桶</w:t>
            </w:r>
            <w:r>
              <w:rPr>
                <w:rFonts w:hint="eastAsia"/>
                <w:color w:val="auto"/>
                <w:sz w:val="24"/>
                <w:szCs w:val="24"/>
                <w:highlight w:val="none"/>
              </w:rPr>
              <w:t>产生量为</w:t>
            </w:r>
            <w:r>
              <w:rPr>
                <w:rFonts w:hint="eastAsia"/>
                <w:color w:val="auto"/>
                <w:sz w:val="24"/>
                <w:szCs w:val="24"/>
                <w:highlight w:val="none"/>
                <w:lang w:val="en-US" w:eastAsia="zh-CN"/>
              </w:rPr>
              <w:t>2</w:t>
            </w:r>
            <w:r>
              <w:rPr>
                <w:rFonts w:hint="eastAsia"/>
                <w:color w:val="auto"/>
                <w:sz w:val="24"/>
                <w:szCs w:val="24"/>
                <w:highlight w:val="none"/>
              </w:rPr>
              <w:t>个/a，</w:t>
            </w:r>
            <w:r>
              <w:rPr>
                <w:rFonts w:hint="eastAsia"/>
                <w:color w:val="auto"/>
                <w:sz w:val="24"/>
                <w:szCs w:val="24"/>
                <w:highlight w:val="none"/>
                <w:lang w:val="en-US" w:eastAsia="zh-CN"/>
              </w:rPr>
              <w:t>一期二期分别为1个</w:t>
            </w:r>
            <w:r>
              <w:rPr>
                <w:rFonts w:hint="eastAsia"/>
                <w:color w:val="auto"/>
                <w:sz w:val="24"/>
                <w:szCs w:val="24"/>
                <w:highlight w:val="none"/>
              </w:rPr>
              <w:t>/a，</w:t>
            </w:r>
            <w:r>
              <w:rPr>
                <w:rFonts w:hint="eastAsia"/>
                <w:color w:val="auto"/>
                <w:sz w:val="24"/>
                <w:szCs w:val="24"/>
                <w:highlight w:val="none"/>
                <w:lang w:val="en-US" w:eastAsia="zh-CN"/>
              </w:rPr>
              <w:t>废</w:t>
            </w:r>
            <w:r>
              <w:rPr>
                <w:rFonts w:hint="eastAsia"/>
                <w:color w:val="auto"/>
                <w:kern w:val="0"/>
                <w:sz w:val="24"/>
                <w:szCs w:val="24"/>
                <w:highlight w:val="none"/>
              </w:rPr>
              <w:t>润滑油</w:t>
            </w:r>
            <w:r>
              <w:rPr>
                <w:rFonts w:hint="eastAsia"/>
                <w:color w:val="auto"/>
                <w:sz w:val="24"/>
                <w:szCs w:val="24"/>
                <w:highlight w:val="none"/>
                <w:lang w:val="en-US" w:eastAsia="zh-CN"/>
              </w:rPr>
              <w:t>桶2kg/个，</w:t>
            </w:r>
            <w:r>
              <w:rPr>
                <w:rFonts w:hint="eastAsia"/>
                <w:color w:val="auto"/>
                <w:sz w:val="24"/>
                <w:highlight w:val="none"/>
                <w:lang w:val="en-US" w:eastAsia="zh-CN"/>
              </w:rPr>
              <w:t>二期建成后年产生</w:t>
            </w:r>
            <w:r>
              <w:rPr>
                <w:rFonts w:hint="eastAsia"/>
                <w:color w:val="auto"/>
                <w:kern w:val="0"/>
                <w:sz w:val="24"/>
                <w:highlight w:val="none"/>
              </w:rPr>
              <w:t>废润滑油桶为</w:t>
            </w:r>
            <w:r>
              <w:rPr>
                <w:rFonts w:hint="eastAsia"/>
                <w:color w:val="auto"/>
                <w:sz w:val="24"/>
                <w:highlight w:val="none"/>
              </w:rPr>
              <w:t>0.00</w:t>
            </w:r>
            <w:r>
              <w:rPr>
                <w:rFonts w:hint="eastAsia"/>
                <w:color w:val="auto"/>
                <w:sz w:val="24"/>
                <w:highlight w:val="none"/>
                <w:lang w:val="en-US" w:eastAsia="zh-CN"/>
              </w:rPr>
              <w:t>4</w:t>
            </w:r>
            <w:r>
              <w:rPr>
                <w:color w:val="auto"/>
                <w:sz w:val="24"/>
                <w:highlight w:val="none"/>
              </w:rPr>
              <w:t>t/a</w:t>
            </w:r>
            <w:r>
              <w:rPr>
                <w:rFonts w:hint="eastAsia"/>
                <w:color w:val="auto"/>
                <w:kern w:val="0"/>
                <w:sz w:val="24"/>
                <w:highlight w:val="none"/>
              </w:rPr>
              <w:t>。根据《国家危险废物名录（2025年版）》，废润滑桶油属于危险废物，危废代码为：HW08，900-249-08，</w:t>
            </w:r>
            <w:r>
              <w:rPr>
                <w:rFonts w:hint="eastAsia"/>
                <w:color w:val="auto"/>
                <w:sz w:val="24"/>
                <w:highlight w:val="none"/>
              </w:rPr>
              <w:t>废润滑油桶</w:t>
            </w:r>
            <w:r>
              <w:rPr>
                <w:rFonts w:hint="eastAsia"/>
                <w:color w:val="auto"/>
                <w:sz w:val="24"/>
                <w:highlight w:val="none"/>
                <w:lang w:val="en-US" w:eastAsia="zh-CN"/>
              </w:rPr>
              <w:t>置于</w:t>
            </w:r>
            <w:r>
              <w:rPr>
                <w:rFonts w:hint="eastAsia"/>
                <w:color w:val="auto"/>
                <w:sz w:val="24"/>
                <w:highlight w:val="none"/>
              </w:rPr>
              <w:t>托盘</w:t>
            </w:r>
            <w:r>
              <w:rPr>
                <w:rFonts w:hint="eastAsia"/>
                <w:color w:val="auto"/>
                <w:sz w:val="24"/>
                <w:highlight w:val="none"/>
                <w:lang w:val="en-US" w:eastAsia="zh-CN"/>
              </w:rPr>
              <w:t>上</w:t>
            </w:r>
            <w:r>
              <w:rPr>
                <w:rFonts w:hint="eastAsia"/>
                <w:color w:val="auto"/>
                <w:sz w:val="24"/>
                <w:highlight w:val="none"/>
              </w:rPr>
              <w:t>，</w:t>
            </w:r>
            <w:r>
              <w:rPr>
                <w:rFonts w:hint="eastAsia"/>
                <w:color w:val="auto"/>
                <w:sz w:val="24"/>
                <w:highlight w:val="none"/>
                <w:lang w:val="en-US" w:eastAsia="zh-CN"/>
              </w:rPr>
              <w:t>分区</w:t>
            </w:r>
            <w:r>
              <w:rPr>
                <w:color w:val="auto"/>
                <w:sz w:val="24"/>
                <w:highlight w:val="none"/>
              </w:rPr>
              <w:t>暂存于危废</w:t>
            </w:r>
            <w:r>
              <w:rPr>
                <w:rFonts w:hint="eastAsia"/>
                <w:color w:val="auto"/>
                <w:sz w:val="24"/>
                <w:highlight w:val="none"/>
              </w:rPr>
              <w:t>贮存</w:t>
            </w:r>
            <w:r>
              <w:rPr>
                <w:rFonts w:hint="eastAsia"/>
                <w:color w:val="auto"/>
                <w:sz w:val="24"/>
                <w:highlight w:val="none"/>
                <w:lang w:val="en-US" w:eastAsia="zh-CN"/>
              </w:rPr>
              <w:t>点</w:t>
            </w:r>
            <w:r>
              <w:rPr>
                <w:color w:val="auto"/>
                <w:kern w:val="0"/>
                <w:sz w:val="24"/>
                <w:highlight w:val="none"/>
              </w:rPr>
              <w:t>（</w:t>
            </w:r>
            <w:r>
              <w:rPr>
                <w:rFonts w:hint="eastAsia"/>
                <w:color w:val="auto"/>
                <w:kern w:val="0"/>
                <w:sz w:val="24"/>
                <w:highlight w:val="none"/>
                <w:lang w:val="en-US" w:eastAsia="zh-CN"/>
              </w:rPr>
              <w:t>1座，10</w:t>
            </w:r>
            <w:r>
              <w:rPr>
                <w:color w:val="auto"/>
                <w:kern w:val="0"/>
                <w:sz w:val="24"/>
                <w:highlight w:val="none"/>
              </w:rPr>
              <w:t>m</w:t>
            </w:r>
            <w:r>
              <w:rPr>
                <w:color w:val="auto"/>
                <w:kern w:val="0"/>
                <w:sz w:val="24"/>
                <w:highlight w:val="none"/>
                <w:vertAlign w:val="superscript"/>
              </w:rPr>
              <w:t>2</w:t>
            </w:r>
            <w:r>
              <w:rPr>
                <w:color w:val="auto"/>
                <w:kern w:val="0"/>
                <w:sz w:val="24"/>
                <w:highlight w:val="none"/>
              </w:rPr>
              <w:t>）</w:t>
            </w:r>
            <w:r>
              <w:rPr>
                <w:color w:val="auto"/>
                <w:sz w:val="24"/>
                <w:highlight w:val="none"/>
              </w:rPr>
              <w:t>，定期交由有资质的单位进行处置。</w:t>
            </w:r>
          </w:p>
          <w:p w14:paraId="07BD7AF2">
            <w:pPr>
              <w:autoSpaceDE w:val="0"/>
              <w:autoSpaceDN w:val="0"/>
              <w:adjustRightInd w:val="0"/>
              <w:snapToGrid w:val="0"/>
              <w:spacing w:line="360" w:lineRule="auto"/>
              <w:ind w:firstLine="480" w:firstLineChars="200"/>
              <w:rPr>
                <w:color w:val="auto"/>
                <w:kern w:val="0"/>
                <w:sz w:val="24"/>
                <w:highlight w:val="none"/>
              </w:rPr>
            </w:pPr>
            <w:r>
              <w:rPr>
                <w:rFonts w:hint="eastAsia"/>
                <w:color w:val="auto"/>
                <w:kern w:val="0"/>
                <w:sz w:val="24"/>
                <w:highlight w:val="none"/>
              </w:rPr>
              <w:t>⑹废活性炭</w:t>
            </w:r>
          </w:p>
          <w:p w14:paraId="332E1EEB">
            <w:pPr>
              <w:adjustRightInd w:val="0"/>
              <w:snapToGrid w:val="0"/>
              <w:spacing w:line="360" w:lineRule="auto"/>
              <w:ind w:firstLine="480" w:firstLineChars="200"/>
              <w:rPr>
                <w:color w:val="auto"/>
                <w:highlight w:val="none"/>
              </w:rPr>
            </w:pPr>
            <w:r>
              <w:rPr>
                <w:color w:val="auto"/>
                <w:sz w:val="24"/>
                <w:szCs w:val="24"/>
                <w:highlight w:val="none"/>
              </w:rPr>
              <w:t>本项目采用</w:t>
            </w:r>
            <w:r>
              <w:rPr>
                <w:rFonts w:hint="eastAsia"/>
                <w:color w:val="auto"/>
                <w:sz w:val="24"/>
                <w:szCs w:val="24"/>
                <w:highlight w:val="none"/>
              </w:rPr>
              <w:t>“二级活性炭吸附装置”</w:t>
            </w:r>
            <w:r>
              <w:rPr>
                <w:color w:val="auto"/>
                <w:sz w:val="24"/>
                <w:szCs w:val="24"/>
                <w:highlight w:val="none"/>
              </w:rPr>
              <w:t>对</w:t>
            </w:r>
            <w:r>
              <w:rPr>
                <w:rFonts w:hint="eastAsia"/>
                <w:color w:val="auto"/>
                <w:sz w:val="24"/>
                <w:szCs w:val="24"/>
                <w:highlight w:val="none"/>
              </w:rPr>
              <w:t>泡沫箱生产过程</w:t>
            </w:r>
            <w:r>
              <w:rPr>
                <w:color w:val="auto"/>
                <w:sz w:val="24"/>
                <w:szCs w:val="24"/>
                <w:highlight w:val="none"/>
              </w:rPr>
              <w:t>产生的非甲烷总烃进行治理，在废气治理过程中会产生废活性炭，根据《简明通风设计手册》第十章关于活性炭吸附处理治理废气的方法中提供的数据：每1kg活性炭吸附有机废气的平衡量为0.43~0.61kg，本次按0.43kg-VOCs/1kg-活性炭计</w:t>
            </w:r>
            <w:r>
              <w:rPr>
                <w:rFonts w:hint="eastAsia"/>
                <w:color w:val="auto"/>
                <w:sz w:val="24"/>
                <w:szCs w:val="24"/>
                <w:highlight w:val="none"/>
                <w:lang w:eastAsia="zh-CN"/>
              </w:rPr>
              <w:t>。</w:t>
            </w:r>
            <w:r>
              <w:rPr>
                <w:rFonts w:hint="eastAsia"/>
                <w:color w:val="auto"/>
                <w:sz w:val="24"/>
                <w:szCs w:val="24"/>
                <w:highlight w:val="none"/>
                <w:lang w:val="en-US" w:eastAsia="zh-CN"/>
              </w:rPr>
              <w:t>一期</w:t>
            </w:r>
            <w:r>
              <w:rPr>
                <w:color w:val="auto"/>
                <w:sz w:val="24"/>
                <w:szCs w:val="24"/>
                <w:highlight w:val="none"/>
              </w:rPr>
              <w:t>进入活性炭吸附装置去除的有机废气量为</w:t>
            </w:r>
            <w:r>
              <w:rPr>
                <w:rFonts w:hint="eastAsia"/>
                <w:color w:val="auto"/>
                <w:sz w:val="24"/>
                <w:szCs w:val="24"/>
                <w:highlight w:val="none"/>
                <w:lang w:val="en-US" w:eastAsia="zh-CN"/>
              </w:rPr>
              <w:t>0.44</w:t>
            </w:r>
            <w:r>
              <w:rPr>
                <w:color w:val="auto"/>
                <w:sz w:val="24"/>
                <w:szCs w:val="24"/>
                <w:highlight w:val="none"/>
              </w:rPr>
              <w:t>t/a，</w:t>
            </w:r>
            <w:r>
              <w:rPr>
                <w:rFonts w:hint="eastAsia"/>
                <w:color w:val="auto"/>
                <w:sz w:val="24"/>
                <w:szCs w:val="24"/>
                <w:highlight w:val="none"/>
                <w:lang w:val="en-US" w:eastAsia="zh-CN"/>
              </w:rPr>
              <w:t>二期</w:t>
            </w:r>
            <w:r>
              <w:rPr>
                <w:color w:val="auto"/>
                <w:sz w:val="24"/>
                <w:szCs w:val="24"/>
                <w:highlight w:val="none"/>
              </w:rPr>
              <w:t>进入活性炭吸附装置去除的有机废气量为</w:t>
            </w:r>
            <w:r>
              <w:rPr>
                <w:rFonts w:hint="eastAsia"/>
                <w:color w:val="auto"/>
                <w:sz w:val="24"/>
                <w:szCs w:val="24"/>
                <w:highlight w:val="none"/>
                <w:lang w:val="en-US" w:eastAsia="zh-CN"/>
              </w:rPr>
              <w:t>0.86</w:t>
            </w:r>
            <w:r>
              <w:rPr>
                <w:color w:val="auto"/>
                <w:sz w:val="24"/>
                <w:szCs w:val="24"/>
                <w:highlight w:val="none"/>
              </w:rPr>
              <w:t>t/a，经计算，</w:t>
            </w:r>
            <w:r>
              <w:rPr>
                <w:rFonts w:hint="eastAsia"/>
                <w:color w:val="auto"/>
                <w:sz w:val="24"/>
                <w:szCs w:val="24"/>
                <w:highlight w:val="none"/>
                <w:lang w:val="en-US" w:eastAsia="zh-CN"/>
              </w:rPr>
              <w:t>一期</w:t>
            </w:r>
            <w:r>
              <w:rPr>
                <w:color w:val="auto"/>
                <w:sz w:val="24"/>
                <w:szCs w:val="24"/>
                <w:highlight w:val="none"/>
              </w:rPr>
              <w:t>废活性炭产生量为</w:t>
            </w:r>
            <w:r>
              <w:rPr>
                <w:rFonts w:hint="eastAsia"/>
                <w:color w:val="auto"/>
                <w:sz w:val="24"/>
                <w:szCs w:val="24"/>
                <w:highlight w:val="none"/>
              </w:rPr>
              <w:t>（</w:t>
            </w:r>
            <w:r>
              <w:rPr>
                <w:rFonts w:hint="eastAsia"/>
                <w:color w:val="auto"/>
                <w:sz w:val="24"/>
                <w:szCs w:val="24"/>
                <w:highlight w:val="none"/>
                <w:lang w:val="en-US" w:eastAsia="zh-CN"/>
              </w:rPr>
              <w:t>0.44</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3</w:t>
            </w:r>
            <w:r>
              <w:rPr>
                <w:rFonts w:hint="eastAsia"/>
                <w:color w:val="auto"/>
                <w:sz w:val="24"/>
                <w:szCs w:val="24"/>
                <w:highlight w:val="none"/>
              </w:rPr>
              <w:t>/0.43）</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-3</w:t>
            </w:r>
            <w:r>
              <w:rPr>
                <w:rFonts w:hint="eastAsia"/>
                <w:color w:val="auto"/>
                <w:sz w:val="24"/>
                <w:szCs w:val="24"/>
                <w:highlight w:val="none"/>
              </w:rPr>
              <w:t>+</w:t>
            </w:r>
            <w:r>
              <w:rPr>
                <w:rFonts w:hint="eastAsia"/>
                <w:color w:val="auto"/>
                <w:sz w:val="24"/>
                <w:szCs w:val="24"/>
                <w:highlight w:val="none"/>
                <w:lang w:val="en-US" w:eastAsia="zh-CN"/>
              </w:rPr>
              <w:t>0.44</w:t>
            </w:r>
            <w:r>
              <w:rPr>
                <w:rFonts w:hint="eastAsia"/>
                <w:color w:val="auto"/>
                <w:sz w:val="24"/>
                <w:szCs w:val="24"/>
                <w:highlight w:val="none"/>
              </w:rPr>
              <w:t>≈</w:t>
            </w:r>
            <w:r>
              <w:rPr>
                <w:rFonts w:hint="eastAsia"/>
                <w:color w:val="auto"/>
                <w:sz w:val="24"/>
                <w:szCs w:val="24"/>
                <w:highlight w:val="none"/>
                <w:lang w:val="en-US" w:eastAsia="zh-CN"/>
              </w:rPr>
              <w:t>1.46</w:t>
            </w:r>
            <w:r>
              <w:rPr>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二期</w:t>
            </w:r>
            <w:r>
              <w:rPr>
                <w:color w:val="auto"/>
                <w:sz w:val="24"/>
                <w:szCs w:val="24"/>
                <w:highlight w:val="none"/>
              </w:rPr>
              <w:t>废活性炭产生量为</w:t>
            </w:r>
            <w:r>
              <w:rPr>
                <w:rFonts w:hint="eastAsia"/>
                <w:color w:val="auto"/>
                <w:sz w:val="24"/>
                <w:szCs w:val="24"/>
                <w:highlight w:val="none"/>
              </w:rPr>
              <w:t>（</w:t>
            </w:r>
            <w:r>
              <w:rPr>
                <w:rFonts w:hint="eastAsia"/>
                <w:color w:val="auto"/>
                <w:sz w:val="24"/>
                <w:szCs w:val="24"/>
                <w:highlight w:val="none"/>
                <w:lang w:val="en-US" w:eastAsia="zh-CN"/>
              </w:rPr>
              <w:t>0.86</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3</w:t>
            </w:r>
            <w:r>
              <w:rPr>
                <w:rFonts w:hint="eastAsia"/>
                <w:color w:val="auto"/>
                <w:sz w:val="24"/>
                <w:szCs w:val="24"/>
                <w:highlight w:val="none"/>
              </w:rPr>
              <w:t>/0.43）</w:t>
            </w:r>
            <w:r>
              <w:rPr>
                <w:color w:val="auto"/>
                <w:sz w:val="24"/>
                <w:szCs w:val="24"/>
                <w:highlight w:val="none"/>
              </w:rPr>
              <w:t>×</w:t>
            </w:r>
            <w:r>
              <w:rPr>
                <w:rFonts w:hint="eastAsia"/>
                <w:color w:val="auto"/>
                <w:sz w:val="24"/>
                <w:szCs w:val="24"/>
                <w:highlight w:val="none"/>
              </w:rPr>
              <w:t>10</w:t>
            </w:r>
            <w:r>
              <w:rPr>
                <w:rFonts w:hint="eastAsia"/>
                <w:color w:val="auto"/>
                <w:sz w:val="24"/>
                <w:szCs w:val="24"/>
                <w:highlight w:val="none"/>
                <w:vertAlign w:val="superscript"/>
              </w:rPr>
              <w:t>-3</w:t>
            </w:r>
            <w:r>
              <w:rPr>
                <w:rFonts w:hint="eastAsia"/>
                <w:color w:val="auto"/>
                <w:sz w:val="24"/>
                <w:szCs w:val="24"/>
                <w:highlight w:val="none"/>
                <w:vertAlign w:val="baseline"/>
                <w:lang w:val="en-US" w:eastAsia="zh-CN"/>
              </w:rPr>
              <w:t>+</w:t>
            </w:r>
            <w:r>
              <w:rPr>
                <w:rFonts w:hint="eastAsia"/>
                <w:color w:val="auto"/>
                <w:sz w:val="24"/>
                <w:szCs w:val="24"/>
                <w:highlight w:val="none"/>
                <w:lang w:val="en-US" w:eastAsia="zh-CN"/>
              </w:rPr>
              <w:t>0.86</w:t>
            </w:r>
            <w:r>
              <w:rPr>
                <w:rFonts w:hint="eastAsia"/>
                <w:color w:val="auto"/>
                <w:sz w:val="24"/>
                <w:szCs w:val="24"/>
                <w:highlight w:val="none"/>
              </w:rPr>
              <w:t>≈</w:t>
            </w:r>
            <w:r>
              <w:rPr>
                <w:rFonts w:hint="eastAsia"/>
                <w:color w:val="auto"/>
                <w:sz w:val="24"/>
                <w:szCs w:val="24"/>
                <w:highlight w:val="none"/>
                <w:lang w:val="en-US" w:eastAsia="zh-CN"/>
              </w:rPr>
              <w:t>2.86</w:t>
            </w:r>
            <w:r>
              <w:rPr>
                <w:color w:val="auto"/>
                <w:sz w:val="24"/>
                <w:szCs w:val="24"/>
                <w:highlight w:val="none"/>
              </w:rPr>
              <w:t>t/a。</w:t>
            </w:r>
            <w:r>
              <w:rPr>
                <w:rFonts w:hint="eastAsia"/>
                <w:color w:val="auto"/>
                <w:sz w:val="24"/>
                <w:szCs w:val="24"/>
                <w:highlight w:val="none"/>
                <w:lang w:val="en-US" w:eastAsia="zh-CN"/>
              </w:rPr>
              <w:t>二期建成后全厂进入活性炭吸附装置去除的有机废气量为1.49</w:t>
            </w:r>
            <w:r>
              <w:rPr>
                <w:color w:val="auto"/>
                <w:sz w:val="24"/>
                <w:szCs w:val="24"/>
                <w:highlight w:val="none"/>
              </w:rPr>
              <w:t>t/a，</w:t>
            </w:r>
            <w:r>
              <w:rPr>
                <w:rFonts w:hint="eastAsia"/>
                <w:color w:val="auto"/>
                <w:sz w:val="24"/>
                <w:szCs w:val="24"/>
                <w:highlight w:val="none"/>
                <w:lang w:val="en-US" w:eastAsia="zh-CN"/>
              </w:rPr>
              <w:t>废活性炭产生量为4.32</w:t>
            </w:r>
            <w:r>
              <w:rPr>
                <w:color w:val="auto"/>
                <w:sz w:val="24"/>
                <w:szCs w:val="24"/>
                <w:highlight w:val="none"/>
              </w:rPr>
              <w:t>t/a</w:t>
            </w:r>
            <w:r>
              <w:rPr>
                <w:rFonts w:hint="eastAsia"/>
                <w:color w:val="auto"/>
                <w:sz w:val="24"/>
                <w:szCs w:val="24"/>
                <w:highlight w:val="none"/>
                <w:lang w:val="en-US" w:eastAsia="zh-CN"/>
              </w:rPr>
              <w:t>。</w:t>
            </w:r>
            <w:r>
              <w:rPr>
                <w:color w:val="auto"/>
                <w:sz w:val="24"/>
                <w:szCs w:val="24"/>
                <w:highlight w:val="none"/>
              </w:rPr>
              <w:t>根据《国家危险废物名录（202</w:t>
            </w:r>
            <w:r>
              <w:rPr>
                <w:rFonts w:hint="eastAsia"/>
                <w:color w:val="auto"/>
                <w:sz w:val="24"/>
                <w:szCs w:val="24"/>
                <w:highlight w:val="none"/>
              </w:rPr>
              <w:t>5</w:t>
            </w:r>
            <w:r>
              <w:rPr>
                <w:color w:val="auto"/>
                <w:sz w:val="24"/>
                <w:szCs w:val="24"/>
                <w:highlight w:val="none"/>
              </w:rPr>
              <w:t>年版）》，废活性炭属于危险废物，废物代码HW49，900-039-49，</w:t>
            </w:r>
            <w:r>
              <w:rPr>
                <w:rFonts w:hint="eastAsia"/>
                <w:color w:val="auto"/>
                <w:sz w:val="24"/>
                <w:szCs w:val="24"/>
                <w:highlight w:val="none"/>
              </w:rPr>
              <w:t>废活性炭经密封包装后</w:t>
            </w:r>
            <w:r>
              <w:rPr>
                <w:rFonts w:hint="eastAsia"/>
                <w:color w:val="auto"/>
                <w:sz w:val="24"/>
                <w:szCs w:val="24"/>
                <w:highlight w:val="none"/>
                <w:lang w:val="en-US" w:eastAsia="zh-CN"/>
              </w:rPr>
              <w:t>置于</w:t>
            </w:r>
            <w:r>
              <w:rPr>
                <w:rFonts w:hint="eastAsia"/>
                <w:color w:val="auto"/>
                <w:sz w:val="24"/>
                <w:szCs w:val="24"/>
                <w:highlight w:val="none"/>
              </w:rPr>
              <w:t>托盘</w:t>
            </w:r>
            <w:r>
              <w:rPr>
                <w:rFonts w:hint="eastAsia"/>
                <w:color w:val="auto"/>
                <w:sz w:val="24"/>
                <w:szCs w:val="24"/>
                <w:highlight w:val="none"/>
                <w:lang w:val="en-US" w:eastAsia="zh-CN"/>
              </w:rPr>
              <w:t>上</w:t>
            </w:r>
            <w:r>
              <w:rPr>
                <w:rFonts w:hint="eastAsia"/>
                <w:color w:val="auto"/>
                <w:sz w:val="24"/>
                <w:szCs w:val="24"/>
                <w:highlight w:val="none"/>
              </w:rPr>
              <w:t>，</w:t>
            </w:r>
            <w:r>
              <w:rPr>
                <w:color w:val="auto"/>
                <w:sz w:val="24"/>
                <w:szCs w:val="24"/>
                <w:highlight w:val="none"/>
              </w:rPr>
              <w:t>分区</w:t>
            </w:r>
            <w:r>
              <w:rPr>
                <w:color w:val="auto"/>
                <w:kern w:val="0"/>
                <w:sz w:val="24"/>
                <w:szCs w:val="24"/>
                <w:highlight w:val="none"/>
              </w:rPr>
              <w:t>暂存于</w:t>
            </w:r>
            <w:r>
              <w:rPr>
                <w:rFonts w:hint="eastAsia"/>
                <w:color w:val="auto"/>
                <w:kern w:val="0"/>
                <w:sz w:val="24"/>
                <w:szCs w:val="24"/>
                <w:highlight w:val="none"/>
              </w:rPr>
              <w:t>危废贮存</w:t>
            </w:r>
            <w:r>
              <w:rPr>
                <w:rFonts w:hint="eastAsia"/>
                <w:color w:val="auto"/>
                <w:kern w:val="0"/>
                <w:sz w:val="24"/>
                <w:szCs w:val="24"/>
                <w:highlight w:val="none"/>
                <w:lang w:val="en-US" w:eastAsia="zh-CN"/>
              </w:rPr>
              <w:t>点</w:t>
            </w:r>
            <w:r>
              <w:rPr>
                <w:color w:val="auto"/>
                <w:kern w:val="0"/>
                <w:sz w:val="24"/>
                <w:szCs w:val="24"/>
                <w:highlight w:val="none"/>
              </w:rPr>
              <w:t>（</w:t>
            </w:r>
            <w:r>
              <w:rPr>
                <w:rFonts w:hint="eastAsia"/>
                <w:color w:val="auto"/>
                <w:kern w:val="0"/>
                <w:sz w:val="24"/>
                <w:szCs w:val="24"/>
                <w:highlight w:val="none"/>
                <w:lang w:val="en-US" w:eastAsia="zh-CN"/>
              </w:rPr>
              <w:t>1座，</w:t>
            </w:r>
            <w:r>
              <w:rPr>
                <w:rFonts w:hint="eastAsia"/>
                <w:color w:val="auto"/>
                <w:kern w:val="0"/>
                <w:sz w:val="24"/>
                <w:szCs w:val="24"/>
                <w:highlight w:val="none"/>
              </w:rPr>
              <w:t>10</w:t>
            </w:r>
            <w:r>
              <w:rPr>
                <w:color w:val="auto"/>
                <w:kern w:val="0"/>
                <w:sz w:val="24"/>
                <w:szCs w:val="24"/>
                <w:highlight w:val="none"/>
              </w:rPr>
              <w:t>m</w:t>
            </w:r>
            <w:r>
              <w:rPr>
                <w:color w:val="auto"/>
                <w:kern w:val="0"/>
                <w:sz w:val="24"/>
                <w:szCs w:val="24"/>
                <w:highlight w:val="none"/>
                <w:vertAlign w:val="superscript"/>
              </w:rPr>
              <w:t>2</w:t>
            </w:r>
            <w:r>
              <w:rPr>
                <w:color w:val="auto"/>
                <w:kern w:val="0"/>
                <w:sz w:val="24"/>
                <w:szCs w:val="24"/>
                <w:highlight w:val="none"/>
              </w:rPr>
              <w:t>）内，定期交由</w:t>
            </w:r>
            <w:r>
              <w:rPr>
                <w:rFonts w:hint="eastAsia"/>
                <w:color w:val="auto"/>
                <w:kern w:val="0"/>
                <w:sz w:val="24"/>
                <w:szCs w:val="24"/>
                <w:highlight w:val="none"/>
                <w:lang w:val="en-US" w:eastAsia="zh-CN"/>
              </w:rPr>
              <w:t>有资质的单位</w:t>
            </w:r>
            <w:r>
              <w:rPr>
                <w:color w:val="auto"/>
                <w:kern w:val="0"/>
                <w:sz w:val="24"/>
                <w:szCs w:val="24"/>
                <w:highlight w:val="none"/>
              </w:rPr>
              <w:t>处置。</w:t>
            </w:r>
          </w:p>
          <w:p w14:paraId="697FBBBB">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default" w:eastAsia="宋体"/>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根据环保设备厂家提供资料，1m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的蜂窝活性炭（碘值900mg/g）质量大概在450~500kg左右，项目取值为1m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活性炭为500kg，项目采用的活性炭吸附箱最大活性炭填充量为</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3</w:t>
            </w:r>
            <w:r>
              <w:rPr>
                <w:rFonts w:hint="eastAsia" w:ascii="Times New Roman" w:hAnsi="Times New Roman" w:eastAsia="宋体" w:cs="Times New Roman"/>
                <w:color w:val="auto"/>
                <w:sz w:val="24"/>
                <w:highlight w:val="none"/>
                <w:lang w:val="en-US" w:eastAsia="zh-CN"/>
              </w:rPr>
              <w:t>，填充活性炭量为</w:t>
            </w:r>
            <w:r>
              <w:rPr>
                <w:rFonts w:hint="eastAsia" w:cs="Times New Roman"/>
                <w:color w:val="auto"/>
                <w:sz w:val="24"/>
                <w:highlight w:val="none"/>
                <w:lang w:val="en-US" w:eastAsia="zh-CN"/>
              </w:rPr>
              <w:t>1000</w:t>
            </w:r>
            <w:r>
              <w:rPr>
                <w:rFonts w:hint="eastAsia" w:ascii="Times New Roman" w:hAnsi="Times New Roman" w:eastAsia="宋体" w:cs="Times New Roman"/>
                <w:color w:val="auto"/>
                <w:sz w:val="24"/>
                <w:highlight w:val="none"/>
                <w:lang w:val="en-US" w:eastAsia="zh-CN"/>
              </w:rPr>
              <w:t>kg/次。为避免对项目周边环境造成影响，环评建议项目每3个月对活性炭更换1次</w:t>
            </w:r>
            <w:r>
              <w:rPr>
                <w:rFonts w:ascii="Times New Roman" w:hAnsi="Times New Roman" w:eastAsia="宋体" w:cs="Times New Roman"/>
                <w:color w:val="auto"/>
                <w:sz w:val="24"/>
                <w:highlight w:val="none"/>
                <w:lang w:val="en-US"/>
              </w:rPr>
              <w:t>。</w:t>
            </w:r>
          </w:p>
          <w:p w14:paraId="09353B9B">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微软雅黑" w:cs="Times New Roman"/>
                <w:color w:val="auto"/>
                <w:kern w:val="0"/>
                <w:sz w:val="24"/>
                <w:szCs w:val="24"/>
                <w:highlight w:val="none"/>
              </w:rPr>
              <w:t>⑺</w:t>
            </w:r>
            <w:r>
              <w:rPr>
                <w:rFonts w:hint="default" w:ascii="Times New Roman" w:hAnsi="Times New Roman" w:cs="Times New Roman"/>
                <w:color w:val="auto"/>
                <w:sz w:val="24"/>
                <w:szCs w:val="24"/>
                <w:highlight w:val="none"/>
              </w:rPr>
              <w:t>生活垃圾</w:t>
            </w:r>
          </w:p>
          <w:p w14:paraId="75F325C9">
            <w:pPr>
              <w:spacing w:line="360" w:lineRule="auto"/>
              <w:ind w:firstLine="480" w:firstLineChars="200"/>
              <w:rPr>
                <w:rFonts w:hint="eastAsia"/>
                <w:color w:val="auto"/>
                <w:kern w:val="0"/>
                <w:sz w:val="24"/>
                <w:highlight w:val="none"/>
              </w:rPr>
            </w:pPr>
            <w:r>
              <w:rPr>
                <w:rFonts w:hint="eastAsia"/>
                <w:color w:val="auto"/>
                <w:sz w:val="24"/>
                <w:highlight w:val="none"/>
              </w:rPr>
              <w:t>本项目</w:t>
            </w:r>
            <w:r>
              <w:rPr>
                <w:color w:val="auto"/>
                <w:sz w:val="24"/>
                <w:highlight w:val="none"/>
              </w:rPr>
              <w:t>劳动定员</w:t>
            </w:r>
            <w:r>
              <w:rPr>
                <w:rFonts w:hint="eastAsia"/>
                <w:color w:val="auto"/>
                <w:sz w:val="24"/>
                <w:highlight w:val="none"/>
                <w:lang w:val="en-US" w:eastAsia="zh-CN"/>
              </w:rPr>
              <w:t>20</w:t>
            </w:r>
            <w:r>
              <w:rPr>
                <w:bCs/>
                <w:color w:val="auto"/>
                <w:sz w:val="24"/>
                <w:highlight w:val="none"/>
              </w:rPr>
              <w:t>人，</w:t>
            </w:r>
            <w:r>
              <w:rPr>
                <w:rFonts w:hint="eastAsia"/>
                <w:bCs/>
                <w:color w:val="auto"/>
                <w:sz w:val="24"/>
                <w:highlight w:val="none"/>
                <w:lang w:val="en-US" w:eastAsia="zh-CN"/>
              </w:rPr>
              <w:t>其中，一期劳动定员10人，二期劳动定员10人，</w:t>
            </w:r>
            <w:r>
              <w:rPr>
                <w:bCs/>
                <w:color w:val="auto"/>
                <w:sz w:val="24"/>
                <w:highlight w:val="none"/>
              </w:rPr>
              <w:t>生活垃圾产生量按0.5kg/人·d计，则本项目</w:t>
            </w:r>
            <w:r>
              <w:rPr>
                <w:rFonts w:hint="eastAsia"/>
                <w:bCs/>
                <w:color w:val="auto"/>
                <w:sz w:val="24"/>
                <w:highlight w:val="none"/>
                <w:lang w:val="en-US" w:eastAsia="zh-CN"/>
              </w:rPr>
              <w:t>一期、二期</w:t>
            </w:r>
            <w:r>
              <w:rPr>
                <w:bCs/>
                <w:color w:val="auto"/>
                <w:sz w:val="24"/>
                <w:highlight w:val="none"/>
              </w:rPr>
              <w:t>生活垃圾产生量</w:t>
            </w:r>
            <w:r>
              <w:rPr>
                <w:rFonts w:hint="eastAsia"/>
                <w:bCs/>
                <w:color w:val="auto"/>
                <w:sz w:val="24"/>
                <w:highlight w:val="none"/>
                <w:lang w:val="en-US" w:eastAsia="zh-CN"/>
              </w:rPr>
              <w:t>均</w:t>
            </w:r>
            <w:r>
              <w:rPr>
                <w:bCs/>
                <w:color w:val="auto"/>
                <w:sz w:val="24"/>
                <w:highlight w:val="none"/>
              </w:rPr>
              <w:t>为</w:t>
            </w:r>
            <w:r>
              <w:rPr>
                <w:rFonts w:hint="eastAsia"/>
                <w:bCs/>
                <w:color w:val="auto"/>
                <w:sz w:val="24"/>
                <w:highlight w:val="none"/>
                <w:lang w:val="en-US" w:eastAsia="zh-CN"/>
              </w:rPr>
              <w:t>0.75</w:t>
            </w:r>
            <w:r>
              <w:rPr>
                <w:rFonts w:hint="eastAsia"/>
                <w:bCs/>
                <w:color w:val="auto"/>
                <w:sz w:val="24"/>
                <w:highlight w:val="none"/>
              </w:rPr>
              <w:t>t</w:t>
            </w:r>
            <w:r>
              <w:rPr>
                <w:bCs/>
                <w:color w:val="auto"/>
                <w:sz w:val="24"/>
                <w:highlight w:val="none"/>
              </w:rPr>
              <w:t>/a</w:t>
            </w:r>
            <w:r>
              <w:rPr>
                <w:rFonts w:hint="eastAsia"/>
                <w:bCs/>
                <w:color w:val="auto"/>
                <w:sz w:val="24"/>
                <w:highlight w:val="none"/>
                <w:lang w:eastAsia="zh-CN"/>
              </w:rPr>
              <w:t>，</w:t>
            </w:r>
            <w:r>
              <w:rPr>
                <w:rFonts w:hint="eastAsia"/>
                <w:bCs/>
                <w:color w:val="auto"/>
                <w:sz w:val="24"/>
                <w:highlight w:val="none"/>
                <w:lang w:val="en-US" w:eastAsia="zh-CN"/>
              </w:rPr>
              <w:t>二期建成后全厂</w:t>
            </w:r>
            <w:r>
              <w:rPr>
                <w:bCs/>
                <w:color w:val="auto"/>
                <w:sz w:val="24"/>
                <w:highlight w:val="none"/>
              </w:rPr>
              <w:t>生活垃圾产生量为</w:t>
            </w:r>
            <w:r>
              <w:rPr>
                <w:rFonts w:hint="eastAsia"/>
                <w:bCs/>
                <w:color w:val="auto"/>
                <w:sz w:val="24"/>
                <w:highlight w:val="none"/>
                <w:lang w:val="en-US" w:eastAsia="zh-CN"/>
              </w:rPr>
              <w:t>1.5</w:t>
            </w:r>
            <w:r>
              <w:rPr>
                <w:rFonts w:hint="eastAsia"/>
                <w:bCs/>
                <w:color w:val="auto"/>
                <w:sz w:val="24"/>
                <w:highlight w:val="none"/>
              </w:rPr>
              <w:t>t</w:t>
            </w:r>
            <w:r>
              <w:rPr>
                <w:bCs/>
                <w:color w:val="auto"/>
                <w:sz w:val="24"/>
                <w:highlight w:val="none"/>
              </w:rPr>
              <w:t>/a</w:t>
            </w:r>
            <w:r>
              <w:rPr>
                <w:rFonts w:hint="eastAsia"/>
                <w:bCs/>
                <w:color w:val="auto"/>
                <w:sz w:val="24"/>
                <w:highlight w:val="none"/>
                <w:lang w:eastAsia="zh-CN"/>
              </w:rPr>
              <w:t>，</w:t>
            </w:r>
            <w:r>
              <w:rPr>
                <w:rFonts w:hint="eastAsia"/>
                <w:bCs/>
                <w:color w:val="auto"/>
                <w:sz w:val="24"/>
                <w:highlight w:val="none"/>
              </w:rPr>
              <w:t>经垃圾桶分类</w:t>
            </w:r>
            <w:r>
              <w:rPr>
                <w:bCs/>
                <w:color w:val="auto"/>
                <w:sz w:val="24"/>
                <w:highlight w:val="none"/>
              </w:rPr>
              <w:t>收集后交</w:t>
            </w:r>
            <w:r>
              <w:rPr>
                <w:rFonts w:hint="eastAsia"/>
                <w:bCs/>
                <w:color w:val="auto"/>
                <w:sz w:val="24"/>
                <w:highlight w:val="none"/>
              </w:rPr>
              <w:t>由园区</w:t>
            </w:r>
            <w:r>
              <w:rPr>
                <w:bCs/>
                <w:color w:val="auto"/>
                <w:sz w:val="24"/>
                <w:highlight w:val="none"/>
              </w:rPr>
              <w:t>环卫部门统一</w:t>
            </w:r>
            <w:r>
              <w:rPr>
                <w:rFonts w:hint="eastAsia"/>
                <w:bCs/>
                <w:color w:val="auto"/>
                <w:sz w:val="24"/>
                <w:highlight w:val="none"/>
              </w:rPr>
              <w:t>清运</w:t>
            </w:r>
            <w:r>
              <w:rPr>
                <w:bCs/>
                <w:color w:val="auto"/>
                <w:sz w:val="24"/>
                <w:highlight w:val="none"/>
              </w:rPr>
              <w:t>处置。</w:t>
            </w:r>
          </w:p>
          <w:p w14:paraId="64AC0282">
            <w:pPr>
              <w:adjustRightInd w:val="0"/>
              <w:snapToGrid w:val="0"/>
              <w:spacing w:line="360" w:lineRule="auto"/>
              <w:ind w:firstLine="480" w:firstLineChars="200"/>
              <w:rPr>
                <w:color w:val="auto"/>
                <w:kern w:val="0"/>
                <w:sz w:val="24"/>
                <w:highlight w:val="none"/>
              </w:rPr>
            </w:pPr>
            <w:r>
              <w:rPr>
                <w:color w:val="auto"/>
                <w:kern w:val="21"/>
                <w:sz w:val="24"/>
                <w:highlight w:val="none"/>
              </w:rPr>
              <w:t>本项目</w:t>
            </w:r>
            <w:r>
              <w:rPr>
                <w:rFonts w:hint="eastAsia"/>
                <w:color w:val="auto"/>
                <w:kern w:val="21"/>
                <w:sz w:val="24"/>
                <w:highlight w:val="none"/>
              </w:rPr>
              <w:t>一般工业</w:t>
            </w:r>
            <w:r>
              <w:rPr>
                <w:color w:val="auto"/>
                <w:kern w:val="21"/>
                <w:sz w:val="24"/>
                <w:highlight w:val="none"/>
              </w:rPr>
              <w:t>固体废物</w:t>
            </w:r>
            <w:r>
              <w:rPr>
                <w:rFonts w:hint="eastAsia"/>
                <w:color w:val="auto"/>
                <w:kern w:val="21"/>
                <w:sz w:val="24"/>
                <w:highlight w:val="none"/>
              </w:rPr>
              <w:t>与危险废物代码分别根据《固体废物分类与代码目录》及《国家危险废物名录（2025年版）》确定。</w:t>
            </w:r>
            <w:r>
              <w:rPr>
                <w:color w:val="auto"/>
                <w:kern w:val="0"/>
                <w:sz w:val="24"/>
                <w:highlight w:val="none"/>
              </w:rPr>
              <w:t>本项目固体废物产生情况见下表。</w:t>
            </w:r>
          </w:p>
          <w:p w14:paraId="22CAF8CE">
            <w:pPr>
              <w:adjustRightInd w:val="0"/>
              <w:snapToGrid w:val="0"/>
              <w:ind w:firstLine="420" w:firstLineChars="200"/>
              <w:rPr>
                <w:bCs/>
                <w:color w:val="auto"/>
                <w:szCs w:val="21"/>
                <w:highlight w:val="none"/>
              </w:rPr>
            </w:pPr>
          </w:p>
          <w:p w14:paraId="61D6AD8A">
            <w:pPr>
              <w:adjustRightInd w:val="0"/>
              <w:snapToGrid w:val="0"/>
              <w:ind w:firstLine="420" w:firstLineChars="200"/>
              <w:rPr>
                <w:bCs/>
                <w:color w:val="auto"/>
                <w:szCs w:val="21"/>
                <w:highlight w:val="none"/>
              </w:rPr>
            </w:pPr>
          </w:p>
          <w:p w14:paraId="3A037109">
            <w:pPr>
              <w:adjustRightInd w:val="0"/>
              <w:snapToGrid w:val="0"/>
              <w:ind w:firstLine="420" w:firstLineChars="200"/>
              <w:rPr>
                <w:bCs/>
                <w:color w:val="auto"/>
                <w:szCs w:val="21"/>
                <w:highlight w:val="none"/>
              </w:rPr>
            </w:pPr>
          </w:p>
          <w:p w14:paraId="433067DE">
            <w:pPr>
              <w:adjustRightInd w:val="0"/>
              <w:snapToGrid w:val="0"/>
              <w:ind w:firstLine="420" w:firstLineChars="200"/>
              <w:rPr>
                <w:color w:val="auto"/>
                <w:kern w:val="0"/>
                <w:szCs w:val="21"/>
                <w:highlight w:val="none"/>
              </w:rPr>
            </w:pPr>
            <w:r>
              <w:rPr>
                <w:bCs/>
                <w:color w:val="auto"/>
                <w:szCs w:val="21"/>
                <w:highlight w:val="none"/>
              </w:rPr>
              <w:t>表4-</w:t>
            </w:r>
            <w:r>
              <w:rPr>
                <w:rFonts w:hint="eastAsia"/>
                <w:bCs/>
                <w:color w:val="auto"/>
                <w:szCs w:val="21"/>
                <w:highlight w:val="none"/>
                <w:lang w:val="en-US" w:eastAsia="zh-CN"/>
              </w:rPr>
              <w:t>19</w:t>
            </w:r>
            <w:r>
              <w:rPr>
                <w:rFonts w:hint="eastAsia"/>
                <w:bCs/>
                <w:color w:val="auto"/>
                <w:szCs w:val="21"/>
                <w:highlight w:val="none"/>
              </w:rPr>
              <w:t xml:space="preserve">    </w:t>
            </w:r>
            <w:r>
              <w:rPr>
                <w:b/>
                <w:bCs/>
                <w:color w:val="auto"/>
                <w:szCs w:val="21"/>
                <w:highlight w:val="none"/>
              </w:rPr>
              <w:t xml:space="preserve">         </w:t>
            </w:r>
            <w:r>
              <w:rPr>
                <w:b/>
                <w:bCs/>
                <w:color w:val="auto"/>
                <w:sz w:val="24"/>
                <w:highlight w:val="none"/>
              </w:rPr>
              <w:t>本项目固体废物产生情况一览表</w:t>
            </w:r>
          </w:p>
          <w:tbl>
            <w:tblPr>
              <w:tblStyle w:val="30"/>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12"/>
              <w:gridCol w:w="689"/>
              <w:gridCol w:w="689"/>
              <w:gridCol w:w="989"/>
              <w:gridCol w:w="687"/>
              <w:gridCol w:w="1313"/>
              <w:gridCol w:w="949"/>
              <w:gridCol w:w="678"/>
              <w:gridCol w:w="707"/>
            </w:tblGrid>
            <w:tr w14:paraId="75B7E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Merge w:val="restart"/>
                  <w:noWrap w:val="0"/>
                  <w:vAlign w:val="center"/>
                </w:tcPr>
                <w:p w14:paraId="66442A62">
                  <w:pPr>
                    <w:adjustRightInd w:val="0"/>
                    <w:snapToGrid w:val="0"/>
                    <w:jc w:val="center"/>
                    <w:rPr>
                      <w:b/>
                      <w:snapToGrid w:val="0"/>
                      <w:color w:val="auto"/>
                      <w:kern w:val="0"/>
                      <w:szCs w:val="21"/>
                      <w:highlight w:val="none"/>
                    </w:rPr>
                  </w:pPr>
                  <w:r>
                    <w:rPr>
                      <w:b/>
                      <w:snapToGrid w:val="0"/>
                      <w:color w:val="auto"/>
                      <w:kern w:val="0"/>
                      <w:szCs w:val="21"/>
                      <w:highlight w:val="none"/>
                    </w:rPr>
                    <w:t>污染物名称</w:t>
                  </w:r>
                </w:p>
              </w:tc>
              <w:tc>
                <w:tcPr>
                  <w:tcW w:w="854" w:type="dxa"/>
                  <w:vMerge w:val="restart"/>
                  <w:noWrap w:val="0"/>
                  <w:vAlign w:val="center"/>
                </w:tcPr>
                <w:p w14:paraId="63D9C976">
                  <w:pPr>
                    <w:adjustRightInd w:val="0"/>
                    <w:snapToGrid w:val="0"/>
                    <w:jc w:val="center"/>
                    <w:rPr>
                      <w:b/>
                      <w:snapToGrid w:val="0"/>
                      <w:color w:val="auto"/>
                      <w:kern w:val="0"/>
                      <w:szCs w:val="21"/>
                      <w:highlight w:val="none"/>
                    </w:rPr>
                  </w:pPr>
                  <w:r>
                    <w:rPr>
                      <w:b/>
                      <w:snapToGrid w:val="0"/>
                      <w:color w:val="auto"/>
                      <w:kern w:val="0"/>
                      <w:szCs w:val="21"/>
                      <w:highlight w:val="none"/>
                    </w:rPr>
                    <w:t>产生环节</w:t>
                  </w:r>
                </w:p>
              </w:tc>
              <w:tc>
                <w:tcPr>
                  <w:tcW w:w="2161" w:type="dxa"/>
                  <w:gridSpan w:val="3"/>
                  <w:noWrap w:val="0"/>
                  <w:vAlign w:val="center"/>
                </w:tcPr>
                <w:p w14:paraId="3F697843">
                  <w:pPr>
                    <w:adjustRightInd w:val="0"/>
                    <w:snapToGrid w:val="0"/>
                    <w:jc w:val="center"/>
                    <w:rPr>
                      <w:b/>
                      <w:snapToGrid w:val="0"/>
                      <w:color w:val="auto"/>
                      <w:kern w:val="0"/>
                      <w:szCs w:val="21"/>
                      <w:highlight w:val="none"/>
                    </w:rPr>
                  </w:pPr>
                  <w:r>
                    <w:rPr>
                      <w:b/>
                      <w:snapToGrid w:val="0"/>
                      <w:color w:val="auto"/>
                      <w:kern w:val="0"/>
                      <w:szCs w:val="21"/>
                      <w:highlight w:val="none"/>
                    </w:rPr>
                    <w:t>产生量t/a</w:t>
                  </w:r>
                </w:p>
              </w:tc>
              <w:tc>
                <w:tcPr>
                  <w:tcW w:w="715" w:type="dxa"/>
                  <w:vMerge w:val="restart"/>
                  <w:noWrap w:val="0"/>
                  <w:vAlign w:val="center"/>
                </w:tcPr>
                <w:p w14:paraId="608530AF">
                  <w:pPr>
                    <w:adjustRightInd w:val="0"/>
                    <w:snapToGrid w:val="0"/>
                    <w:jc w:val="center"/>
                    <w:rPr>
                      <w:b/>
                      <w:snapToGrid w:val="0"/>
                      <w:color w:val="auto"/>
                      <w:kern w:val="0"/>
                      <w:szCs w:val="21"/>
                      <w:highlight w:val="none"/>
                    </w:rPr>
                  </w:pPr>
                  <w:r>
                    <w:rPr>
                      <w:b/>
                      <w:snapToGrid w:val="0"/>
                      <w:color w:val="auto"/>
                      <w:kern w:val="0"/>
                      <w:szCs w:val="21"/>
                      <w:highlight w:val="none"/>
                    </w:rPr>
                    <w:t>属性</w:t>
                  </w:r>
                </w:p>
              </w:tc>
              <w:tc>
                <w:tcPr>
                  <w:tcW w:w="1313" w:type="dxa"/>
                  <w:vMerge w:val="restart"/>
                  <w:noWrap w:val="0"/>
                  <w:vAlign w:val="center"/>
                </w:tcPr>
                <w:p w14:paraId="1F5F228E">
                  <w:pPr>
                    <w:adjustRightInd w:val="0"/>
                    <w:snapToGrid w:val="0"/>
                    <w:jc w:val="center"/>
                    <w:rPr>
                      <w:b/>
                      <w:snapToGrid w:val="0"/>
                      <w:color w:val="auto"/>
                      <w:kern w:val="0"/>
                      <w:szCs w:val="21"/>
                      <w:highlight w:val="none"/>
                    </w:rPr>
                  </w:pPr>
                  <w:r>
                    <w:rPr>
                      <w:b/>
                      <w:snapToGrid w:val="0"/>
                      <w:color w:val="auto"/>
                      <w:kern w:val="0"/>
                      <w:szCs w:val="21"/>
                      <w:highlight w:val="none"/>
                    </w:rPr>
                    <w:t>代码</w:t>
                  </w:r>
                </w:p>
              </w:tc>
              <w:tc>
                <w:tcPr>
                  <w:tcW w:w="1005" w:type="dxa"/>
                  <w:vMerge w:val="restart"/>
                  <w:noWrap w:val="0"/>
                  <w:vAlign w:val="center"/>
                </w:tcPr>
                <w:p w14:paraId="7026319A">
                  <w:pPr>
                    <w:adjustRightInd w:val="0"/>
                    <w:snapToGrid w:val="0"/>
                    <w:jc w:val="center"/>
                    <w:rPr>
                      <w:b/>
                      <w:snapToGrid w:val="0"/>
                      <w:color w:val="auto"/>
                      <w:kern w:val="0"/>
                      <w:szCs w:val="21"/>
                      <w:highlight w:val="none"/>
                    </w:rPr>
                  </w:pPr>
                  <w:r>
                    <w:rPr>
                      <w:b/>
                      <w:snapToGrid w:val="0"/>
                      <w:color w:val="auto"/>
                      <w:kern w:val="0"/>
                      <w:szCs w:val="21"/>
                      <w:highlight w:val="none"/>
                    </w:rPr>
                    <w:t>主要有毒有害物质名称</w:t>
                  </w:r>
                </w:p>
              </w:tc>
              <w:tc>
                <w:tcPr>
                  <w:tcW w:w="705" w:type="dxa"/>
                  <w:vMerge w:val="restart"/>
                  <w:noWrap w:val="0"/>
                  <w:vAlign w:val="center"/>
                </w:tcPr>
                <w:p w14:paraId="03964752">
                  <w:pPr>
                    <w:adjustRightInd w:val="0"/>
                    <w:snapToGrid w:val="0"/>
                    <w:jc w:val="center"/>
                    <w:rPr>
                      <w:b/>
                      <w:snapToGrid w:val="0"/>
                      <w:color w:val="auto"/>
                      <w:kern w:val="0"/>
                      <w:szCs w:val="21"/>
                      <w:highlight w:val="none"/>
                    </w:rPr>
                  </w:pPr>
                  <w:r>
                    <w:rPr>
                      <w:b/>
                      <w:snapToGrid w:val="0"/>
                      <w:color w:val="auto"/>
                      <w:kern w:val="0"/>
                      <w:szCs w:val="21"/>
                      <w:highlight w:val="none"/>
                    </w:rPr>
                    <w:t>物理性状</w:t>
                  </w:r>
                </w:p>
              </w:tc>
              <w:tc>
                <w:tcPr>
                  <w:tcW w:w="723" w:type="dxa"/>
                  <w:vMerge w:val="restart"/>
                  <w:noWrap w:val="0"/>
                  <w:vAlign w:val="center"/>
                </w:tcPr>
                <w:p w14:paraId="6C861614">
                  <w:pPr>
                    <w:adjustRightInd w:val="0"/>
                    <w:snapToGrid w:val="0"/>
                    <w:jc w:val="center"/>
                    <w:rPr>
                      <w:b/>
                      <w:snapToGrid w:val="0"/>
                      <w:color w:val="auto"/>
                      <w:kern w:val="0"/>
                      <w:szCs w:val="21"/>
                      <w:highlight w:val="none"/>
                    </w:rPr>
                  </w:pPr>
                  <w:r>
                    <w:rPr>
                      <w:b/>
                      <w:snapToGrid w:val="0"/>
                      <w:color w:val="auto"/>
                      <w:kern w:val="0"/>
                      <w:szCs w:val="21"/>
                      <w:highlight w:val="none"/>
                    </w:rPr>
                    <w:t>环境危险特性</w:t>
                  </w:r>
                </w:p>
              </w:tc>
            </w:tr>
            <w:tr w14:paraId="293C4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Merge w:val="continue"/>
                  <w:noWrap w:val="0"/>
                  <w:vAlign w:val="center"/>
                </w:tcPr>
                <w:p w14:paraId="4DB58FA5">
                  <w:pPr>
                    <w:adjustRightInd w:val="0"/>
                    <w:snapToGrid w:val="0"/>
                    <w:jc w:val="center"/>
                    <w:rPr>
                      <w:b/>
                      <w:snapToGrid w:val="0"/>
                      <w:color w:val="auto"/>
                      <w:kern w:val="0"/>
                      <w:szCs w:val="21"/>
                      <w:highlight w:val="none"/>
                    </w:rPr>
                  </w:pPr>
                </w:p>
              </w:tc>
              <w:tc>
                <w:tcPr>
                  <w:tcW w:w="854" w:type="dxa"/>
                  <w:vMerge w:val="continue"/>
                  <w:noWrap w:val="0"/>
                  <w:vAlign w:val="center"/>
                </w:tcPr>
                <w:p w14:paraId="1803AB5D">
                  <w:pPr>
                    <w:adjustRightInd w:val="0"/>
                    <w:snapToGrid w:val="0"/>
                    <w:jc w:val="center"/>
                    <w:rPr>
                      <w:b/>
                      <w:snapToGrid w:val="0"/>
                      <w:color w:val="auto"/>
                      <w:kern w:val="0"/>
                      <w:szCs w:val="21"/>
                      <w:highlight w:val="none"/>
                    </w:rPr>
                  </w:pPr>
                </w:p>
              </w:tc>
              <w:tc>
                <w:tcPr>
                  <w:tcW w:w="615" w:type="dxa"/>
                  <w:noWrap w:val="0"/>
                  <w:vAlign w:val="center"/>
                </w:tcPr>
                <w:p w14:paraId="500AB11D">
                  <w:pPr>
                    <w:adjustRightInd w:val="0"/>
                    <w:snapToGrid w:val="0"/>
                    <w:jc w:val="center"/>
                    <w:rPr>
                      <w:rFonts w:hint="eastAsia" w:eastAsia="宋体"/>
                      <w:b/>
                      <w:snapToGrid w:val="0"/>
                      <w:color w:val="auto"/>
                      <w:kern w:val="0"/>
                      <w:szCs w:val="21"/>
                      <w:highlight w:val="none"/>
                      <w:lang w:val="en-US" w:eastAsia="zh-CN"/>
                    </w:rPr>
                  </w:pPr>
                  <w:r>
                    <w:rPr>
                      <w:rFonts w:hint="eastAsia"/>
                      <w:b/>
                      <w:snapToGrid w:val="0"/>
                      <w:color w:val="auto"/>
                      <w:kern w:val="0"/>
                      <w:szCs w:val="21"/>
                      <w:highlight w:val="none"/>
                      <w:lang w:val="en-US" w:eastAsia="zh-CN"/>
                    </w:rPr>
                    <w:t>一期</w:t>
                  </w:r>
                </w:p>
              </w:tc>
              <w:tc>
                <w:tcPr>
                  <w:tcW w:w="525" w:type="dxa"/>
                  <w:noWrap w:val="0"/>
                  <w:vAlign w:val="center"/>
                </w:tcPr>
                <w:p w14:paraId="4C406388">
                  <w:pPr>
                    <w:adjustRightInd w:val="0"/>
                    <w:snapToGrid w:val="0"/>
                    <w:jc w:val="center"/>
                    <w:rPr>
                      <w:rFonts w:hint="eastAsia" w:eastAsia="宋体"/>
                      <w:b/>
                      <w:snapToGrid w:val="0"/>
                      <w:color w:val="auto"/>
                      <w:kern w:val="0"/>
                      <w:szCs w:val="21"/>
                      <w:highlight w:val="none"/>
                      <w:lang w:val="en-US" w:eastAsia="zh-CN"/>
                    </w:rPr>
                  </w:pPr>
                  <w:r>
                    <w:rPr>
                      <w:rFonts w:hint="eastAsia"/>
                      <w:b/>
                      <w:snapToGrid w:val="0"/>
                      <w:color w:val="auto"/>
                      <w:kern w:val="0"/>
                      <w:szCs w:val="21"/>
                      <w:highlight w:val="none"/>
                      <w:lang w:val="en-US" w:eastAsia="zh-CN"/>
                    </w:rPr>
                    <w:t>二期</w:t>
                  </w:r>
                </w:p>
              </w:tc>
              <w:tc>
                <w:tcPr>
                  <w:tcW w:w="1021" w:type="dxa"/>
                  <w:noWrap w:val="0"/>
                  <w:vAlign w:val="center"/>
                </w:tcPr>
                <w:p w14:paraId="41136192">
                  <w:pPr>
                    <w:adjustRightInd w:val="0"/>
                    <w:snapToGrid w:val="0"/>
                    <w:jc w:val="center"/>
                    <w:rPr>
                      <w:rFonts w:hint="default" w:eastAsia="宋体"/>
                      <w:b/>
                      <w:snapToGrid w:val="0"/>
                      <w:color w:val="auto"/>
                      <w:kern w:val="0"/>
                      <w:szCs w:val="21"/>
                      <w:highlight w:val="none"/>
                      <w:lang w:val="en-US" w:eastAsia="zh-CN"/>
                    </w:rPr>
                  </w:pPr>
                  <w:r>
                    <w:rPr>
                      <w:rFonts w:hint="eastAsia"/>
                      <w:b/>
                      <w:snapToGrid w:val="0"/>
                      <w:color w:val="auto"/>
                      <w:kern w:val="0"/>
                      <w:szCs w:val="21"/>
                      <w:highlight w:val="none"/>
                      <w:lang w:val="en-US" w:eastAsia="zh-CN"/>
                    </w:rPr>
                    <w:t>二期建成后全厂</w:t>
                  </w:r>
                </w:p>
              </w:tc>
              <w:tc>
                <w:tcPr>
                  <w:tcW w:w="715" w:type="dxa"/>
                  <w:vMerge w:val="continue"/>
                  <w:noWrap w:val="0"/>
                  <w:vAlign w:val="center"/>
                </w:tcPr>
                <w:p w14:paraId="589B8776">
                  <w:pPr>
                    <w:adjustRightInd w:val="0"/>
                    <w:snapToGrid w:val="0"/>
                    <w:jc w:val="center"/>
                    <w:rPr>
                      <w:b/>
                      <w:snapToGrid w:val="0"/>
                      <w:color w:val="auto"/>
                      <w:kern w:val="0"/>
                      <w:szCs w:val="21"/>
                      <w:highlight w:val="none"/>
                    </w:rPr>
                  </w:pPr>
                </w:p>
              </w:tc>
              <w:tc>
                <w:tcPr>
                  <w:tcW w:w="1313" w:type="dxa"/>
                  <w:vMerge w:val="continue"/>
                  <w:noWrap w:val="0"/>
                  <w:vAlign w:val="center"/>
                </w:tcPr>
                <w:p w14:paraId="438E5E8E">
                  <w:pPr>
                    <w:adjustRightInd w:val="0"/>
                    <w:snapToGrid w:val="0"/>
                    <w:jc w:val="center"/>
                    <w:rPr>
                      <w:b/>
                      <w:snapToGrid w:val="0"/>
                      <w:color w:val="auto"/>
                      <w:kern w:val="0"/>
                      <w:szCs w:val="21"/>
                      <w:highlight w:val="none"/>
                    </w:rPr>
                  </w:pPr>
                </w:p>
              </w:tc>
              <w:tc>
                <w:tcPr>
                  <w:tcW w:w="1005" w:type="dxa"/>
                  <w:vMerge w:val="continue"/>
                  <w:noWrap w:val="0"/>
                  <w:vAlign w:val="center"/>
                </w:tcPr>
                <w:p w14:paraId="3CDC48A8">
                  <w:pPr>
                    <w:adjustRightInd w:val="0"/>
                    <w:snapToGrid w:val="0"/>
                    <w:jc w:val="center"/>
                    <w:rPr>
                      <w:b/>
                      <w:snapToGrid w:val="0"/>
                      <w:color w:val="auto"/>
                      <w:kern w:val="0"/>
                      <w:szCs w:val="21"/>
                      <w:highlight w:val="none"/>
                    </w:rPr>
                  </w:pPr>
                </w:p>
              </w:tc>
              <w:tc>
                <w:tcPr>
                  <w:tcW w:w="705" w:type="dxa"/>
                  <w:vMerge w:val="continue"/>
                  <w:noWrap w:val="0"/>
                  <w:vAlign w:val="center"/>
                </w:tcPr>
                <w:p w14:paraId="5708029C">
                  <w:pPr>
                    <w:adjustRightInd w:val="0"/>
                    <w:snapToGrid w:val="0"/>
                    <w:jc w:val="center"/>
                    <w:rPr>
                      <w:b/>
                      <w:snapToGrid w:val="0"/>
                      <w:color w:val="auto"/>
                      <w:kern w:val="0"/>
                      <w:szCs w:val="21"/>
                      <w:highlight w:val="none"/>
                    </w:rPr>
                  </w:pPr>
                </w:p>
              </w:tc>
              <w:tc>
                <w:tcPr>
                  <w:tcW w:w="723" w:type="dxa"/>
                  <w:vMerge w:val="continue"/>
                  <w:noWrap w:val="0"/>
                  <w:vAlign w:val="center"/>
                </w:tcPr>
                <w:p w14:paraId="70D213ED">
                  <w:pPr>
                    <w:adjustRightInd w:val="0"/>
                    <w:snapToGrid w:val="0"/>
                    <w:jc w:val="center"/>
                    <w:rPr>
                      <w:b/>
                      <w:snapToGrid w:val="0"/>
                      <w:color w:val="auto"/>
                      <w:kern w:val="0"/>
                      <w:szCs w:val="21"/>
                      <w:highlight w:val="none"/>
                    </w:rPr>
                  </w:pPr>
                </w:p>
              </w:tc>
            </w:tr>
            <w:tr w14:paraId="4FA25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1D46D0BC">
                  <w:pPr>
                    <w:adjustRightInd w:val="0"/>
                    <w:snapToGrid w:val="0"/>
                    <w:jc w:val="center"/>
                    <w:rPr>
                      <w:bCs/>
                      <w:snapToGrid w:val="0"/>
                      <w:color w:val="auto"/>
                      <w:kern w:val="0"/>
                      <w:szCs w:val="21"/>
                      <w:highlight w:val="none"/>
                    </w:rPr>
                  </w:pPr>
                  <w:r>
                    <w:rPr>
                      <w:color w:val="auto"/>
                      <w:kern w:val="0"/>
                      <w:szCs w:val="21"/>
                      <w:highlight w:val="none"/>
                    </w:rPr>
                    <w:t>废包装袋</w:t>
                  </w:r>
                </w:p>
              </w:tc>
              <w:tc>
                <w:tcPr>
                  <w:tcW w:w="854" w:type="dxa"/>
                  <w:noWrap w:val="0"/>
                  <w:vAlign w:val="center"/>
                </w:tcPr>
                <w:p w14:paraId="23455A64">
                  <w:pPr>
                    <w:adjustRightInd w:val="0"/>
                    <w:snapToGrid w:val="0"/>
                    <w:jc w:val="center"/>
                    <w:rPr>
                      <w:bCs/>
                      <w:snapToGrid w:val="0"/>
                      <w:color w:val="auto"/>
                      <w:kern w:val="0"/>
                      <w:szCs w:val="21"/>
                      <w:highlight w:val="none"/>
                    </w:rPr>
                  </w:pPr>
                  <w:r>
                    <w:rPr>
                      <w:color w:val="auto"/>
                      <w:szCs w:val="21"/>
                      <w:highlight w:val="none"/>
                    </w:rPr>
                    <w:t>上料过程</w:t>
                  </w:r>
                </w:p>
              </w:tc>
              <w:tc>
                <w:tcPr>
                  <w:tcW w:w="615" w:type="dxa"/>
                  <w:noWrap w:val="0"/>
                  <w:vAlign w:val="center"/>
                </w:tcPr>
                <w:p w14:paraId="1E697320">
                  <w:pPr>
                    <w:adjustRightInd w:val="0"/>
                    <w:snapToGrid w:val="0"/>
                    <w:jc w:val="center"/>
                    <w:rPr>
                      <w:rFonts w:hint="default" w:eastAsia="宋体"/>
                      <w:color w:val="auto"/>
                      <w:szCs w:val="21"/>
                      <w:highlight w:val="none"/>
                      <w:lang w:val="en-US" w:eastAsia="zh-CN"/>
                    </w:rPr>
                  </w:pPr>
                  <w:r>
                    <w:rPr>
                      <w:rFonts w:hint="eastAsia" w:eastAsia="宋体"/>
                      <w:color w:val="auto"/>
                      <w:szCs w:val="21"/>
                      <w:highlight w:val="none"/>
                      <w:lang w:val="en-US" w:eastAsia="zh-CN"/>
                    </w:rPr>
                    <w:t>0.9</w:t>
                  </w:r>
                </w:p>
              </w:tc>
              <w:tc>
                <w:tcPr>
                  <w:tcW w:w="525" w:type="dxa"/>
                  <w:noWrap w:val="0"/>
                  <w:vAlign w:val="center"/>
                </w:tcPr>
                <w:p w14:paraId="1BD1B2BE">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1.8</w:t>
                  </w:r>
                </w:p>
              </w:tc>
              <w:tc>
                <w:tcPr>
                  <w:tcW w:w="1021" w:type="dxa"/>
                  <w:noWrap w:val="0"/>
                  <w:vAlign w:val="center"/>
                </w:tcPr>
                <w:p w14:paraId="4D6597C8">
                  <w:pPr>
                    <w:adjustRightInd w:val="0"/>
                    <w:snapToGrid w:val="0"/>
                    <w:jc w:val="center"/>
                    <w:rPr>
                      <w:rFonts w:hint="eastAsia"/>
                      <w:color w:val="auto"/>
                      <w:szCs w:val="21"/>
                      <w:highlight w:val="none"/>
                      <w:lang w:val="en-US" w:eastAsia="zh-CN"/>
                    </w:rPr>
                  </w:pPr>
                  <w:r>
                    <w:rPr>
                      <w:rFonts w:hint="eastAsia"/>
                      <w:color w:val="auto"/>
                      <w:szCs w:val="21"/>
                      <w:highlight w:val="none"/>
                      <w:lang w:val="en-US" w:eastAsia="zh-CN"/>
                    </w:rPr>
                    <w:t>2.7</w:t>
                  </w:r>
                </w:p>
              </w:tc>
              <w:tc>
                <w:tcPr>
                  <w:tcW w:w="715" w:type="dxa"/>
                  <w:noWrap w:val="0"/>
                  <w:vAlign w:val="center"/>
                </w:tcPr>
                <w:p w14:paraId="62943E38">
                  <w:pPr>
                    <w:adjustRightInd w:val="0"/>
                    <w:snapToGrid w:val="0"/>
                    <w:jc w:val="center"/>
                    <w:rPr>
                      <w:bCs/>
                      <w:snapToGrid w:val="0"/>
                      <w:color w:val="auto"/>
                      <w:kern w:val="0"/>
                      <w:szCs w:val="21"/>
                      <w:highlight w:val="none"/>
                    </w:rPr>
                  </w:pPr>
                  <w:r>
                    <w:rPr>
                      <w:bCs/>
                      <w:snapToGrid w:val="0"/>
                      <w:color w:val="auto"/>
                      <w:kern w:val="0"/>
                      <w:szCs w:val="21"/>
                      <w:highlight w:val="none"/>
                    </w:rPr>
                    <w:t>一般工业固体废物</w:t>
                  </w:r>
                </w:p>
              </w:tc>
              <w:tc>
                <w:tcPr>
                  <w:tcW w:w="1313" w:type="dxa"/>
                  <w:noWrap w:val="0"/>
                  <w:vAlign w:val="center"/>
                </w:tcPr>
                <w:p w14:paraId="4E0183C7">
                  <w:pPr>
                    <w:pStyle w:val="102"/>
                    <w:overflowPunct w:val="0"/>
                    <w:rPr>
                      <w:bCs/>
                      <w:snapToGrid w:val="0"/>
                      <w:color w:val="auto"/>
                      <w:kern w:val="0"/>
                      <w:szCs w:val="21"/>
                      <w:highlight w:val="none"/>
                    </w:rPr>
                  </w:pPr>
                  <w:r>
                    <w:rPr>
                      <w:color w:val="auto"/>
                      <w:szCs w:val="21"/>
                      <w:highlight w:val="none"/>
                    </w:rPr>
                    <w:t>900-</w:t>
                  </w:r>
                  <w:r>
                    <w:rPr>
                      <w:bCs/>
                      <w:snapToGrid w:val="0"/>
                      <w:color w:val="auto"/>
                      <w:kern w:val="0"/>
                      <w:szCs w:val="21"/>
                      <w:highlight w:val="none"/>
                    </w:rPr>
                    <w:t>003-S17</w:t>
                  </w:r>
                </w:p>
              </w:tc>
              <w:tc>
                <w:tcPr>
                  <w:tcW w:w="1005" w:type="dxa"/>
                  <w:noWrap w:val="0"/>
                  <w:vAlign w:val="center"/>
                </w:tcPr>
                <w:p w14:paraId="118B0E75">
                  <w:pPr>
                    <w:adjustRightInd w:val="0"/>
                    <w:snapToGrid w:val="0"/>
                    <w:jc w:val="center"/>
                    <w:rPr>
                      <w:bCs/>
                      <w:snapToGrid w:val="0"/>
                      <w:color w:val="auto"/>
                      <w:kern w:val="0"/>
                      <w:szCs w:val="21"/>
                      <w:highlight w:val="none"/>
                    </w:rPr>
                  </w:pPr>
                  <w:r>
                    <w:rPr>
                      <w:bCs/>
                      <w:snapToGrid w:val="0"/>
                      <w:color w:val="auto"/>
                      <w:kern w:val="0"/>
                      <w:szCs w:val="21"/>
                      <w:highlight w:val="none"/>
                    </w:rPr>
                    <w:t>/</w:t>
                  </w:r>
                </w:p>
              </w:tc>
              <w:tc>
                <w:tcPr>
                  <w:tcW w:w="705" w:type="dxa"/>
                  <w:noWrap w:val="0"/>
                  <w:vAlign w:val="center"/>
                </w:tcPr>
                <w:p w14:paraId="1A66FD70">
                  <w:pPr>
                    <w:adjustRightInd w:val="0"/>
                    <w:snapToGrid w:val="0"/>
                    <w:jc w:val="center"/>
                    <w:rPr>
                      <w:bCs/>
                      <w:snapToGrid w:val="0"/>
                      <w:color w:val="auto"/>
                      <w:kern w:val="0"/>
                      <w:szCs w:val="21"/>
                      <w:highlight w:val="none"/>
                    </w:rPr>
                  </w:pPr>
                  <w:r>
                    <w:rPr>
                      <w:bCs/>
                      <w:snapToGrid w:val="0"/>
                      <w:color w:val="auto"/>
                      <w:kern w:val="0"/>
                      <w:szCs w:val="21"/>
                      <w:highlight w:val="none"/>
                    </w:rPr>
                    <w:t>固态</w:t>
                  </w:r>
                </w:p>
              </w:tc>
              <w:tc>
                <w:tcPr>
                  <w:tcW w:w="723" w:type="dxa"/>
                  <w:noWrap w:val="0"/>
                  <w:vAlign w:val="center"/>
                </w:tcPr>
                <w:p w14:paraId="103832CC">
                  <w:pPr>
                    <w:adjustRightInd w:val="0"/>
                    <w:snapToGrid w:val="0"/>
                    <w:jc w:val="center"/>
                    <w:rPr>
                      <w:snapToGrid w:val="0"/>
                      <w:color w:val="auto"/>
                      <w:kern w:val="0"/>
                      <w:szCs w:val="21"/>
                      <w:highlight w:val="none"/>
                    </w:rPr>
                  </w:pPr>
                  <w:r>
                    <w:rPr>
                      <w:snapToGrid w:val="0"/>
                      <w:color w:val="auto"/>
                      <w:kern w:val="0"/>
                      <w:szCs w:val="21"/>
                      <w:highlight w:val="none"/>
                    </w:rPr>
                    <w:t>/</w:t>
                  </w:r>
                </w:p>
              </w:tc>
            </w:tr>
            <w:tr w14:paraId="47509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01" w:type="dxa"/>
                  <w:tcBorders>
                    <w:bottom w:val="single" w:color="000000" w:sz="4" w:space="0"/>
                  </w:tcBorders>
                  <w:noWrap w:val="0"/>
                  <w:vAlign w:val="center"/>
                </w:tcPr>
                <w:p w14:paraId="193CE147">
                  <w:pPr>
                    <w:adjustRightInd w:val="0"/>
                    <w:snapToGrid w:val="0"/>
                    <w:jc w:val="center"/>
                    <w:rPr>
                      <w:bCs/>
                      <w:snapToGrid w:val="0"/>
                      <w:color w:val="auto"/>
                      <w:kern w:val="0"/>
                      <w:szCs w:val="21"/>
                      <w:highlight w:val="none"/>
                    </w:rPr>
                  </w:pPr>
                  <w:r>
                    <w:rPr>
                      <w:color w:val="auto"/>
                      <w:kern w:val="0"/>
                      <w:szCs w:val="21"/>
                      <w:highlight w:val="none"/>
                    </w:rPr>
                    <w:t>不合格品</w:t>
                  </w:r>
                </w:p>
              </w:tc>
              <w:tc>
                <w:tcPr>
                  <w:tcW w:w="854" w:type="dxa"/>
                  <w:tcBorders>
                    <w:bottom w:val="single" w:color="000000" w:sz="4" w:space="0"/>
                  </w:tcBorders>
                  <w:noWrap w:val="0"/>
                  <w:vAlign w:val="center"/>
                </w:tcPr>
                <w:p w14:paraId="553F5DB2">
                  <w:pPr>
                    <w:adjustRightInd w:val="0"/>
                    <w:snapToGrid w:val="0"/>
                    <w:jc w:val="center"/>
                    <w:rPr>
                      <w:bCs/>
                      <w:snapToGrid w:val="0"/>
                      <w:color w:val="auto"/>
                      <w:kern w:val="0"/>
                      <w:szCs w:val="21"/>
                      <w:highlight w:val="none"/>
                    </w:rPr>
                  </w:pPr>
                  <w:r>
                    <w:rPr>
                      <w:color w:val="auto"/>
                      <w:szCs w:val="21"/>
                      <w:highlight w:val="none"/>
                    </w:rPr>
                    <w:t>冷却脱模过程</w:t>
                  </w:r>
                </w:p>
              </w:tc>
              <w:tc>
                <w:tcPr>
                  <w:tcW w:w="615" w:type="dxa"/>
                  <w:tcBorders>
                    <w:bottom w:val="single" w:color="000000" w:sz="4" w:space="0"/>
                  </w:tcBorders>
                  <w:noWrap w:val="0"/>
                  <w:vAlign w:val="center"/>
                </w:tcPr>
                <w:p w14:paraId="72D80779">
                  <w:pPr>
                    <w:adjustRightInd w:val="0"/>
                    <w:snapToGrid w:val="0"/>
                    <w:jc w:val="center"/>
                    <w:rPr>
                      <w:rFonts w:hint="default" w:eastAsia="宋体"/>
                      <w:color w:val="auto"/>
                      <w:szCs w:val="21"/>
                      <w:highlight w:val="none"/>
                      <w:lang w:val="en-US" w:eastAsia="zh-CN"/>
                    </w:rPr>
                  </w:pPr>
                  <w:r>
                    <w:rPr>
                      <w:rFonts w:hint="eastAsia"/>
                      <w:color w:val="auto"/>
                      <w:lang w:val="en-US" w:eastAsia="zh-CN"/>
                    </w:rPr>
                    <w:t>1.7</w:t>
                  </w:r>
                </w:p>
              </w:tc>
              <w:tc>
                <w:tcPr>
                  <w:tcW w:w="525" w:type="dxa"/>
                  <w:tcBorders>
                    <w:bottom w:val="single" w:color="000000" w:sz="4" w:space="0"/>
                  </w:tcBorders>
                  <w:noWrap w:val="0"/>
                  <w:vAlign w:val="center"/>
                </w:tcPr>
                <w:p w14:paraId="1183210F">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3.4</w:t>
                  </w:r>
                </w:p>
              </w:tc>
              <w:tc>
                <w:tcPr>
                  <w:tcW w:w="1021" w:type="dxa"/>
                  <w:tcBorders>
                    <w:bottom w:val="single" w:color="000000" w:sz="4" w:space="0"/>
                  </w:tcBorders>
                  <w:noWrap w:val="0"/>
                  <w:vAlign w:val="center"/>
                </w:tcPr>
                <w:p w14:paraId="2747DF99">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5.1</w:t>
                  </w:r>
                </w:p>
              </w:tc>
              <w:tc>
                <w:tcPr>
                  <w:tcW w:w="715" w:type="dxa"/>
                  <w:tcBorders>
                    <w:bottom w:val="single" w:color="000000" w:sz="4" w:space="0"/>
                  </w:tcBorders>
                  <w:noWrap w:val="0"/>
                  <w:vAlign w:val="center"/>
                </w:tcPr>
                <w:p w14:paraId="7E9F0C25">
                  <w:pPr>
                    <w:adjustRightInd w:val="0"/>
                    <w:snapToGrid w:val="0"/>
                    <w:jc w:val="center"/>
                    <w:rPr>
                      <w:bCs/>
                      <w:snapToGrid w:val="0"/>
                      <w:color w:val="auto"/>
                      <w:kern w:val="0"/>
                      <w:szCs w:val="21"/>
                      <w:highlight w:val="none"/>
                    </w:rPr>
                  </w:pPr>
                  <w:r>
                    <w:rPr>
                      <w:bCs/>
                      <w:snapToGrid w:val="0"/>
                      <w:color w:val="auto"/>
                      <w:kern w:val="0"/>
                      <w:szCs w:val="21"/>
                      <w:highlight w:val="none"/>
                    </w:rPr>
                    <w:t>一般工业固体废物</w:t>
                  </w:r>
                </w:p>
              </w:tc>
              <w:tc>
                <w:tcPr>
                  <w:tcW w:w="1313" w:type="dxa"/>
                  <w:tcBorders>
                    <w:bottom w:val="single" w:color="000000" w:sz="4" w:space="0"/>
                  </w:tcBorders>
                  <w:noWrap w:val="0"/>
                  <w:vAlign w:val="center"/>
                </w:tcPr>
                <w:p w14:paraId="66F07BB5">
                  <w:pPr>
                    <w:pStyle w:val="102"/>
                    <w:overflowPunct w:val="0"/>
                    <w:rPr>
                      <w:bCs/>
                      <w:snapToGrid w:val="0"/>
                      <w:color w:val="auto"/>
                      <w:kern w:val="0"/>
                      <w:szCs w:val="21"/>
                      <w:highlight w:val="none"/>
                    </w:rPr>
                  </w:pPr>
                  <w:r>
                    <w:rPr>
                      <w:color w:val="auto"/>
                      <w:szCs w:val="21"/>
                      <w:highlight w:val="none"/>
                    </w:rPr>
                    <w:t>900-</w:t>
                  </w:r>
                  <w:r>
                    <w:rPr>
                      <w:bCs/>
                      <w:snapToGrid w:val="0"/>
                      <w:color w:val="auto"/>
                      <w:kern w:val="0"/>
                      <w:szCs w:val="21"/>
                      <w:highlight w:val="none"/>
                    </w:rPr>
                    <w:t>003-S17</w:t>
                  </w:r>
                </w:p>
              </w:tc>
              <w:tc>
                <w:tcPr>
                  <w:tcW w:w="1005" w:type="dxa"/>
                  <w:tcBorders>
                    <w:bottom w:val="single" w:color="000000" w:sz="4" w:space="0"/>
                  </w:tcBorders>
                  <w:noWrap w:val="0"/>
                  <w:vAlign w:val="center"/>
                </w:tcPr>
                <w:p w14:paraId="46F8D836">
                  <w:pPr>
                    <w:adjustRightInd w:val="0"/>
                    <w:snapToGrid w:val="0"/>
                    <w:jc w:val="center"/>
                    <w:rPr>
                      <w:bCs/>
                      <w:snapToGrid w:val="0"/>
                      <w:color w:val="auto"/>
                      <w:kern w:val="0"/>
                      <w:szCs w:val="21"/>
                      <w:highlight w:val="none"/>
                    </w:rPr>
                  </w:pPr>
                  <w:r>
                    <w:rPr>
                      <w:bCs/>
                      <w:snapToGrid w:val="0"/>
                      <w:color w:val="auto"/>
                      <w:kern w:val="0"/>
                      <w:szCs w:val="21"/>
                      <w:highlight w:val="none"/>
                    </w:rPr>
                    <w:t>/</w:t>
                  </w:r>
                </w:p>
              </w:tc>
              <w:tc>
                <w:tcPr>
                  <w:tcW w:w="705" w:type="dxa"/>
                  <w:tcBorders>
                    <w:bottom w:val="single" w:color="000000" w:sz="4" w:space="0"/>
                  </w:tcBorders>
                  <w:noWrap w:val="0"/>
                  <w:vAlign w:val="center"/>
                </w:tcPr>
                <w:p w14:paraId="6376B70A">
                  <w:pPr>
                    <w:adjustRightInd w:val="0"/>
                    <w:snapToGrid w:val="0"/>
                    <w:jc w:val="center"/>
                    <w:rPr>
                      <w:bCs/>
                      <w:snapToGrid w:val="0"/>
                      <w:color w:val="auto"/>
                      <w:kern w:val="0"/>
                      <w:szCs w:val="21"/>
                      <w:highlight w:val="none"/>
                    </w:rPr>
                  </w:pPr>
                  <w:r>
                    <w:rPr>
                      <w:bCs/>
                      <w:snapToGrid w:val="0"/>
                      <w:color w:val="auto"/>
                      <w:kern w:val="0"/>
                      <w:szCs w:val="21"/>
                      <w:highlight w:val="none"/>
                    </w:rPr>
                    <w:t>固态</w:t>
                  </w:r>
                </w:p>
              </w:tc>
              <w:tc>
                <w:tcPr>
                  <w:tcW w:w="723" w:type="dxa"/>
                  <w:tcBorders>
                    <w:bottom w:val="single" w:color="000000" w:sz="4" w:space="0"/>
                  </w:tcBorders>
                  <w:noWrap w:val="0"/>
                  <w:vAlign w:val="center"/>
                </w:tcPr>
                <w:p w14:paraId="5FDD949D">
                  <w:pPr>
                    <w:adjustRightInd w:val="0"/>
                    <w:snapToGrid w:val="0"/>
                    <w:jc w:val="center"/>
                    <w:rPr>
                      <w:snapToGrid w:val="0"/>
                      <w:color w:val="auto"/>
                      <w:kern w:val="0"/>
                      <w:szCs w:val="21"/>
                      <w:highlight w:val="none"/>
                    </w:rPr>
                  </w:pPr>
                  <w:r>
                    <w:rPr>
                      <w:snapToGrid w:val="0"/>
                      <w:color w:val="auto"/>
                      <w:kern w:val="0"/>
                      <w:szCs w:val="21"/>
                      <w:highlight w:val="none"/>
                    </w:rPr>
                    <w:t>/</w:t>
                  </w:r>
                </w:p>
              </w:tc>
            </w:tr>
            <w:tr w14:paraId="42E9B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01" w:type="dxa"/>
                  <w:tcBorders>
                    <w:bottom w:val="single" w:color="000000" w:sz="4" w:space="0"/>
                  </w:tcBorders>
                  <w:noWrap w:val="0"/>
                  <w:vAlign w:val="center"/>
                </w:tcPr>
                <w:p w14:paraId="5A0099D6">
                  <w:pPr>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废边角料</w:t>
                  </w:r>
                </w:p>
              </w:tc>
              <w:tc>
                <w:tcPr>
                  <w:tcW w:w="854" w:type="dxa"/>
                  <w:tcBorders>
                    <w:bottom w:val="single" w:color="000000" w:sz="4" w:space="0"/>
                  </w:tcBorders>
                  <w:noWrap w:val="0"/>
                  <w:vAlign w:val="center"/>
                </w:tcPr>
                <w:p w14:paraId="79F715F3">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615" w:type="dxa"/>
                  <w:tcBorders>
                    <w:bottom w:val="single" w:color="000000" w:sz="4" w:space="0"/>
                  </w:tcBorders>
                  <w:noWrap w:val="0"/>
                  <w:vAlign w:val="center"/>
                </w:tcPr>
                <w:p w14:paraId="1CB6759F">
                  <w:pPr>
                    <w:adjustRightInd w:val="0"/>
                    <w:snapToGrid w:val="0"/>
                    <w:jc w:val="center"/>
                    <w:rPr>
                      <w:rFonts w:hint="default" w:eastAsia="宋体"/>
                      <w:color w:val="auto"/>
                      <w:lang w:val="en-US" w:eastAsia="zh-CN"/>
                    </w:rPr>
                  </w:pPr>
                  <w:r>
                    <w:rPr>
                      <w:rFonts w:hint="eastAsia"/>
                      <w:color w:val="auto"/>
                      <w:lang w:val="en-US" w:eastAsia="zh-CN"/>
                    </w:rPr>
                    <w:t>0.063</w:t>
                  </w:r>
                </w:p>
              </w:tc>
              <w:tc>
                <w:tcPr>
                  <w:tcW w:w="525" w:type="dxa"/>
                  <w:tcBorders>
                    <w:bottom w:val="single" w:color="000000" w:sz="4" w:space="0"/>
                  </w:tcBorders>
                  <w:noWrap w:val="0"/>
                  <w:vAlign w:val="center"/>
                </w:tcPr>
                <w:p w14:paraId="5BC87E49">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0.067</w:t>
                  </w:r>
                </w:p>
              </w:tc>
              <w:tc>
                <w:tcPr>
                  <w:tcW w:w="1021" w:type="dxa"/>
                  <w:tcBorders>
                    <w:bottom w:val="single" w:color="000000" w:sz="4" w:space="0"/>
                  </w:tcBorders>
                  <w:noWrap w:val="0"/>
                  <w:vAlign w:val="center"/>
                </w:tcPr>
                <w:p w14:paraId="5DD07FAC">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0.13</w:t>
                  </w:r>
                </w:p>
              </w:tc>
              <w:tc>
                <w:tcPr>
                  <w:tcW w:w="715" w:type="dxa"/>
                  <w:tcBorders>
                    <w:bottom w:val="single" w:color="000000" w:sz="4" w:space="0"/>
                  </w:tcBorders>
                  <w:noWrap w:val="0"/>
                  <w:vAlign w:val="center"/>
                </w:tcPr>
                <w:p w14:paraId="1E41CFA9">
                  <w:pPr>
                    <w:adjustRightInd w:val="0"/>
                    <w:snapToGrid w:val="0"/>
                    <w:jc w:val="center"/>
                    <w:rPr>
                      <w:bCs/>
                      <w:snapToGrid w:val="0"/>
                      <w:color w:val="auto"/>
                      <w:kern w:val="0"/>
                      <w:szCs w:val="21"/>
                      <w:highlight w:val="none"/>
                    </w:rPr>
                  </w:pPr>
                  <w:r>
                    <w:rPr>
                      <w:bCs/>
                      <w:snapToGrid w:val="0"/>
                      <w:color w:val="auto"/>
                      <w:kern w:val="0"/>
                      <w:szCs w:val="21"/>
                      <w:highlight w:val="none"/>
                    </w:rPr>
                    <w:t>一般工业固体废物</w:t>
                  </w:r>
                </w:p>
              </w:tc>
              <w:tc>
                <w:tcPr>
                  <w:tcW w:w="1313" w:type="dxa"/>
                  <w:tcBorders>
                    <w:bottom w:val="single" w:color="000000" w:sz="4" w:space="0"/>
                  </w:tcBorders>
                  <w:noWrap w:val="0"/>
                  <w:vAlign w:val="center"/>
                </w:tcPr>
                <w:p w14:paraId="43B38798">
                  <w:pPr>
                    <w:pStyle w:val="102"/>
                    <w:overflowPunct w:val="0"/>
                    <w:rPr>
                      <w:color w:val="auto"/>
                      <w:szCs w:val="21"/>
                      <w:highlight w:val="none"/>
                    </w:rPr>
                  </w:pPr>
                  <w:r>
                    <w:rPr>
                      <w:color w:val="auto"/>
                      <w:szCs w:val="21"/>
                      <w:highlight w:val="none"/>
                    </w:rPr>
                    <w:t>900-</w:t>
                  </w:r>
                  <w:r>
                    <w:rPr>
                      <w:bCs/>
                      <w:snapToGrid w:val="0"/>
                      <w:color w:val="auto"/>
                      <w:kern w:val="0"/>
                      <w:szCs w:val="21"/>
                      <w:highlight w:val="none"/>
                    </w:rPr>
                    <w:t>003-S17</w:t>
                  </w:r>
                </w:p>
              </w:tc>
              <w:tc>
                <w:tcPr>
                  <w:tcW w:w="1005" w:type="dxa"/>
                  <w:tcBorders>
                    <w:bottom w:val="single" w:color="000000" w:sz="4" w:space="0"/>
                  </w:tcBorders>
                  <w:noWrap w:val="0"/>
                  <w:vAlign w:val="center"/>
                </w:tcPr>
                <w:p w14:paraId="02C4BEF1">
                  <w:pPr>
                    <w:adjustRightInd w:val="0"/>
                    <w:snapToGrid w:val="0"/>
                    <w:jc w:val="center"/>
                    <w:rPr>
                      <w:rFonts w:hint="eastAsia" w:eastAsia="宋体"/>
                      <w:bCs/>
                      <w:snapToGrid w:val="0"/>
                      <w:color w:val="auto"/>
                      <w:kern w:val="0"/>
                      <w:szCs w:val="21"/>
                      <w:highlight w:val="none"/>
                      <w:lang w:val="en-US" w:eastAsia="zh-CN"/>
                    </w:rPr>
                  </w:pPr>
                  <w:r>
                    <w:rPr>
                      <w:rFonts w:hint="eastAsia"/>
                      <w:bCs/>
                      <w:snapToGrid w:val="0"/>
                      <w:color w:val="auto"/>
                      <w:kern w:val="0"/>
                      <w:szCs w:val="21"/>
                      <w:highlight w:val="none"/>
                      <w:lang w:val="en-US" w:eastAsia="zh-CN"/>
                    </w:rPr>
                    <w:t>/</w:t>
                  </w:r>
                </w:p>
              </w:tc>
              <w:tc>
                <w:tcPr>
                  <w:tcW w:w="705" w:type="dxa"/>
                  <w:tcBorders>
                    <w:bottom w:val="single" w:color="000000" w:sz="4" w:space="0"/>
                  </w:tcBorders>
                  <w:noWrap w:val="0"/>
                  <w:vAlign w:val="center"/>
                </w:tcPr>
                <w:p w14:paraId="3D636801">
                  <w:pPr>
                    <w:adjustRightInd w:val="0"/>
                    <w:snapToGrid w:val="0"/>
                    <w:jc w:val="center"/>
                    <w:rPr>
                      <w:bCs/>
                      <w:snapToGrid w:val="0"/>
                      <w:color w:val="auto"/>
                      <w:kern w:val="0"/>
                      <w:szCs w:val="21"/>
                      <w:highlight w:val="none"/>
                    </w:rPr>
                  </w:pPr>
                  <w:r>
                    <w:rPr>
                      <w:bCs/>
                      <w:snapToGrid w:val="0"/>
                      <w:color w:val="auto"/>
                      <w:kern w:val="0"/>
                      <w:szCs w:val="21"/>
                      <w:highlight w:val="none"/>
                    </w:rPr>
                    <w:t>固态</w:t>
                  </w:r>
                </w:p>
              </w:tc>
              <w:tc>
                <w:tcPr>
                  <w:tcW w:w="723" w:type="dxa"/>
                  <w:tcBorders>
                    <w:bottom w:val="single" w:color="000000" w:sz="4" w:space="0"/>
                  </w:tcBorders>
                  <w:noWrap w:val="0"/>
                  <w:vAlign w:val="center"/>
                </w:tcPr>
                <w:p w14:paraId="06A0D487">
                  <w:pPr>
                    <w:adjustRightInd w:val="0"/>
                    <w:snapToGrid w:val="0"/>
                    <w:jc w:val="center"/>
                    <w:rPr>
                      <w:rFonts w:hint="eastAsia"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w:t>
                  </w:r>
                </w:p>
              </w:tc>
            </w:tr>
            <w:tr w14:paraId="24897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3263F240">
                  <w:pPr>
                    <w:adjustRightInd w:val="0"/>
                    <w:snapToGrid w:val="0"/>
                    <w:jc w:val="center"/>
                    <w:rPr>
                      <w:color w:val="auto"/>
                      <w:kern w:val="0"/>
                      <w:szCs w:val="21"/>
                      <w:highlight w:val="none"/>
                    </w:rPr>
                  </w:pPr>
                  <w:r>
                    <w:rPr>
                      <w:snapToGrid w:val="0"/>
                      <w:color w:val="auto"/>
                      <w:kern w:val="0"/>
                      <w:szCs w:val="21"/>
                      <w:highlight w:val="none"/>
                    </w:rPr>
                    <w:t>废活性炭</w:t>
                  </w:r>
                </w:p>
              </w:tc>
              <w:tc>
                <w:tcPr>
                  <w:tcW w:w="854" w:type="dxa"/>
                  <w:noWrap w:val="0"/>
                  <w:vAlign w:val="center"/>
                </w:tcPr>
                <w:p w14:paraId="2F614612">
                  <w:pPr>
                    <w:adjustRightInd w:val="0"/>
                    <w:snapToGrid w:val="0"/>
                    <w:jc w:val="center"/>
                    <w:rPr>
                      <w:bCs/>
                      <w:snapToGrid w:val="0"/>
                      <w:color w:val="auto"/>
                      <w:kern w:val="0"/>
                      <w:szCs w:val="21"/>
                      <w:highlight w:val="none"/>
                    </w:rPr>
                  </w:pPr>
                  <w:r>
                    <w:rPr>
                      <w:snapToGrid w:val="0"/>
                      <w:color w:val="auto"/>
                      <w:kern w:val="0"/>
                      <w:szCs w:val="21"/>
                      <w:highlight w:val="none"/>
                    </w:rPr>
                    <w:t>活性炭吸附装置</w:t>
                  </w:r>
                </w:p>
              </w:tc>
              <w:tc>
                <w:tcPr>
                  <w:tcW w:w="615" w:type="dxa"/>
                  <w:noWrap w:val="0"/>
                  <w:vAlign w:val="center"/>
                </w:tcPr>
                <w:p w14:paraId="7F26DDD2">
                  <w:pPr>
                    <w:adjustRightInd w:val="0"/>
                    <w:snapToGrid w:val="0"/>
                    <w:jc w:val="center"/>
                    <w:rPr>
                      <w:rFonts w:hint="default" w:eastAsia="宋体"/>
                      <w:color w:val="auto"/>
                      <w:szCs w:val="21"/>
                      <w:highlight w:val="none"/>
                      <w:lang w:val="en-US" w:eastAsia="zh-CN"/>
                    </w:rPr>
                  </w:pPr>
                  <w:r>
                    <w:rPr>
                      <w:rFonts w:hint="eastAsia" w:eastAsia="宋体"/>
                      <w:color w:val="auto"/>
                      <w:szCs w:val="21"/>
                      <w:highlight w:val="none"/>
                      <w:lang w:val="en-US" w:eastAsia="zh-CN"/>
                    </w:rPr>
                    <w:t>1.</w:t>
                  </w:r>
                  <w:r>
                    <w:rPr>
                      <w:rFonts w:hint="eastAsia"/>
                      <w:color w:val="auto"/>
                      <w:szCs w:val="21"/>
                      <w:highlight w:val="none"/>
                      <w:lang w:val="en-US" w:eastAsia="zh-CN"/>
                    </w:rPr>
                    <w:t>46</w:t>
                  </w:r>
                </w:p>
              </w:tc>
              <w:tc>
                <w:tcPr>
                  <w:tcW w:w="525" w:type="dxa"/>
                  <w:noWrap w:val="0"/>
                  <w:vAlign w:val="center"/>
                </w:tcPr>
                <w:p w14:paraId="7CE836B7">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2.86</w:t>
                  </w:r>
                </w:p>
              </w:tc>
              <w:tc>
                <w:tcPr>
                  <w:tcW w:w="1021" w:type="dxa"/>
                  <w:noWrap w:val="0"/>
                  <w:vAlign w:val="center"/>
                </w:tcPr>
                <w:p w14:paraId="17736C44">
                  <w:pPr>
                    <w:adjustRightInd w:val="0"/>
                    <w:snapToGrid w:val="0"/>
                    <w:jc w:val="center"/>
                    <w:rPr>
                      <w:rFonts w:hint="default"/>
                      <w:color w:val="auto"/>
                      <w:szCs w:val="21"/>
                      <w:highlight w:val="none"/>
                      <w:lang w:val="en-US" w:eastAsia="zh-CN"/>
                    </w:rPr>
                  </w:pPr>
                  <w:r>
                    <w:rPr>
                      <w:rFonts w:hint="eastAsia"/>
                      <w:color w:val="auto"/>
                      <w:szCs w:val="21"/>
                      <w:highlight w:val="none"/>
                      <w:lang w:val="en-US" w:eastAsia="zh-CN"/>
                    </w:rPr>
                    <w:t>4.32</w:t>
                  </w:r>
                </w:p>
              </w:tc>
              <w:tc>
                <w:tcPr>
                  <w:tcW w:w="715" w:type="dxa"/>
                  <w:noWrap w:val="0"/>
                  <w:vAlign w:val="center"/>
                </w:tcPr>
                <w:p w14:paraId="19F9CD49">
                  <w:pPr>
                    <w:adjustRightInd w:val="0"/>
                    <w:snapToGrid w:val="0"/>
                    <w:jc w:val="center"/>
                    <w:rPr>
                      <w:bCs/>
                      <w:snapToGrid w:val="0"/>
                      <w:color w:val="auto"/>
                      <w:kern w:val="0"/>
                      <w:szCs w:val="21"/>
                      <w:highlight w:val="none"/>
                    </w:rPr>
                  </w:pPr>
                  <w:r>
                    <w:rPr>
                      <w:bCs/>
                      <w:snapToGrid w:val="0"/>
                      <w:color w:val="auto"/>
                      <w:kern w:val="0"/>
                      <w:szCs w:val="21"/>
                      <w:highlight w:val="none"/>
                    </w:rPr>
                    <w:t>危险废物</w:t>
                  </w:r>
                </w:p>
              </w:tc>
              <w:tc>
                <w:tcPr>
                  <w:tcW w:w="1313" w:type="dxa"/>
                  <w:noWrap w:val="0"/>
                  <w:vAlign w:val="center"/>
                </w:tcPr>
                <w:p w14:paraId="3C360127">
                  <w:pPr>
                    <w:pStyle w:val="102"/>
                    <w:overflowPunct w:val="0"/>
                    <w:rPr>
                      <w:bCs/>
                      <w:snapToGrid w:val="0"/>
                      <w:color w:val="auto"/>
                      <w:kern w:val="0"/>
                      <w:szCs w:val="21"/>
                      <w:highlight w:val="none"/>
                    </w:rPr>
                  </w:pPr>
                  <w:r>
                    <w:rPr>
                      <w:color w:val="auto"/>
                      <w:szCs w:val="21"/>
                      <w:highlight w:val="none"/>
                    </w:rPr>
                    <w:t>HW49，900-039-49</w:t>
                  </w:r>
                </w:p>
              </w:tc>
              <w:tc>
                <w:tcPr>
                  <w:tcW w:w="1005" w:type="dxa"/>
                  <w:noWrap w:val="0"/>
                  <w:vAlign w:val="center"/>
                </w:tcPr>
                <w:p w14:paraId="177AB73F">
                  <w:pPr>
                    <w:adjustRightInd w:val="0"/>
                    <w:snapToGrid w:val="0"/>
                    <w:jc w:val="center"/>
                    <w:rPr>
                      <w:bCs/>
                      <w:snapToGrid w:val="0"/>
                      <w:color w:val="auto"/>
                      <w:kern w:val="0"/>
                      <w:szCs w:val="21"/>
                      <w:highlight w:val="none"/>
                    </w:rPr>
                  </w:pPr>
                  <w:r>
                    <w:rPr>
                      <w:color w:val="auto"/>
                      <w:szCs w:val="21"/>
                      <w:highlight w:val="none"/>
                    </w:rPr>
                    <w:t>活性炭</w:t>
                  </w:r>
                </w:p>
              </w:tc>
              <w:tc>
                <w:tcPr>
                  <w:tcW w:w="705" w:type="dxa"/>
                  <w:noWrap w:val="0"/>
                  <w:vAlign w:val="center"/>
                </w:tcPr>
                <w:p w14:paraId="0F1C159F">
                  <w:pPr>
                    <w:pStyle w:val="102"/>
                    <w:overflowPunct w:val="0"/>
                    <w:rPr>
                      <w:bCs/>
                      <w:snapToGrid w:val="0"/>
                      <w:color w:val="auto"/>
                      <w:kern w:val="0"/>
                      <w:szCs w:val="21"/>
                      <w:highlight w:val="none"/>
                    </w:rPr>
                  </w:pPr>
                  <w:r>
                    <w:rPr>
                      <w:color w:val="auto"/>
                      <w:szCs w:val="21"/>
                      <w:highlight w:val="none"/>
                    </w:rPr>
                    <w:t>固体</w:t>
                  </w:r>
                </w:p>
              </w:tc>
              <w:tc>
                <w:tcPr>
                  <w:tcW w:w="723" w:type="dxa"/>
                  <w:noWrap w:val="0"/>
                  <w:vAlign w:val="center"/>
                </w:tcPr>
                <w:p w14:paraId="271A902B">
                  <w:pPr>
                    <w:pStyle w:val="102"/>
                    <w:overflowPunct w:val="0"/>
                    <w:rPr>
                      <w:snapToGrid w:val="0"/>
                      <w:color w:val="auto"/>
                      <w:kern w:val="0"/>
                      <w:szCs w:val="21"/>
                      <w:highlight w:val="none"/>
                    </w:rPr>
                  </w:pPr>
                  <w:r>
                    <w:rPr>
                      <w:snapToGrid w:val="0"/>
                      <w:color w:val="auto"/>
                      <w:kern w:val="0"/>
                      <w:szCs w:val="21"/>
                      <w:highlight w:val="none"/>
                    </w:rPr>
                    <w:t>T</w:t>
                  </w:r>
                </w:p>
              </w:tc>
            </w:tr>
            <w:tr w14:paraId="71A70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24856986">
                  <w:pPr>
                    <w:adjustRightInd w:val="0"/>
                    <w:snapToGrid w:val="0"/>
                    <w:jc w:val="center"/>
                    <w:rPr>
                      <w:bCs/>
                      <w:snapToGrid w:val="0"/>
                      <w:color w:val="auto"/>
                      <w:kern w:val="0"/>
                      <w:szCs w:val="21"/>
                      <w:highlight w:val="none"/>
                    </w:rPr>
                  </w:pPr>
                  <w:r>
                    <w:rPr>
                      <w:bCs/>
                      <w:snapToGrid w:val="0"/>
                      <w:color w:val="auto"/>
                      <w:kern w:val="0"/>
                      <w:szCs w:val="21"/>
                      <w:highlight w:val="none"/>
                    </w:rPr>
                    <w:t>废润滑油</w:t>
                  </w:r>
                </w:p>
              </w:tc>
              <w:tc>
                <w:tcPr>
                  <w:tcW w:w="854" w:type="dxa"/>
                  <w:vMerge w:val="restart"/>
                  <w:noWrap w:val="0"/>
                  <w:vAlign w:val="center"/>
                </w:tcPr>
                <w:p w14:paraId="6DE2F036">
                  <w:pPr>
                    <w:adjustRightInd w:val="0"/>
                    <w:snapToGrid w:val="0"/>
                    <w:jc w:val="center"/>
                    <w:rPr>
                      <w:bCs/>
                      <w:snapToGrid w:val="0"/>
                      <w:color w:val="auto"/>
                      <w:kern w:val="0"/>
                      <w:szCs w:val="21"/>
                      <w:highlight w:val="none"/>
                    </w:rPr>
                  </w:pPr>
                  <w:r>
                    <w:rPr>
                      <w:bCs/>
                      <w:snapToGrid w:val="0"/>
                      <w:color w:val="auto"/>
                      <w:kern w:val="0"/>
                      <w:szCs w:val="21"/>
                      <w:highlight w:val="none"/>
                    </w:rPr>
                    <w:t>设备保养检修过程</w:t>
                  </w:r>
                </w:p>
              </w:tc>
              <w:tc>
                <w:tcPr>
                  <w:tcW w:w="615" w:type="dxa"/>
                  <w:noWrap w:val="0"/>
                  <w:vAlign w:val="center"/>
                </w:tcPr>
                <w:p w14:paraId="60F1B41B">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0.01</w:t>
                  </w:r>
                </w:p>
              </w:tc>
              <w:tc>
                <w:tcPr>
                  <w:tcW w:w="525" w:type="dxa"/>
                  <w:noWrap w:val="0"/>
                  <w:vAlign w:val="center"/>
                </w:tcPr>
                <w:p w14:paraId="2FD13ABC">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0.02</w:t>
                  </w:r>
                </w:p>
              </w:tc>
              <w:tc>
                <w:tcPr>
                  <w:tcW w:w="1021" w:type="dxa"/>
                  <w:noWrap w:val="0"/>
                  <w:vAlign w:val="center"/>
                </w:tcPr>
                <w:p w14:paraId="245B281B">
                  <w:pPr>
                    <w:adjustRightInd w:val="0"/>
                    <w:snapToGrid w:val="0"/>
                    <w:jc w:val="center"/>
                    <w:rPr>
                      <w:rFonts w:hint="eastAsia" w:eastAsia="宋体"/>
                      <w:color w:val="auto"/>
                      <w:szCs w:val="21"/>
                      <w:highlight w:val="none"/>
                      <w:lang w:val="en-US" w:eastAsia="zh-CN"/>
                    </w:rPr>
                  </w:pPr>
                  <w:r>
                    <w:rPr>
                      <w:color w:val="auto"/>
                      <w:szCs w:val="21"/>
                      <w:highlight w:val="none"/>
                    </w:rPr>
                    <w:t>0.0</w:t>
                  </w:r>
                  <w:r>
                    <w:rPr>
                      <w:rFonts w:hint="eastAsia"/>
                      <w:color w:val="auto"/>
                      <w:szCs w:val="21"/>
                      <w:highlight w:val="none"/>
                      <w:lang w:val="en-US" w:eastAsia="zh-CN"/>
                    </w:rPr>
                    <w:t>3</w:t>
                  </w:r>
                </w:p>
              </w:tc>
              <w:tc>
                <w:tcPr>
                  <w:tcW w:w="715" w:type="dxa"/>
                  <w:noWrap w:val="0"/>
                  <w:vAlign w:val="center"/>
                </w:tcPr>
                <w:p w14:paraId="60154FA1">
                  <w:pPr>
                    <w:adjustRightInd w:val="0"/>
                    <w:snapToGrid w:val="0"/>
                    <w:jc w:val="center"/>
                    <w:rPr>
                      <w:bCs/>
                      <w:snapToGrid w:val="0"/>
                      <w:color w:val="auto"/>
                      <w:kern w:val="0"/>
                      <w:szCs w:val="21"/>
                      <w:highlight w:val="none"/>
                    </w:rPr>
                  </w:pPr>
                  <w:r>
                    <w:rPr>
                      <w:bCs/>
                      <w:snapToGrid w:val="0"/>
                      <w:color w:val="auto"/>
                      <w:kern w:val="0"/>
                      <w:szCs w:val="21"/>
                      <w:highlight w:val="none"/>
                    </w:rPr>
                    <w:t>危险废物</w:t>
                  </w:r>
                </w:p>
              </w:tc>
              <w:tc>
                <w:tcPr>
                  <w:tcW w:w="1313" w:type="dxa"/>
                  <w:noWrap w:val="0"/>
                  <w:vAlign w:val="center"/>
                </w:tcPr>
                <w:p w14:paraId="70DE8E9E">
                  <w:pPr>
                    <w:pStyle w:val="102"/>
                    <w:overflowPunct w:val="0"/>
                    <w:rPr>
                      <w:color w:val="auto"/>
                      <w:szCs w:val="21"/>
                      <w:highlight w:val="none"/>
                    </w:rPr>
                  </w:pPr>
                  <w:r>
                    <w:rPr>
                      <w:color w:val="auto"/>
                      <w:szCs w:val="21"/>
                      <w:highlight w:val="none"/>
                    </w:rPr>
                    <w:t>HW08</w:t>
                  </w:r>
                </w:p>
                <w:p w14:paraId="2EBDFB9C">
                  <w:pPr>
                    <w:pStyle w:val="102"/>
                    <w:overflowPunct w:val="0"/>
                    <w:rPr>
                      <w:bCs/>
                      <w:snapToGrid w:val="0"/>
                      <w:color w:val="auto"/>
                      <w:kern w:val="0"/>
                      <w:szCs w:val="21"/>
                      <w:highlight w:val="none"/>
                    </w:rPr>
                  </w:pPr>
                  <w:r>
                    <w:rPr>
                      <w:color w:val="auto"/>
                      <w:szCs w:val="21"/>
                      <w:highlight w:val="none"/>
                    </w:rPr>
                    <w:t>900-214-08</w:t>
                  </w:r>
                </w:p>
              </w:tc>
              <w:tc>
                <w:tcPr>
                  <w:tcW w:w="1005" w:type="dxa"/>
                  <w:noWrap w:val="0"/>
                  <w:vAlign w:val="center"/>
                </w:tcPr>
                <w:p w14:paraId="446548FD">
                  <w:pPr>
                    <w:pStyle w:val="102"/>
                    <w:overflowPunct w:val="0"/>
                    <w:rPr>
                      <w:bCs/>
                      <w:snapToGrid w:val="0"/>
                      <w:color w:val="auto"/>
                      <w:kern w:val="0"/>
                      <w:szCs w:val="21"/>
                      <w:highlight w:val="none"/>
                    </w:rPr>
                  </w:pPr>
                  <w:r>
                    <w:rPr>
                      <w:color w:val="auto"/>
                      <w:szCs w:val="21"/>
                      <w:highlight w:val="none"/>
                    </w:rPr>
                    <w:t>矿物油类</w:t>
                  </w:r>
                </w:p>
              </w:tc>
              <w:tc>
                <w:tcPr>
                  <w:tcW w:w="705" w:type="dxa"/>
                  <w:noWrap w:val="0"/>
                  <w:vAlign w:val="center"/>
                </w:tcPr>
                <w:p w14:paraId="78282A67">
                  <w:pPr>
                    <w:pStyle w:val="102"/>
                    <w:overflowPunct w:val="0"/>
                    <w:rPr>
                      <w:bCs/>
                      <w:snapToGrid w:val="0"/>
                      <w:color w:val="auto"/>
                      <w:kern w:val="0"/>
                      <w:szCs w:val="21"/>
                      <w:highlight w:val="none"/>
                    </w:rPr>
                  </w:pPr>
                  <w:r>
                    <w:rPr>
                      <w:color w:val="auto"/>
                      <w:szCs w:val="21"/>
                      <w:highlight w:val="none"/>
                    </w:rPr>
                    <w:t>固体</w:t>
                  </w:r>
                </w:p>
              </w:tc>
              <w:tc>
                <w:tcPr>
                  <w:tcW w:w="723" w:type="dxa"/>
                  <w:noWrap w:val="0"/>
                  <w:vAlign w:val="center"/>
                </w:tcPr>
                <w:p w14:paraId="18DC2F89">
                  <w:pPr>
                    <w:pStyle w:val="102"/>
                    <w:overflowPunct w:val="0"/>
                    <w:rPr>
                      <w:snapToGrid w:val="0"/>
                      <w:color w:val="auto"/>
                      <w:kern w:val="0"/>
                      <w:szCs w:val="21"/>
                      <w:highlight w:val="none"/>
                    </w:rPr>
                  </w:pPr>
                  <w:r>
                    <w:rPr>
                      <w:color w:val="auto"/>
                      <w:szCs w:val="21"/>
                      <w:highlight w:val="none"/>
                    </w:rPr>
                    <w:t>T，I</w:t>
                  </w:r>
                </w:p>
              </w:tc>
            </w:tr>
            <w:tr w14:paraId="0E3A1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3938F0BA">
                  <w:pPr>
                    <w:adjustRightInd w:val="0"/>
                    <w:snapToGrid w:val="0"/>
                    <w:jc w:val="center"/>
                    <w:rPr>
                      <w:bCs/>
                      <w:snapToGrid w:val="0"/>
                      <w:color w:val="auto"/>
                      <w:kern w:val="0"/>
                      <w:szCs w:val="21"/>
                      <w:highlight w:val="none"/>
                    </w:rPr>
                  </w:pPr>
                  <w:r>
                    <w:rPr>
                      <w:bCs/>
                      <w:snapToGrid w:val="0"/>
                      <w:color w:val="auto"/>
                      <w:kern w:val="0"/>
                      <w:szCs w:val="21"/>
                      <w:highlight w:val="none"/>
                    </w:rPr>
                    <w:t>废润滑油桶</w:t>
                  </w:r>
                </w:p>
              </w:tc>
              <w:tc>
                <w:tcPr>
                  <w:tcW w:w="854" w:type="dxa"/>
                  <w:vMerge w:val="continue"/>
                  <w:noWrap w:val="0"/>
                  <w:vAlign w:val="center"/>
                </w:tcPr>
                <w:p w14:paraId="498D2D1B">
                  <w:pPr>
                    <w:adjustRightInd w:val="0"/>
                    <w:snapToGrid w:val="0"/>
                    <w:jc w:val="center"/>
                    <w:rPr>
                      <w:bCs/>
                      <w:snapToGrid w:val="0"/>
                      <w:color w:val="auto"/>
                      <w:kern w:val="0"/>
                      <w:szCs w:val="21"/>
                      <w:highlight w:val="none"/>
                    </w:rPr>
                  </w:pPr>
                </w:p>
              </w:tc>
              <w:tc>
                <w:tcPr>
                  <w:tcW w:w="615" w:type="dxa"/>
                  <w:noWrap w:val="0"/>
                  <w:vAlign w:val="center"/>
                </w:tcPr>
                <w:p w14:paraId="460F29EC">
                  <w:pPr>
                    <w:adjustRightInd w:val="0"/>
                    <w:snapToGrid w:val="0"/>
                    <w:jc w:val="center"/>
                    <w:rPr>
                      <w:color w:val="auto"/>
                      <w:szCs w:val="21"/>
                      <w:highlight w:val="none"/>
                    </w:rPr>
                  </w:pPr>
                  <w:r>
                    <w:rPr>
                      <w:color w:val="auto"/>
                      <w:szCs w:val="21"/>
                      <w:highlight w:val="none"/>
                    </w:rPr>
                    <w:t>0.002</w:t>
                  </w:r>
                </w:p>
              </w:tc>
              <w:tc>
                <w:tcPr>
                  <w:tcW w:w="525" w:type="dxa"/>
                  <w:noWrap w:val="0"/>
                  <w:vAlign w:val="center"/>
                </w:tcPr>
                <w:p w14:paraId="6A2AC0B8">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0.002</w:t>
                  </w:r>
                </w:p>
              </w:tc>
              <w:tc>
                <w:tcPr>
                  <w:tcW w:w="1021" w:type="dxa"/>
                  <w:noWrap w:val="0"/>
                  <w:vAlign w:val="center"/>
                </w:tcPr>
                <w:p w14:paraId="438333C3">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0.004</w:t>
                  </w:r>
                </w:p>
              </w:tc>
              <w:tc>
                <w:tcPr>
                  <w:tcW w:w="715" w:type="dxa"/>
                  <w:noWrap w:val="0"/>
                  <w:vAlign w:val="center"/>
                </w:tcPr>
                <w:p w14:paraId="0502DF19">
                  <w:pPr>
                    <w:adjustRightInd w:val="0"/>
                    <w:snapToGrid w:val="0"/>
                    <w:jc w:val="center"/>
                    <w:rPr>
                      <w:bCs/>
                      <w:snapToGrid w:val="0"/>
                      <w:color w:val="auto"/>
                      <w:kern w:val="0"/>
                      <w:szCs w:val="21"/>
                      <w:highlight w:val="none"/>
                    </w:rPr>
                  </w:pPr>
                  <w:r>
                    <w:rPr>
                      <w:bCs/>
                      <w:snapToGrid w:val="0"/>
                      <w:color w:val="auto"/>
                      <w:kern w:val="0"/>
                      <w:szCs w:val="21"/>
                      <w:highlight w:val="none"/>
                    </w:rPr>
                    <w:t>危险废物</w:t>
                  </w:r>
                </w:p>
              </w:tc>
              <w:tc>
                <w:tcPr>
                  <w:tcW w:w="1313" w:type="dxa"/>
                  <w:noWrap w:val="0"/>
                  <w:vAlign w:val="center"/>
                </w:tcPr>
                <w:p w14:paraId="1278B267">
                  <w:pPr>
                    <w:pStyle w:val="102"/>
                    <w:overflowPunct w:val="0"/>
                    <w:rPr>
                      <w:color w:val="auto"/>
                      <w:szCs w:val="21"/>
                      <w:highlight w:val="none"/>
                    </w:rPr>
                  </w:pPr>
                  <w:r>
                    <w:rPr>
                      <w:color w:val="auto"/>
                      <w:szCs w:val="21"/>
                      <w:highlight w:val="none"/>
                    </w:rPr>
                    <w:t>HW08</w:t>
                  </w:r>
                </w:p>
                <w:p w14:paraId="7EA20E22">
                  <w:pPr>
                    <w:pStyle w:val="102"/>
                    <w:overflowPunct w:val="0"/>
                    <w:rPr>
                      <w:bCs/>
                      <w:snapToGrid w:val="0"/>
                      <w:color w:val="auto"/>
                      <w:kern w:val="0"/>
                      <w:szCs w:val="21"/>
                      <w:highlight w:val="none"/>
                    </w:rPr>
                  </w:pPr>
                  <w:r>
                    <w:rPr>
                      <w:color w:val="auto"/>
                      <w:szCs w:val="21"/>
                      <w:highlight w:val="none"/>
                    </w:rPr>
                    <w:t>900-249-08</w:t>
                  </w:r>
                </w:p>
              </w:tc>
              <w:tc>
                <w:tcPr>
                  <w:tcW w:w="1005" w:type="dxa"/>
                  <w:noWrap w:val="0"/>
                  <w:vAlign w:val="center"/>
                </w:tcPr>
                <w:p w14:paraId="3042F043">
                  <w:pPr>
                    <w:pStyle w:val="102"/>
                    <w:overflowPunct w:val="0"/>
                    <w:rPr>
                      <w:bCs/>
                      <w:snapToGrid w:val="0"/>
                      <w:color w:val="auto"/>
                      <w:kern w:val="0"/>
                      <w:szCs w:val="21"/>
                      <w:highlight w:val="none"/>
                    </w:rPr>
                  </w:pPr>
                  <w:r>
                    <w:rPr>
                      <w:color w:val="auto"/>
                      <w:szCs w:val="21"/>
                      <w:highlight w:val="none"/>
                    </w:rPr>
                    <w:t>矿物油类</w:t>
                  </w:r>
                </w:p>
              </w:tc>
              <w:tc>
                <w:tcPr>
                  <w:tcW w:w="705" w:type="dxa"/>
                  <w:noWrap w:val="0"/>
                  <w:vAlign w:val="center"/>
                </w:tcPr>
                <w:p w14:paraId="0405F729">
                  <w:pPr>
                    <w:pStyle w:val="102"/>
                    <w:overflowPunct w:val="0"/>
                    <w:rPr>
                      <w:bCs/>
                      <w:snapToGrid w:val="0"/>
                      <w:color w:val="auto"/>
                      <w:kern w:val="0"/>
                      <w:szCs w:val="21"/>
                      <w:highlight w:val="none"/>
                    </w:rPr>
                  </w:pPr>
                  <w:r>
                    <w:rPr>
                      <w:color w:val="auto"/>
                      <w:szCs w:val="21"/>
                      <w:highlight w:val="none"/>
                    </w:rPr>
                    <w:t>固体</w:t>
                  </w:r>
                </w:p>
              </w:tc>
              <w:tc>
                <w:tcPr>
                  <w:tcW w:w="723" w:type="dxa"/>
                  <w:noWrap w:val="0"/>
                  <w:vAlign w:val="center"/>
                </w:tcPr>
                <w:p w14:paraId="352D6221">
                  <w:pPr>
                    <w:pStyle w:val="102"/>
                    <w:overflowPunct w:val="0"/>
                    <w:rPr>
                      <w:snapToGrid w:val="0"/>
                      <w:color w:val="auto"/>
                      <w:kern w:val="0"/>
                      <w:szCs w:val="21"/>
                      <w:highlight w:val="none"/>
                    </w:rPr>
                  </w:pPr>
                  <w:r>
                    <w:rPr>
                      <w:color w:val="auto"/>
                      <w:szCs w:val="21"/>
                      <w:highlight w:val="none"/>
                    </w:rPr>
                    <w:t>T，I</w:t>
                  </w:r>
                </w:p>
              </w:tc>
            </w:tr>
            <w:tr w14:paraId="79BE1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14:paraId="467175DD">
                  <w:pPr>
                    <w:adjustRightInd w:val="0"/>
                    <w:snapToGrid w:val="0"/>
                    <w:jc w:val="center"/>
                    <w:rPr>
                      <w:bCs/>
                      <w:snapToGrid w:val="0"/>
                      <w:color w:val="auto"/>
                      <w:kern w:val="0"/>
                      <w:szCs w:val="21"/>
                      <w:highlight w:val="none"/>
                    </w:rPr>
                  </w:pPr>
                  <w:r>
                    <w:rPr>
                      <w:bCs/>
                      <w:snapToGrid w:val="0"/>
                      <w:color w:val="auto"/>
                      <w:kern w:val="0"/>
                      <w:szCs w:val="21"/>
                      <w:highlight w:val="none"/>
                    </w:rPr>
                    <w:t>生活垃圾</w:t>
                  </w:r>
                </w:p>
              </w:tc>
              <w:tc>
                <w:tcPr>
                  <w:tcW w:w="854" w:type="dxa"/>
                  <w:noWrap w:val="0"/>
                  <w:vAlign w:val="center"/>
                </w:tcPr>
                <w:p w14:paraId="21067D8A">
                  <w:pPr>
                    <w:adjustRightInd w:val="0"/>
                    <w:snapToGrid w:val="0"/>
                    <w:jc w:val="center"/>
                    <w:rPr>
                      <w:bCs/>
                      <w:snapToGrid w:val="0"/>
                      <w:color w:val="auto"/>
                      <w:kern w:val="0"/>
                      <w:szCs w:val="21"/>
                      <w:highlight w:val="none"/>
                    </w:rPr>
                  </w:pPr>
                  <w:r>
                    <w:rPr>
                      <w:bCs/>
                      <w:snapToGrid w:val="0"/>
                      <w:color w:val="auto"/>
                      <w:kern w:val="0"/>
                      <w:szCs w:val="21"/>
                      <w:highlight w:val="none"/>
                    </w:rPr>
                    <w:t>生活设施</w:t>
                  </w:r>
                </w:p>
              </w:tc>
              <w:tc>
                <w:tcPr>
                  <w:tcW w:w="615" w:type="dxa"/>
                  <w:noWrap w:val="0"/>
                  <w:vAlign w:val="center"/>
                </w:tcPr>
                <w:p w14:paraId="3011EED6">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0.75</w:t>
                  </w:r>
                </w:p>
              </w:tc>
              <w:tc>
                <w:tcPr>
                  <w:tcW w:w="525" w:type="dxa"/>
                  <w:noWrap w:val="0"/>
                  <w:vAlign w:val="center"/>
                </w:tcPr>
                <w:p w14:paraId="50236571">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0.75</w:t>
                  </w:r>
                </w:p>
              </w:tc>
              <w:tc>
                <w:tcPr>
                  <w:tcW w:w="1021" w:type="dxa"/>
                  <w:noWrap w:val="0"/>
                  <w:vAlign w:val="center"/>
                </w:tcPr>
                <w:p w14:paraId="6DDB9F05">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1.5</w:t>
                  </w:r>
                </w:p>
              </w:tc>
              <w:tc>
                <w:tcPr>
                  <w:tcW w:w="715" w:type="dxa"/>
                  <w:noWrap w:val="0"/>
                  <w:vAlign w:val="center"/>
                </w:tcPr>
                <w:p w14:paraId="1E2090EA">
                  <w:pPr>
                    <w:adjustRightInd w:val="0"/>
                    <w:snapToGrid w:val="0"/>
                    <w:jc w:val="center"/>
                    <w:rPr>
                      <w:bCs/>
                      <w:snapToGrid w:val="0"/>
                      <w:color w:val="auto"/>
                      <w:kern w:val="0"/>
                      <w:szCs w:val="21"/>
                      <w:highlight w:val="none"/>
                    </w:rPr>
                  </w:pPr>
                  <w:r>
                    <w:rPr>
                      <w:bCs/>
                      <w:snapToGrid w:val="0"/>
                      <w:color w:val="auto"/>
                      <w:kern w:val="0"/>
                      <w:szCs w:val="21"/>
                      <w:highlight w:val="none"/>
                    </w:rPr>
                    <w:t>/</w:t>
                  </w:r>
                </w:p>
              </w:tc>
              <w:tc>
                <w:tcPr>
                  <w:tcW w:w="1313" w:type="dxa"/>
                  <w:noWrap w:val="0"/>
                  <w:vAlign w:val="center"/>
                </w:tcPr>
                <w:p w14:paraId="6FDD68A4">
                  <w:pPr>
                    <w:pStyle w:val="102"/>
                    <w:overflowPunct w:val="0"/>
                    <w:rPr>
                      <w:color w:val="auto"/>
                      <w:szCs w:val="21"/>
                      <w:highlight w:val="none"/>
                    </w:rPr>
                  </w:pPr>
                  <w:r>
                    <w:rPr>
                      <w:bCs/>
                      <w:snapToGrid w:val="0"/>
                      <w:color w:val="auto"/>
                      <w:kern w:val="0"/>
                      <w:szCs w:val="21"/>
                      <w:highlight w:val="none"/>
                    </w:rPr>
                    <w:t>900-099-S64</w:t>
                  </w:r>
                </w:p>
              </w:tc>
              <w:tc>
                <w:tcPr>
                  <w:tcW w:w="1005" w:type="dxa"/>
                  <w:noWrap w:val="0"/>
                  <w:vAlign w:val="center"/>
                </w:tcPr>
                <w:p w14:paraId="2D756BD8">
                  <w:pPr>
                    <w:pStyle w:val="102"/>
                    <w:overflowPunct w:val="0"/>
                    <w:rPr>
                      <w:color w:val="auto"/>
                      <w:szCs w:val="21"/>
                      <w:highlight w:val="none"/>
                    </w:rPr>
                  </w:pPr>
                  <w:r>
                    <w:rPr>
                      <w:color w:val="auto"/>
                      <w:szCs w:val="21"/>
                      <w:highlight w:val="none"/>
                    </w:rPr>
                    <w:t>/</w:t>
                  </w:r>
                </w:p>
              </w:tc>
              <w:tc>
                <w:tcPr>
                  <w:tcW w:w="705" w:type="dxa"/>
                  <w:noWrap w:val="0"/>
                  <w:vAlign w:val="center"/>
                </w:tcPr>
                <w:p w14:paraId="2B5CC8A9">
                  <w:pPr>
                    <w:pStyle w:val="102"/>
                    <w:overflowPunct w:val="0"/>
                    <w:rPr>
                      <w:color w:val="auto"/>
                      <w:szCs w:val="21"/>
                      <w:highlight w:val="none"/>
                    </w:rPr>
                  </w:pPr>
                  <w:r>
                    <w:rPr>
                      <w:color w:val="auto"/>
                      <w:szCs w:val="21"/>
                      <w:highlight w:val="none"/>
                    </w:rPr>
                    <w:t>固态</w:t>
                  </w:r>
                </w:p>
              </w:tc>
              <w:tc>
                <w:tcPr>
                  <w:tcW w:w="723" w:type="dxa"/>
                  <w:noWrap w:val="0"/>
                  <w:vAlign w:val="center"/>
                </w:tcPr>
                <w:p w14:paraId="680F8C9F">
                  <w:pPr>
                    <w:pStyle w:val="102"/>
                    <w:overflowPunct w:val="0"/>
                    <w:rPr>
                      <w:color w:val="auto"/>
                      <w:szCs w:val="21"/>
                      <w:highlight w:val="none"/>
                    </w:rPr>
                  </w:pPr>
                  <w:r>
                    <w:rPr>
                      <w:color w:val="auto"/>
                      <w:szCs w:val="21"/>
                      <w:highlight w:val="none"/>
                    </w:rPr>
                    <w:t>/</w:t>
                  </w:r>
                </w:p>
              </w:tc>
            </w:tr>
          </w:tbl>
          <w:p w14:paraId="7D046F0C">
            <w:pPr>
              <w:adjustRightInd w:val="0"/>
              <w:snapToGrid w:val="0"/>
              <w:spacing w:line="360" w:lineRule="auto"/>
              <w:ind w:firstLine="482" w:firstLineChars="200"/>
              <w:rPr>
                <w:b/>
                <w:color w:val="auto"/>
                <w:kern w:val="0"/>
                <w:sz w:val="24"/>
                <w:highlight w:val="none"/>
              </w:rPr>
            </w:pPr>
            <w:r>
              <w:rPr>
                <w:b/>
                <w:color w:val="auto"/>
                <w:kern w:val="0"/>
                <w:sz w:val="24"/>
                <w:highlight w:val="none"/>
              </w:rPr>
              <w:t>2、固体废物处置及去向</w:t>
            </w:r>
          </w:p>
          <w:p w14:paraId="1B448876">
            <w:pPr>
              <w:adjustRightInd w:val="0"/>
              <w:snapToGrid w:val="0"/>
              <w:spacing w:line="360" w:lineRule="auto"/>
              <w:ind w:firstLine="480" w:firstLineChars="200"/>
              <w:rPr>
                <w:color w:val="auto"/>
                <w:kern w:val="0"/>
                <w:sz w:val="24"/>
                <w:highlight w:val="none"/>
              </w:rPr>
            </w:pPr>
            <w:r>
              <w:rPr>
                <w:color w:val="auto"/>
                <w:kern w:val="0"/>
                <w:sz w:val="24"/>
                <w:highlight w:val="none"/>
              </w:rPr>
              <w:t>本项目固体废物处置情况见下表。</w:t>
            </w:r>
          </w:p>
          <w:p w14:paraId="32B3E3A5">
            <w:pPr>
              <w:adjustRightInd w:val="0"/>
              <w:snapToGrid w:val="0"/>
              <w:ind w:firstLine="420" w:firstLineChars="200"/>
              <w:rPr>
                <w:b/>
                <w:bCs/>
                <w:color w:val="auto"/>
                <w:szCs w:val="21"/>
                <w:highlight w:val="none"/>
              </w:rPr>
            </w:pPr>
            <w:r>
              <w:rPr>
                <w:bCs/>
                <w:color w:val="auto"/>
                <w:szCs w:val="21"/>
                <w:highlight w:val="none"/>
              </w:rPr>
              <w:t>表4-</w:t>
            </w:r>
            <w:r>
              <w:rPr>
                <w:rFonts w:hint="eastAsia"/>
                <w:bCs/>
                <w:color w:val="auto"/>
                <w:szCs w:val="21"/>
                <w:highlight w:val="none"/>
              </w:rPr>
              <w:t>2</w:t>
            </w:r>
            <w:r>
              <w:rPr>
                <w:rFonts w:hint="eastAsia"/>
                <w:bCs/>
                <w:color w:val="auto"/>
                <w:szCs w:val="21"/>
                <w:highlight w:val="none"/>
                <w:lang w:val="en-US" w:eastAsia="zh-CN"/>
              </w:rPr>
              <w:t>0</w:t>
            </w:r>
            <w:r>
              <w:rPr>
                <w:b/>
                <w:bCs/>
                <w:color w:val="auto"/>
                <w:szCs w:val="21"/>
                <w:highlight w:val="none"/>
              </w:rPr>
              <w:t xml:space="preserve">         </w:t>
            </w:r>
            <w:r>
              <w:rPr>
                <w:rFonts w:hint="eastAsia"/>
                <w:b/>
                <w:bCs/>
                <w:color w:val="auto"/>
                <w:szCs w:val="21"/>
                <w:highlight w:val="none"/>
              </w:rPr>
              <w:t xml:space="preserve">   </w:t>
            </w:r>
            <w:r>
              <w:rPr>
                <w:b/>
                <w:bCs/>
                <w:color w:val="auto"/>
                <w:sz w:val="24"/>
                <w:highlight w:val="none"/>
              </w:rPr>
              <w:t>本项目</w:t>
            </w:r>
            <w:r>
              <w:rPr>
                <w:rFonts w:hint="eastAsia"/>
                <w:b/>
                <w:bCs/>
                <w:color w:val="auto"/>
                <w:sz w:val="24"/>
                <w:highlight w:val="none"/>
                <w:lang w:val="en-US" w:eastAsia="zh-CN"/>
              </w:rPr>
              <w:t>固</w:t>
            </w:r>
            <w:r>
              <w:rPr>
                <w:b/>
                <w:bCs/>
                <w:color w:val="auto"/>
                <w:sz w:val="24"/>
                <w:highlight w:val="none"/>
              </w:rPr>
              <w:t>体废物处置情况一览表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59"/>
              <w:gridCol w:w="3327"/>
              <w:gridCol w:w="3288"/>
            </w:tblGrid>
            <w:tr w14:paraId="11132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02" w:type="pct"/>
                  <w:tcBorders>
                    <w:top w:val="single" w:color="000000" w:sz="12" w:space="0"/>
                    <w:left w:val="single" w:color="000000" w:sz="12" w:space="0"/>
                    <w:bottom w:val="single" w:color="000000" w:sz="4" w:space="0"/>
                    <w:right w:val="single" w:color="000000" w:sz="4" w:space="0"/>
                    <w:tl2br w:val="nil"/>
                  </w:tcBorders>
                  <w:shd w:val="clear" w:color="auto" w:fill="auto"/>
                  <w:noWrap w:val="0"/>
                  <w:vAlign w:val="center"/>
                </w:tcPr>
                <w:p w14:paraId="3198AB87">
                  <w:pPr>
                    <w:keepNext w:val="0"/>
                    <w:keepLines w:val="0"/>
                    <w:pageBreakBefore w:val="0"/>
                    <w:widowControl w:val="0"/>
                    <w:kinsoku/>
                    <w:wordWrap/>
                    <w:autoSpaceDE/>
                    <w:autoSpaceDN/>
                    <w:bidi w:val="0"/>
                    <w:adjustRightInd w:val="0"/>
                    <w:snapToGrid w:val="0"/>
                    <w:jc w:val="center"/>
                    <w:textAlignment w:val="auto"/>
                    <w:rPr>
                      <w:b/>
                      <w:bCs w:val="0"/>
                      <w:snapToGrid w:val="0"/>
                      <w:color w:val="auto"/>
                      <w:kern w:val="0"/>
                      <w:sz w:val="21"/>
                      <w:szCs w:val="21"/>
                      <w:highlight w:val="none"/>
                    </w:rPr>
                  </w:pPr>
                  <w:r>
                    <w:rPr>
                      <w:b/>
                      <w:bCs w:val="0"/>
                      <w:snapToGrid w:val="0"/>
                      <w:color w:val="auto"/>
                      <w:kern w:val="0"/>
                      <w:sz w:val="21"/>
                      <w:szCs w:val="21"/>
                      <w:highlight w:val="none"/>
                    </w:rPr>
                    <w:t>污染物名称</w:t>
                  </w:r>
                </w:p>
              </w:tc>
              <w:tc>
                <w:tcPr>
                  <w:tcW w:w="2010" w:type="pct"/>
                  <w:tcBorders>
                    <w:top w:val="single" w:color="000000" w:sz="12" w:space="0"/>
                    <w:left w:val="single" w:color="000000" w:sz="4" w:space="0"/>
                    <w:bottom w:val="single" w:color="000000" w:sz="4" w:space="0"/>
                    <w:right w:val="single" w:color="000000" w:sz="4" w:space="0"/>
                  </w:tcBorders>
                  <w:shd w:val="clear" w:color="auto" w:fill="auto"/>
                  <w:noWrap w:val="0"/>
                  <w:vAlign w:val="center"/>
                </w:tcPr>
                <w:p w14:paraId="2509A823">
                  <w:pPr>
                    <w:keepNext w:val="0"/>
                    <w:keepLines w:val="0"/>
                    <w:pageBreakBefore w:val="0"/>
                    <w:widowControl w:val="0"/>
                    <w:kinsoku/>
                    <w:wordWrap/>
                    <w:autoSpaceDE/>
                    <w:autoSpaceDN/>
                    <w:bidi w:val="0"/>
                    <w:adjustRightInd w:val="0"/>
                    <w:snapToGrid w:val="0"/>
                    <w:jc w:val="center"/>
                    <w:textAlignment w:val="auto"/>
                    <w:rPr>
                      <w:b/>
                      <w:bCs w:val="0"/>
                      <w:snapToGrid w:val="0"/>
                      <w:color w:val="auto"/>
                      <w:kern w:val="0"/>
                      <w:sz w:val="21"/>
                      <w:szCs w:val="21"/>
                      <w:highlight w:val="none"/>
                    </w:rPr>
                  </w:pPr>
                  <w:r>
                    <w:rPr>
                      <w:b/>
                      <w:bCs w:val="0"/>
                      <w:snapToGrid w:val="0"/>
                      <w:color w:val="auto"/>
                      <w:kern w:val="0"/>
                      <w:sz w:val="21"/>
                      <w:szCs w:val="21"/>
                      <w:highlight w:val="none"/>
                    </w:rPr>
                    <w:t>贮存方式</w:t>
                  </w:r>
                </w:p>
              </w:tc>
              <w:tc>
                <w:tcPr>
                  <w:tcW w:w="1986" w:type="pct"/>
                  <w:tcBorders>
                    <w:top w:val="single" w:color="000000" w:sz="12" w:space="0"/>
                    <w:left w:val="single" w:color="000000" w:sz="4" w:space="0"/>
                    <w:bottom w:val="single" w:color="000000" w:sz="4" w:space="0"/>
                    <w:right w:val="single" w:color="000000" w:sz="12" w:space="0"/>
                  </w:tcBorders>
                  <w:shd w:val="clear" w:color="auto" w:fill="auto"/>
                  <w:noWrap w:val="0"/>
                  <w:vAlign w:val="center"/>
                </w:tcPr>
                <w:p w14:paraId="35D3A236">
                  <w:pPr>
                    <w:keepNext w:val="0"/>
                    <w:keepLines w:val="0"/>
                    <w:pageBreakBefore w:val="0"/>
                    <w:widowControl w:val="0"/>
                    <w:kinsoku/>
                    <w:wordWrap/>
                    <w:autoSpaceDE/>
                    <w:autoSpaceDN/>
                    <w:bidi w:val="0"/>
                    <w:adjustRightInd w:val="0"/>
                    <w:snapToGrid w:val="0"/>
                    <w:jc w:val="center"/>
                    <w:textAlignment w:val="auto"/>
                    <w:rPr>
                      <w:b/>
                      <w:bCs w:val="0"/>
                      <w:snapToGrid w:val="0"/>
                      <w:color w:val="auto"/>
                      <w:kern w:val="0"/>
                      <w:sz w:val="21"/>
                      <w:szCs w:val="21"/>
                      <w:highlight w:val="none"/>
                    </w:rPr>
                  </w:pPr>
                  <w:r>
                    <w:rPr>
                      <w:b/>
                      <w:bCs w:val="0"/>
                      <w:snapToGrid w:val="0"/>
                      <w:color w:val="auto"/>
                      <w:kern w:val="0"/>
                      <w:sz w:val="21"/>
                      <w:szCs w:val="21"/>
                      <w:highlight w:val="none"/>
                    </w:rPr>
                    <w:t>利用处置方式和去向</w:t>
                  </w:r>
                </w:p>
              </w:tc>
            </w:tr>
            <w:tr w14:paraId="4593B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002" w:type="pct"/>
                  <w:tcBorders>
                    <w:top w:val="single" w:color="000000" w:sz="4" w:space="0"/>
                    <w:left w:val="single" w:color="000000" w:sz="12" w:space="0"/>
                    <w:bottom w:val="single" w:color="000000" w:sz="4" w:space="0"/>
                    <w:right w:val="single" w:color="000000" w:sz="4" w:space="0"/>
                  </w:tcBorders>
                  <w:shd w:val="clear" w:color="auto" w:fill="auto"/>
                  <w:noWrap w:val="0"/>
                  <w:vAlign w:val="center"/>
                </w:tcPr>
                <w:p w14:paraId="22C6377C">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color w:val="auto"/>
                      <w:kern w:val="0"/>
                      <w:sz w:val="21"/>
                      <w:szCs w:val="21"/>
                      <w:highlight w:val="none"/>
                    </w:rPr>
                    <w:t>废包装袋</w:t>
                  </w: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DC737">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bCs/>
                      <w:snapToGrid w:val="0"/>
                      <w:color w:val="auto"/>
                      <w:kern w:val="0"/>
                      <w:sz w:val="21"/>
                      <w:szCs w:val="21"/>
                      <w:highlight w:val="none"/>
                    </w:rPr>
                    <w:t>不贮存</w:t>
                  </w:r>
                </w:p>
              </w:tc>
              <w:tc>
                <w:tcPr>
                  <w:tcW w:w="1986" w:type="pct"/>
                  <w:vMerge w:val="restart"/>
                  <w:tcBorders>
                    <w:top w:val="single" w:color="000000" w:sz="4" w:space="0"/>
                    <w:left w:val="single" w:color="000000" w:sz="4" w:space="0"/>
                    <w:right w:val="single" w:color="000000" w:sz="12" w:space="0"/>
                  </w:tcBorders>
                  <w:shd w:val="clear" w:color="auto" w:fill="auto"/>
                  <w:noWrap w:val="0"/>
                  <w:vAlign w:val="center"/>
                </w:tcPr>
                <w:p w14:paraId="7149EB60">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rFonts w:hint="eastAsia"/>
                      <w:b w:val="0"/>
                      <w:color w:val="auto"/>
                      <w:sz w:val="21"/>
                      <w:szCs w:val="21"/>
                      <w:highlight w:val="none"/>
                    </w:rPr>
                    <w:t>集中收集后，</w:t>
                  </w:r>
                  <w:r>
                    <w:rPr>
                      <w:rFonts w:hint="eastAsia"/>
                      <w:color w:val="auto"/>
                      <w:kern w:val="0"/>
                      <w:lang w:bidi="ar"/>
                    </w:rPr>
                    <w:t>定期外售于废品收购站</w:t>
                  </w:r>
                </w:p>
              </w:tc>
            </w:tr>
            <w:tr w14:paraId="31299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002" w:type="pct"/>
                  <w:tcBorders>
                    <w:top w:val="single" w:color="000000" w:sz="4" w:space="0"/>
                    <w:left w:val="single" w:color="000000" w:sz="12" w:space="0"/>
                    <w:bottom w:val="single" w:color="000000" w:sz="4" w:space="0"/>
                    <w:right w:val="single" w:color="000000" w:sz="4" w:space="0"/>
                  </w:tcBorders>
                  <w:shd w:val="clear" w:color="auto" w:fill="auto"/>
                  <w:noWrap w:val="0"/>
                  <w:vAlign w:val="center"/>
                </w:tcPr>
                <w:p w14:paraId="1BB8085A">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color w:val="auto"/>
                      <w:kern w:val="0"/>
                      <w:sz w:val="21"/>
                      <w:szCs w:val="21"/>
                      <w:highlight w:val="none"/>
                    </w:rPr>
                    <w:t>不合格品</w:t>
                  </w: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D09C6">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bCs/>
                      <w:snapToGrid w:val="0"/>
                      <w:color w:val="auto"/>
                      <w:kern w:val="0"/>
                      <w:sz w:val="21"/>
                      <w:szCs w:val="21"/>
                      <w:highlight w:val="none"/>
                    </w:rPr>
                    <w:t>不贮存</w:t>
                  </w:r>
                </w:p>
              </w:tc>
              <w:tc>
                <w:tcPr>
                  <w:tcW w:w="1986" w:type="pct"/>
                  <w:vMerge w:val="continue"/>
                  <w:tcBorders>
                    <w:left w:val="single" w:color="000000" w:sz="4" w:space="0"/>
                    <w:right w:val="single" w:color="000000" w:sz="12" w:space="0"/>
                  </w:tcBorders>
                  <w:shd w:val="clear" w:color="auto" w:fill="auto"/>
                  <w:noWrap w:val="0"/>
                  <w:vAlign w:val="center"/>
                </w:tcPr>
                <w:p w14:paraId="06A4F212">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p>
              </w:tc>
            </w:tr>
            <w:tr w14:paraId="2144F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002" w:type="pct"/>
                  <w:tcBorders>
                    <w:top w:val="single" w:color="000000" w:sz="4" w:space="0"/>
                    <w:left w:val="single" w:color="000000" w:sz="12" w:space="0"/>
                    <w:bottom w:val="single" w:color="000000" w:sz="4" w:space="0"/>
                    <w:right w:val="single" w:color="000000" w:sz="4" w:space="0"/>
                  </w:tcBorders>
                  <w:shd w:val="clear" w:color="auto" w:fill="auto"/>
                  <w:noWrap w:val="0"/>
                  <w:vAlign w:val="center"/>
                </w:tcPr>
                <w:p w14:paraId="2A4D6346">
                  <w:pPr>
                    <w:keepNext w:val="0"/>
                    <w:keepLines w:val="0"/>
                    <w:pageBreakBefore w:val="0"/>
                    <w:widowControl w:val="0"/>
                    <w:kinsoku/>
                    <w:wordWrap/>
                    <w:autoSpaceDE/>
                    <w:autoSpaceDN/>
                    <w:bidi w:val="0"/>
                    <w:adjustRightInd w:val="0"/>
                    <w:snapToGrid w:val="0"/>
                    <w:jc w:val="center"/>
                    <w:textAlignment w:val="auto"/>
                    <w:rPr>
                      <w:rFonts w:hint="default" w:eastAsia="宋体"/>
                      <w:b w:val="0"/>
                      <w:color w:val="auto"/>
                      <w:kern w:val="0"/>
                      <w:sz w:val="21"/>
                      <w:szCs w:val="21"/>
                      <w:highlight w:val="none"/>
                      <w:lang w:val="en-US" w:eastAsia="zh-CN"/>
                    </w:rPr>
                  </w:pPr>
                  <w:r>
                    <w:rPr>
                      <w:rFonts w:hint="eastAsia"/>
                      <w:b w:val="0"/>
                      <w:color w:val="auto"/>
                      <w:kern w:val="0"/>
                      <w:sz w:val="21"/>
                      <w:szCs w:val="21"/>
                      <w:highlight w:val="none"/>
                      <w:lang w:val="en-US" w:eastAsia="zh-CN"/>
                    </w:rPr>
                    <w:t>废边角料</w:t>
                  </w: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07E87">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bCs/>
                      <w:snapToGrid w:val="0"/>
                      <w:color w:val="auto"/>
                      <w:kern w:val="0"/>
                      <w:sz w:val="21"/>
                      <w:szCs w:val="21"/>
                      <w:highlight w:val="none"/>
                    </w:rPr>
                    <w:t>不贮存</w:t>
                  </w:r>
                </w:p>
              </w:tc>
              <w:tc>
                <w:tcPr>
                  <w:tcW w:w="1986" w:type="pct"/>
                  <w:vMerge w:val="continue"/>
                  <w:tcBorders>
                    <w:left w:val="single" w:color="000000" w:sz="4" w:space="0"/>
                    <w:bottom w:val="single" w:color="000000" w:sz="4" w:space="0"/>
                    <w:right w:val="single" w:color="000000" w:sz="12" w:space="0"/>
                  </w:tcBorders>
                  <w:shd w:val="clear" w:color="auto" w:fill="auto"/>
                  <w:noWrap w:val="0"/>
                  <w:vAlign w:val="center"/>
                </w:tcPr>
                <w:p w14:paraId="216C945B">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p>
              </w:tc>
            </w:tr>
            <w:tr w14:paraId="5812C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002" w:type="pct"/>
                  <w:tcBorders>
                    <w:top w:val="single" w:color="000000" w:sz="4" w:space="0"/>
                    <w:left w:val="single" w:color="000000" w:sz="12" w:space="0"/>
                    <w:bottom w:val="single" w:color="000000" w:sz="4" w:space="0"/>
                    <w:right w:val="single" w:color="000000" w:sz="4" w:space="0"/>
                  </w:tcBorders>
                  <w:shd w:val="clear" w:color="auto" w:fill="auto"/>
                  <w:noWrap w:val="0"/>
                  <w:vAlign w:val="center"/>
                </w:tcPr>
                <w:p w14:paraId="7AD731D3">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snapToGrid w:val="0"/>
                      <w:color w:val="auto"/>
                      <w:kern w:val="0"/>
                      <w:sz w:val="21"/>
                      <w:szCs w:val="21"/>
                      <w:highlight w:val="none"/>
                    </w:rPr>
                    <w:t>废活性炭</w:t>
                  </w:r>
                </w:p>
              </w:tc>
              <w:tc>
                <w:tcPr>
                  <w:tcW w:w="2010" w:type="pct"/>
                  <w:vMerge w:val="restart"/>
                  <w:tcBorders>
                    <w:top w:val="single" w:color="000000" w:sz="4" w:space="0"/>
                    <w:left w:val="single" w:color="000000" w:sz="4" w:space="0"/>
                    <w:right w:val="single" w:color="000000" w:sz="4" w:space="0"/>
                  </w:tcBorders>
                  <w:shd w:val="clear" w:color="auto" w:fill="auto"/>
                  <w:noWrap w:val="0"/>
                  <w:vAlign w:val="center"/>
                </w:tcPr>
                <w:p w14:paraId="2FBDC368">
                  <w:pPr>
                    <w:keepNext w:val="0"/>
                    <w:keepLines w:val="0"/>
                    <w:pageBreakBefore w:val="0"/>
                    <w:widowControl w:val="0"/>
                    <w:kinsoku/>
                    <w:wordWrap/>
                    <w:autoSpaceDE/>
                    <w:autoSpaceDN/>
                    <w:bidi w:val="0"/>
                    <w:adjustRightInd w:val="0"/>
                    <w:snapToGrid w:val="0"/>
                    <w:jc w:val="center"/>
                    <w:textAlignment w:val="auto"/>
                    <w:rPr>
                      <w:rFonts w:hint="eastAsia"/>
                      <w:b w:val="0"/>
                      <w:bCs/>
                      <w:snapToGrid w:val="0"/>
                      <w:color w:val="auto"/>
                      <w:kern w:val="0"/>
                      <w:sz w:val="21"/>
                      <w:szCs w:val="21"/>
                      <w:highlight w:val="none"/>
                    </w:rPr>
                  </w:pPr>
                  <w:r>
                    <w:rPr>
                      <w:rFonts w:hint="eastAsia"/>
                      <w:snapToGrid w:val="0"/>
                      <w:color w:val="auto"/>
                    </w:rPr>
                    <w:t>废活性炭经密封包装后、废</w:t>
                  </w:r>
                  <w:r>
                    <w:rPr>
                      <w:rFonts w:hint="eastAsia"/>
                      <w:snapToGrid w:val="0"/>
                      <w:color w:val="auto"/>
                      <w:lang w:eastAsia="zh-CN"/>
                    </w:rPr>
                    <w:t>润滑油</w:t>
                  </w:r>
                  <w:r>
                    <w:rPr>
                      <w:rFonts w:hint="eastAsia"/>
                      <w:snapToGrid w:val="0"/>
                      <w:color w:val="auto"/>
                    </w:rPr>
                    <w:t>由密闭储油桶收集后与废</w:t>
                  </w:r>
                  <w:r>
                    <w:rPr>
                      <w:rFonts w:hint="eastAsia"/>
                      <w:snapToGrid w:val="0"/>
                      <w:color w:val="auto"/>
                      <w:lang w:eastAsia="zh-CN"/>
                    </w:rPr>
                    <w:t>润滑油</w:t>
                  </w:r>
                  <w:r>
                    <w:rPr>
                      <w:rFonts w:hint="eastAsia"/>
                      <w:snapToGrid w:val="0"/>
                      <w:color w:val="auto"/>
                    </w:rPr>
                    <w:t>桶置于托盘上，分区贮存</w:t>
                  </w:r>
                  <w:r>
                    <w:rPr>
                      <w:rFonts w:hint="eastAsia"/>
                      <w:snapToGrid w:val="0"/>
                      <w:color w:val="auto"/>
                      <w:lang w:val="en-US" w:eastAsia="zh-CN"/>
                    </w:rPr>
                    <w:t>于</w:t>
                  </w:r>
                  <w:r>
                    <w:rPr>
                      <w:rFonts w:hint="eastAsia"/>
                      <w:snapToGrid w:val="0"/>
                      <w:color w:val="auto"/>
                      <w:lang w:eastAsia="zh-CN"/>
                    </w:rPr>
                    <w:t>危废贮存点，</w:t>
                  </w:r>
                  <w:r>
                    <w:rPr>
                      <w:snapToGrid w:val="0"/>
                      <w:color w:val="auto"/>
                      <w:kern w:val="0"/>
                      <w:lang w:bidi="ar"/>
                    </w:rPr>
                    <w:t>定期委托有资质的单位进行处置</w:t>
                  </w:r>
                </w:p>
              </w:tc>
              <w:tc>
                <w:tcPr>
                  <w:tcW w:w="1986" w:type="pct"/>
                  <w:vMerge w:val="restart"/>
                  <w:tcBorders>
                    <w:top w:val="single" w:color="000000" w:sz="4" w:space="0"/>
                    <w:left w:val="single" w:color="000000" w:sz="4" w:space="0"/>
                    <w:right w:val="single" w:color="000000" w:sz="12" w:space="0"/>
                  </w:tcBorders>
                  <w:shd w:val="clear" w:color="auto" w:fill="auto"/>
                  <w:noWrap w:val="0"/>
                  <w:vAlign w:val="center"/>
                </w:tcPr>
                <w:p w14:paraId="420D61A6">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bCs/>
                      <w:snapToGrid w:val="0"/>
                      <w:color w:val="auto"/>
                      <w:kern w:val="0"/>
                      <w:sz w:val="21"/>
                      <w:szCs w:val="21"/>
                      <w:highlight w:val="none"/>
                    </w:rPr>
                    <w:t>定期交由有资质的单位进行处置</w:t>
                  </w:r>
                </w:p>
              </w:tc>
            </w:tr>
            <w:tr w14:paraId="29A55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002" w:type="pct"/>
                  <w:tcBorders>
                    <w:top w:val="single" w:color="000000" w:sz="4" w:space="0"/>
                    <w:left w:val="single" w:color="000000" w:sz="12" w:space="0"/>
                    <w:bottom w:val="single" w:color="000000" w:sz="4" w:space="0"/>
                    <w:right w:val="single" w:color="000000" w:sz="4" w:space="0"/>
                  </w:tcBorders>
                  <w:shd w:val="clear" w:color="auto" w:fill="auto"/>
                  <w:noWrap w:val="0"/>
                  <w:vAlign w:val="center"/>
                </w:tcPr>
                <w:p w14:paraId="75C2A613">
                  <w:pPr>
                    <w:pStyle w:val="102"/>
                    <w:keepNext w:val="0"/>
                    <w:keepLines w:val="0"/>
                    <w:pageBreakBefore w:val="0"/>
                    <w:widowControl w:val="0"/>
                    <w:kinsoku/>
                    <w:wordWrap/>
                    <w:overflowPunct w:val="0"/>
                    <w:autoSpaceDE/>
                    <w:autoSpaceDN/>
                    <w:bidi w:val="0"/>
                    <w:adjustRightInd w:val="0"/>
                    <w:snapToGrid w:val="0"/>
                    <w:textAlignment w:val="auto"/>
                    <w:rPr>
                      <w:b w:val="0"/>
                      <w:bCs/>
                      <w:snapToGrid w:val="0"/>
                      <w:color w:val="auto"/>
                      <w:kern w:val="0"/>
                      <w:sz w:val="21"/>
                      <w:szCs w:val="21"/>
                      <w:highlight w:val="none"/>
                    </w:rPr>
                  </w:pPr>
                  <w:r>
                    <w:rPr>
                      <w:b w:val="0"/>
                      <w:color w:val="auto"/>
                      <w:sz w:val="21"/>
                      <w:szCs w:val="21"/>
                      <w:highlight w:val="none"/>
                    </w:rPr>
                    <w:t>废润滑油</w:t>
                  </w:r>
                </w:p>
              </w:tc>
              <w:tc>
                <w:tcPr>
                  <w:tcW w:w="2010" w:type="pct"/>
                  <w:vMerge w:val="continue"/>
                  <w:tcBorders>
                    <w:left w:val="single" w:color="000000" w:sz="4" w:space="0"/>
                    <w:right w:val="single" w:color="000000" w:sz="4" w:space="0"/>
                  </w:tcBorders>
                  <w:shd w:val="clear" w:color="auto" w:fill="auto"/>
                  <w:noWrap w:val="0"/>
                  <w:vAlign w:val="center"/>
                </w:tcPr>
                <w:p w14:paraId="37F631D2">
                  <w:pPr>
                    <w:keepNext w:val="0"/>
                    <w:keepLines w:val="0"/>
                    <w:pageBreakBefore w:val="0"/>
                    <w:widowControl w:val="0"/>
                    <w:kinsoku/>
                    <w:wordWrap/>
                    <w:autoSpaceDE/>
                    <w:autoSpaceDN/>
                    <w:bidi w:val="0"/>
                    <w:adjustRightInd w:val="0"/>
                    <w:snapToGrid w:val="0"/>
                    <w:jc w:val="center"/>
                    <w:textAlignment w:val="auto"/>
                    <w:rPr>
                      <w:rFonts w:hint="eastAsia"/>
                      <w:b w:val="0"/>
                      <w:bCs/>
                      <w:snapToGrid w:val="0"/>
                      <w:color w:val="auto"/>
                      <w:kern w:val="0"/>
                      <w:sz w:val="21"/>
                      <w:szCs w:val="21"/>
                      <w:highlight w:val="none"/>
                    </w:rPr>
                  </w:pPr>
                </w:p>
              </w:tc>
              <w:tc>
                <w:tcPr>
                  <w:tcW w:w="1986" w:type="pct"/>
                  <w:vMerge w:val="continue"/>
                  <w:tcBorders>
                    <w:left w:val="single" w:color="000000" w:sz="4" w:space="0"/>
                    <w:right w:val="single" w:color="000000" w:sz="12" w:space="0"/>
                  </w:tcBorders>
                  <w:shd w:val="clear" w:color="auto" w:fill="auto"/>
                  <w:noWrap w:val="0"/>
                  <w:vAlign w:val="center"/>
                </w:tcPr>
                <w:p w14:paraId="291F2B16">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p>
              </w:tc>
            </w:tr>
            <w:tr w14:paraId="0E794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002" w:type="pct"/>
                  <w:tcBorders>
                    <w:top w:val="single" w:color="000000" w:sz="4" w:space="0"/>
                    <w:left w:val="single" w:color="000000" w:sz="12" w:space="0"/>
                    <w:bottom w:val="single" w:color="000000" w:sz="4" w:space="0"/>
                    <w:right w:val="single" w:color="000000" w:sz="4" w:space="0"/>
                  </w:tcBorders>
                  <w:shd w:val="clear" w:color="auto" w:fill="auto"/>
                  <w:noWrap w:val="0"/>
                  <w:vAlign w:val="center"/>
                </w:tcPr>
                <w:p w14:paraId="0132BD63">
                  <w:pPr>
                    <w:pStyle w:val="102"/>
                    <w:keepNext w:val="0"/>
                    <w:keepLines w:val="0"/>
                    <w:pageBreakBefore w:val="0"/>
                    <w:widowControl w:val="0"/>
                    <w:kinsoku/>
                    <w:wordWrap/>
                    <w:overflowPunct w:val="0"/>
                    <w:autoSpaceDE/>
                    <w:autoSpaceDN/>
                    <w:bidi w:val="0"/>
                    <w:adjustRightInd w:val="0"/>
                    <w:snapToGrid w:val="0"/>
                    <w:textAlignment w:val="auto"/>
                    <w:rPr>
                      <w:b w:val="0"/>
                      <w:bCs/>
                      <w:snapToGrid w:val="0"/>
                      <w:color w:val="auto"/>
                      <w:kern w:val="0"/>
                      <w:sz w:val="21"/>
                      <w:szCs w:val="21"/>
                      <w:highlight w:val="none"/>
                    </w:rPr>
                  </w:pPr>
                  <w:r>
                    <w:rPr>
                      <w:b w:val="0"/>
                      <w:color w:val="auto"/>
                      <w:sz w:val="21"/>
                      <w:szCs w:val="21"/>
                      <w:highlight w:val="none"/>
                    </w:rPr>
                    <w:t>废润滑油桶</w:t>
                  </w:r>
                </w:p>
              </w:tc>
              <w:tc>
                <w:tcPr>
                  <w:tcW w:w="2010" w:type="pct"/>
                  <w:vMerge w:val="continue"/>
                  <w:tcBorders>
                    <w:left w:val="single" w:color="000000" w:sz="4" w:space="0"/>
                    <w:bottom w:val="single" w:color="000000" w:sz="4" w:space="0"/>
                    <w:right w:val="single" w:color="000000" w:sz="4" w:space="0"/>
                  </w:tcBorders>
                  <w:shd w:val="clear" w:color="auto" w:fill="auto"/>
                  <w:noWrap w:val="0"/>
                  <w:vAlign w:val="center"/>
                </w:tcPr>
                <w:p w14:paraId="108642BC">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p>
              </w:tc>
              <w:tc>
                <w:tcPr>
                  <w:tcW w:w="1986" w:type="pct"/>
                  <w:vMerge w:val="continue"/>
                  <w:tcBorders>
                    <w:left w:val="single" w:color="000000" w:sz="4" w:space="0"/>
                    <w:bottom w:val="single" w:color="000000" w:sz="4" w:space="0"/>
                    <w:right w:val="single" w:color="000000" w:sz="12" w:space="0"/>
                  </w:tcBorders>
                  <w:shd w:val="clear" w:color="auto" w:fill="auto"/>
                  <w:noWrap w:val="0"/>
                  <w:vAlign w:val="center"/>
                </w:tcPr>
                <w:p w14:paraId="1FF14B9F">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p>
              </w:tc>
            </w:tr>
            <w:tr w14:paraId="347E6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jc w:val="center"/>
              </w:trPr>
              <w:tc>
                <w:tcPr>
                  <w:tcW w:w="1002" w:type="pct"/>
                  <w:tcBorders>
                    <w:top w:val="single" w:color="000000" w:sz="4" w:space="0"/>
                    <w:left w:val="single" w:color="000000" w:sz="12" w:space="0"/>
                    <w:bottom w:val="single" w:color="000000" w:sz="12" w:space="0"/>
                    <w:right w:val="single" w:color="000000" w:sz="4" w:space="0"/>
                  </w:tcBorders>
                  <w:shd w:val="clear" w:color="auto" w:fill="auto"/>
                  <w:noWrap w:val="0"/>
                  <w:vAlign w:val="center"/>
                </w:tcPr>
                <w:p w14:paraId="39A78EA2">
                  <w:pPr>
                    <w:pStyle w:val="102"/>
                    <w:keepNext w:val="0"/>
                    <w:keepLines w:val="0"/>
                    <w:pageBreakBefore w:val="0"/>
                    <w:widowControl w:val="0"/>
                    <w:kinsoku/>
                    <w:wordWrap/>
                    <w:overflowPunct w:val="0"/>
                    <w:autoSpaceDE/>
                    <w:autoSpaceDN/>
                    <w:bidi w:val="0"/>
                    <w:adjustRightInd w:val="0"/>
                    <w:snapToGrid w:val="0"/>
                    <w:textAlignment w:val="auto"/>
                    <w:rPr>
                      <w:b w:val="0"/>
                      <w:color w:val="auto"/>
                      <w:sz w:val="21"/>
                      <w:szCs w:val="21"/>
                      <w:highlight w:val="none"/>
                    </w:rPr>
                  </w:pPr>
                  <w:r>
                    <w:rPr>
                      <w:b w:val="0"/>
                      <w:bCs/>
                      <w:snapToGrid w:val="0"/>
                      <w:color w:val="auto"/>
                      <w:kern w:val="0"/>
                      <w:sz w:val="21"/>
                      <w:szCs w:val="21"/>
                      <w:highlight w:val="none"/>
                    </w:rPr>
                    <w:t>生活垃圾</w:t>
                  </w:r>
                </w:p>
              </w:tc>
              <w:tc>
                <w:tcPr>
                  <w:tcW w:w="2010" w:type="pct"/>
                  <w:tcBorders>
                    <w:top w:val="single" w:color="000000" w:sz="4" w:space="0"/>
                    <w:left w:val="single" w:color="000000" w:sz="4" w:space="0"/>
                    <w:bottom w:val="single" w:color="000000" w:sz="12" w:space="0"/>
                    <w:right w:val="single" w:color="000000" w:sz="4" w:space="0"/>
                  </w:tcBorders>
                  <w:shd w:val="clear" w:color="auto" w:fill="auto"/>
                  <w:noWrap w:val="0"/>
                  <w:vAlign w:val="center"/>
                </w:tcPr>
                <w:p w14:paraId="7E4E5ED3">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b w:val="0"/>
                      <w:snapToGrid w:val="0"/>
                      <w:color w:val="auto"/>
                      <w:kern w:val="0"/>
                      <w:sz w:val="21"/>
                      <w:szCs w:val="21"/>
                      <w:highlight w:val="none"/>
                    </w:rPr>
                    <w:t>垃圾</w:t>
                  </w:r>
                  <w:r>
                    <w:rPr>
                      <w:rFonts w:hint="eastAsia"/>
                      <w:b w:val="0"/>
                      <w:snapToGrid w:val="0"/>
                      <w:color w:val="auto"/>
                      <w:kern w:val="0"/>
                      <w:sz w:val="21"/>
                      <w:szCs w:val="21"/>
                      <w:highlight w:val="none"/>
                    </w:rPr>
                    <w:t>桶</w:t>
                  </w:r>
                  <w:r>
                    <w:rPr>
                      <w:b w:val="0"/>
                      <w:snapToGrid w:val="0"/>
                      <w:color w:val="auto"/>
                      <w:kern w:val="0"/>
                      <w:sz w:val="21"/>
                      <w:szCs w:val="21"/>
                      <w:highlight w:val="none"/>
                    </w:rPr>
                    <w:t>分类收集</w:t>
                  </w:r>
                </w:p>
              </w:tc>
              <w:tc>
                <w:tcPr>
                  <w:tcW w:w="1986" w:type="pct"/>
                  <w:tcBorders>
                    <w:top w:val="single" w:color="000000" w:sz="4" w:space="0"/>
                    <w:left w:val="single" w:color="000000" w:sz="4" w:space="0"/>
                    <w:bottom w:val="single" w:color="000000" w:sz="12" w:space="0"/>
                    <w:right w:val="single" w:color="000000" w:sz="12" w:space="0"/>
                  </w:tcBorders>
                  <w:shd w:val="clear" w:color="auto" w:fill="auto"/>
                  <w:noWrap w:val="0"/>
                  <w:vAlign w:val="center"/>
                </w:tcPr>
                <w:p w14:paraId="3942C07C">
                  <w:pPr>
                    <w:keepNext w:val="0"/>
                    <w:keepLines w:val="0"/>
                    <w:pageBreakBefore w:val="0"/>
                    <w:widowControl w:val="0"/>
                    <w:kinsoku/>
                    <w:wordWrap/>
                    <w:autoSpaceDE/>
                    <w:autoSpaceDN/>
                    <w:bidi w:val="0"/>
                    <w:adjustRightInd w:val="0"/>
                    <w:snapToGrid w:val="0"/>
                    <w:jc w:val="center"/>
                    <w:textAlignment w:val="auto"/>
                    <w:rPr>
                      <w:b w:val="0"/>
                      <w:bCs/>
                      <w:snapToGrid w:val="0"/>
                      <w:color w:val="auto"/>
                      <w:kern w:val="0"/>
                      <w:sz w:val="21"/>
                      <w:szCs w:val="21"/>
                      <w:highlight w:val="none"/>
                    </w:rPr>
                  </w:pPr>
                  <w:r>
                    <w:rPr>
                      <w:rFonts w:hint="eastAsia"/>
                      <w:b w:val="0"/>
                      <w:color w:val="auto"/>
                      <w:kern w:val="0"/>
                      <w:sz w:val="21"/>
                      <w:szCs w:val="21"/>
                      <w:highlight w:val="none"/>
                      <w:lang w:bidi="ar"/>
                    </w:rPr>
                    <w:t>分类收集后交由园区环卫部门统一清运处置</w:t>
                  </w:r>
                </w:p>
              </w:tc>
            </w:tr>
          </w:tbl>
          <w:p w14:paraId="73FC22B1">
            <w:pPr>
              <w:adjustRightInd w:val="0"/>
              <w:snapToGrid w:val="0"/>
              <w:spacing w:line="360" w:lineRule="auto"/>
              <w:ind w:firstLine="482" w:firstLineChars="200"/>
              <w:rPr>
                <w:b/>
                <w:bCs/>
                <w:color w:val="auto"/>
                <w:sz w:val="24"/>
                <w:highlight w:val="none"/>
              </w:rPr>
            </w:pPr>
            <w:r>
              <w:rPr>
                <w:b/>
                <w:bCs/>
                <w:color w:val="auto"/>
                <w:sz w:val="24"/>
                <w:highlight w:val="none"/>
              </w:rPr>
              <w:t>3、固废环境管理要求</w:t>
            </w:r>
          </w:p>
          <w:p w14:paraId="0EE783FE">
            <w:pPr>
              <w:adjustRightInd w:val="0"/>
              <w:snapToGrid w:val="0"/>
              <w:spacing w:line="360" w:lineRule="auto"/>
              <w:ind w:firstLine="480" w:firstLineChars="200"/>
              <w:rPr>
                <w:color w:val="auto"/>
                <w:sz w:val="24"/>
                <w:highlight w:val="none"/>
              </w:rPr>
            </w:pPr>
            <w:r>
              <w:rPr>
                <w:color w:val="auto"/>
                <w:sz w:val="24"/>
                <w:highlight w:val="none"/>
              </w:rPr>
              <w:fldChar w:fldCharType="begin"/>
            </w:r>
            <w:r>
              <w:rPr>
                <w:color w:val="auto"/>
                <w:sz w:val="24"/>
                <w:highlight w:val="none"/>
              </w:rPr>
              <w:instrText xml:space="preserve"> = 1 \* GB2 \* MERGEFORMAT </w:instrText>
            </w:r>
            <w:r>
              <w:rPr>
                <w:color w:val="auto"/>
                <w:sz w:val="24"/>
                <w:highlight w:val="none"/>
              </w:rPr>
              <w:fldChar w:fldCharType="separate"/>
            </w:r>
            <w:r>
              <w:rPr>
                <w:color w:val="auto"/>
                <w:sz w:val="24"/>
                <w:highlight w:val="none"/>
              </w:rPr>
              <w:t>⑴</w:t>
            </w:r>
            <w:r>
              <w:rPr>
                <w:color w:val="auto"/>
                <w:sz w:val="24"/>
                <w:highlight w:val="none"/>
              </w:rPr>
              <w:fldChar w:fldCharType="end"/>
            </w:r>
            <w:r>
              <w:rPr>
                <w:color w:val="auto"/>
                <w:sz w:val="24"/>
                <w:highlight w:val="none"/>
              </w:rPr>
              <w:t>一般工业固体废物管理要求</w:t>
            </w:r>
          </w:p>
          <w:p w14:paraId="3A408925">
            <w:pPr>
              <w:adjustRightInd w:val="0"/>
              <w:snapToGrid w:val="0"/>
              <w:spacing w:line="360" w:lineRule="auto"/>
              <w:ind w:firstLine="480" w:firstLineChars="200"/>
              <w:rPr>
                <w:color w:val="auto"/>
                <w:sz w:val="24"/>
                <w:highlight w:val="none"/>
              </w:rPr>
            </w:pPr>
            <w:r>
              <w:rPr>
                <w:color w:val="auto"/>
                <w:sz w:val="24"/>
                <w:highlight w:val="none"/>
              </w:rPr>
              <w:t>本项目一般固体废物管理执行《中华人民共和国固体废物污染环境防治法》（2020年修订）中相关要求。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对固体废物实行从产生、运输直至最终处理实行全过程管理，加强固体废物运输过程的事故风险防范，按照有关法律、法规的要求，对固体废弃物全过程管理应报当地生态环境行政主管部门等批准。禁止向生活垃圾收集设施中投放工业固体废物，生活垃圾及时清运，避免长期堆存产生二次污染。建设单位委托他人运输、利用、处置工业固体废物的，应当对受托方的主体资格和技术能力进行核实，依法签订书面合同，在合同中约定污染防治要求。</w:t>
            </w:r>
          </w:p>
          <w:p w14:paraId="2E06AE53">
            <w:pPr>
              <w:adjustRightInd w:val="0"/>
              <w:snapToGrid w:val="0"/>
              <w:spacing w:line="360" w:lineRule="auto"/>
              <w:ind w:firstLine="480" w:firstLineChars="200"/>
              <w:rPr>
                <w:color w:val="auto"/>
                <w:sz w:val="24"/>
                <w:highlight w:val="none"/>
              </w:rPr>
            </w:pPr>
            <w:r>
              <w:rPr>
                <w:color w:val="auto"/>
                <w:sz w:val="24"/>
                <w:highlight w:val="none"/>
              </w:rPr>
              <w:fldChar w:fldCharType="begin"/>
            </w:r>
            <w:r>
              <w:rPr>
                <w:color w:val="auto"/>
                <w:sz w:val="24"/>
                <w:highlight w:val="none"/>
              </w:rPr>
              <w:instrText xml:space="preserve"> = 2 \* GB2 \* MERGEFORMAT </w:instrText>
            </w:r>
            <w:r>
              <w:rPr>
                <w:color w:val="auto"/>
                <w:sz w:val="24"/>
                <w:highlight w:val="none"/>
              </w:rPr>
              <w:fldChar w:fldCharType="separate"/>
            </w:r>
            <w:r>
              <w:rPr>
                <w:color w:val="auto"/>
                <w:sz w:val="24"/>
                <w:highlight w:val="none"/>
              </w:rPr>
              <w:t>⑵</w:t>
            </w:r>
            <w:r>
              <w:rPr>
                <w:color w:val="auto"/>
                <w:sz w:val="24"/>
                <w:highlight w:val="none"/>
              </w:rPr>
              <w:fldChar w:fldCharType="end"/>
            </w:r>
            <w:r>
              <w:rPr>
                <w:color w:val="auto"/>
                <w:sz w:val="24"/>
                <w:highlight w:val="none"/>
              </w:rPr>
              <w:t>危险废物管理要求</w:t>
            </w:r>
          </w:p>
          <w:p w14:paraId="7FD4F3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ascii="Times New Roman" w:hAnsi="Times New Roman" w:eastAsia="宋体" w:cs="Times New Roman"/>
                <w:color w:val="auto"/>
                <w:kern w:val="0"/>
                <w:sz w:val="24"/>
                <w:szCs w:val="24"/>
                <w:lang w:val="zh-CN" w:bidi="zh-CN"/>
              </w:rPr>
              <w:t>本项目</w:t>
            </w:r>
            <w:r>
              <w:rPr>
                <w:rFonts w:hint="eastAsia" w:ascii="Times New Roman" w:hAnsi="Times New Roman" w:eastAsia="宋体" w:cs="Times New Roman"/>
                <w:color w:val="auto"/>
                <w:kern w:val="0"/>
                <w:sz w:val="24"/>
                <w:szCs w:val="24"/>
                <w:lang w:val="zh-CN" w:eastAsia="zh-CN" w:bidi="zh-CN"/>
              </w:rPr>
              <w:t>危废贮存点</w:t>
            </w:r>
            <w:r>
              <w:rPr>
                <w:rFonts w:ascii="Times New Roman" w:hAnsi="Times New Roman" w:eastAsia="宋体" w:cs="Times New Roman"/>
                <w:color w:val="auto"/>
                <w:kern w:val="0"/>
                <w:sz w:val="24"/>
                <w:szCs w:val="24"/>
                <w:lang w:val="zh-CN" w:bidi="zh-CN"/>
              </w:rPr>
              <w:t>的建设应按照《危险废物贮存污染控制标准》（GB18597-20</w:t>
            </w:r>
            <w:r>
              <w:rPr>
                <w:rFonts w:ascii="Times New Roman" w:hAnsi="Times New Roman" w:eastAsia="宋体" w:cs="Times New Roman"/>
                <w:color w:val="auto"/>
                <w:kern w:val="0"/>
                <w:sz w:val="24"/>
                <w:szCs w:val="24"/>
                <w:lang w:val="en-US" w:bidi="zh-CN"/>
              </w:rPr>
              <w:t>23</w:t>
            </w:r>
            <w:r>
              <w:rPr>
                <w:rFonts w:ascii="Times New Roman" w:hAnsi="Times New Roman" w:eastAsia="宋体" w:cs="Times New Roman"/>
                <w:color w:val="auto"/>
                <w:kern w:val="0"/>
                <w:sz w:val="24"/>
                <w:szCs w:val="24"/>
                <w:lang w:val="zh-CN" w:bidi="zh-CN"/>
              </w:rPr>
              <w:t>）、</w:t>
            </w:r>
            <w:r>
              <w:rPr>
                <w:rFonts w:hint="eastAsia" w:ascii="Times New Roman" w:hAnsi="Times New Roman" w:eastAsia="宋体" w:cs="Times New Roman"/>
                <w:color w:val="auto"/>
                <w:kern w:val="0"/>
                <w:sz w:val="24"/>
                <w:szCs w:val="22"/>
                <w:lang w:val="zh-CN" w:eastAsia="zh-CN" w:bidi="zh-CN"/>
              </w:rPr>
              <w:t>《危险废物管理计划和管理台账制定技术导则》</w:t>
            </w:r>
            <w:r>
              <w:rPr>
                <w:rFonts w:hint="default" w:ascii="Times New Roman" w:hAnsi="Times New Roman" w:eastAsia="宋体" w:cs="Times New Roman"/>
                <w:color w:val="auto"/>
                <w:kern w:val="0"/>
                <w:sz w:val="24"/>
                <w:szCs w:val="24"/>
                <w:lang w:val="zh-CN" w:bidi="zh-CN"/>
              </w:rPr>
              <w:t>（</w:t>
            </w:r>
            <w:r>
              <w:rPr>
                <w:rFonts w:hint="eastAsia" w:ascii="Times New Roman" w:hAnsi="Times New Roman" w:eastAsia="宋体" w:cs="Times New Roman"/>
                <w:color w:val="auto"/>
                <w:kern w:val="0"/>
                <w:sz w:val="24"/>
                <w:szCs w:val="24"/>
                <w:lang w:val="en-US" w:eastAsia="zh-CN" w:bidi="zh-CN"/>
              </w:rPr>
              <w:t>HJ1259-2022</w:t>
            </w:r>
            <w:r>
              <w:rPr>
                <w:rFonts w:hint="default" w:ascii="Times New Roman" w:hAnsi="Times New Roman" w:eastAsia="宋体" w:cs="Times New Roman"/>
                <w:color w:val="auto"/>
                <w:kern w:val="0"/>
                <w:sz w:val="24"/>
                <w:szCs w:val="24"/>
                <w:lang w:val="zh-CN" w:bidi="zh-CN"/>
              </w:rPr>
              <w:t>）</w:t>
            </w:r>
            <w:r>
              <w:rPr>
                <w:rFonts w:ascii="Times New Roman" w:hAnsi="Times New Roman" w:eastAsia="宋体" w:cs="Times New Roman"/>
                <w:color w:val="auto"/>
                <w:kern w:val="0"/>
                <w:sz w:val="24"/>
                <w:szCs w:val="24"/>
                <w:lang w:val="zh-CN" w:bidi="zh-CN"/>
              </w:rPr>
              <w:t>中的相关要求执行。根据《关于坚决遏制固体废物非法转移和倾倒进一步加强危险废物全过程监管的通知》（环办土壤函〔20</w:t>
            </w:r>
            <w:r>
              <w:rPr>
                <w:rFonts w:hint="eastAsia" w:ascii="Times New Roman" w:hAnsi="Times New Roman" w:eastAsia="宋体" w:cs="Times New Roman"/>
                <w:color w:val="auto"/>
                <w:kern w:val="0"/>
                <w:sz w:val="24"/>
                <w:szCs w:val="24"/>
                <w:lang w:val="en-US" w:bidi="zh-CN"/>
              </w:rPr>
              <w:t>18</w:t>
            </w:r>
            <w:r>
              <w:rPr>
                <w:rFonts w:ascii="Times New Roman" w:hAnsi="Times New Roman" w:eastAsia="宋体" w:cs="Times New Roman"/>
                <w:color w:val="auto"/>
                <w:kern w:val="0"/>
                <w:sz w:val="24"/>
                <w:szCs w:val="24"/>
                <w:lang w:val="zh-CN" w:bidi="zh-CN"/>
              </w:rPr>
              <w:t>〕266号），企业应加强固体废物管理的技术培训与交流，并在每年3月31日之前通过全国固体废物管理信息系统报送产废数据，即危险废物的类别、数量、利用和处置情况等，积极配合相关部门的危险废物电子转移联单工作。</w:t>
            </w:r>
            <w:r>
              <w:rPr>
                <w:rFonts w:hint="default" w:ascii="Times New Roman" w:hAnsi="Times New Roman" w:cs="Times New Roman"/>
                <w:color w:val="auto"/>
                <w:spacing w:val="0"/>
                <w:sz w:val="24"/>
                <w:szCs w:val="24"/>
              </w:rPr>
              <w:t>具体如下：</w:t>
            </w:r>
          </w:p>
          <w:p w14:paraId="02B887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A.贮存设施污染控制要求</w:t>
            </w:r>
          </w:p>
          <w:p w14:paraId="60E56C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①贮存设施应根据危险废物的形态、物理化学性质、包装形式和污染物迁移途径，采取必要的防风、防晒、防雨、防漏、防渗、防腐以及其他环境污染防治措施，不应露天堆放危险废物；</w:t>
            </w:r>
          </w:p>
          <w:p w14:paraId="097E6F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②贮存设施应根据</w:t>
            </w:r>
            <w:r>
              <w:rPr>
                <w:rFonts w:hint="eastAsia" w:cs="Times New Roman"/>
                <w:color w:val="auto"/>
                <w:spacing w:val="0"/>
                <w:sz w:val="24"/>
                <w:szCs w:val="24"/>
                <w:lang w:eastAsia="zh-CN"/>
              </w:rPr>
              <w:t>废润滑油</w:t>
            </w:r>
            <w:r>
              <w:rPr>
                <w:rFonts w:hint="default" w:ascii="Times New Roman" w:hAnsi="Times New Roman" w:cs="Times New Roman"/>
                <w:color w:val="auto"/>
                <w:spacing w:val="0"/>
                <w:sz w:val="24"/>
                <w:szCs w:val="24"/>
              </w:rPr>
              <w:t>的类别、数量、形态、物理化学性质和污染防治等要求设置必要的贮存分区，避免不相容的危险废物接触、混合；</w:t>
            </w:r>
          </w:p>
          <w:p w14:paraId="5C3CD9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③贮存设施或贮存分区内地面、墙面裙脚、堵截泄漏的围堰、接触危险废物的隔板和墙体等应采用坚固的材料建造，表面无裂缝；</w:t>
            </w:r>
          </w:p>
          <w:p w14:paraId="33AE43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fldChar w:fldCharType="begin"/>
            </w:r>
            <w:r>
              <w:rPr>
                <w:rFonts w:hint="default" w:ascii="Times New Roman" w:hAnsi="Times New Roman" w:cs="Times New Roman"/>
                <w:color w:val="auto"/>
                <w:spacing w:val="0"/>
                <w:sz w:val="24"/>
                <w:szCs w:val="24"/>
              </w:rPr>
              <w:instrText xml:space="preserve"> = 4 \* GB3 \* MERGEFORMAT </w:instrText>
            </w:r>
            <w:r>
              <w:rPr>
                <w:rFonts w:hint="default" w:ascii="Times New Roman" w:hAnsi="Times New Roman" w:cs="Times New Roman"/>
                <w:color w:val="auto"/>
                <w:spacing w:val="0"/>
                <w:sz w:val="24"/>
                <w:szCs w:val="24"/>
              </w:rPr>
              <w:fldChar w:fldCharType="separate"/>
            </w:r>
            <w:r>
              <w:rPr>
                <w:rFonts w:hint="default" w:ascii="Times New Roman" w:hAnsi="Times New Roman" w:cs="Times New Roman"/>
                <w:color w:val="auto"/>
                <w:spacing w:val="0"/>
                <w:sz w:val="24"/>
                <w:szCs w:val="24"/>
              </w:rPr>
              <w:t>④</w:t>
            </w:r>
            <w:r>
              <w:rPr>
                <w:rFonts w:hint="default" w:ascii="Times New Roman" w:hAnsi="Times New Roman" w:cs="Times New Roman"/>
                <w:color w:val="auto"/>
                <w:spacing w:val="0"/>
                <w:sz w:val="24"/>
                <w:szCs w:val="24"/>
              </w:rPr>
              <w:fldChar w:fldCharType="end"/>
            </w:r>
            <w:r>
              <w:rPr>
                <w:rFonts w:hint="default" w:ascii="Times New Roman" w:hAnsi="Times New Roman" w:cs="Times New Roman"/>
                <w:color w:val="auto"/>
                <w:spacing w:val="0"/>
                <w:sz w:val="24"/>
                <w:szCs w:val="24"/>
              </w:rPr>
              <w:t>贮存设施地面与裙脚应采取表面防渗措施；表面防渗材料应与所接触的物料或污染物相容，可采用抗渗混凝土、高密度聚乙烯膜、钠基膨润土防水毯或其他防渗性能等效的材料；</w:t>
            </w:r>
          </w:p>
          <w:p w14:paraId="75ABB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⑤同一贮存设施宜采用相同的防渗、防腐工艺（包括防渗、防腐结构或材料），防渗、防腐材料应覆盖所有可能与废物及其渗滤液、渗漏液等接触的构筑物表面；采用不同防渗、防腐工艺应分别建设贮存分区；</w:t>
            </w:r>
          </w:p>
          <w:p w14:paraId="70D62C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⑥贮存设施应采取技术和管理措施防止无关人员进入。</w:t>
            </w:r>
          </w:p>
          <w:p w14:paraId="57D404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B.容器和包装物污染控制要求</w:t>
            </w:r>
          </w:p>
          <w:p w14:paraId="7E087B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①容器和包装物材质、内衬应与盛装的危险废物相容；</w:t>
            </w:r>
          </w:p>
          <w:p w14:paraId="6522B3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②针对</w:t>
            </w:r>
            <w:r>
              <w:rPr>
                <w:rFonts w:hint="eastAsia" w:cs="Times New Roman"/>
                <w:color w:val="auto"/>
                <w:spacing w:val="0"/>
                <w:sz w:val="24"/>
                <w:szCs w:val="24"/>
                <w:lang w:eastAsia="zh-CN"/>
              </w:rPr>
              <w:t>废润滑油</w:t>
            </w:r>
            <w:r>
              <w:rPr>
                <w:rFonts w:hint="default" w:ascii="Times New Roman" w:hAnsi="Times New Roman" w:cs="Times New Roman"/>
                <w:color w:val="auto"/>
                <w:spacing w:val="0"/>
                <w:sz w:val="24"/>
                <w:szCs w:val="24"/>
              </w:rPr>
              <w:t>，应采用专用</w:t>
            </w:r>
            <w:r>
              <w:rPr>
                <w:rFonts w:hint="eastAsia" w:cs="Times New Roman"/>
                <w:color w:val="auto"/>
                <w:spacing w:val="0"/>
                <w:sz w:val="24"/>
                <w:szCs w:val="24"/>
                <w:lang w:eastAsia="zh-CN"/>
              </w:rPr>
              <w:t>密闭储油桶</w:t>
            </w:r>
            <w:r>
              <w:rPr>
                <w:rFonts w:hint="default" w:ascii="Times New Roman" w:hAnsi="Times New Roman" w:cs="Times New Roman"/>
                <w:color w:val="auto"/>
                <w:spacing w:val="0"/>
                <w:sz w:val="24"/>
                <w:szCs w:val="24"/>
              </w:rPr>
              <w:t>贮存，容器和包装物应满足相应的防渗、防漏、防腐和强度等要求；</w:t>
            </w:r>
          </w:p>
          <w:p w14:paraId="043824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③硬质容器和包装物及其支护结构堆叠码放时不应有明显变形，无破损泄漏；</w:t>
            </w:r>
          </w:p>
          <w:p w14:paraId="76B6A0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④柔性容器和包装物堆叠码放时应封口严密，无破损泄漏；</w:t>
            </w:r>
          </w:p>
          <w:p w14:paraId="39F4D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⑤使用容器盛装</w:t>
            </w:r>
            <w:r>
              <w:rPr>
                <w:rFonts w:hint="eastAsia" w:cs="Times New Roman"/>
                <w:color w:val="auto"/>
                <w:spacing w:val="0"/>
                <w:sz w:val="24"/>
                <w:szCs w:val="24"/>
                <w:lang w:eastAsia="zh-CN"/>
              </w:rPr>
              <w:t>废润滑油</w:t>
            </w:r>
            <w:r>
              <w:rPr>
                <w:rFonts w:hint="default" w:ascii="Times New Roman" w:hAnsi="Times New Roman" w:cs="Times New Roman"/>
                <w:color w:val="auto"/>
                <w:spacing w:val="0"/>
                <w:sz w:val="24"/>
                <w:szCs w:val="24"/>
              </w:rPr>
              <w:t>时，容器内部应留有适当的空间，以适应因温度变化等可能引发的收缩和膨胀，防止其导致容器渗漏或永久变形；</w:t>
            </w:r>
          </w:p>
          <w:p w14:paraId="53BB5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⑥容器和包装物外表面应保持清洁。</w:t>
            </w:r>
          </w:p>
          <w:p w14:paraId="64F3EB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C.贮存设施运行环境管理要求</w:t>
            </w:r>
          </w:p>
          <w:p w14:paraId="1C9E76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①危险废物存入贮存设施前应对危险废物类别和特性与危险废物标签等危险废物识别标志的一致性进行核验，不一致的或类别、特性不明的不应存入；</w:t>
            </w:r>
          </w:p>
          <w:p w14:paraId="3F30A0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②应定期检查危险废物的贮存状况，及时清理贮存设施地面，更换破损泄漏的危险废物贮存容器和包装物，保证堆存危险废物的防雨、防风、防扬尘等设施功能完好；</w:t>
            </w:r>
          </w:p>
          <w:p w14:paraId="49E85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③贮存设施运行期间，应按国家有关标准和规定建立危险废物管理台账并保存；</w:t>
            </w:r>
          </w:p>
          <w:p w14:paraId="3727BD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④贮存设施所有者或运营者应建立贮存设施环境管理制度、管理人员岗位职责制度、设施运行操作制度、人员岗位培训制度等；</w:t>
            </w:r>
          </w:p>
          <w:p w14:paraId="16FE0D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⑤贮存设施所有者或运营者应依据国家土壤和地下水污染防治的有关规定，结合贮存设施特点建立土壤和地下水污染隐患排查制度，并定期开展隐患排查；发现隐患应及时采取措施消除隐患，并建立档案；</w:t>
            </w:r>
          </w:p>
          <w:p w14:paraId="18E1B1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⑥贮存设施所有者或运营者应建立贮存设施全部档案，包括设计、施工、验收、运行、监测和环境应急等，应按国家有关档案管理的法律法规进行整理和归档。</w:t>
            </w:r>
          </w:p>
          <w:p w14:paraId="0D859B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pacing w:val="0"/>
                <w:sz w:val="24"/>
                <w:szCs w:val="24"/>
                <w:lang w:val="en-US" w:eastAsia="zh-CN"/>
              </w:rPr>
            </w:pPr>
            <w:r>
              <w:rPr>
                <w:rFonts w:hint="eastAsia" w:ascii="Times New Roman" w:hAnsi="Times New Roman" w:cs="Times New Roman"/>
                <w:color w:val="auto"/>
                <w:spacing w:val="0"/>
                <w:sz w:val="24"/>
                <w:szCs w:val="24"/>
                <w:lang w:val="en-US" w:eastAsia="zh-CN"/>
              </w:rPr>
              <w:t>D.贮存点环境管理要求</w:t>
            </w:r>
          </w:p>
          <w:p w14:paraId="044FB1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①</w:t>
            </w:r>
            <w:r>
              <w:rPr>
                <w:rFonts w:hint="default" w:ascii="Times New Roman" w:hAnsi="Times New Roman" w:cs="Times New Roman"/>
                <w:color w:val="auto"/>
                <w:kern w:val="0"/>
                <w:sz w:val="24"/>
                <w:szCs w:val="24"/>
                <w:lang w:eastAsia="zh-CN"/>
              </w:rPr>
              <w:t>贮存点应具有固定的区域边界，并应采取与其他区域进行隔离的措施。本项目将临时贮存点设置在密闭厂房内，采用铁槽与其他区域进行隔离。</w:t>
            </w:r>
          </w:p>
          <w:p w14:paraId="585BD0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②</w:t>
            </w:r>
            <w:r>
              <w:rPr>
                <w:rFonts w:hint="default" w:ascii="Times New Roman" w:hAnsi="Times New Roman" w:cs="Times New Roman"/>
                <w:color w:val="auto"/>
                <w:kern w:val="0"/>
                <w:sz w:val="24"/>
                <w:szCs w:val="24"/>
                <w:lang w:eastAsia="zh-CN"/>
              </w:rPr>
              <w:t>贮存点应采取防风、防雨、防晒和防止危险废物流失、扬散等措施。本项目将临时贮存点设置在密闭厂房内，可满足防风、防雨、防晒和防止危险废物流失、扬散的要求。</w:t>
            </w:r>
          </w:p>
          <w:p w14:paraId="5F2FD8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rPr>
              <w:t>③</w:t>
            </w:r>
            <w:r>
              <w:rPr>
                <w:rFonts w:hint="default" w:ascii="Times New Roman" w:hAnsi="Times New Roman" w:cs="Times New Roman"/>
                <w:color w:val="auto"/>
                <w:kern w:val="0"/>
                <w:sz w:val="24"/>
                <w:szCs w:val="24"/>
                <w:lang w:eastAsia="zh-CN"/>
              </w:rPr>
              <w:t>贮存点贮存的危险废物应置于容器或包装物中，不应直接散堆。</w:t>
            </w:r>
            <w:r>
              <w:rPr>
                <w:rFonts w:hint="eastAsia" w:ascii="Times New Roman" w:hAnsi="Times New Roman" w:cs="Times New Roman"/>
                <w:color w:val="auto"/>
                <w:kern w:val="0"/>
                <w:sz w:val="24"/>
                <w:szCs w:val="24"/>
                <w:lang w:val="en-US" w:eastAsia="zh-CN"/>
              </w:rPr>
              <w:t>本项目在密闭原料、成品仓库中设置1座危废贮存点，</w:t>
            </w:r>
            <w:r>
              <w:rPr>
                <w:rFonts w:hint="default" w:ascii="Times New Roman" w:hAnsi="Times New Roman" w:cs="Times New Roman"/>
                <w:color w:val="auto"/>
                <w:kern w:val="0"/>
                <w:sz w:val="24"/>
                <w:szCs w:val="24"/>
                <w:lang w:eastAsia="zh-CN"/>
              </w:rPr>
              <w:t>占地面积为</w:t>
            </w:r>
            <w:r>
              <w:rPr>
                <w:rFonts w:hint="eastAsia" w:ascii="Times New Roman" w:hAnsi="Times New Roman" w:cs="Times New Roman"/>
                <w:color w:val="auto"/>
                <w:kern w:val="0"/>
                <w:sz w:val="24"/>
                <w:szCs w:val="24"/>
                <w:lang w:val="en-US" w:eastAsia="zh-CN"/>
              </w:rPr>
              <w:t>10</w:t>
            </w:r>
            <w:r>
              <w:rPr>
                <w:rFonts w:hint="default" w:ascii="Times New Roman" w:hAnsi="Times New Roman" w:cs="Times New Roman"/>
                <w:color w:val="auto"/>
                <w:kern w:val="0"/>
                <w:sz w:val="24"/>
                <w:szCs w:val="24"/>
                <w:lang w:eastAsia="zh-CN"/>
              </w:rPr>
              <w:t>m</w:t>
            </w:r>
            <w:r>
              <w:rPr>
                <w:rFonts w:hint="default" w:ascii="Times New Roman" w:hAnsi="Times New Roman" w:cs="Times New Roman"/>
                <w:color w:val="auto"/>
                <w:kern w:val="0"/>
                <w:sz w:val="24"/>
                <w:szCs w:val="24"/>
                <w:vertAlign w:val="superscript"/>
                <w:lang w:eastAsia="zh-CN"/>
              </w:rPr>
              <w:t>2</w:t>
            </w:r>
            <w:r>
              <w:rPr>
                <w:rFonts w:hint="default" w:ascii="Times New Roman" w:hAnsi="Times New Roman" w:cs="Times New Roman"/>
                <w:color w:val="auto"/>
                <w:kern w:val="0"/>
                <w:sz w:val="24"/>
                <w:szCs w:val="24"/>
                <w:lang w:eastAsia="zh-CN"/>
              </w:rPr>
              <w:t>，</w:t>
            </w:r>
            <w:r>
              <w:rPr>
                <w:rFonts w:hint="default"/>
                <w:color w:val="auto"/>
                <w:sz w:val="24"/>
                <w:szCs w:val="24"/>
              </w:rPr>
              <w:t>废活性炭经密封包装后、废润滑油由密闭储油桶收集后与废润滑油桶均置于托盘上</w:t>
            </w:r>
            <w:r>
              <w:rPr>
                <w:rFonts w:hint="eastAsia"/>
                <w:color w:val="auto"/>
                <w:sz w:val="24"/>
                <w:szCs w:val="24"/>
                <w:lang w:eastAsia="zh-CN"/>
              </w:rPr>
              <w:t>，</w:t>
            </w:r>
            <w:r>
              <w:rPr>
                <w:rFonts w:hint="default"/>
                <w:color w:val="auto"/>
                <w:sz w:val="24"/>
                <w:lang w:eastAsia="zh-CN"/>
              </w:rPr>
              <w:t>危险废物不与地面直接接触</w:t>
            </w:r>
            <w:r>
              <w:rPr>
                <w:color w:val="auto"/>
                <w:sz w:val="24"/>
                <w:szCs w:val="24"/>
                <w:highlight w:val="none"/>
              </w:rPr>
              <w:t>，定期交由</w:t>
            </w:r>
            <w:r>
              <w:rPr>
                <w:rFonts w:hint="eastAsia"/>
                <w:color w:val="auto"/>
                <w:sz w:val="24"/>
                <w:szCs w:val="24"/>
                <w:highlight w:val="none"/>
                <w:lang w:val="en-US" w:eastAsia="zh-CN"/>
              </w:rPr>
              <w:t>有资质的单位</w:t>
            </w:r>
            <w:r>
              <w:rPr>
                <w:rFonts w:hint="eastAsia"/>
                <w:color w:val="auto"/>
                <w:sz w:val="24"/>
                <w:szCs w:val="24"/>
                <w:highlight w:val="none"/>
              </w:rPr>
              <w:t>处置</w:t>
            </w:r>
            <w:r>
              <w:rPr>
                <w:rFonts w:hint="default" w:ascii="Times New Roman" w:hAnsi="Times New Roman" w:cs="Times New Roman"/>
                <w:color w:val="auto"/>
                <w:kern w:val="0"/>
                <w:sz w:val="24"/>
                <w:szCs w:val="24"/>
                <w:lang w:eastAsia="zh-CN"/>
              </w:rPr>
              <w:t>。</w:t>
            </w:r>
          </w:p>
          <w:p w14:paraId="3A7BDC86">
            <w:pPr>
              <w:adjustRightInd w:val="0"/>
              <w:snapToGrid w:val="0"/>
              <w:spacing w:line="360" w:lineRule="auto"/>
              <w:ind w:firstLine="480" w:firstLineChars="200"/>
              <w:rPr>
                <w:rFonts w:hint="default" w:ascii="Times New Roman" w:hAnsi="Times New Roman" w:cs="Times New Roman"/>
                <w:color w:val="auto"/>
                <w:kern w:val="0"/>
                <w:sz w:val="24"/>
                <w:szCs w:val="24"/>
                <w:lang w:eastAsia="zh-CN"/>
              </w:rPr>
            </w:pPr>
            <w:r>
              <w:rPr>
                <w:rFonts w:hint="default" w:ascii="Times New Roman" w:hAnsi="Times New Roman" w:cs="Times New Roman"/>
                <w:color w:val="auto"/>
                <w:kern w:val="0"/>
                <w:sz w:val="24"/>
                <w:szCs w:val="24"/>
              </w:rPr>
              <w:fldChar w:fldCharType="begin"/>
            </w:r>
            <w:r>
              <w:rPr>
                <w:rFonts w:hint="default" w:ascii="Times New Roman" w:hAnsi="Times New Roman" w:cs="Times New Roman"/>
                <w:color w:val="auto"/>
                <w:kern w:val="0"/>
                <w:sz w:val="24"/>
                <w:szCs w:val="24"/>
              </w:rPr>
              <w:instrText xml:space="preserve"> = 4 \* GB3 \* MERGEFORMAT </w:instrText>
            </w:r>
            <w:r>
              <w:rPr>
                <w:rFonts w:hint="default" w:ascii="Times New Roman" w:hAnsi="Times New Roman" w:cs="Times New Roman"/>
                <w:color w:val="auto"/>
                <w:kern w:val="0"/>
                <w:sz w:val="24"/>
                <w:szCs w:val="24"/>
              </w:rPr>
              <w:fldChar w:fldCharType="separate"/>
            </w:r>
            <w:r>
              <w:rPr>
                <w:rFonts w:hint="default" w:ascii="Times New Roman" w:hAnsi="Times New Roman" w:cs="Times New Roman"/>
                <w:color w:val="auto"/>
                <w:sz w:val="24"/>
                <w:szCs w:val="24"/>
              </w:rPr>
              <w:t>④</w:t>
            </w:r>
            <w:r>
              <w:rPr>
                <w:rFonts w:hint="default" w:ascii="Times New Roman" w:hAnsi="Times New Roman" w:cs="Times New Roman"/>
                <w:color w:val="auto"/>
                <w:kern w:val="0"/>
                <w:sz w:val="24"/>
                <w:szCs w:val="24"/>
              </w:rPr>
              <w:fldChar w:fldCharType="end"/>
            </w:r>
            <w:r>
              <w:rPr>
                <w:rFonts w:hint="default" w:ascii="Times New Roman" w:hAnsi="Times New Roman" w:cs="Times New Roman"/>
                <w:color w:val="auto"/>
                <w:kern w:val="0"/>
                <w:sz w:val="24"/>
                <w:szCs w:val="24"/>
                <w:lang w:eastAsia="zh-CN"/>
              </w:rPr>
              <w:t>贮存点应根据危险废物的形态、物理化学性质、包装形式等，采取防渗、防漏等污染防治措施或采用具有相应功能的装置。</w:t>
            </w:r>
          </w:p>
          <w:p w14:paraId="513A37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highlight w:val="none"/>
                <w:lang w:val="en-US"/>
              </w:rPr>
            </w:pPr>
            <w:r>
              <w:rPr>
                <w:rFonts w:hint="default" w:ascii="Times New Roman" w:hAnsi="Times New Roman" w:cs="Times New Roman"/>
                <w:color w:val="auto"/>
                <w:kern w:val="0"/>
                <w:sz w:val="24"/>
                <w:szCs w:val="24"/>
                <w:highlight w:val="none"/>
              </w:rPr>
              <w:t>⑤</w:t>
            </w:r>
            <w:r>
              <w:rPr>
                <w:rFonts w:hint="default" w:ascii="Times New Roman" w:hAnsi="Times New Roman" w:cs="Times New Roman"/>
                <w:color w:val="auto"/>
                <w:kern w:val="0"/>
                <w:sz w:val="24"/>
                <w:szCs w:val="24"/>
                <w:highlight w:val="none"/>
                <w:lang w:eastAsia="zh-CN"/>
              </w:rPr>
              <w:t>贮存点应及时清运贮存的危险废物，实时贮存量不应超过</w:t>
            </w:r>
            <w:r>
              <w:rPr>
                <w:rFonts w:hint="default" w:ascii="Times New Roman" w:hAnsi="Times New Roman" w:cs="Times New Roman"/>
                <w:color w:val="auto"/>
                <w:kern w:val="0"/>
                <w:sz w:val="24"/>
                <w:szCs w:val="24"/>
                <w:highlight w:val="none"/>
                <w:lang w:val="en-US" w:eastAsia="zh-CN"/>
              </w:rPr>
              <w:t>3吨。</w:t>
            </w:r>
            <w:r>
              <w:rPr>
                <w:rFonts w:hint="eastAsia" w:ascii="Times New Roman" w:hAnsi="Times New Roman" w:cs="Times New Roman"/>
                <w:color w:val="auto"/>
                <w:kern w:val="0"/>
                <w:sz w:val="24"/>
                <w:szCs w:val="24"/>
                <w:highlight w:val="none"/>
                <w:lang w:val="en-US" w:eastAsia="zh-CN"/>
              </w:rPr>
              <w:t>根据计算，本项目二期建成后全厂危险废物贮存量约为</w:t>
            </w:r>
            <w:r>
              <w:rPr>
                <w:rFonts w:hint="eastAsia" w:cs="Times New Roman"/>
                <w:color w:val="auto"/>
                <w:kern w:val="0"/>
                <w:sz w:val="24"/>
                <w:szCs w:val="24"/>
                <w:highlight w:val="none"/>
                <w:lang w:val="en-US" w:eastAsia="zh-CN"/>
              </w:rPr>
              <w:t>4.3</w:t>
            </w:r>
            <w:r>
              <w:rPr>
                <w:rFonts w:hint="eastAsia" w:ascii="Times New Roman" w:hAnsi="Times New Roman" w:cs="Times New Roman"/>
                <w:color w:val="auto"/>
                <w:kern w:val="0"/>
                <w:sz w:val="24"/>
                <w:szCs w:val="24"/>
                <w:highlight w:val="none"/>
                <w:lang w:val="en-US" w:eastAsia="zh-CN"/>
              </w:rPr>
              <w:t>5吨，危险废物每三个月清运一次，则</w:t>
            </w:r>
            <w:r>
              <w:rPr>
                <w:rFonts w:hint="eastAsia" w:ascii="Times New Roman" w:hAnsi="Times New Roman" w:eastAsia="宋体" w:cs="Times New Roman"/>
                <w:color w:val="auto"/>
                <w:kern w:val="0"/>
                <w:sz w:val="24"/>
                <w:szCs w:val="24"/>
                <w:highlight w:val="none"/>
                <w:lang w:val="en-US" w:eastAsia="zh-CN" w:bidi="zh-CN"/>
              </w:rPr>
              <w:t>最大实时贮存量为</w:t>
            </w:r>
            <w:r>
              <w:rPr>
                <w:rFonts w:hint="eastAsia" w:cs="Times New Roman"/>
                <w:color w:val="auto"/>
                <w:kern w:val="0"/>
                <w:sz w:val="24"/>
                <w:szCs w:val="24"/>
                <w:highlight w:val="none"/>
                <w:lang w:val="en-US" w:eastAsia="zh-CN" w:bidi="zh-CN"/>
              </w:rPr>
              <w:t>1.1</w:t>
            </w:r>
            <w:r>
              <w:rPr>
                <w:rFonts w:hint="eastAsia" w:ascii="Times New Roman" w:hAnsi="Times New Roman" w:eastAsia="宋体" w:cs="Times New Roman"/>
                <w:color w:val="auto"/>
                <w:kern w:val="0"/>
                <w:sz w:val="24"/>
                <w:szCs w:val="24"/>
                <w:highlight w:val="none"/>
                <w:lang w:val="en-US" w:eastAsia="zh-CN" w:bidi="zh-CN"/>
              </w:rPr>
              <w:t>t&lt;3t，符合贮存点环境管理要求。</w:t>
            </w:r>
          </w:p>
          <w:p w14:paraId="557D54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eastAsia" w:ascii="Times New Roman" w:hAnsi="Times New Roman" w:cs="Times New Roman"/>
                <w:color w:val="auto"/>
                <w:spacing w:val="0"/>
                <w:sz w:val="24"/>
                <w:szCs w:val="24"/>
                <w:lang w:val="en-US" w:eastAsia="zh-CN"/>
              </w:rPr>
              <w:t>E</w:t>
            </w:r>
            <w:r>
              <w:rPr>
                <w:rFonts w:hint="default" w:ascii="Times New Roman" w:hAnsi="Times New Roman" w:cs="Times New Roman"/>
                <w:color w:val="auto"/>
                <w:spacing w:val="0"/>
                <w:sz w:val="24"/>
                <w:szCs w:val="24"/>
              </w:rPr>
              <w:t>.危险废物的运输转移</w:t>
            </w:r>
          </w:p>
          <w:p w14:paraId="74F44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pacing w:val="0"/>
                <w:sz w:val="24"/>
                <w:szCs w:val="24"/>
              </w:rPr>
            </w:pPr>
            <w:r>
              <w:rPr>
                <w:rFonts w:hint="default" w:ascii="Times New Roman" w:hAnsi="Times New Roman" w:cs="Times New Roman"/>
                <w:color w:val="auto"/>
                <w:spacing w:val="0"/>
                <w:sz w:val="24"/>
                <w:szCs w:val="24"/>
              </w:rPr>
              <w:t>根据《危险废物转移管理办法》（部令第23号，2022年1月1日），转移危险废物的，应当执行危险废物转移联单制度。危险废物转移联单应当根据危险废物管理计划中填报的危险废物转移等备案信息填写、运行。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对不通过车（船或者其他运输工具），且无法按次对危险废物计量的其他方式转移危险废物的，移出人和</w:t>
            </w:r>
            <w:r>
              <w:rPr>
                <w:rFonts w:hint="eastAsia" w:ascii="Times New Roman" w:hAnsi="Times New Roman" w:cs="Times New Roman"/>
                <w:color w:val="auto"/>
                <w:spacing w:val="0"/>
                <w:sz w:val="24"/>
                <w:szCs w:val="24"/>
                <w:lang w:eastAsia="zh-CN"/>
              </w:rPr>
              <w:t>接收</w:t>
            </w:r>
            <w:r>
              <w:rPr>
                <w:rFonts w:hint="default" w:ascii="Times New Roman" w:hAnsi="Times New Roman" w:cs="Times New Roman"/>
                <w:color w:val="auto"/>
                <w:spacing w:val="0"/>
                <w:sz w:val="24"/>
                <w:szCs w:val="24"/>
              </w:rPr>
              <w:t>人应当分别配备计量记录设备，将每天危险废物转移的种类、重量（数量）、形态和危险特性等信息纳入相关台账记录，并根据所在地设区的市级以上地方生态环境主管部门的要求填写、运行危险废物转移联单。危险废物电子转移联单数据应当在信息系统中至少保存十年。本项目应与有资质的运输单位签订协议，在危险废物运输过程中，存在着泄漏的危险，主要潜在危险事故为机械碰撞和交通事故。在运输过程中，应轻装轻卸，防止附件破损，运输应按规定路线行驶，中途不得停留，同时按照危险废物转移联单的运行管理要求，做好危险废物转移联单的填写、运行工作。</w:t>
            </w:r>
          </w:p>
          <w:p w14:paraId="068764BA">
            <w:pPr>
              <w:pStyle w:val="51"/>
              <w:tabs>
                <w:tab w:val="left" w:pos="4584"/>
              </w:tabs>
              <w:rPr>
                <w:rFonts w:hint="default" w:ascii="Times New Roman" w:hAnsi="Times New Roman"/>
                <w:color w:val="auto"/>
                <w:szCs w:val="24"/>
                <w:highlight w:val="none"/>
                <w:lang w:val="en-US" w:eastAsia="zh-CN"/>
              </w:rPr>
            </w:pPr>
            <w:r>
              <w:rPr>
                <w:rFonts w:hint="eastAsia" w:ascii="Times New Roman" w:hAnsi="Times New Roman"/>
                <w:color w:val="auto"/>
                <w:szCs w:val="24"/>
                <w:highlight w:val="none"/>
                <w:lang w:val="en-US" w:eastAsia="zh-CN"/>
              </w:rPr>
              <w:t>F.</w:t>
            </w:r>
            <w:r>
              <w:rPr>
                <w:rFonts w:hint="eastAsia" w:ascii="Times New Roman" w:hAnsi="Times New Roman"/>
                <w:color w:val="auto"/>
                <w:szCs w:val="24"/>
                <w:highlight w:val="none"/>
                <w:lang w:eastAsia="zh-CN"/>
              </w:rPr>
              <w:t>标识</w:t>
            </w:r>
            <w:r>
              <w:rPr>
                <w:rFonts w:hint="eastAsia" w:ascii="Times New Roman" w:hAnsi="Times New Roman"/>
                <w:color w:val="auto"/>
                <w:szCs w:val="24"/>
                <w:highlight w:val="none"/>
                <w:lang w:val="en-US" w:eastAsia="zh-CN"/>
              </w:rPr>
              <w:t>要求</w:t>
            </w:r>
          </w:p>
          <w:p w14:paraId="5D339F30">
            <w:pPr>
              <w:adjustRightInd w:val="0"/>
              <w:snapToGrid w:val="0"/>
              <w:spacing w:line="360" w:lineRule="auto"/>
              <w:ind w:firstLine="480" w:firstLineChars="200"/>
              <w:rPr>
                <w:color w:val="auto"/>
                <w:kern w:val="0"/>
                <w:sz w:val="24"/>
                <w:highlight w:val="none"/>
              </w:rPr>
            </w:pPr>
            <w:r>
              <w:rPr>
                <w:color w:val="auto"/>
                <w:kern w:val="0"/>
                <w:sz w:val="24"/>
                <w:highlight w:val="none"/>
              </w:rPr>
              <w:t>根据《中华人民共和国固体废物污染环境防治法》、《关于进一步规范危险废物识别标志设置有关事宜的通知》（宁环办函</w:t>
            </w:r>
            <w:r>
              <w:rPr>
                <w:rFonts w:hint="eastAsia"/>
                <w:color w:val="auto"/>
                <w:kern w:val="0"/>
                <w:sz w:val="24"/>
                <w:highlight w:val="none"/>
              </w:rPr>
              <w:t>〔2016〕2号</w:t>
            </w:r>
            <w:r>
              <w:rPr>
                <w:color w:val="auto"/>
                <w:kern w:val="0"/>
                <w:sz w:val="24"/>
                <w:highlight w:val="none"/>
              </w:rPr>
              <w:t>）、《危险废物识别标志设置技术规范》（HJ1276-2022）等有关危险废物识别标志的文件规定，本项目危险废物识别标志设置的具体要求见下表。</w:t>
            </w:r>
          </w:p>
          <w:p w14:paraId="610FE0AC">
            <w:pPr>
              <w:adjustRightInd w:val="0"/>
              <w:snapToGrid w:val="0"/>
              <w:ind w:firstLine="420" w:firstLineChars="200"/>
              <w:rPr>
                <w:b/>
                <w:color w:val="auto"/>
                <w:kern w:val="0"/>
                <w:sz w:val="24"/>
                <w:highlight w:val="none"/>
              </w:rPr>
            </w:pPr>
            <w:r>
              <w:rPr>
                <w:bCs/>
                <w:color w:val="auto"/>
                <w:kern w:val="0"/>
                <w:szCs w:val="21"/>
                <w:highlight w:val="none"/>
              </w:rPr>
              <w:t>表</w:t>
            </w:r>
            <w:r>
              <w:rPr>
                <w:rFonts w:hint="eastAsia"/>
                <w:bCs/>
                <w:color w:val="auto"/>
                <w:kern w:val="0"/>
                <w:szCs w:val="21"/>
                <w:highlight w:val="none"/>
              </w:rPr>
              <w:t>4-2</w:t>
            </w:r>
            <w:r>
              <w:rPr>
                <w:rFonts w:hint="eastAsia"/>
                <w:bCs/>
                <w:color w:val="auto"/>
                <w:kern w:val="0"/>
                <w:szCs w:val="21"/>
                <w:highlight w:val="none"/>
                <w:lang w:val="en-US" w:eastAsia="zh-CN"/>
              </w:rPr>
              <w:t>1</w:t>
            </w:r>
            <w:r>
              <w:rPr>
                <w:rFonts w:hint="eastAsia"/>
                <w:bCs/>
                <w:color w:val="auto"/>
                <w:kern w:val="0"/>
                <w:szCs w:val="21"/>
                <w:highlight w:val="none"/>
              </w:rPr>
              <w:t xml:space="preserve"> </w:t>
            </w:r>
            <w:r>
              <w:rPr>
                <w:b/>
                <w:color w:val="auto"/>
                <w:kern w:val="0"/>
                <w:sz w:val="24"/>
                <w:highlight w:val="none"/>
              </w:rPr>
              <w:t xml:space="preserve">        </w:t>
            </w:r>
            <w:r>
              <w:rPr>
                <w:rFonts w:hint="eastAsia"/>
                <w:b/>
                <w:color w:val="auto"/>
                <w:kern w:val="0"/>
                <w:sz w:val="24"/>
                <w:highlight w:val="none"/>
              </w:rPr>
              <w:t xml:space="preserve"> </w:t>
            </w:r>
            <w:r>
              <w:rPr>
                <w:b/>
                <w:color w:val="auto"/>
                <w:kern w:val="0"/>
                <w:sz w:val="24"/>
                <w:highlight w:val="none"/>
              </w:rPr>
              <w:t xml:space="preserve">  项目危险废物识别标志要求一览表</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689"/>
              <w:gridCol w:w="1946"/>
              <w:gridCol w:w="2017"/>
              <w:gridCol w:w="3625"/>
            </w:tblGrid>
            <w:tr w14:paraId="236416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40" w:hRule="atLeast"/>
                <w:jc w:val="center"/>
              </w:trPr>
              <w:tc>
                <w:tcPr>
                  <w:tcW w:w="416" w:type="pct"/>
                  <w:noWrap w:val="0"/>
                  <w:tcMar>
                    <w:top w:w="28" w:type="dxa"/>
                    <w:left w:w="28" w:type="dxa"/>
                    <w:bottom w:w="28" w:type="dxa"/>
                    <w:right w:w="28" w:type="dxa"/>
                  </w:tcMar>
                  <w:vAlign w:val="center"/>
                </w:tcPr>
                <w:p w14:paraId="52720EAB">
                  <w:pPr>
                    <w:adjustRightInd w:val="0"/>
                    <w:snapToGrid w:val="0"/>
                    <w:jc w:val="center"/>
                    <w:rPr>
                      <w:rFonts w:hint="default" w:ascii="Times New Roman" w:hAnsi="Times New Roman" w:cs="Times New Roman"/>
                      <w:b/>
                      <w:snapToGrid w:val="0"/>
                      <w:color w:val="auto"/>
                      <w:kern w:val="0"/>
                      <w:szCs w:val="21"/>
                      <w:highlight w:val="none"/>
                    </w:rPr>
                  </w:pPr>
                  <w:r>
                    <w:rPr>
                      <w:rFonts w:hint="default" w:ascii="Times New Roman" w:hAnsi="Times New Roman" w:cs="Times New Roman"/>
                      <w:b/>
                      <w:snapToGrid w:val="0"/>
                      <w:color w:val="auto"/>
                      <w:kern w:val="0"/>
                      <w:szCs w:val="21"/>
                      <w:highlight w:val="none"/>
                    </w:rPr>
                    <w:t>设施场所</w:t>
                  </w:r>
                </w:p>
              </w:tc>
              <w:tc>
                <w:tcPr>
                  <w:tcW w:w="2393" w:type="pct"/>
                  <w:gridSpan w:val="2"/>
                  <w:noWrap w:val="0"/>
                  <w:tcMar>
                    <w:top w:w="28" w:type="dxa"/>
                    <w:left w:w="28" w:type="dxa"/>
                    <w:bottom w:w="28" w:type="dxa"/>
                    <w:right w:w="28" w:type="dxa"/>
                  </w:tcMar>
                  <w:vAlign w:val="center"/>
                </w:tcPr>
                <w:p w14:paraId="6BB786CB">
                  <w:pPr>
                    <w:adjustRightInd w:val="0"/>
                    <w:snapToGrid w:val="0"/>
                    <w:jc w:val="center"/>
                    <w:rPr>
                      <w:rFonts w:hint="default" w:ascii="Times New Roman" w:hAnsi="Times New Roman" w:cs="Times New Roman"/>
                      <w:b/>
                      <w:snapToGrid w:val="0"/>
                      <w:color w:val="auto"/>
                      <w:kern w:val="0"/>
                      <w:szCs w:val="21"/>
                      <w:highlight w:val="none"/>
                    </w:rPr>
                  </w:pPr>
                  <w:r>
                    <w:rPr>
                      <w:rFonts w:hint="default" w:ascii="Times New Roman" w:hAnsi="Times New Roman" w:cs="Times New Roman"/>
                      <w:b/>
                      <w:snapToGrid w:val="0"/>
                      <w:color w:val="auto"/>
                      <w:kern w:val="0"/>
                      <w:szCs w:val="21"/>
                      <w:highlight w:val="none"/>
                    </w:rPr>
                    <w:t>警告标志</w:t>
                  </w:r>
                </w:p>
              </w:tc>
              <w:tc>
                <w:tcPr>
                  <w:tcW w:w="2189" w:type="pct"/>
                  <w:noWrap w:val="0"/>
                  <w:tcMar>
                    <w:top w:w="28" w:type="dxa"/>
                    <w:left w:w="28" w:type="dxa"/>
                    <w:bottom w:w="28" w:type="dxa"/>
                    <w:right w:w="28" w:type="dxa"/>
                  </w:tcMar>
                  <w:vAlign w:val="center"/>
                </w:tcPr>
                <w:p w14:paraId="370BAC06">
                  <w:pPr>
                    <w:adjustRightInd w:val="0"/>
                    <w:snapToGrid w:val="0"/>
                    <w:jc w:val="center"/>
                    <w:rPr>
                      <w:rFonts w:hint="default" w:ascii="Times New Roman" w:hAnsi="Times New Roman" w:cs="Times New Roman"/>
                      <w:b/>
                      <w:snapToGrid w:val="0"/>
                      <w:color w:val="auto"/>
                      <w:kern w:val="0"/>
                      <w:szCs w:val="21"/>
                      <w:highlight w:val="none"/>
                    </w:rPr>
                  </w:pPr>
                  <w:r>
                    <w:rPr>
                      <w:rFonts w:hint="default" w:ascii="Times New Roman" w:hAnsi="Times New Roman" w:cs="Times New Roman"/>
                      <w:b/>
                      <w:snapToGrid w:val="0"/>
                      <w:color w:val="auto"/>
                      <w:kern w:val="0"/>
                      <w:szCs w:val="21"/>
                      <w:highlight w:val="none"/>
                    </w:rPr>
                    <w:t>悬挂位置</w:t>
                  </w:r>
                </w:p>
              </w:tc>
            </w:tr>
            <w:tr w14:paraId="428CE4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40" w:hRule="atLeast"/>
                <w:jc w:val="center"/>
              </w:trPr>
              <w:tc>
                <w:tcPr>
                  <w:tcW w:w="416" w:type="pct"/>
                  <w:noWrap w:val="0"/>
                  <w:tcMar>
                    <w:top w:w="28" w:type="dxa"/>
                    <w:left w:w="28" w:type="dxa"/>
                    <w:bottom w:w="28" w:type="dxa"/>
                    <w:right w:w="28" w:type="dxa"/>
                  </w:tcMar>
                  <w:vAlign w:val="center"/>
                </w:tcPr>
                <w:p w14:paraId="3EFE299E">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危险废物贮存场所</w:t>
                  </w:r>
                </w:p>
              </w:tc>
              <w:tc>
                <w:tcPr>
                  <w:tcW w:w="1175" w:type="pct"/>
                  <w:noWrap w:val="0"/>
                  <w:tcMar>
                    <w:top w:w="28" w:type="dxa"/>
                    <w:left w:w="28" w:type="dxa"/>
                    <w:bottom w:w="28" w:type="dxa"/>
                    <w:right w:w="28" w:type="dxa"/>
                  </w:tcMar>
                  <w:vAlign w:val="center"/>
                </w:tcPr>
                <w:p w14:paraId="4BB21210">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color w:val="auto"/>
                      <w:szCs w:val="21"/>
                      <w:highlight w:val="none"/>
                    </w:rPr>
                    <w:drawing>
                      <wp:inline distT="0" distB="0" distL="114300" distR="114300">
                        <wp:extent cx="1127760" cy="1767840"/>
                        <wp:effectExtent l="0" t="0" r="15240" b="3810"/>
                        <wp:docPr id="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6"/>
                                <pic:cNvPicPr>
                                  <a:picLocks noChangeAspect="1"/>
                                </pic:cNvPicPr>
                              </pic:nvPicPr>
                              <pic:blipFill>
                                <a:blip r:embed="rId22"/>
                                <a:stretch>
                                  <a:fillRect/>
                                </a:stretch>
                              </pic:blipFill>
                              <pic:spPr>
                                <a:xfrm>
                                  <a:off x="0" y="0"/>
                                  <a:ext cx="1127760" cy="1767840"/>
                                </a:xfrm>
                                <a:prstGeom prst="rect">
                                  <a:avLst/>
                                </a:prstGeom>
                                <a:noFill/>
                                <a:ln>
                                  <a:noFill/>
                                </a:ln>
                              </pic:spPr>
                            </pic:pic>
                          </a:graphicData>
                        </a:graphic>
                      </wp:inline>
                    </w:drawing>
                  </w:r>
                </w:p>
              </w:tc>
              <w:tc>
                <w:tcPr>
                  <w:tcW w:w="1218" w:type="pct"/>
                  <w:noWrap w:val="0"/>
                  <w:vAlign w:val="center"/>
                </w:tcPr>
                <w:p w14:paraId="0107EA07">
                  <w:pPr>
                    <w:adjustRightInd w:val="0"/>
                    <w:snapToGrid w:val="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b/>
                      <w:snapToGrid w:val="0"/>
                      <w:color w:val="auto"/>
                      <w:kern w:val="0"/>
                      <w:szCs w:val="21"/>
                      <w:highlight w:val="none"/>
                    </w:rPr>
                    <w:t>形状：</w:t>
                  </w:r>
                  <w:r>
                    <w:rPr>
                      <w:rFonts w:hint="default" w:ascii="Times New Roman" w:hAnsi="Times New Roman" w:cs="Times New Roman"/>
                      <w:snapToGrid w:val="0"/>
                      <w:color w:val="auto"/>
                      <w:kern w:val="0"/>
                      <w:szCs w:val="21"/>
                      <w:highlight w:val="none"/>
                    </w:rPr>
                    <w:t>三角形外边长500mm，内边长375mm</w:t>
                  </w:r>
                </w:p>
                <w:p w14:paraId="324C5B1D">
                  <w:pPr>
                    <w:adjustRightInd w:val="0"/>
                    <w:snapToGrid w:val="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b/>
                      <w:snapToGrid w:val="0"/>
                      <w:color w:val="auto"/>
                      <w:kern w:val="0"/>
                      <w:szCs w:val="21"/>
                      <w:highlight w:val="none"/>
                    </w:rPr>
                    <w:t>颜色：</w:t>
                  </w:r>
                  <w:r>
                    <w:rPr>
                      <w:rFonts w:hint="default" w:ascii="Times New Roman" w:hAnsi="Times New Roman" w:cs="Times New Roman"/>
                      <w:snapToGrid w:val="0"/>
                      <w:color w:val="auto"/>
                      <w:kern w:val="0"/>
                      <w:szCs w:val="21"/>
                      <w:highlight w:val="none"/>
                    </w:rPr>
                    <w:t>背景为黄色，RGB颜色值为（255，255，0），字体和边框颜色为黑色，RGB颜色值为（0，0，0）</w:t>
                  </w:r>
                </w:p>
                <w:p w14:paraId="1648C2E2">
                  <w:pPr>
                    <w:autoSpaceDE w:val="0"/>
                    <w:autoSpaceDN w:val="0"/>
                    <w:adjustRightInd w:val="0"/>
                    <w:snapToGrid w:val="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b/>
                      <w:snapToGrid w:val="0"/>
                      <w:color w:val="auto"/>
                      <w:kern w:val="0"/>
                      <w:szCs w:val="21"/>
                      <w:highlight w:val="none"/>
                    </w:rPr>
                    <w:t>字体：</w:t>
                  </w:r>
                  <w:r>
                    <w:rPr>
                      <w:rFonts w:hint="default" w:ascii="Times New Roman" w:hAnsi="Times New Roman" w:cs="Times New Roman"/>
                      <w:snapToGrid w:val="0"/>
                      <w:color w:val="auto"/>
                      <w:kern w:val="0"/>
                      <w:szCs w:val="21"/>
                      <w:highlight w:val="none"/>
                    </w:rPr>
                    <w:t>黑体字，其中危险废物设施类型的字样应加粗放大并居中显示</w:t>
                  </w:r>
                </w:p>
              </w:tc>
              <w:tc>
                <w:tcPr>
                  <w:tcW w:w="2189" w:type="pct"/>
                  <w:noWrap w:val="0"/>
                  <w:tcMar>
                    <w:top w:w="28" w:type="dxa"/>
                    <w:left w:w="28" w:type="dxa"/>
                    <w:bottom w:w="28" w:type="dxa"/>
                    <w:right w:w="28" w:type="dxa"/>
                  </w:tcMar>
                  <w:vAlign w:val="center"/>
                </w:tcPr>
                <w:p w14:paraId="3193A267">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危险废物标签的设置位置应明显可见或易读，不应被容器、包装物自身的任何部分或其他标签遮挡，危险废物标签在各种包装上的粘贴位置分别为：a箱类包装：位于包装端面或侧面；b袋类包装：位于包装明显处；c桶类包装：位于桶身或桶盖；d其他包装：位于明显处。优先选择附着式，当无法选择附着式时，选择柱式，附着式标志的设置高度，应尽量与视线高度一致；柱式的标志和支架应牢固的联系在一起，标志最上端距地面约2m；位于室外的标志牌中，支架固定在地下的，其支架埋深约0.3m。</w:t>
                  </w:r>
                </w:p>
              </w:tc>
            </w:tr>
            <w:tr w14:paraId="72EA58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40" w:hRule="atLeast"/>
                <w:jc w:val="center"/>
              </w:trPr>
              <w:tc>
                <w:tcPr>
                  <w:tcW w:w="416" w:type="pct"/>
                  <w:noWrap w:val="0"/>
                  <w:tcMar>
                    <w:top w:w="28" w:type="dxa"/>
                    <w:left w:w="28" w:type="dxa"/>
                    <w:bottom w:w="28" w:type="dxa"/>
                    <w:right w:w="28" w:type="dxa"/>
                  </w:tcMar>
                  <w:vAlign w:val="center"/>
                </w:tcPr>
                <w:p w14:paraId="3946664E">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危险废物贮存场所的危险废物标签</w:t>
                  </w:r>
                </w:p>
              </w:tc>
              <w:tc>
                <w:tcPr>
                  <w:tcW w:w="1175" w:type="pct"/>
                  <w:noWrap w:val="0"/>
                  <w:tcMar>
                    <w:top w:w="28" w:type="dxa"/>
                    <w:left w:w="28" w:type="dxa"/>
                    <w:bottom w:w="28" w:type="dxa"/>
                    <w:right w:w="28" w:type="dxa"/>
                  </w:tcMar>
                  <w:vAlign w:val="center"/>
                </w:tcPr>
                <w:p w14:paraId="0B9C732D">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color w:val="auto"/>
                      <w:kern w:val="0"/>
                      <w:szCs w:val="21"/>
                      <w:highlight w:val="none"/>
                    </w:rPr>
                    <w:drawing>
                      <wp:inline distT="0" distB="0" distL="114300" distR="114300">
                        <wp:extent cx="1195070" cy="1200785"/>
                        <wp:effectExtent l="0" t="0" r="5080" b="18415"/>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pic:cNvPicPr>
                                  <a:picLocks noChangeAspect="1"/>
                                </pic:cNvPicPr>
                              </pic:nvPicPr>
                              <pic:blipFill>
                                <a:blip r:embed="rId23"/>
                                <a:stretch>
                                  <a:fillRect/>
                                </a:stretch>
                              </pic:blipFill>
                              <pic:spPr>
                                <a:xfrm>
                                  <a:off x="0" y="0"/>
                                  <a:ext cx="1195070" cy="1200785"/>
                                </a:xfrm>
                                <a:prstGeom prst="rect">
                                  <a:avLst/>
                                </a:prstGeom>
                                <a:noFill/>
                                <a:ln>
                                  <a:noFill/>
                                </a:ln>
                              </pic:spPr>
                            </pic:pic>
                          </a:graphicData>
                        </a:graphic>
                      </wp:inline>
                    </w:drawing>
                  </w:r>
                </w:p>
              </w:tc>
              <w:tc>
                <w:tcPr>
                  <w:tcW w:w="1218" w:type="pct"/>
                  <w:noWrap w:val="0"/>
                  <w:vAlign w:val="center"/>
                </w:tcPr>
                <w:p w14:paraId="34E7840C">
                  <w:pPr>
                    <w:autoSpaceDE w:val="0"/>
                    <w:autoSpaceDN w:val="0"/>
                    <w:adjustRightInd w:val="0"/>
                    <w:snapToGrid w:val="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b/>
                      <w:snapToGrid w:val="0"/>
                      <w:color w:val="auto"/>
                      <w:kern w:val="0"/>
                      <w:szCs w:val="21"/>
                      <w:highlight w:val="none"/>
                    </w:rPr>
                    <w:t>尺寸：</w:t>
                  </w:r>
                  <w:r>
                    <w:rPr>
                      <w:rFonts w:hint="default" w:ascii="Times New Roman" w:hAnsi="Times New Roman" w:cs="Times New Roman"/>
                      <w:snapToGrid w:val="0"/>
                      <w:color w:val="auto"/>
                      <w:kern w:val="0"/>
                      <w:szCs w:val="21"/>
                      <w:highlight w:val="none"/>
                    </w:rPr>
                    <w:t>100×100mm</w:t>
                  </w:r>
                </w:p>
                <w:p w14:paraId="1E7ED306">
                  <w:pPr>
                    <w:autoSpaceDE w:val="0"/>
                    <w:autoSpaceDN w:val="0"/>
                    <w:adjustRightInd w:val="0"/>
                    <w:snapToGrid w:val="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b/>
                      <w:snapToGrid w:val="0"/>
                      <w:color w:val="auto"/>
                      <w:kern w:val="0"/>
                      <w:szCs w:val="21"/>
                      <w:highlight w:val="none"/>
                    </w:rPr>
                    <w:t>底色：</w:t>
                  </w:r>
                  <w:r>
                    <w:rPr>
                      <w:rFonts w:hint="default" w:ascii="Times New Roman" w:hAnsi="Times New Roman" w:cs="Times New Roman"/>
                      <w:snapToGrid w:val="0"/>
                      <w:color w:val="auto"/>
                      <w:kern w:val="0"/>
                      <w:szCs w:val="21"/>
                      <w:highlight w:val="none"/>
                    </w:rPr>
                    <w:t>醒目橘黄色，RGB颜色值为（250，150，0）</w:t>
                  </w:r>
                </w:p>
                <w:p w14:paraId="3707E3D4">
                  <w:pPr>
                    <w:autoSpaceDE w:val="0"/>
                    <w:autoSpaceDN w:val="0"/>
                    <w:adjustRightInd w:val="0"/>
                    <w:snapToGrid w:val="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b/>
                      <w:snapToGrid w:val="0"/>
                      <w:color w:val="auto"/>
                      <w:kern w:val="0"/>
                      <w:szCs w:val="21"/>
                      <w:highlight w:val="none"/>
                    </w:rPr>
                    <w:t>字体：</w:t>
                  </w:r>
                  <w:r>
                    <w:rPr>
                      <w:rFonts w:hint="default" w:ascii="Times New Roman" w:hAnsi="Times New Roman" w:cs="Times New Roman"/>
                      <w:snapToGrid w:val="0"/>
                      <w:color w:val="auto"/>
                      <w:kern w:val="0"/>
                      <w:szCs w:val="21"/>
                      <w:highlight w:val="none"/>
                    </w:rPr>
                    <w:t>黑体字，其中</w:t>
                  </w:r>
                  <w:r>
                    <w:rPr>
                      <w:rFonts w:hint="default" w:ascii="Times New Roman" w:hAnsi="Times New Roman" w:cs="Times New Roman"/>
                      <w:color w:val="auto"/>
                      <w:szCs w:val="21"/>
                      <w:highlight w:val="none"/>
                    </w:rPr>
                    <w:t>“</w:t>
                  </w:r>
                  <w:r>
                    <w:rPr>
                      <w:rFonts w:hint="default" w:ascii="Times New Roman" w:hAnsi="Times New Roman" w:cs="Times New Roman"/>
                      <w:snapToGrid w:val="0"/>
                      <w:color w:val="auto"/>
                      <w:kern w:val="0"/>
                      <w:szCs w:val="21"/>
                      <w:highlight w:val="none"/>
                    </w:rPr>
                    <w:t>危险废物</w:t>
                  </w:r>
                  <w:r>
                    <w:rPr>
                      <w:rFonts w:hint="default" w:ascii="Times New Roman" w:hAnsi="Times New Roman" w:cs="Times New Roman"/>
                      <w:color w:val="auto"/>
                      <w:szCs w:val="21"/>
                      <w:highlight w:val="none"/>
                    </w:rPr>
                    <w:t>”</w:t>
                  </w:r>
                  <w:r>
                    <w:rPr>
                      <w:rFonts w:hint="default" w:ascii="Times New Roman" w:hAnsi="Times New Roman" w:cs="Times New Roman"/>
                      <w:snapToGrid w:val="0"/>
                      <w:color w:val="auto"/>
                      <w:kern w:val="0"/>
                      <w:szCs w:val="21"/>
                      <w:highlight w:val="none"/>
                    </w:rPr>
                    <w:t>字样应加粗放大</w:t>
                  </w:r>
                </w:p>
                <w:p w14:paraId="71813E6E">
                  <w:pPr>
                    <w:autoSpaceDE w:val="0"/>
                    <w:autoSpaceDN w:val="0"/>
                    <w:adjustRightInd w:val="0"/>
                    <w:snapToGrid w:val="0"/>
                    <w:jc w:val="left"/>
                    <w:rPr>
                      <w:rFonts w:hint="default" w:ascii="Times New Roman" w:hAnsi="Times New Roman" w:cs="Times New Roman"/>
                      <w:snapToGrid w:val="0"/>
                      <w:color w:val="auto"/>
                      <w:kern w:val="0"/>
                      <w:szCs w:val="21"/>
                      <w:highlight w:val="none"/>
                    </w:rPr>
                  </w:pPr>
                  <w:r>
                    <w:rPr>
                      <w:rFonts w:hint="default" w:ascii="Times New Roman" w:hAnsi="Times New Roman" w:cs="Times New Roman"/>
                      <w:b/>
                      <w:snapToGrid w:val="0"/>
                      <w:color w:val="auto"/>
                      <w:kern w:val="0"/>
                      <w:szCs w:val="21"/>
                      <w:highlight w:val="none"/>
                    </w:rPr>
                    <w:t>字体颜色：</w:t>
                  </w:r>
                  <w:r>
                    <w:rPr>
                      <w:rFonts w:hint="default" w:ascii="Times New Roman" w:hAnsi="Times New Roman" w:cs="Times New Roman"/>
                      <w:snapToGrid w:val="0"/>
                      <w:color w:val="auto"/>
                      <w:kern w:val="0"/>
                      <w:szCs w:val="21"/>
                      <w:highlight w:val="none"/>
                    </w:rPr>
                    <w:t>黑色，RGB颜色值为（0，0，0）</w:t>
                  </w:r>
                </w:p>
              </w:tc>
              <w:tc>
                <w:tcPr>
                  <w:tcW w:w="2189" w:type="pct"/>
                  <w:noWrap w:val="0"/>
                  <w:tcMar>
                    <w:top w:w="28" w:type="dxa"/>
                    <w:left w:w="28" w:type="dxa"/>
                    <w:bottom w:w="28" w:type="dxa"/>
                    <w:right w:w="28" w:type="dxa"/>
                  </w:tcMar>
                  <w:vAlign w:val="center"/>
                </w:tcPr>
                <w:p w14:paraId="0F30DB1A">
                  <w:pPr>
                    <w:adjustRightInd w:val="0"/>
                    <w:snapToGrid w:val="0"/>
                    <w:jc w:val="center"/>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宜在危险废物贮存设施内的每一个贮存分区外设置危险废物贮存分区标志。危险废物贮存分区标志宜设置在该贮存分区前的通道位置或墙壁、栏杆等易于观察的位置，采用附着式（如钉挂、粘贴等）、悬挂式和柱式（固定于标志杆或支架等物体上）。</w:t>
                  </w:r>
                </w:p>
              </w:tc>
            </w:tr>
          </w:tbl>
          <w:p w14:paraId="4BE6B49D">
            <w:pPr>
              <w:adjustRightInd w:val="0"/>
              <w:snapToGrid w:val="0"/>
              <w:spacing w:line="360" w:lineRule="auto"/>
              <w:ind w:firstLine="480" w:firstLineChars="200"/>
              <w:rPr>
                <w:color w:val="auto"/>
                <w:kern w:val="0"/>
                <w:sz w:val="24"/>
                <w:highlight w:val="none"/>
              </w:rPr>
            </w:pPr>
            <w:r>
              <w:rPr>
                <w:color w:val="auto"/>
                <w:kern w:val="0"/>
                <w:sz w:val="24"/>
                <w:highlight w:val="none"/>
              </w:rPr>
              <w:t>⑶生活垃圾</w:t>
            </w:r>
          </w:p>
          <w:p w14:paraId="2CA5DCD3">
            <w:pPr>
              <w:adjustRightInd w:val="0"/>
              <w:snapToGrid w:val="0"/>
              <w:spacing w:line="360" w:lineRule="auto"/>
              <w:ind w:firstLine="480" w:firstLineChars="200"/>
              <w:rPr>
                <w:color w:val="auto"/>
                <w:highlight w:val="none"/>
              </w:rPr>
            </w:pPr>
            <w:r>
              <w:rPr>
                <w:color w:val="auto"/>
                <w:kern w:val="0"/>
                <w:sz w:val="24"/>
                <w:highlight w:val="none"/>
              </w:rPr>
              <w:t>生活垃圾及时清运，避免长期堆存产生二次污染。</w:t>
            </w:r>
          </w:p>
          <w:p w14:paraId="2F17C3BD">
            <w:pPr>
              <w:adjustRightInd w:val="0"/>
              <w:snapToGrid w:val="0"/>
              <w:spacing w:line="360" w:lineRule="auto"/>
              <w:ind w:firstLine="480" w:firstLineChars="200"/>
              <w:rPr>
                <w:color w:val="auto"/>
                <w:kern w:val="0"/>
                <w:sz w:val="24"/>
                <w:highlight w:val="none"/>
              </w:rPr>
            </w:pPr>
            <w:r>
              <w:rPr>
                <w:color w:val="auto"/>
                <w:kern w:val="0"/>
                <w:sz w:val="24"/>
                <w:highlight w:val="none"/>
              </w:rPr>
              <w:t>通过采取以上措施后，本项目生产过程中</w:t>
            </w:r>
            <w:r>
              <w:rPr>
                <w:rFonts w:hint="eastAsia"/>
                <w:color w:val="auto"/>
                <w:kern w:val="0"/>
                <w:sz w:val="24"/>
                <w:highlight w:val="none"/>
              </w:rPr>
              <w:t>新增</w:t>
            </w:r>
            <w:r>
              <w:rPr>
                <w:color w:val="auto"/>
                <w:kern w:val="0"/>
                <w:sz w:val="24"/>
                <w:highlight w:val="none"/>
              </w:rPr>
              <w:t>固体废物均得到合理处置和处理，不会对当地环境产生明显影响。</w:t>
            </w:r>
          </w:p>
          <w:p w14:paraId="5A98F933">
            <w:pPr>
              <w:pStyle w:val="51"/>
              <w:ind w:firstLine="482"/>
              <w:jc w:val="both"/>
              <w:rPr>
                <w:rFonts w:hint="default" w:ascii="Times New Roman" w:hAnsi="Times New Roman" w:eastAsia="宋体" w:cs="Times New Roman"/>
                <w:b/>
                <w:snapToGrid/>
                <w:color w:val="auto"/>
                <w:szCs w:val="24"/>
                <w:lang w:eastAsia="zh-CN"/>
              </w:rPr>
            </w:pPr>
            <w:r>
              <w:rPr>
                <w:rFonts w:hint="default" w:ascii="Times New Roman" w:hAnsi="Times New Roman" w:eastAsia="宋体" w:cs="Times New Roman"/>
                <w:b/>
                <w:snapToGrid/>
                <w:color w:val="auto"/>
                <w:szCs w:val="24"/>
                <w:lang w:eastAsia="zh-CN"/>
              </w:rPr>
              <w:t>五、运营期地下水、土壤环境影响分析及防治对策</w:t>
            </w:r>
          </w:p>
          <w:p w14:paraId="2D1DFD40">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sz w:val="24"/>
                <w:szCs w:val="28"/>
              </w:rPr>
            </w:pPr>
            <w:r>
              <w:rPr>
                <w:color w:val="auto"/>
                <w:sz w:val="24"/>
                <w:szCs w:val="24"/>
              </w:rPr>
              <w:t>本项目</w:t>
            </w:r>
            <w:r>
              <w:rPr>
                <w:rFonts w:hint="eastAsia"/>
                <w:color w:val="auto"/>
                <w:sz w:val="24"/>
                <w:szCs w:val="24"/>
                <w:lang w:val="en-US" w:eastAsia="zh-CN"/>
              </w:rPr>
              <w:t>为泡沫箱加工</w:t>
            </w:r>
            <w:r>
              <w:rPr>
                <w:color w:val="auto"/>
                <w:sz w:val="24"/>
                <w:szCs w:val="24"/>
              </w:rPr>
              <w:t>，生</w:t>
            </w:r>
            <w:r>
              <w:rPr>
                <w:snapToGrid w:val="0"/>
                <w:color w:val="auto"/>
                <w:kern w:val="0"/>
                <w:sz w:val="24"/>
                <w:szCs w:val="24"/>
                <w:lang w:bidi="en-US"/>
              </w:rPr>
              <w:t>产过程主要大气污染物为非甲烷总烃</w:t>
            </w:r>
            <w:r>
              <w:rPr>
                <w:rFonts w:hint="eastAsia"/>
                <w:snapToGrid w:val="0"/>
                <w:color w:val="auto"/>
                <w:kern w:val="0"/>
                <w:sz w:val="24"/>
                <w:szCs w:val="24"/>
                <w:lang w:eastAsia="zh-CN" w:bidi="en-US"/>
              </w:rPr>
              <w:t>、</w:t>
            </w:r>
            <w:r>
              <w:rPr>
                <w:rFonts w:hint="eastAsia"/>
                <w:snapToGrid w:val="0"/>
                <w:color w:val="auto"/>
                <w:kern w:val="0"/>
                <w:sz w:val="24"/>
                <w:szCs w:val="24"/>
                <w:lang w:val="en-US" w:eastAsia="zh-CN" w:bidi="en-US"/>
              </w:rPr>
              <w:t>臭气浓度</w:t>
            </w:r>
            <w:r>
              <w:rPr>
                <w:snapToGrid w:val="0"/>
                <w:color w:val="auto"/>
                <w:kern w:val="0"/>
                <w:sz w:val="24"/>
                <w:szCs w:val="24"/>
                <w:lang w:bidi="en-US"/>
              </w:rPr>
              <w:t>，项目</w:t>
            </w:r>
            <w:r>
              <w:rPr>
                <w:color w:val="auto"/>
                <w:sz w:val="24"/>
                <w:szCs w:val="24"/>
              </w:rPr>
              <w:t>采取密闭生产</w:t>
            </w:r>
            <w:r>
              <w:rPr>
                <w:rFonts w:hint="eastAsia"/>
                <w:color w:val="auto"/>
                <w:sz w:val="24"/>
                <w:szCs w:val="24"/>
                <w:lang w:eastAsia="zh-CN"/>
              </w:rPr>
              <w:t>车间</w:t>
            </w:r>
            <w:r>
              <w:rPr>
                <w:color w:val="auto"/>
                <w:sz w:val="24"/>
                <w:szCs w:val="24"/>
              </w:rPr>
              <w:t>、二级活性炭吸附装置等环保措施进行治理</w:t>
            </w:r>
            <w:r>
              <w:rPr>
                <w:rFonts w:hint="eastAsia"/>
                <w:color w:val="auto"/>
                <w:sz w:val="24"/>
                <w:szCs w:val="24"/>
              </w:rPr>
              <w:t>，可达标排放，不涉及大气沉降</w:t>
            </w:r>
            <w:r>
              <w:rPr>
                <w:rFonts w:hint="eastAsia"/>
                <w:color w:val="auto"/>
                <w:sz w:val="24"/>
                <w:szCs w:val="24"/>
                <w:lang w:eastAsia="zh-CN"/>
              </w:rPr>
              <w:t>；</w:t>
            </w:r>
            <w:r>
              <w:rPr>
                <w:rFonts w:hint="eastAsia"/>
                <w:color w:val="auto"/>
                <w:sz w:val="24"/>
                <w:szCs w:val="24"/>
                <w:lang w:val="en-US" w:eastAsia="zh-CN"/>
              </w:rPr>
              <w:t>项目运营期废水主要为</w:t>
            </w:r>
            <w:r>
              <w:rPr>
                <w:color w:val="auto"/>
                <w:sz w:val="24"/>
                <w:szCs w:val="24"/>
              </w:rPr>
              <w:t>循环冷却系统排水及生活污水，生活污水</w:t>
            </w:r>
            <w:r>
              <w:rPr>
                <w:rFonts w:hint="eastAsia"/>
                <w:color w:val="auto"/>
                <w:sz w:val="24"/>
                <w:szCs w:val="24"/>
                <w:lang w:val="en-US" w:eastAsia="zh-CN"/>
              </w:rPr>
              <w:t>经厂区现有</w:t>
            </w:r>
            <w:r>
              <w:rPr>
                <w:color w:val="auto"/>
                <w:sz w:val="24"/>
                <w:szCs w:val="24"/>
              </w:rPr>
              <w:t>化粪池处理后</w:t>
            </w:r>
            <w:r>
              <w:rPr>
                <w:rFonts w:hint="eastAsia"/>
                <w:color w:val="auto"/>
                <w:sz w:val="24"/>
                <w:szCs w:val="24"/>
                <w:lang w:val="en-US" w:eastAsia="zh-CN"/>
              </w:rPr>
              <w:t>汇同循环冷却系统排水</w:t>
            </w:r>
            <w:r>
              <w:rPr>
                <w:color w:val="auto"/>
                <w:sz w:val="24"/>
                <w:szCs w:val="24"/>
              </w:rPr>
              <w:t>排入</w:t>
            </w:r>
            <w:r>
              <w:rPr>
                <w:rFonts w:hint="eastAsia"/>
                <w:color w:val="auto"/>
                <w:sz w:val="24"/>
                <w:szCs w:val="24"/>
              </w:rPr>
              <w:t>园区污水管网</w:t>
            </w:r>
            <w:r>
              <w:rPr>
                <w:color w:val="auto"/>
                <w:sz w:val="24"/>
                <w:szCs w:val="24"/>
              </w:rPr>
              <w:t>，最终进入</w:t>
            </w:r>
            <w:r>
              <w:rPr>
                <w:rFonts w:hint="eastAsia"/>
                <w:color w:val="auto"/>
                <w:kern w:val="0"/>
                <w:sz w:val="24"/>
                <w:lang w:val="en-US" w:eastAsia="zh-CN"/>
              </w:rPr>
              <w:t>固原经济技术开发区新材料产业园污水处理厂进行处理</w:t>
            </w:r>
            <w:r>
              <w:rPr>
                <w:rFonts w:hint="eastAsia"/>
                <w:color w:val="auto"/>
                <w:sz w:val="24"/>
                <w:szCs w:val="24"/>
                <w:lang w:eastAsia="zh-CN"/>
              </w:rPr>
              <w:t>；</w:t>
            </w:r>
            <w:r>
              <w:rPr>
                <w:rFonts w:hint="eastAsia"/>
                <w:color w:val="auto"/>
                <w:sz w:val="24"/>
                <w:szCs w:val="24"/>
                <w:lang w:val="en-US" w:eastAsia="zh-CN"/>
              </w:rPr>
              <w:t>项目</w:t>
            </w:r>
            <w:r>
              <w:rPr>
                <w:rFonts w:hint="eastAsia" w:ascii="Times New Roman" w:hAnsi="Times New Roman" w:eastAsia="宋体" w:cs="Times New Roman"/>
                <w:color w:val="auto"/>
                <w:kern w:val="0"/>
                <w:sz w:val="24"/>
                <w:szCs w:val="24"/>
                <w:lang w:val="en-US" w:eastAsia="zh-CN"/>
              </w:rPr>
              <w:t>厂区</w:t>
            </w:r>
            <w:r>
              <w:rPr>
                <w:rFonts w:hint="eastAsia" w:ascii="Times New Roman" w:hAnsi="Times New Roman" w:eastAsia="宋体" w:cs="Times New Roman"/>
                <w:color w:val="auto"/>
                <w:sz w:val="24"/>
                <w:szCs w:val="24"/>
                <w:lang w:val="en-US" w:eastAsia="zh-CN"/>
              </w:rPr>
              <w:t>采取</w:t>
            </w:r>
            <w:r>
              <w:rPr>
                <w:rFonts w:hint="default" w:ascii="Times New Roman" w:hAnsi="Times New Roman" w:eastAsia="宋体" w:cs="Times New Roman"/>
                <w:color w:val="auto"/>
                <w:sz w:val="24"/>
                <w:szCs w:val="24"/>
                <w:lang w:eastAsia="zh-CN"/>
              </w:rPr>
              <w:t>分区防渗</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其中，危废贮存点为重点防渗区，</w:t>
            </w:r>
            <w:r>
              <w:rPr>
                <w:rFonts w:hint="default"/>
                <w:color w:val="auto"/>
                <w:sz w:val="24"/>
                <w:szCs w:val="24"/>
              </w:rPr>
              <w:t>废活性炭经密封包装后、废润滑油由密闭储油桶收集后与废润滑油桶均置于托盘上</w:t>
            </w:r>
            <w:r>
              <w:rPr>
                <w:rFonts w:hint="eastAsia"/>
                <w:color w:val="auto"/>
                <w:sz w:val="24"/>
                <w:szCs w:val="24"/>
                <w:lang w:eastAsia="zh-CN"/>
              </w:rPr>
              <w:t>，</w:t>
            </w:r>
            <w:r>
              <w:rPr>
                <w:rFonts w:hint="default"/>
                <w:color w:val="auto"/>
                <w:sz w:val="24"/>
                <w:szCs w:val="24"/>
                <w:lang w:eastAsia="zh-CN"/>
              </w:rPr>
              <w:t>危险废物不与地面直接接触</w:t>
            </w:r>
            <w:r>
              <w:rPr>
                <w:rFonts w:hint="eastAsia"/>
                <w:color w:val="auto"/>
                <w:sz w:val="24"/>
                <w:szCs w:val="24"/>
                <w:lang w:eastAsia="zh-CN"/>
              </w:rPr>
              <w:t>。</w:t>
            </w:r>
            <w:r>
              <w:rPr>
                <w:rFonts w:hint="eastAsia"/>
                <w:color w:val="auto"/>
                <w:sz w:val="24"/>
                <w:szCs w:val="24"/>
              </w:rPr>
              <w:t>危废贮存</w:t>
            </w:r>
            <w:r>
              <w:rPr>
                <w:rFonts w:hint="eastAsia"/>
                <w:color w:val="auto"/>
                <w:sz w:val="24"/>
                <w:szCs w:val="24"/>
                <w:lang w:val="en-US" w:eastAsia="zh-CN"/>
              </w:rPr>
              <w:t>点</w:t>
            </w:r>
            <w:r>
              <w:rPr>
                <w:color w:val="auto"/>
                <w:sz w:val="24"/>
                <w:szCs w:val="24"/>
              </w:rPr>
              <w:t>的地面与裙脚</w:t>
            </w:r>
            <w:r>
              <w:rPr>
                <w:rFonts w:hint="eastAsia"/>
                <w:color w:val="auto"/>
                <w:sz w:val="24"/>
                <w:szCs w:val="24"/>
                <w:lang w:val="en-US" w:eastAsia="zh-CN"/>
              </w:rPr>
              <w:t>应</w:t>
            </w:r>
            <w:r>
              <w:rPr>
                <w:color w:val="auto"/>
                <w:sz w:val="24"/>
                <w:szCs w:val="24"/>
              </w:rPr>
              <w:t>采取</w:t>
            </w:r>
            <w:r>
              <w:rPr>
                <w:rFonts w:hint="eastAsia"/>
                <w:color w:val="auto"/>
                <w:sz w:val="24"/>
                <w:szCs w:val="24"/>
                <w:lang w:val="en-US" w:eastAsia="zh-CN"/>
              </w:rPr>
              <w:t>表面</w:t>
            </w:r>
            <w:r>
              <w:rPr>
                <w:color w:val="auto"/>
                <w:sz w:val="24"/>
                <w:szCs w:val="24"/>
              </w:rPr>
              <w:t>防渗措施</w:t>
            </w:r>
            <w:r>
              <w:rPr>
                <w:rFonts w:hint="eastAsia"/>
                <w:color w:val="auto"/>
                <w:sz w:val="24"/>
                <w:szCs w:val="24"/>
                <w:lang w:eastAsia="zh-CN"/>
              </w:rPr>
              <w:t>；</w:t>
            </w:r>
            <w:r>
              <w:rPr>
                <w:rFonts w:hint="eastAsia"/>
                <w:color w:val="auto"/>
                <w:sz w:val="24"/>
                <w:szCs w:val="24"/>
                <w:lang w:val="en-US" w:eastAsia="zh-CN"/>
              </w:rPr>
              <w:t>表面防渗材料应与所接触的物料或污染物相容，可采用抗渗混凝土、高密度聚乙烯膜、钠基膨润土防水毯或其他防渗性能等效的材料</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其余</w:t>
            </w:r>
            <w:r>
              <w:rPr>
                <w:color w:val="auto"/>
                <w:sz w:val="24"/>
                <w:szCs w:val="24"/>
              </w:rPr>
              <w:t>区域为简单防渗区，采取一般</w:t>
            </w:r>
            <w:r>
              <w:rPr>
                <w:rFonts w:hint="eastAsia"/>
                <w:color w:val="auto"/>
                <w:sz w:val="24"/>
                <w:szCs w:val="24"/>
                <w:lang w:eastAsia="zh-CN"/>
              </w:rPr>
              <w:t>水泥</w:t>
            </w:r>
            <w:r>
              <w:rPr>
                <w:color w:val="auto"/>
                <w:sz w:val="24"/>
                <w:szCs w:val="24"/>
              </w:rPr>
              <w:t>硬化措施，对土壤、地下水的影响较小</w:t>
            </w:r>
            <w:r>
              <w:rPr>
                <w:snapToGrid w:val="0"/>
                <w:color w:val="auto"/>
                <w:kern w:val="0"/>
                <w:sz w:val="24"/>
                <w:szCs w:val="24"/>
                <w:lang w:bidi="en-US"/>
              </w:rPr>
              <w:t>。</w:t>
            </w:r>
            <w:r>
              <w:rPr>
                <w:rFonts w:hint="default" w:ascii="Times New Roman" w:hAnsi="Times New Roman" w:eastAsia="宋体" w:cs="Times New Roman"/>
                <w:color w:val="auto"/>
                <w:sz w:val="24"/>
                <w:szCs w:val="24"/>
              </w:rPr>
              <w:t>综上，本项目无地下水、土壤污染源及污染途径，本次不对地下水、污染进行分析。</w:t>
            </w:r>
          </w:p>
          <w:p w14:paraId="3808B252">
            <w:pPr>
              <w:pStyle w:val="51"/>
              <w:keepNext w:val="0"/>
              <w:keepLines w:val="0"/>
              <w:pageBreakBefore w:val="0"/>
              <w:kinsoku/>
              <w:wordWrap/>
              <w:overflowPunct/>
              <w:topLinePunct w:val="0"/>
              <w:bidi w:val="0"/>
              <w:adjustRightInd w:val="0"/>
              <w:snapToGrid w:val="0"/>
              <w:spacing w:line="336" w:lineRule="auto"/>
              <w:ind w:firstLine="482"/>
              <w:jc w:val="both"/>
              <w:textAlignment w:val="auto"/>
              <w:rPr>
                <w:rFonts w:hint="default" w:ascii="Times New Roman" w:hAnsi="Times New Roman" w:eastAsia="宋体" w:cs="Times New Roman"/>
                <w:b/>
                <w:snapToGrid/>
                <w:color w:val="auto"/>
                <w:szCs w:val="24"/>
                <w:lang w:eastAsia="zh-CN"/>
              </w:rPr>
            </w:pPr>
            <w:r>
              <w:rPr>
                <w:rFonts w:hint="default" w:ascii="Times New Roman" w:hAnsi="Times New Roman" w:eastAsia="宋体" w:cs="Times New Roman"/>
                <w:b/>
                <w:snapToGrid/>
                <w:color w:val="auto"/>
                <w:szCs w:val="24"/>
                <w:lang w:eastAsia="zh-CN"/>
              </w:rPr>
              <w:t>六、生态</w:t>
            </w:r>
          </w:p>
          <w:p w14:paraId="294C172A">
            <w:pPr>
              <w:keepNext w:val="0"/>
              <w:keepLines w:val="0"/>
              <w:pageBreakBefore w:val="0"/>
              <w:kinsoku/>
              <w:wordWrap/>
              <w:overflowPunct/>
              <w:topLinePunct w:val="0"/>
              <w:autoSpaceDE w:val="0"/>
              <w:autoSpaceDN w:val="0"/>
              <w:bidi w:val="0"/>
              <w:adjustRightInd w:val="0"/>
              <w:snapToGrid w:val="0"/>
              <w:spacing w:line="336" w:lineRule="auto"/>
              <w:ind w:firstLine="480" w:firstLineChars="200"/>
              <w:jc w:val="both"/>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w:t>
            </w:r>
            <w:r>
              <w:rPr>
                <w:rFonts w:hint="eastAsia" w:ascii="Times New Roman" w:hAnsi="Times New Roman" w:eastAsia="宋体" w:cs="Times New Roman"/>
                <w:color w:val="auto"/>
                <w:kern w:val="0"/>
                <w:sz w:val="24"/>
                <w:lang w:val="en-US" w:eastAsia="zh-CN"/>
              </w:rPr>
              <w:t>位于固原市经济开发区新材料园区，租赁宁夏天楹环保有限公司</w:t>
            </w:r>
            <w:r>
              <w:rPr>
                <w:rFonts w:hint="default" w:ascii="Times New Roman" w:hAnsi="Times New Roman" w:eastAsia="宋体" w:cs="Times New Roman"/>
                <w:color w:val="auto"/>
                <w:kern w:val="0"/>
                <w:sz w:val="24"/>
              </w:rPr>
              <w:t>内</w:t>
            </w:r>
            <w:r>
              <w:rPr>
                <w:rFonts w:hint="eastAsia" w:ascii="Times New Roman" w:hAnsi="Times New Roman" w:eastAsia="宋体" w:cs="Times New Roman"/>
                <w:color w:val="auto"/>
                <w:kern w:val="0"/>
                <w:sz w:val="24"/>
                <w:lang w:val="en-US" w:eastAsia="zh-CN"/>
              </w:rPr>
              <w:t>现有空地</w:t>
            </w:r>
            <w:r>
              <w:rPr>
                <w:rFonts w:hint="default" w:ascii="Times New Roman" w:hAnsi="Times New Roman" w:eastAsia="宋体" w:cs="Times New Roman"/>
                <w:color w:val="auto"/>
                <w:kern w:val="0"/>
                <w:sz w:val="24"/>
              </w:rPr>
              <w:t>，用地性质为工业用地，本次不进行生态环境影响评价。</w:t>
            </w:r>
          </w:p>
          <w:p w14:paraId="67593F9A">
            <w:pPr>
              <w:pStyle w:val="51"/>
              <w:keepNext w:val="0"/>
              <w:keepLines w:val="0"/>
              <w:pageBreakBefore w:val="0"/>
              <w:widowControl/>
              <w:kinsoku/>
              <w:wordWrap/>
              <w:overflowPunct/>
              <w:topLinePunct w:val="0"/>
              <w:autoSpaceDE/>
              <w:autoSpaceDN/>
              <w:bidi w:val="0"/>
              <w:adjustRightInd w:val="0"/>
              <w:snapToGrid w:val="0"/>
              <w:spacing w:line="336" w:lineRule="auto"/>
              <w:ind w:firstLine="482"/>
              <w:jc w:val="both"/>
              <w:textAlignment w:val="auto"/>
              <w:rPr>
                <w:rFonts w:hint="default" w:ascii="Times New Roman" w:hAnsi="Times New Roman" w:eastAsia="宋体" w:cs="Times New Roman"/>
                <w:b/>
                <w:snapToGrid/>
                <w:color w:val="auto"/>
                <w:szCs w:val="24"/>
                <w:lang w:eastAsia="zh-CN"/>
              </w:rPr>
            </w:pPr>
            <w:r>
              <w:rPr>
                <w:rFonts w:hint="default" w:ascii="Times New Roman" w:hAnsi="Times New Roman" w:eastAsia="宋体" w:cs="Times New Roman"/>
                <w:b/>
                <w:snapToGrid/>
                <w:color w:val="auto"/>
                <w:szCs w:val="24"/>
                <w:lang w:eastAsia="zh-CN"/>
              </w:rPr>
              <w:t>七、环境风险</w:t>
            </w:r>
          </w:p>
          <w:p w14:paraId="510F6346">
            <w:pPr>
              <w:keepNext w:val="0"/>
              <w:keepLines w:val="0"/>
              <w:pageBreakBefore w:val="0"/>
              <w:widowControl w:val="0"/>
              <w:kinsoku/>
              <w:wordWrap/>
              <w:overflowPunct/>
              <w:topLinePunct w:val="0"/>
              <w:autoSpaceDE w:val="0"/>
              <w:autoSpaceDN w:val="0"/>
              <w:bidi w:val="0"/>
              <w:adjustRightInd w:val="0"/>
              <w:snapToGrid w:val="0"/>
              <w:spacing w:line="336" w:lineRule="auto"/>
              <w:ind w:firstLine="482" w:firstLineChars="200"/>
              <w:jc w:val="both"/>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㈠风险物质识别</w:t>
            </w:r>
          </w:p>
          <w:p w14:paraId="4FF2CB0C">
            <w:pPr>
              <w:keepNext w:val="0"/>
              <w:keepLines w:val="0"/>
              <w:pageBreakBefore w:val="0"/>
              <w:widowControl w:val="0"/>
              <w:kinsoku/>
              <w:wordWrap/>
              <w:overflowPunct/>
              <w:topLinePunct w:val="0"/>
              <w:autoSpaceDE w:val="0"/>
              <w:autoSpaceDN w:val="0"/>
              <w:bidi w:val="0"/>
              <w:adjustRightInd w:val="0"/>
              <w:snapToGrid w:val="0"/>
              <w:spacing w:line="336" w:lineRule="auto"/>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rPr>
              <w:t>根据《建设项目环境风险评价技术导则》（HJ169-2018）附录B，对本项目原料、产品、污染物等进行风险识别，</w:t>
            </w:r>
            <w:r>
              <w:rPr>
                <w:rFonts w:hint="default" w:ascii="Times New Roman" w:hAnsi="Times New Roman" w:eastAsia="宋体" w:cs="Times New Roman"/>
                <w:color w:val="auto"/>
                <w:kern w:val="0"/>
                <w:sz w:val="24"/>
                <w:szCs w:val="24"/>
                <w:highlight w:val="none"/>
              </w:rPr>
              <w:t>则本项目涉及的危险物质主要为</w:t>
            </w:r>
            <w:r>
              <w:rPr>
                <w:rFonts w:hint="eastAsia" w:ascii="Times New Roman" w:hAnsi="Times New Roman" w:eastAsia="宋体" w:cs="Times New Roman"/>
                <w:color w:val="auto"/>
                <w:kern w:val="0"/>
                <w:sz w:val="24"/>
                <w:szCs w:val="24"/>
                <w:highlight w:val="none"/>
                <w:lang w:val="en-US" w:eastAsia="zh-CN"/>
              </w:rPr>
              <w:t>废润滑油</w:t>
            </w:r>
            <w:r>
              <w:rPr>
                <w:rFonts w:hint="eastAsia"/>
                <w:color w:val="auto"/>
                <w:sz w:val="24"/>
                <w:szCs w:val="24"/>
                <w:highlight w:val="none"/>
                <w:lang w:eastAsia="zh-CN"/>
              </w:rPr>
              <w:t>、</w:t>
            </w:r>
            <w:r>
              <w:rPr>
                <w:rFonts w:hint="eastAsia"/>
                <w:color w:val="auto"/>
                <w:sz w:val="24"/>
                <w:szCs w:val="24"/>
                <w:highlight w:val="none"/>
                <w:lang w:val="en-US" w:eastAsia="zh-CN"/>
              </w:rPr>
              <w:t>戊烷</w:t>
            </w:r>
            <w:r>
              <w:rPr>
                <w:rFonts w:hint="default" w:ascii="Times New Roman" w:hAnsi="Times New Roman" w:eastAsia="宋体" w:cs="Times New Roman"/>
                <w:color w:val="auto"/>
                <w:kern w:val="0"/>
                <w:sz w:val="24"/>
                <w:szCs w:val="24"/>
                <w:highlight w:val="none"/>
              </w:rPr>
              <w:t>。</w:t>
            </w:r>
            <w:r>
              <w:rPr>
                <w:rFonts w:hint="eastAsia" w:cs="Times New Roman"/>
                <w:color w:val="auto"/>
                <w:kern w:val="0"/>
                <w:sz w:val="24"/>
                <w:szCs w:val="24"/>
                <w:highlight w:val="none"/>
                <w:lang w:val="en-US" w:eastAsia="zh-CN"/>
              </w:rPr>
              <w:t>本项目建成后全厂废润滑油的最大存在量为0.03t；可发性聚苯乙烯颗粒（EPS）的成分中含有约5%的发泡剂（戊烷），本项目建成后全厂可发性聚苯乙烯颗粒（EPS）的使用量为1285.23t，戊烷的产生量为64.26t。建设单位在原料及成品仓库中一次性存贮可发性聚苯乙烯颗粒（EPS）的量为22t，则戊烷的最大存在量为1.1t。</w:t>
            </w:r>
            <w:r>
              <w:rPr>
                <w:rFonts w:hint="default" w:ascii="Times New Roman" w:hAnsi="Times New Roman" w:eastAsia="宋体" w:cs="Times New Roman"/>
                <w:color w:val="auto"/>
                <w:kern w:val="0"/>
                <w:sz w:val="24"/>
                <w:szCs w:val="24"/>
                <w:highlight w:val="none"/>
              </w:rPr>
              <w:t>项目涉及的风险物质临界量比值情况见下表。</w:t>
            </w:r>
          </w:p>
          <w:p w14:paraId="78C42604">
            <w:pPr>
              <w:autoSpaceDE w:val="0"/>
              <w:autoSpaceDN w:val="0"/>
              <w:adjustRightInd w:val="0"/>
              <w:snapToGrid w:val="0"/>
              <w:ind w:firstLine="420" w:firstLineChars="200"/>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Cs/>
                <w:color w:val="auto"/>
                <w:highlight w:val="none"/>
              </w:rPr>
              <w:t>表</w:t>
            </w:r>
            <w:r>
              <w:rPr>
                <w:rFonts w:hint="eastAsia" w:ascii="Times New Roman" w:hAnsi="Times New Roman" w:eastAsia="宋体" w:cs="Times New Roman"/>
                <w:bCs/>
                <w:color w:val="auto"/>
                <w:highlight w:val="none"/>
                <w:lang w:val="en-US" w:eastAsia="zh-CN"/>
              </w:rPr>
              <w:t>4-2</w:t>
            </w:r>
            <w:r>
              <w:rPr>
                <w:rFonts w:hint="eastAsia" w:cs="Times New Roman"/>
                <w:bCs/>
                <w:color w:val="auto"/>
                <w:highlight w:val="none"/>
                <w:lang w:val="en-US" w:eastAsia="zh-CN"/>
              </w:rPr>
              <w:t>2</w:t>
            </w:r>
            <w:r>
              <w:rPr>
                <w:rFonts w:hint="default" w:ascii="Times New Roman" w:hAnsi="Times New Roman" w:eastAsia="宋体" w:cs="Times New Roman"/>
                <w:b/>
                <w:bCs/>
                <w:color w:val="auto"/>
                <w:sz w:val="24"/>
                <w:szCs w:val="24"/>
                <w:highlight w:val="none"/>
              </w:rPr>
              <w:t xml:space="preserve">        本项目危险物质数量与临界量比值Q一览表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8"/>
              <w:gridCol w:w="2144"/>
              <w:gridCol w:w="1073"/>
              <w:gridCol w:w="1475"/>
              <w:gridCol w:w="1488"/>
              <w:gridCol w:w="1402"/>
            </w:tblGrid>
            <w:tr w14:paraId="5FAEC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8" w:type="dxa"/>
                  <w:noWrap w:val="0"/>
                  <w:vAlign w:val="center"/>
                </w:tcPr>
                <w:p w14:paraId="7BFB03BB">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2144" w:type="dxa"/>
                  <w:noWrap w:val="0"/>
                  <w:vAlign w:val="center"/>
                </w:tcPr>
                <w:p w14:paraId="21A9DA51">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危险物质名称</w:t>
                  </w:r>
                </w:p>
              </w:tc>
              <w:tc>
                <w:tcPr>
                  <w:tcW w:w="1073" w:type="dxa"/>
                  <w:noWrap w:val="0"/>
                  <w:vAlign w:val="center"/>
                </w:tcPr>
                <w:p w14:paraId="282700E2">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CAS号</w:t>
                  </w:r>
                </w:p>
              </w:tc>
              <w:tc>
                <w:tcPr>
                  <w:tcW w:w="1475" w:type="dxa"/>
                  <w:noWrap w:val="0"/>
                  <w:vAlign w:val="center"/>
                </w:tcPr>
                <w:p w14:paraId="565FD073">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最大存在总量qn/t</w:t>
                  </w:r>
                </w:p>
              </w:tc>
              <w:tc>
                <w:tcPr>
                  <w:tcW w:w="1488" w:type="dxa"/>
                  <w:noWrap w:val="0"/>
                  <w:vAlign w:val="center"/>
                </w:tcPr>
                <w:p w14:paraId="33879548">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临界量Qn/t</w:t>
                  </w:r>
                </w:p>
              </w:tc>
              <w:tc>
                <w:tcPr>
                  <w:tcW w:w="1402" w:type="dxa"/>
                  <w:noWrap w:val="0"/>
                  <w:vAlign w:val="center"/>
                </w:tcPr>
                <w:p w14:paraId="73D2FFCA">
                  <w:pPr>
                    <w:adjustRightInd w:val="0"/>
                    <w:snapToGrid w:val="0"/>
                    <w:spacing w:line="0" w:lineRule="atLeas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该种危险物质Q值</w:t>
                  </w:r>
                </w:p>
              </w:tc>
            </w:tr>
            <w:tr w14:paraId="1A551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638" w:type="dxa"/>
                  <w:noWrap w:val="0"/>
                  <w:vAlign w:val="center"/>
                </w:tcPr>
                <w:p w14:paraId="5E7101BC">
                  <w:pPr>
                    <w:pStyle w:val="68"/>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44" w:type="dxa"/>
                  <w:noWrap w:val="0"/>
                  <w:vAlign w:val="center"/>
                </w:tcPr>
                <w:p w14:paraId="226ED2B8">
                  <w:pPr>
                    <w:pStyle w:val="68"/>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油类物质（废润滑油）</w:t>
                  </w:r>
                </w:p>
              </w:tc>
              <w:tc>
                <w:tcPr>
                  <w:tcW w:w="1073" w:type="dxa"/>
                  <w:noWrap w:val="0"/>
                  <w:vAlign w:val="center"/>
                </w:tcPr>
                <w:p w14:paraId="3EBCA78D">
                  <w:pPr>
                    <w:pStyle w:val="68"/>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Cs/>
                      <w:color w:val="auto"/>
                      <w:sz w:val="21"/>
                      <w:szCs w:val="21"/>
                      <w:highlight w:val="none"/>
                    </w:rPr>
                    <w:t>1310-73-2</w:t>
                  </w:r>
                </w:p>
              </w:tc>
              <w:tc>
                <w:tcPr>
                  <w:tcW w:w="1475" w:type="dxa"/>
                  <w:noWrap w:val="0"/>
                  <w:vAlign w:val="center"/>
                </w:tcPr>
                <w:p w14:paraId="0A1DC000">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0.0</w:t>
                  </w:r>
                  <w:r>
                    <w:rPr>
                      <w:rFonts w:hint="eastAsia" w:cs="Times New Roman"/>
                      <w:color w:val="auto"/>
                      <w:sz w:val="21"/>
                      <w:szCs w:val="21"/>
                      <w:highlight w:val="none"/>
                      <w:lang w:val="en-US" w:eastAsia="zh-CN"/>
                    </w:rPr>
                    <w:t>3</w:t>
                  </w:r>
                </w:p>
              </w:tc>
              <w:tc>
                <w:tcPr>
                  <w:tcW w:w="1488" w:type="dxa"/>
                  <w:noWrap w:val="0"/>
                  <w:vAlign w:val="center"/>
                </w:tcPr>
                <w:p w14:paraId="11BC7FC4">
                  <w:pPr>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2500</w:t>
                  </w:r>
                </w:p>
              </w:tc>
              <w:tc>
                <w:tcPr>
                  <w:tcW w:w="1402" w:type="dxa"/>
                  <w:noWrap w:val="0"/>
                  <w:vAlign w:val="center"/>
                </w:tcPr>
                <w:p w14:paraId="78E35342">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0.0000</w:t>
                  </w:r>
                  <w:r>
                    <w:rPr>
                      <w:rFonts w:hint="eastAsia" w:cs="Times New Roman"/>
                      <w:color w:val="auto"/>
                      <w:sz w:val="21"/>
                      <w:szCs w:val="21"/>
                      <w:highlight w:val="none"/>
                      <w:lang w:val="en-US" w:eastAsia="zh-CN"/>
                    </w:rPr>
                    <w:t>12</w:t>
                  </w:r>
                </w:p>
              </w:tc>
            </w:tr>
            <w:tr w14:paraId="444B5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638" w:type="dxa"/>
                  <w:noWrap w:val="0"/>
                  <w:vAlign w:val="center"/>
                </w:tcPr>
                <w:p w14:paraId="727D215F">
                  <w:pPr>
                    <w:pStyle w:val="68"/>
                    <w:spacing w:line="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2144" w:type="dxa"/>
                  <w:noWrap w:val="0"/>
                  <w:vAlign w:val="center"/>
                </w:tcPr>
                <w:p w14:paraId="39A83A62">
                  <w:pPr>
                    <w:pStyle w:val="68"/>
                    <w:spacing w:line="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戊烷</w:t>
                  </w:r>
                </w:p>
              </w:tc>
              <w:tc>
                <w:tcPr>
                  <w:tcW w:w="1073" w:type="dxa"/>
                  <w:noWrap w:val="0"/>
                  <w:vAlign w:val="center"/>
                </w:tcPr>
                <w:p w14:paraId="0545E69D">
                  <w:pPr>
                    <w:pStyle w:val="68"/>
                    <w:spacing w:line="0" w:lineRule="atLeast"/>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109-66-0</w:t>
                  </w:r>
                </w:p>
              </w:tc>
              <w:tc>
                <w:tcPr>
                  <w:tcW w:w="1475" w:type="dxa"/>
                  <w:noWrap w:val="0"/>
                  <w:vAlign w:val="center"/>
                </w:tcPr>
                <w:p w14:paraId="127514EA">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1488" w:type="dxa"/>
                  <w:noWrap w:val="0"/>
                  <w:vAlign w:val="center"/>
                </w:tcPr>
                <w:p w14:paraId="0B2C92B5">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1402" w:type="dxa"/>
                  <w:noWrap w:val="0"/>
                  <w:vAlign w:val="center"/>
                </w:tcPr>
                <w:p w14:paraId="74DEEF75">
                  <w:pPr>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0.11</w:t>
                  </w:r>
                </w:p>
              </w:tc>
            </w:tr>
            <w:tr w14:paraId="0FA0E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818" w:type="dxa"/>
                  <w:gridSpan w:val="5"/>
                  <w:noWrap w:val="0"/>
                  <w:vAlign w:val="center"/>
                </w:tcPr>
                <w:p w14:paraId="5999023A">
                  <w:pPr>
                    <w:adjustRightInd w:val="0"/>
                    <w:snapToGrid w:val="0"/>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本项目Q值Σ</w:t>
                  </w:r>
                </w:p>
              </w:tc>
              <w:tc>
                <w:tcPr>
                  <w:tcW w:w="1402" w:type="dxa"/>
                  <w:noWrap w:val="0"/>
                  <w:vAlign w:val="center"/>
                </w:tcPr>
                <w:p w14:paraId="52D06ED9">
                  <w:pPr>
                    <w:pStyle w:val="24"/>
                    <w:adjustRightInd w:val="0"/>
                    <w:snapToGrid w:val="0"/>
                    <w:spacing w:line="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110012</w:t>
                  </w:r>
                </w:p>
              </w:tc>
            </w:tr>
          </w:tbl>
          <w:p w14:paraId="7A2868CC">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根据计算，本项目Q值为</w:t>
            </w:r>
            <w:r>
              <w:rPr>
                <w:rFonts w:hint="eastAsia"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110012</w:t>
            </w:r>
            <w:r>
              <w:rPr>
                <w:rFonts w:hint="eastAsia" w:ascii="Times New Roman" w:hAnsi="Times New Roman" w:eastAsia="宋体" w:cs="Times New Roman"/>
                <w:color w:val="auto"/>
                <w:kern w:val="0"/>
                <w:sz w:val="24"/>
                <w:szCs w:val="24"/>
                <w:lang w:val="en-US" w:eastAsia="zh-CN"/>
              </w:rPr>
              <w:t>&lt;</w:t>
            </w:r>
            <w:r>
              <w:rPr>
                <w:rFonts w:hint="default" w:ascii="Times New Roman" w:hAnsi="Times New Roman" w:eastAsia="宋体" w:cs="Times New Roman"/>
                <w:color w:val="auto"/>
                <w:kern w:val="0"/>
                <w:sz w:val="24"/>
                <w:szCs w:val="24"/>
              </w:rPr>
              <w:t>1，本次进行简单分析。</w:t>
            </w:r>
          </w:p>
          <w:p w14:paraId="7E87E23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㈡环境风险防范措施</w:t>
            </w:r>
          </w:p>
          <w:p w14:paraId="15C8D0D3">
            <w:pPr>
              <w:keepNext w:val="0"/>
              <w:keepLines w:val="0"/>
              <w:pageBreakBefore w:val="0"/>
              <w:widowControl w:val="0"/>
              <w:kinsoku/>
              <w:wordWrap/>
              <w:overflowPunct/>
              <w:topLinePunct w:val="0"/>
              <w:autoSpaceDE w:val="0"/>
              <w:bidi w:val="0"/>
              <w:adjustRightInd w:val="0"/>
              <w:snapToGrid w:val="0"/>
              <w:spacing w:line="360" w:lineRule="auto"/>
              <w:ind w:firstLine="480" w:firstLineChars="200"/>
              <w:textAlignment w:val="auto"/>
              <w:rPr>
                <w:snapToGrid w:val="0"/>
                <w:color w:val="auto"/>
                <w:kern w:val="0"/>
                <w:sz w:val="24"/>
                <w:szCs w:val="24"/>
                <w:highlight w:val="none"/>
                <w:lang w:bidi="en-US"/>
              </w:rPr>
            </w:pPr>
            <w:r>
              <w:rPr>
                <w:color w:val="auto"/>
                <w:sz w:val="24"/>
              </w:rPr>
              <w:t>本项目检修过程中产生的废</w:t>
            </w:r>
            <w:r>
              <w:rPr>
                <w:rFonts w:hint="eastAsia"/>
                <w:color w:val="auto"/>
                <w:sz w:val="24"/>
                <w:lang w:eastAsia="zh-CN"/>
              </w:rPr>
              <w:t>润滑油</w:t>
            </w:r>
            <w:r>
              <w:rPr>
                <w:rFonts w:hint="eastAsia"/>
                <w:color w:val="auto"/>
                <w:sz w:val="24"/>
              </w:rPr>
              <w:t>采用专用闭口储油桶收集</w:t>
            </w:r>
            <w:r>
              <w:rPr>
                <w:rFonts w:hint="eastAsia"/>
                <w:color w:val="auto"/>
                <w:sz w:val="24"/>
                <w:highlight w:val="none"/>
                <w:lang w:eastAsia="zh-CN"/>
              </w:rPr>
              <w:t>，</w:t>
            </w:r>
            <w:r>
              <w:rPr>
                <w:rFonts w:hint="eastAsia"/>
                <w:color w:val="auto"/>
                <w:sz w:val="24"/>
                <w:highlight w:val="none"/>
                <w:lang w:val="en-US" w:eastAsia="zh-CN"/>
              </w:rPr>
              <w:t>废润滑油桶由托盘收集</w:t>
            </w:r>
            <w:r>
              <w:rPr>
                <w:rFonts w:hint="eastAsia"/>
                <w:color w:val="auto"/>
                <w:sz w:val="24"/>
                <w:highlight w:val="none"/>
                <w:lang w:eastAsia="zh-CN"/>
              </w:rPr>
              <w:t>，</w:t>
            </w:r>
            <w:r>
              <w:rPr>
                <w:rFonts w:hint="eastAsia"/>
                <w:color w:val="auto"/>
                <w:sz w:val="24"/>
                <w:lang w:eastAsia="zh-CN"/>
              </w:rPr>
              <w:t>分区暂存</w:t>
            </w:r>
            <w:r>
              <w:rPr>
                <w:rFonts w:hint="eastAsia"/>
                <w:color w:val="auto"/>
                <w:sz w:val="24"/>
                <w:lang w:val="en-US" w:eastAsia="zh-CN"/>
              </w:rPr>
              <w:t>于</w:t>
            </w:r>
            <w:r>
              <w:rPr>
                <w:rFonts w:hint="eastAsia"/>
                <w:color w:val="auto"/>
                <w:sz w:val="24"/>
                <w:lang w:eastAsia="zh-CN"/>
              </w:rPr>
              <w:t>危废贮存点</w:t>
            </w:r>
            <w:r>
              <w:rPr>
                <w:rFonts w:hint="eastAsia" w:cs="Times New Roman"/>
                <w:color w:val="auto"/>
                <w:sz w:val="24"/>
                <w:szCs w:val="24"/>
                <w:lang w:val="en-US" w:eastAsia="zh-CN"/>
              </w:rPr>
              <w:t>（1座，10m</w:t>
            </w:r>
            <w:r>
              <w:rPr>
                <w:rFonts w:hint="eastAsia" w:cs="Times New Roman"/>
                <w:color w:val="auto"/>
                <w:sz w:val="24"/>
                <w:szCs w:val="24"/>
                <w:vertAlign w:val="superscript"/>
                <w:lang w:val="en-US" w:eastAsia="zh-CN"/>
              </w:rPr>
              <w:t>2</w:t>
            </w:r>
            <w:r>
              <w:rPr>
                <w:rFonts w:hint="eastAsia" w:cs="Times New Roman"/>
                <w:color w:val="auto"/>
                <w:sz w:val="24"/>
                <w:szCs w:val="24"/>
                <w:lang w:val="en-US" w:eastAsia="zh-CN"/>
              </w:rPr>
              <w:t>）</w:t>
            </w:r>
            <w:r>
              <w:rPr>
                <w:rFonts w:hint="eastAsia"/>
                <w:color w:val="auto"/>
                <w:sz w:val="24"/>
                <w:lang w:eastAsia="zh-CN"/>
              </w:rPr>
              <w:t>，</w:t>
            </w:r>
            <w:r>
              <w:rPr>
                <w:color w:val="auto"/>
                <w:sz w:val="24"/>
              </w:rPr>
              <w:t>定期交由</w:t>
            </w:r>
            <w:r>
              <w:rPr>
                <w:rFonts w:hint="eastAsia"/>
                <w:color w:val="auto"/>
                <w:sz w:val="24"/>
                <w:lang w:val="en-US" w:eastAsia="zh-CN"/>
              </w:rPr>
              <w:t>有资质单位</w:t>
            </w:r>
            <w:r>
              <w:rPr>
                <w:color w:val="auto"/>
                <w:sz w:val="24"/>
              </w:rPr>
              <w:t>进行处置。</w:t>
            </w:r>
            <w:r>
              <w:rPr>
                <w:color w:val="auto"/>
                <w:sz w:val="24"/>
                <w:szCs w:val="24"/>
                <w:highlight w:val="none"/>
              </w:rPr>
              <w:t>同时还需采取以下措施：</w:t>
            </w:r>
          </w:p>
          <w:p w14:paraId="50ED1415">
            <w:pPr>
              <w:keepNext w:val="0"/>
              <w:keepLines w:val="0"/>
              <w:pageBreakBefore w:val="0"/>
              <w:widowControl w:val="0"/>
              <w:kinsoku/>
              <w:wordWrap/>
              <w:overflowPunct/>
              <w:topLinePunct w:val="0"/>
              <w:autoSpaceDE w:val="0"/>
              <w:bidi w:val="0"/>
              <w:adjustRightInd w:val="0"/>
              <w:snapToGrid w:val="0"/>
              <w:spacing w:line="360" w:lineRule="auto"/>
              <w:ind w:firstLine="480" w:firstLineChars="200"/>
              <w:textAlignment w:val="auto"/>
              <w:rPr>
                <w:snapToGrid w:val="0"/>
                <w:color w:val="auto"/>
                <w:kern w:val="0"/>
                <w:sz w:val="24"/>
                <w:szCs w:val="24"/>
                <w:highlight w:val="none"/>
                <w:lang w:bidi="en-US"/>
              </w:rPr>
            </w:pPr>
            <w:r>
              <w:rPr>
                <w:snapToGrid w:val="0"/>
                <w:color w:val="auto"/>
                <w:kern w:val="0"/>
                <w:sz w:val="24"/>
                <w:szCs w:val="24"/>
                <w:highlight w:val="none"/>
                <w:lang w:bidi="en-US"/>
              </w:rPr>
              <w:t>⑴建设单位应做好防渗措施，并加强巡查，发现泄漏及时采取堵截、补漏措施。</w:t>
            </w:r>
          </w:p>
          <w:p w14:paraId="073A3D7A">
            <w:pPr>
              <w:keepNext w:val="0"/>
              <w:keepLines w:val="0"/>
              <w:pageBreakBefore w:val="0"/>
              <w:widowControl w:val="0"/>
              <w:kinsoku/>
              <w:wordWrap/>
              <w:overflowPunct/>
              <w:topLinePunct w:val="0"/>
              <w:autoSpaceDE w:val="0"/>
              <w:bidi w:val="0"/>
              <w:adjustRightInd w:val="0"/>
              <w:snapToGrid w:val="0"/>
              <w:spacing w:line="360" w:lineRule="auto"/>
              <w:ind w:firstLine="480" w:firstLineChars="200"/>
              <w:textAlignment w:val="auto"/>
              <w:rPr>
                <w:snapToGrid w:val="0"/>
                <w:color w:val="auto"/>
                <w:kern w:val="0"/>
                <w:sz w:val="24"/>
                <w:szCs w:val="24"/>
                <w:highlight w:val="none"/>
                <w:lang w:bidi="en-US"/>
              </w:rPr>
            </w:pPr>
            <w:r>
              <w:rPr>
                <w:snapToGrid w:val="0"/>
                <w:color w:val="auto"/>
                <w:kern w:val="0"/>
                <w:sz w:val="24"/>
                <w:szCs w:val="24"/>
                <w:highlight w:val="none"/>
                <w:lang w:bidi="en-US"/>
              </w:rPr>
              <w:t>⑵制定完备的安全防范措施，尽可能降低项目环境风险事故发生的概率。</w:t>
            </w:r>
          </w:p>
          <w:p w14:paraId="7988E104">
            <w:pPr>
              <w:keepNext w:val="0"/>
              <w:keepLines w:val="0"/>
              <w:pageBreakBefore w:val="0"/>
              <w:widowControl w:val="0"/>
              <w:kinsoku/>
              <w:wordWrap/>
              <w:overflowPunct/>
              <w:topLinePunct w:val="0"/>
              <w:autoSpaceDE w:val="0"/>
              <w:bidi w:val="0"/>
              <w:adjustRightInd w:val="0"/>
              <w:snapToGrid w:val="0"/>
              <w:spacing w:line="360" w:lineRule="auto"/>
              <w:ind w:firstLine="480" w:firstLineChars="200"/>
              <w:textAlignment w:val="auto"/>
              <w:rPr>
                <w:snapToGrid w:val="0"/>
                <w:color w:val="auto"/>
                <w:kern w:val="0"/>
                <w:sz w:val="24"/>
                <w:szCs w:val="24"/>
                <w:highlight w:val="none"/>
                <w:lang w:bidi="en-US"/>
              </w:rPr>
            </w:pPr>
            <w:r>
              <w:rPr>
                <w:snapToGrid w:val="0"/>
                <w:color w:val="auto"/>
                <w:kern w:val="0"/>
                <w:sz w:val="24"/>
                <w:szCs w:val="24"/>
                <w:highlight w:val="none"/>
                <w:lang w:bidi="en-US"/>
              </w:rPr>
              <w:t>⑶当发生废润滑油泄漏或遇明火引发火灾时，及时拨打119和（或）110报警，报警时应说清着火物质、地理位置、报警人姓名，如有人员烧伤，应迅速将烧伤人员转移到安全区域，同时拨打120急救电话。</w:t>
            </w:r>
          </w:p>
          <w:p w14:paraId="2E84930B">
            <w:pPr>
              <w:keepNext w:val="0"/>
              <w:keepLines w:val="0"/>
              <w:pageBreakBefore w:val="0"/>
              <w:widowControl w:val="0"/>
              <w:kinsoku/>
              <w:wordWrap/>
              <w:overflowPunct/>
              <w:topLinePunct w:val="0"/>
              <w:autoSpaceDE w:val="0"/>
              <w:bidi w:val="0"/>
              <w:adjustRightInd w:val="0"/>
              <w:snapToGrid w:val="0"/>
              <w:spacing w:line="360" w:lineRule="auto"/>
              <w:ind w:firstLine="480" w:firstLineChars="200"/>
              <w:textAlignment w:val="auto"/>
              <w:rPr>
                <w:snapToGrid w:val="0"/>
                <w:color w:val="auto"/>
                <w:kern w:val="0"/>
                <w:sz w:val="24"/>
                <w:szCs w:val="24"/>
                <w:highlight w:val="none"/>
                <w:lang w:bidi="en-US"/>
              </w:rPr>
            </w:pPr>
            <w:r>
              <w:rPr>
                <w:snapToGrid w:val="0"/>
                <w:color w:val="auto"/>
                <w:kern w:val="0"/>
                <w:sz w:val="24"/>
                <w:szCs w:val="24"/>
                <w:highlight w:val="none"/>
                <w:lang w:bidi="en-US"/>
              </w:rPr>
              <w:t>⑷结合项目情况，制定突发环境事件应急预案，并严格执行预案中的相关要求。</w:t>
            </w:r>
          </w:p>
          <w:p w14:paraId="27DB54CD">
            <w:pPr>
              <w:pStyle w:val="51"/>
              <w:rPr>
                <w:rFonts w:hint="default"/>
                <w:snapToGrid w:val="0"/>
                <w:color w:val="auto"/>
                <w:kern w:val="0"/>
                <w:sz w:val="24"/>
                <w:szCs w:val="20"/>
                <w:highlight w:val="none"/>
                <w:lang w:bidi="en-US"/>
              </w:rPr>
            </w:pPr>
          </w:p>
        </w:tc>
      </w:tr>
    </w:tbl>
    <w:p w14:paraId="0917F581">
      <w:pPr>
        <w:rPr>
          <w:rFonts w:hint="default"/>
          <w:color w:val="auto"/>
        </w:rPr>
        <w:sectPr>
          <w:pgSz w:w="11907" w:h="16840"/>
          <w:pgMar w:top="1701" w:right="1531" w:bottom="2127" w:left="1531" w:header="851" w:footer="851" w:gutter="0"/>
          <w:pgBorders w:offsetFrom="page">
            <w:top w:val="none" w:sz="0" w:space="0"/>
            <w:left w:val="none" w:sz="0" w:space="0"/>
            <w:bottom w:val="none" w:sz="0" w:space="0"/>
            <w:right w:val="none" w:sz="0" w:space="0"/>
          </w:pgBorders>
          <w:cols w:space="720" w:num="1"/>
          <w:docGrid w:linePitch="312" w:charSpace="0"/>
        </w:sectPr>
      </w:pPr>
    </w:p>
    <w:p w14:paraId="1C3B5E84">
      <w:pPr>
        <w:pStyle w:val="27"/>
        <w:adjustRightInd w:val="0"/>
        <w:snapToGrid w:val="0"/>
        <w:spacing w:before="0" w:beforeAutospacing="0" w:after="0" w:afterAutospacing="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2" w:name="_Hlk54167917"/>
      <w:r>
        <w:rPr>
          <w:rFonts w:hint="default" w:ascii="Times New Roman" w:hAnsi="Times New Roman" w:eastAsia="黑体" w:cs="Times New Roman"/>
          <w:snapToGrid w:val="0"/>
          <w:color w:val="auto"/>
          <w:sz w:val="30"/>
          <w:szCs w:val="30"/>
        </w:rPr>
        <w:t>环境保护措施监督检查清单</w:t>
      </w:r>
      <w:bookmarkEnd w:id="2"/>
    </w:p>
    <w:tbl>
      <w:tblPr>
        <w:tblStyle w:val="30"/>
        <w:tblW w:w="9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07"/>
        <w:gridCol w:w="908"/>
        <w:gridCol w:w="1719"/>
        <w:gridCol w:w="2450"/>
        <w:gridCol w:w="2146"/>
      </w:tblGrid>
      <w:tr w14:paraId="7FE70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3A56654C">
            <w:pPr>
              <w:adjustRightInd w:val="0"/>
              <w:snapToGrid w:val="0"/>
              <w:spacing w:line="320" w:lineRule="exact"/>
              <w:rPr>
                <w:rFonts w:hint="default"/>
                <w:b/>
                <w:bCs/>
                <w:color w:val="auto"/>
                <w:lang w:val="en-US" w:eastAsia="zh-CN"/>
              </w:rPr>
            </w:pPr>
            <w:r>
              <w:rPr>
                <w:rFonts w:hint="eastAsia"/>
                <w:b/>
                <w:bCs/>
                <w:color w:val="auto"/>
                <w:lang w:val="en-US" w:eastAsia="zh-CN"/>
              </w:rPr>
              <w:t xml:space="preserve"> 要素</w:t>
            </w:r>
          </w:p>
          <w:p w14:paraId="07C02F11">
            <w:pPr>
              <w:pStyle w:val="2"/>
              <mc:AlternateContent>
                <mc:Choice Requires="wpsCustomData">
                  <wpsCustomData:diagonalParaType/>
                </mc:Choice>
              </mc:AlternateContent>
              <w:rPr>
                <w:rFonts w:hint="default"/>
                <w:b/>
                <w:bCs/>
                <w:color w:val="auto"/>
                <w:lang w:val="en-US" w:eastAsia="zh-CN"/>
              </w:rPr>
            </w:pPr>
          </w:p>
          <w:p w14:paraId="6B286E22">
            <w:pPr>
              <w:adjustRightInd w:val="0"/>
              <w:snapToGrid w:val="0"/>
              <w:spacing w:line="320" w:lineRule="exact"/>
              <w:rPr>
                <w:rFonts w:hint="eastAsia"/>
                <w:b/>
                <w:bCs/>
                <w:color w:val="auto"/>
                <w:sz w:val="21"/>
                <w:szCs w:val="21"/>
                <w:lang w:val="en-US" w:eastAsia="zh-CN"/>
              </w:rPr>
            </w:pPr>
            <w:r>
              <w:rPr>
                <w:rFonts w:hint="eastAsia"/>
                <w:b/>
                <w:bCs/>
                <w:color w:val="auto"/>
                <w:sz w:val="21"/>
                <w:szCs w:val="21"/>
                <w:lang w:val="en-US" w:eastAsia="zh-CN"/>
              </w:rPr>
              <w:t>内容</w:t>
            </w:r>
          </w:p>
          <w:p w14:paraId="65619904">
            <w:pPr>
              <w:pStyle w:val="2"/>
              <w:rPr>
                <w:rFonts w:hint="eastAsia"/>
                <w:b/>
                <w:bCs/>
                <w:color w:val="auto"/>
                <w:lang w:val="en-US" w:eastAsia="zh-CN"/>
              </w:rPr>
            </w:pPr>
          </w:p>
          <w:p w14:paraId="3B7FB249">
            <w:pPr>
              <w:pStyle w:val="2"/>
              <w:rPr>
                <w:rFonts w:hint="eastAsia"/>
                <w:b/>
                <w:bCs/>
                <w:color w:val="auto"/>
                <w:lang w:val="en-US" w:eastAsia="zh-CN"/>
              </w:rPr>
            </w:pPr>
          </w:p>
          <w:p w14:paraId="16F0C32C">
            <w:pPr>
              <w:pStyle w:val="2"/>
              <w:rPr>
                <w:rFonts w:hint="default"/>
                <w:b/>
                <w:bCs/>
                <w:color w:val="auto"/>
                <w:lang w:val="en-US" w:eastAsia="zh-CN"/>
              </w:rPr>
            </w:pPr>
          </w:p>
        </w:tc>
        <w:tc>
          <w:tcPr>
            <w:tcW w:w="1815" w:type="dxa"/>
            <w:gridSpan w:val="2"/>
            <w:noWrap w:val="0"/>
            <w:vAlign w:val="center"/>
          </w:tcPr>
          <w:p w14:paraId="6B9CDBC5">
            <w:pPr>
              <w:adjustRightInd w:val="0"/>
              <w:snapToGrid w:val="0"/>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排放口</w:t>
            </w:r>
            <w:r>
              <w:rPr>
                <w:rFonts w:hint="eastAsia"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编号、名称</w:t>
            </w:r>
            <w:r>
              <w:rPr>
                <w:rFonts w:hint="eastAsia"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/污染源</w:t>
            </w:r>
          </w:p>
        </w:tc>
        <w:tc>
          <w:tcPr>
            <w:tcW w:w="1719" w:type="dxa"/>
            <w:noWrap w:val="0"/>
            <w:vAlign w:val="center"/>
          </w:tcPr>
          <w:p w14:paraId="2AEA8412">
            <w:pPr>
              <w:adjustRightInd w:val="0"/>
              <w:snapToGrid w:val="0"/>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污染物项目</w:t>
            </w:r>
          </w:p>
        </w:tc>
        <w:tc>
          <w:tcPr>
            <w:tcW w:w="2450" w:type="dxa"/>
            <w:noWrap w:val="0"/>
            <w:vAlign w:val="center"/>
          </w:tcPr>
          <w:p w14:paraId="54CFE25D">
            <w:pPr>
              <w:adjustRightInd w:val="0"/>
              <w:snapToGrid w:val="0"/>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环境保护措施</w:t>
            </w:r>
          </w:p>
        </w:tc>
        <w:tc>
          <w:tcPr>
            <w:tcW w:w="2146" w:type="dxa"/>
            <w:noWrap w:val="0"/>
            <w:vAlign w:val="center"/>
          </w:tcPr>
          <w:p w14:paraId="61F59570">
            <w:pPr>
              <w:adjustRightInd w:val="0"/>
              <w:snapToGrid w:val="0"/>
              <w:spacing w:line="320" w:lineRule="exact"/>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执行标准</w:t>
            </w:r>
          </w:p>
        </w:tc>
      </w:tr>
      <w:tr w14:paraId="36729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vMerge w:val="restart"/>
            <w:noWrap w:val="0"/>
            <w:vAlign w:val="center"/>
          </w:tcPr>
          <w:p w14:paraId="7F135C6C">
            <w:pPr>
              <w:adjustRightInd w:val="0"/>
              <w:snapToGrid w:val="0"/>
              <w:spacing w:line="320" w:lineRule="exact"/>
              <w:jc w:val="center"/>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大气环境</w:t>
            </w:r>
          </w:p>
        </w:tc>
        <w:tc>
          <w:tcPr>
            <w:tcW w:w="907" w:type="dxa"/>
            <w:noWrap w:val="0"/>
            <w:vAlign w:val="center"/>
          </w:tcPr>
          <w:p w14:paraId="53CFE97D">
            <w:pPr>
              <w:adjustRightInd w:val="0"/>
              <w:snapToGrid w:val="0"/>
              <w:spacing w:line="320" w:lineRule="exac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一期：DA001；二期：DA002</w:t>
            </w:r>
          </w:p>
        </w:tc>
        <w:tc>
          <w:tcPr>
            <w:tcW w:w="908" w:type="dxa"/>
            <w:noWrap w:val="0"/>
            <w:vAlign w:val="center"/>
          </w:tcPr>
          <w:p w14:paraId="59BFE452">
            <w:pPr>
              <w:adjustRightInd w:val="0"/>
              <w:snapToGrid w:val="0"/>
              <w:spacing w:line="320" w:lineRule="exact"/>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发泡工序、成型工序有组织废气</w:t>
            </w:r>
          </w:p>
        </w:tc>
        <w:tc>
          <w:tcPr>
            <w:tcW w:w="1719" w:type="dxa"/>
            <w:noWrap w:val="0"/>
            <w:vAlign w:val="center"/>
          </w:tcPr>
          <w:p w14:paraId="32ADD984">
            <w:pPr>
              <w:adjustRightInd w:val="0"/>
              <w:snapToGrid w:val="0"/>
              <w:spacing w:line="320" w:lineRule="exac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非甲烷总烃、甲苯、苯乙烯及乙苯</w:t>
            </w:r>
          </w:p>
        </w:tc>
        <w:tc>
          <w:tcPr>
            <w:tcW w:w="2450" w:type="dxa"/>
            <w:noWrap w:val="0"/>
            <w:vAlign w:val="center"/>
          </w:tcPr>
          <w:p w14:paraId="5591C3FA">
            <w:pPr>
              <w:adjustRightInd w:val="0"/>
              <w:snapToGrid w:val="0"/>
              <w:jc w:val="center"/>
              <w:rPr>
                <w:rFonts w:hint="default" w:ascii="Times New Roman" w:hAnsi="Times New Roman" w:eastAsia="宋体" w:cs="Times New Roman"/>
                <w:color w:val="auto"/>
                <w:sz w:val="24"/>
                <w:szCs w:val="24"/>
                <w:lang w:val="en-US" w:eastAsia="zh-CN"/>
              </w:rPr>
            </w:pPr>
            <w:r>
              <w:rPr>
                <w:rFonts w:hint="eastAsia"/>
                <w:color w:val="auto"/>
                <w:kern w:val="0"/>
                <w:sz w:val="24"/>
                <w:highlight w:val="none"/>
              </w:rPr>
              <w:t>通过集气罩（收集率90%）收集后经1套“二级活性炭吸附装置”（</w:t>
            </w:r>
            <w:r>
              <w:rPr>
                <w:rFonts w:hint="eastAsia"/>
                <w:color w:val="auto"/>
                <w:kern w:val="0"/>
                <w:sz w:val="24"/>
                <w:highlight w:val="none"/>
                <w:lang w:eastAsia="zh-CN"/>
              </w:rPr>
              <w:t>处理效率75</w:t>
            </w:r>
            <w:r>
              <w:rPr>
                <w:rFonts w:hint="eastAsia"/>
                <w:color w:val="auto"/>
                <w:kern w:val="0"/>
                <w:sz w:val="24"/>
                <w:highlight w:val="none"/>
              </w:rPr>
              <w:t>%）处理，处理后的废气经1根15m高的排气筒（</w:t>
            </w:r>
            <w:r>
              <w:rPr>
                <w:rFonts w:hint="eastAsia"/>
                <w:color w:val="auto"/>
                <w:kern w:val="0"/>
                <w:sz w:val="24"/>
                <w:highlight w:val="none"/>
                <w:lang w:val="en-US" w:eastAsia="zh-CN"/>
              </w:rPr>
              <w:t>一期</w:t>
            </w:r>
            <w:r>
              <w:rPr>
                <w:rFonts w:hint="eastAsia"/>
                <w:color w:val="auto"/>
                <w:kern w:val="0"/>
                <w:sz w:val="24"/>
                <w:highlight w:val="none"/>
              </w:rPr>
              <w:t>DA00</w:t>
            </w:r>
            <w:r>
              <w:rPr>
                <w:rFonts w:hint="eastAsia"/>
                <w:color w:val="auto"/>
                <w:kern w:val="0"/>
                <w:sz w:val="24"/>
                <w:highlight w:val="none"/>
                <w:lang w:val="en-US" w:eastAsia="zh-CN"/>
              </w:rPr>
              <w:t>1、二期DA002</w:t>
            </w:r>
            <w:r>
              <w:rPr>
                <w:rFonts w:hint="eastAsia"/>
                <w:color w:val="auto"/>
                <w:kern w:val="0"/>
                <w:sz w:val="24"/>
                <w:highlight w:val="none"/>
              </w:rPr>
              <w:t>）排放</w:t>
            </w:r>
          </w:p>
        </w:tc>
        <w:tc>
          <w:tcPr>
            <w:tcW w:w="2146" w:type="dxa"/>
            <w:noWrap w:val="0"/>
            <w:vAlign w:val="center"/>
          </w:tcPr>
          <w:p w14:paraId="723E91E4">
            <w:pPr>
              <w:pStyle w:val="102"/>
              <w:overflowPunct w:val="0"/>
              <w:adjustRightInd w:val="0"/>
              <w:snapToGrid w:val="0"/>
              <w:ind w:firstLine="0" w:firstLineChars="0"/>
              <w:rPr>
                <w:rFonts w:hint="default" w:ascii="Times New Roman" w:hAnsi="Times New Roman" w:eastAsia="宋体" w:cs="Times New Roman"/>
                <w:color w:val="auto"/>
                <w:sz w:val="24"/>
                <w:szCs w:val="24"/>
                <w:lang w:val="en-US" w:eastAsia="zh-CN"/>
              </w:rPr>
            </w:pPr>
            <w:r>
              <w:rPr>
                <w:rFonts w:hint="eastAsia"/>
                <w:color w:val="auto"/>
                <w:sz w:val="24"/>
                <w:highlight w:val="none"/>
              </w:rPr>
              <w:t>《合成树脂工业污染物排放标准》（GB31572-2015及2024年修改单）表4中排放浓度限值要求</w:t>
            </w:r>
          </w:p>
        </w:tc>
      </w:tr>
      <w:tr w14:paraId="290E0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12" w:type="dxa"/>
            <w:vMerge w:val="continue"/>
            <w:noWrap w:val="0"/>
            <w:vAlign w:val="center"/>
          </w:tcPr>
          <w:p w14:paraId="0B9CC98F">
            <w:pPr>
              <w:adjustRightInd w:val="0"/>
              <w:snapToGrid w:val="0"/>
              <w:spacing w:line="320" w:lineRule="exact"/>
              <w:jc w:val="center"/>
              <w:rPr>
                <w:rFonts w:hint="default" w:ascii="Times New Roman" w:hAnsi="Times New Roman" w:eastAsia="宋体" w:cs="Times New Roman"/>
                <w:b/>
                <w:bCs/>
                <w:color w:val="auto"/>
                <w:sz w:val="24"/>
                <w:szCs w:val="24"/>
              </w:rPr>
            </w:pPr>
          </w:p>
        </w:tc>
        <w:tc>
          <w:tcPr>
            <w:tcW w:w="1815" w:type="dxa"/>
            <w:gridSpan w:val="2"/>
            <w:vMerge w:val="restart"/>
            <w:noWrap w:val="0"/>
            <w:vAlign w:val="center"/>
          </w:tcPr>
          <w:p w14:paraId="318F3BED">
            <w:pPr>
              <w:adjustRightInd w:val="0"/>
              <w:snapToGrid w:val="0"/>
              <w:spacing w:line="320" w:lineRule="exact"/>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厂界</w:t>
            </w:r>
          </w:p>
        </w:tc>
        <w:tc>
          <w:tcPr>
            <w:tcW w:w="1719" w:type="dxa"/>
            <w:noWrap w:val="0"/>
            <w:vAlign w:val="center"/>
          </w:tcPr>
          <w:p w14:paraId="22E481DE">
            <w:pPr>
              <w:adjustRightInd w:val="0"/>
              <w:snapToGrid w:val="0"/>
              <w:spacing w:line="320" w:lineRule="exact"/>
              <w:jc w:val="center"/>
              <w:rPr>
                <w:rFonts w:hint="eastAsia" w:ascii="Times New Roman" w:hAnsi="Times New Roman" w:eastAsia="宋体" w:cs="Times New Roman"/>
                <w:color w:val="auto"/>
                <w:sz w:val="24"/>
                <w:szCs w:val="24"/>
                <w:lang w:val="en-US" w:eastAsia="zh-CN"/>
              </w:rPr>
            </w:pPr>
            <w:r>
              <w:rPr>
                <w:rFonts w:hint="eastAsia"/>
                <w:color w:val="auto"/>
                <w:sz w:val="24"/>
                <w:highlight w:val="none"/>
              </w:rPr>
              <w:t>非甲烷总烃</w:t>
            </w:r>
          </w:p>
        </w:tc>
        <w:tc>
          <w:tcPr>
            <w:tcW w:w="2450" w:type="dxa"/>
            <w:vMerge w:val="restart"/>
            <w:noWrap w:val="0"/>
            <w:vAlign w:val="center"/>
          </w:tcPr>
          <w:p w14:paraId="66568719">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密闭车间，加强通风换气</w:t>
            </w:r>
          </w:p>
        </w:tc>
        <w:tc>
          <w:tcPr>
            <w:tcW w:w="2146" w:type="dxa"/>
            <w:vMerge w:val="restart"/>
            <w:noWrap w:val="0"/>
            <w:vAlign w:val="center"/>
          </w:tcPr>
          <w:p w14:paraId="395DC750">
            <w:pPr>
              <w:adjustRightInd w:val="0"/>
              <w:snapToGrid w:val="0"/>
              <w:spacing w:line="32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《合成树脂工业污染物排放标准》（GB31572-2015及2024年修改单）表9中标准限值要求</w:t>
            </w:r>
          </w:p>
        </w:tc>
      </w:tr>
      <w:tr w14:paraId="50716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112" w:type="dxa"/>
            <w:vMerge w:val="continue"/>
            <w:noWrap w:val="0"/>
            <w:vAlign w:val="center"/>
          </w:tcPr>
          <w:p w14:paraId="1FA38301">
            <w:pPr>
              <w:adjustRightInd w:val="0"/>
              <w:snapToGrid w:val="0"/>
              <w:spacing w:line="320" w:lineRule="exact"/>
              <w:jc w:val="center"/>
              <w:rPr>
                <w:rFonts w:hint="default" w:ascii="Times New Roman" w:hAnsi="Times New Roman" w:eastAsia="宋体" w:cs="Times New Roman"/>
                <w:b/>
                <w:bCs/>
                <w:color w:val="auto"/>
                <w:sz w:val="24"/>
                <w:szCs w:val="24"/>
              </w:rPr>
            </w:pPr>
          </w:p>
        </w:tc>
        <w:tc>
          <w:tcPr>
            <w:tcW w:w="1815" w:type="dxa"/>
            <w:gridSpan w:val="2"/>
            <w:vMerge w:val="continue"/>
            <w:noWrap w:val="0"/>
            <w:vAlign w:val="center"/>
          </w:tcPr>
          <w:p w14:paraId="0F242AC1">
            <w:pPr>
              <w:adjustRightInd w:val="0"/>
              <w:snapToGrid w:val="0"/>
              <w:spacing w:line="320" w:lineRule="exact"/>
              <w:jc w:val="center"/>
              <w:rPr>
                <w:rFonts w:hint="eastAsia" w:ascii="Times New Roman" w:hAnsi="Times New Roman" w:eastAsia="宋体" w:cs="Times New Roman"/>
                <w:color w:val="auto"/>
                <w:sz w:val="24"/>
                <w:szCs w:val="24"/>
                <w:lang w:val="en-US" w:eastAsia="zh-CN"/>
              </w:rPr>
            </w:pPr>
          </w:p>
        </w:tc>
        <w:tc>
          <w:tcPr>
            <w:tcW w:w="1719" w:type="dxa"/>
            <w:noWrap w:val="0"/>
            <w:vAlign w:val="center"/>
          </w:tcPr>
          <w:p w14:paraId="235F8C53">
            <w:pPr>
              <w:pStyle w:val="102"/>
              <w:ind w:firstLine="0" w:firstLineChars="0"/>
              <w:rPr>
                <w:rFonts w:hint="eastAsia"/>
                <w:color w:val="auto"/>
                <w:kern w:val="2"/>
                <w:sz w:val="24"/>
                <w:szCs w:val="21"/>
                <w:highlight w:val="none"/>
                <w:lang w:val="en-US" w:eastAsia="zh-CN" w:bidi="ar-SA"/>
              </w:rPr>
            </w:pPr>
            <w:r>
              <w:rPr>
                <w:rFonts w:hint="eastAsia"/>
                <w:color w:val="auto"/>
                <w:sz w:val="24"/>
                <w:highlight w:val="none"/>
              </w:rPr>
              <w:t>甲苯</w:t>
            </w:r>
          </w:p>
        </w:tc>
        <w:tc>
          <w:tcPr>
            <w:tcW w:w="2450" w:type="dxa"/>
            <w:vMerge w:val="continue"/>
            <w:noWrap w:val="0"/>
            <w:vAlign w:val="center"/>
          </w:tcPr>
          <w:p w14:paraId="13CB9B6F">
            <w:pPr>
              <w:adjustRightInd w:val="0"/>
              <w:snapToGrid w:val="0"/>
              <w:spacing w:line="320" w:lineRule="exact"/>
              <w:jc w:val="center"/>
              <w:rPr>
                <w:rFonts w:hint="default" w:ascii="Times New Roman" w:hAnsi="Times New Roman" w:eastAsia="宋体" w:cs="Times New Roman"/>
                <w:color w:val="auto"/>
                <w:sz w:val="24"/>
                <w:szCs w:val="24"/>
              </w:rPr>
            </w:pPr>
          </w:p>
        </w:tc>
        <w:tc>
          <w:tcPr>
            <w:tcW w:w="2146" w:type="dxa"/>
            <w:vMerge w:val="continue"/>
            <w:noWrap w:val="0"/>
            <w:vAlign w:val="center"/>
          </w:tcPr>
          <w:p w14:paraId="7BBAE64B">
            <w:pPr>
              <w:adjustRightInd w:val="0"/>
              <w:snapToGrid w:val="0"/>
              <w:spacing w:line="320" w:lineRule="exact"/>
              <w:jc w:val="center"/>
              <w:rPr>
                <w:rFonts w:hint="default" w:ascii="Times New Roman" w:hAnsi="Times New Roman" w:eastAsia="宋体" w:cs="Times New Roman"/>
                <w:color w:val="auto"/>
                <w:sz w:val="24"/>
                <w:szCs w:val="24"/>
              </w:rPr>
            </w:pPr>
          </w:p>
        </w:tc>
      </w:tr>
      <w:tr w14:paraId="78150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12" w:type="dxa"/>
            <w:vMerge w:val="continue"/>
            <w:noWrap w:val="0"/>
            <w:vAlign w:val="center"/>
          </w:tcPr>
          <w:p w14:paraId="6DE04EF6">
            <w:pPr>
              <w:adjustRightInd w:val="0"/>
              <w:snapToGrid w:val="0"/>
              <w:spacing w:line="320" w:lineRule="exact"/>
              <w:jc w:val="center"/>
              <w:rPr>
                <w:rFonts w:hint="default" w:ascii="Times New Roman" w:hAnsi="Times New Roman" w:eastAsia="宋体" w:cs="Times New Roman"/>
                <w:b/>
                <w:bCs/>
                <w:color w:val="auto"/>
                <w:sz w:val="24"/>
                <w:szCs w:val="24"/>
              </w:rPr>
            </w:pPr>
          </w:p>
        </w:tc>
        <w:tc>
          <w:tcPr>
            <w:tcW w:w="1815" w:type="dxa"/>
            <w:gridSpan w:val="2"/>
            <w:vMerge w:val="continue"/>
            <w:noWrap w:val="0"/>
            <w:vAlign w:val="center"/>
          </w:tcPr>
          <w:p w14:paraId="0A536104">
            <w:pPr>
              <w:adjustRightInd w:val="0"/>
              <w:snapToGrid w:val="0"/>
              <w:spacing w:line="320" w:lineRule="exact"/>
              <w:jc w:val="center"/>
              <w:rPr>
                <w:rFonts w:hint="eastAsia" w:ascii="Times New Roman" w:hAnsi="Times New Roman" w:eastAsia="宋体" w:cs="Times New Roman"/>
                <w:color w:val="auto"/>
                <w:sz w:val="24"/>
                <w:szCs w:val="24"/>
                <w:lang w:val="en-US" w:eastAsia="zh-CN"/>
              </w:rPr>
            </w:pPr>
          </w:p>
        </w:tc>
        <w:tc>
          <w:tcPr>
            <w:tcW w:w="1719" w:type="dxa"/>
            <w:noWrap w:val="0"/>
            <w:vAlign w:val="center"/>
          </w:tcPr>
          <w:p w14:paraId="62D090A9">
            <w:pPr>
              <w:pStyle w:val="102"/>
              <w:ind w:firstLine="0" w:firstLineChars="0"/>
              <w:rPr>
                <w:rFonts w:hint="eastAsia"/>
                <w:color w:val="auto"/>
                <w:kern w:val="2"/>
                <w:sz w:val="24"/>
                <w:szCs w:val="21"/>
                <w:highlight w:val="none"/>
                <w:lang w:val="en-US" w:eastAsia="zh-CN" w:bidi="ar-SA"/>
              </w:rPr>
            </w:pPr>
            <w:r>
              <w:rPr>
                <w:rFonts w:hint="eastAsia"/>
                <w:color w:val="auto"/>
                <w:sz w:val="24"/>
                <w:highlight w:val="none"/>
              </w:rPr>
              <w:t>苯乙烯</w:t>
            </w:r>
          </w:p>
        </w:tc>
        <w:tc>
          <w:tcPr>
            <w:tcW w:w="2450" w:type="dxa"/>
            <w:vMerge w:val="continue"/>
            <w:noWrap w:val="0"/>
            <w:vAlign w:val="center"/>
          </w:tcPr>
          <w:p w14:paraId="3A8DF97F">
            <w:pPr>
              <w:adjustRightInd w:val="0"/>
              <w:snapToGrid w:val="0"/>
              <w:spacing w:line="320" w:lineRule="exact"/>
              <w:jc w:val="center"/>
              <w:rPr>
                <w:rFonts w:hint="default" w:ascii="Times New Roman" w:hAnsi="Times New Roman" w:eastAsia="宋体" w:cs="Times New Roman"/>
                <w:color w:val="auto"/>
                <w:sz w:val="24"/>
                <w:szCs w:val="24"/>
              </w:rPr>
            </w:pPr>
          </w:p>
        </w:tc>
        <w:tc>
          <w:tcPr>
            <w:tcW w:w="2146" w:type="dxa"/>
            <w:vMerge w:val="restart"/>
            <w:noWrap w:val="0"/>
            <w:vAlign w:val="center"/>
          </w:tcPr>
          <w:p w14:paraId="2FD64D3F">
            <w:pPr>
              <w:adjustRightInd w:val="0"/>
              <w:snapToGrid w:val="0"/>
              <w:spacing w:line="320" w:lineRule="exact"/>
              <w:jc w:val="center"/>
              <w:rPr>
                <w:rFonts w:hint="default" w:ascii="Times New Roman" w:hAnsi="Times New Roman" w:eastAsia="宋体" w:cs="Times New Roman"/>
                <w:color w:val="auto"/>
                <w:sz w:val="24"/>
                <w:szCs w:val="24"/>
              </w:rPr>
            </w:pPr>
            <w:r>
              <w:rPr>
                <w:rFonts w:hint="eastAsia"/>
                <w:color w:val="auto"/>
                <w:sz w:val="24"/>
                <w:highlight w:val="none"/>
              </w:rPr>
              <w:t>《恶臭污染物排放标准》（GB14554-93）表1中恶臭污染物厂界标准限值要求</w:t>
            </w:r>
          </w:p>
        </w:tc>
      </w:tr>
      <w:tr w14:paraId="31ED0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vMerge w:val="continue"/>
            <w:noWrap w:val="0"/>
            <w:vAlign w:val="center"/>
          </w:tcPr>
          <w:p w14:paraId="3ECCB1D6">
            <w:pPr>
              <w:adjustRightInd w:val="0"/>
              <w:snapToGrid w:val="0"/>
              <w:spacing w:line="320" w:lineRule="exact"/>
              <w:jc w:val="center"/>
              <w:rPr>
                <w:rFonts w:hint="default" w:ascii="Times New Roman" w:hAnsi="Times New Roman" w:eastAsia="宋体" w:cs="Times New Roman"/>
                <w:b/>
                <w:bCs/>
                <w:color w:val="auto"/>
                <w:sz w:val="24"/>
                <w:szCs w:val="24"/>
              </w:rPr>
            </w:pPr>
          </w:p>
        </w:tc>
        <w:tc>
          <w:tcPr>
            <w:tcW w:w="1815" w:type="dxa"/>
            <w:gridSpan w:val="2"/>
            <w:vMerge w:val="continue"/>
            <w:noWrap w:val="0"/>
            <w:vAlign w:val="center"/>
          </w:tcPr>
          <w:p w14:paraId="56523BE6">
            <w:pPr>
              <w:adjustRightInd w:val="0"/>
              <w:snapToGrid w:val="0"/>
              <w:spacing w:line="320" w:lineRule="exact"/>
              <w:jc w:val="center"/>
              <w:rPr>
                <w:rFonts w:hint="eastAsia" w:ascii="Times New Roman" w:hAnsi="Times New Roman" w:eastAsia="宋体" w:cs="Times New Roman"/>
                <w:color w:val="auto"/>
                <w:sz w:val="24"/>
                <w:szCs w:val="24"/>
                <w:lang w:val="en-US" w:eastAsia="zh-CN"/>
              </w:rPr>
            </w:pPr>
          </w:p>
        </w:tc>
        <w:tc>
          <w:tcPr>
            <w:tcW w:w="1719" w:type="dxa"/>
            <w:noWrap w:val="0"/>
            <w:vAlign w:val="center"/>
          </w:tcPr>
          <w:p w14:paraId="46615B6E">
            <w:pPr>
              <w:pStyle w:val="102"/>
              <w:ind w:firstLine="0" w:firstLineChars="0"/>
              <w:rPr>
                <w:rFonts w:hint="eastAsia"/>
                <w:color w:val="auto"/>
                <w:kern w:val="2"/>
                <w:sz w:val="24"/>
                <w:szCs w:val="21"/>
                <w:highlight w:val="none"/>
                <w:lang w:val="en-US" w:eastAsia="zh-CN" w:bidi="ar-SA"/>
              </w:rPr>
            </w:pPr>
            <w:r>
              <w:rPr>
                <w:rFonts w:hint="eastAsia"/>
                <w:color w:val="auto"/>
                <w:sz w:val="24"/>
                <w:highlight w:val="none"/>
              </w:rPr>
              <w:t>臭气浓度</w:t>
            </w:r>
          </w:p>
        </w:tc>
        <w:tc>
          <w:tcPr>
            <w:tcW w:w="2450" w:type="dxa"/>
            <w:vMerge w:val="continue"/>
            <w:noWrap w:val="0"/>
            <w:vAlign w:val="center"/>
          </w:tcPr>
          <w:p w14:paraId="00F06E7A">
            <w:pPr>
              <w:adjustRightInd w:val="0"/>
              <w:snapToGrid w:val="0"/>
              <w:spacing w:line="320" w:lineRule="exact"/>
              <w:jc w:val="center"/>
              <w:rPr>
                <w:rFonts w:hint="default" w:ascii="Times New Roman" w:hAnsi="Times New Roman" w:eastAsia="宋体" w:cs="Times New Roman"/>
                <w:color w:val="auto"/>
                <w:sz w:val="24"/>
                <w:szCs w:val="24"/>
              </w:rPr>
            </w:pPr>
          </w:p>
        </w:tc>
        <w:tc>
          <w:tcPr>
            <w:tcW w:w="2146" w:type="dxa"/>
            <w:vMerge w:val="continue"/>
            <w:noWrap w:val="0"/>
            <w:vAlign w:val="center"/>
          </w:tcPr>
          <w:p w14:paraId="2C70EAAB">
            <w:pPr>
              <w:adjustRightInd w:val="0"/>
              <w:snapToGrid w:val="0"/>
              <w:spacing w:line="320" w:lineRule="exact"/>
              <w:jc w:val="center"/>
              <w:rPr>
                <w:rFonts w:hint="default" w:ascii="Times New Roman" w:hAnsi="Times New Roman" w:eastAsia="宋体" w:cs="Times New Roman"/>
                <w:color w:val="auto"/>
                <w:sz w:val="24"/>
                <w:szCs w:val="24"/>
              </w:rPr>
            </w:pPr>
          </w:p>
        </w:tc>
      </w:tr>
      <w:tr w14:paraId="2076F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112" w:type="dxa"/>
            <w:vMerge w:val="restart"/>
            <w:noWrap w:val="0"/>
            <w:vAlign w:val="center"/>
          </w:tcPr>
          <w:p w14:paraId="4D663FC1">
            <w:pPr>
              <w:adjustRightInd w:val="0"/>
              <w:snapToGrid w:val="0"/>
              <w:spacing w:line="32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地表水环境</w:t>
            </w:r>
          </w:p>
        </w:tc>
        <w:tc>
          <w:tcPr>
            <w:tcW w:w="1815" w:type="dxa"/>
            <w:gridSpan w:val="2"/>
            <w:noWrap w:val="0"/>
            <w:vAlign w:val="center"/>
          </w:tcPr>
          <w:p w14:paraId="19D056DA">
            <w:pPr>
              <w:adjustRightInd w:val="0"/>
              <w:snapToGrid w:val="0"/>
              <w:spacing w:line="320" w:lineRule="exact"/>
              <w:jc w:val="center"/>
              <w:rPr>
                <w:rFonts w:hint="default" w:ascii="Times New Roman" w:hAnsi="Times New Roman" w:eastAsia="宋体" w:cs="Times New Roman"/>
                <w:color w:val="auto"/>
                <w:sz w:val="24"/>
                <w:szCs w:val="24"/>
              </w:rPr>
            </w:pPr>
            <w:r>
              <w:rPr>
                <w:rFonts w:hint="eastAsia"/>
                <w:color w:val="auto"/>
                <w:sz w:val="24"/>
                <w:szCs w:val="24"/>
              </w:rPr>
              <w:t>循环冷却系统排水</w:t>
            </w:r>
          </w:p>
        </w:tc>
        <w:tc>
          <w:tcPr>
            <w:tcW w:w="1719" w:type="dxa"/>
            <w:noWrap w:val="0"/>
            <w:vAlign w:val="center"/>
          </w:tcPr>
          <w:p w14:paraId="2451C29A">
            <w:pPr>
              <w:adjustRightInd w:val="0"/>
              <w:snapToGrid w:val="0"/>
              <w:spacing w:line="320" w:lineRule="exact"/>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TDS</w:t>
            </w:r>
          </w:p>
        </w:tc>
        <w:tc>
          <w:tcPr>
            <w:tcW w:w="2450" w:type="dxa"/>
            <w:vMerge w:val="restart"/>
            <w:noWrap w:val="0"/>
            <w:vAlign w:val="center"/>
          </w:tcPr>
          <w:p w14:paraId="39AE0A67">
            <w:pPr>
              <w:adjustRightInd w:val="0"/>
              <w:snapToGrid w:val="0"/>
              <w:spacing w:line="320" w:lineRule="exact"/>
              <w:jc w:val="center"/>
              <w:rPr>
                <w:rFonts w:hint="default" w:ascii="Times New Roman" w:hAnsi="Times New Roman" w:eastAsia="宋体" w:cs="Times New Roman"/>
                <w:color w:val="auto"/>
                <w:sz w:val="24"/>
                <w:szCs w:val="24"/>
              </w:rPr>
            </w:pPr>
            <w:r>
              <w:rPr>
                <w:color w:val="auto"/>
                <w:sz w:val="24"/>
                <w:szCs w:val="24"/>
              </w:rPr>
              <w:t>生活污水</w:t>
            </w:r>
            <w:r>
              <w:rPr>
                <w:rFonts w:hint="eastAsia"/>
                <w:color w:val="auto"/>
                <w:sz w:val="24"/>
                <w:szCs w:val="24"/>
                <w:lang w:val="en-US" w:eastAsia="zh-CN"/>
              </w:rPr>
              <w:t>经厂区现有</w:t>
            </w:r>
            <w:r>
              <w:rPr>
                <w:color w:val="auto"/>
                <w:sz w:val="24"/>
                <w:szCs w:val="24"/>
              </w:rPr>
              <w:t>化粪池处理</w:t>
            </w:r>
            <w:r>
              <w:rPr>
                <w:rFonts w:hint="eastAsia"/>
                <w:color w:val="auto"/>
                <w:sz w:val="24"/>
                <w:szCs w:val="24"/>
              </w:rPr>
              <w:t>后</w:t>
            </w:r>
            <w:r>
              <w:rPr>
                <w:rFonts w:hint="eastAsia"/>
                <w:color w:val="auto"/>
                <w:sz w:val="24"/>
                <w:szCs w:val="24"/>
                <w:lang w:val="en-US" w:eastAsia="zh-CN"/>
              </w:rPr>
              <w:t>汇同循环冷却系统排水</w:t>
            </w:r>
            <w:r>
              <w:rPr>
                <w:color w:val="auto"/>
                <w:sz w:val="24"/>
                <w:szCs w:val="24"/>
              </w:rPr>
              <w:t>排入</w:t>
            </w:r>
            <w:r>
              <w:rPr>
                <w:rFonts w:hint="eastAsia"/>
                <w:color w:val="auto"/>
                <w:sz w:val="24"/>
                <w:szCs w:val="24"/>
              </w:rPr>
              <w:t>园区污水管网</w:t>
            </w:r>
            <w:r>
              <w:rPr>
                <w:color w:val="auto"/>
                <w:sz w:val="24"/>
                <w:szCs w:val="24"/>
              </w:rPr>
              <w:t>，最终进入</w:t>
            </w:r>
            <w:r>
              <w:rPr>
                <w:rFonts w:hint="eastAsia"/>
                <w:color w:val="auto"/>
                <w:kern w:val="0"/>
                <w:sz w:val="24"/>
                <w:lang w:val="en-US" w:eastAsia="zh-CN"/>
              </w:rPr>
              <w:t>固原经济技术开发区新材料产业园污水处理厂进行处理</w:t>
            </w:r>
          </w:p>
        </w:tc>
        <w:tc>
          <w:tcPr>
            <w:tcW w:w="2146" w:type="dxa"/>
            <w:vMerge w:val="restart"/>
            <w:noWrap w:val="0"/>
            <w:vAlign w:val="center"/>
          </w:tcPr>
          <w:p w14:paraId="19933CCA">
            <w:pPr>
              <w:adjustRightInd w:val="0"/>
              <w:snapToGrid w:val="0"/>
              <w:spacing w:line="320" w:lineRule="exact"/>
              <w:jc w:val="center"/>
              <w:rPr>
                <w:rFonts w:hint="default" w:ascii="Times New Roman" w:hAnsi="Times New Roman" w:eastAsia="宋体" w:cs="Times New Roman"/>
                <w:color w:val="auto"/>
                <w:sz w:val="24"/>
                <w:szCs w:val="24"/>
              </w:rPr>
            </w:pPr>
            <w:r>
              <w:rPr>
                <w:rFonts w:hint="eastAsia"/>
                <w:color w:val="auto"/>
                <w:kern w:val="0"/>
                <w:sz w:val="24"/>
                <w:highlight w:val="none"/>
              </w:rPr>
              <w:t>《污水排入城镇下水道水质标准》（GB/T31962-2015）中的</w:t>
            </w:r>
            <w:r>
              <w:rPr>
                <w:rFonts w:hint="default" w:ascii="Times New Roman" w:hAnsi="Times New Roman" w:cs="Times New Roman"/>
                <w:color w:val="auto"/>
                <w:sz w:val="24"/>
                <w:highlight w:val="none"/>
              </w:rPr>
              <w:t>A</w:t>
            </w:r>
            <w:r>
              <w:rPr>
                <w:rFonts w:hint="eastAsia" w:ascii="Times New Roman" w:hAnsi="Times New Roman" w:cs="Times New Roman"/>
                <w:color w:val="auto"/>
                <w:sz w:val="24"/>
                <w:highlight w:val="none"/>
                <w:lang w:val="en-US" w:eastAsia="zh-CN"/>
              </w:rPr>
              <w:t>级</w:t>
            </w:r>
            <w:r>
              <w:rPr>
                <w:rFonts w:hint="eastAsia"/>
                <w:color w:val="auto"/>
                <w:kern w:val="0"/>
                <w:sz w:val="24"/>
                <w:highlight w:val="none"/>
              </w:rPr>
              <w:t>标准</w:t>
            </w:r>
            <w:r>
              <w:rPr>
                <w:rFonts w:hint="eastAsia"/>
                <w:color w:val="auto"/>
                <w:sz w:val="24"/>
                <w:highlight w:val="none"/>
              </w:rPr>
              <w:t>要求</w:t>
            </w:r>
          </w:p>
        </w:tc>
      </w:tr>
      <w:tr w14:paraId="46FA0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112" w:type="dxa"/>
            <w:vMerge w:val="continue"/>
            <w:noWrap w:val="0"/>
            <w:vAlign w:val="center"/>
          </w:tcPr>
          <w:p w14:paraId="6B8E37AB">
            <w:pPr>
              <w:adjustRightInd w:val="0"/>
              <w:snapToGrid w:val="0"/>
              <w:spacing w:line="320" w:lineRule="exact"/>
              <w:jc w:val="center"/>
              <w:rPr>
                <w:color w:val="auto"/>
              </w:rPr>
            </w:pPr>
          </w:p>
        </w:tc>
        <w:tc>
          <w:tcPr>
            <w:tcW w:w="1815" w:type="dxa"/>
            <w:gridSpan w:val="2"/>
            <w:noWrap w:val="0"/>
            <w:vAlign w:val="center"/>
          </w:tcPr>
          <w:p w14:paraId="5D4B7469">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生活污水</w:t>
            </w:r>
          </w:p>
        </w:tc>
        <w:tc>
          <w:tcPr>
            <w:tcW w:w="1719" w:type="dxa"/>
            <w:noWrap w:val="0"/>
            <w:vAlign w:val="center"/>
          </w:tcPr>
          <w:p w14:paraId="6A58B939">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pH</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COD、BOD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-N、SS</w:t>
            </w:r>
          </w:p>
        </w:tc>
        <w:tc>
          <w:tcPr>
            <w:tcW w:w="2450" w:type="dxa"/>
            <w:vMerge w:val="continue"/>
            <w:noWrap w:val="0"/>
            <w:vAlign w:val="center"/>
          </w:tcPr>
          <w:p w14:paraId="67DF58AE">
            <w:pPr>
              <w:adjustRightInd w:val="0"/>
              <w:snapToGrid w:val="0"/>
              <w:spacing w:line="320" w:lineRule="exact"/>
              <w:jc w:val="center"/>
              <w:rPr>
                <w:rFonts w:hint="default" w:ascii="Times New Roman" w:hAnsi="Times New Roman" w:eastAsia="宋体" w:cs="Times New Roman"/>
                <w:color w:val="auto"/>
                <w:sz w:val="24"/>
                <w:szCs w:val="24"/>
              </w:rPr>
            </w:pPr>
          </w:p>
        </w:tc>
        <w:tc>
          <w:tcPr>
            <w:tcW w:w="2146" w:type="dxa"/>
            <w:vMerge w:val="continue"/>
            <w:noWrap w:val="0"/>
            <w:vAlign w:val="center"/>
          </w:tcPr>
          <w:p w14:paraId="517A7FE8">
            <w:pPr>
              <w:adjustRightInd w:val="0"/>
              <w:snapToGrid w:val="0"/>
              <w:spacing w:line="320" w:lineRule="exact"/>
              <w:jc w:val="center"/>
              <w:rPr>
                <w:rFonts w:hint="default" w:ascii="Times New Roman" w:hAnsi="Times New Roman" w:eastAsia="宋体" w:cs="Times New Roman"/>
                <w:color w:val="auto"/>
                <w:sz w:val="24"/>
                <w:szCs w:val="24"/>
              </w:rPr>
            </w:pPr>
          </w:p>
        </w:tc>
      </w:tr>
      <w:tr w14:paraId="599DC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center"/>
          </w:tcPr>
          <w:p w14:paraId="51CD46D9">
            <w:pPr>
              <w:adjustRightInd w:val="0"/>
              <w:snapToGrid w:val="0"/>
              <w:spacing w:line="32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声环境</w:t>
            </w:r>
          </w:p>
        </w:tc>
        <w:tc>
          <w:tcPr>
            <w:tcW w:w="1815" w:type="dxa"/>
            <w:gridSpan w:val="2"/>
            <w:noWrap w:val="0"/>
            <w:vAlign w:val="center"/>
          </w:tcPr>
          <w:p w14:paraId="17A0DF37">
            <w:pPr>
              <w:adjustRightInd w:val="0"/>
              <w:snapToGrid w:val="0"/>
              <w:spacing w:line="320" w:lineRule="exact"/>
              <w:jc w:val="center"/>
              <w:rPr>
                <w:rFonts w:hint="default" w:ascii="Times New Roman" w:hAnsi="Times New Roman" w:eastAsia="宋体" w:cs="Times New Roman"/>
                <w:color w:val="auto"/>
                <w:sz w:val="24"/>
                <w:szCs w:val="24"/>
              </w:rPr>
            </w:pPr>
            <w:r>
              <w:rPr>
                <w:rFonts w:hint="eastAsia"/>
                <w:color w:val="auto"/>
                <w:sz w:val="24"/>
                <w:highlight w:val="none"/>
              </w:rPr>
              <w:t>发泡机、EPS节能型自动成型机</w:t>
            </w:r>
            <w:r>
              <w:rPr>
                <w:rFonts w:hint="eastAsia"/>
                <w:color w:val="auto"/>
                <w:sz w:val="24"/>
                <w:highlight w:val="none"/>
                <w:lang w:eastAsia="zh-CN"/>
              </w:rPr>
              <w:t>、</w:t>
            </w:r>
            <w:r>
              <w:rPr>
                <w:rFonts w:hint="eastAsia"/>
                <w:color w:val="auto"/>
                <w:sz w:val="24"/>
                <w:highlight w:val="none"/>
                <w:lang w:val="en-US" w:eastAsia="zh-CN"/>
              </w:rPr>
              <w:t>风机、循环水泵</w:t>
            </w:r>
            <w:r>
              <w:rPr>
                <w:rFonts w:hint="eastAsia"/>
                <w:color w:val="auto"/>
                <w:sz w:val="24"/>
                <w:highlight w:val="none"/>
              </w:rPr>
              <w:t>等设备噪声</w:t>
            </w:r>
          </w:p>
        </w:tc>
        <w:tc>
          <w:tcPr>
            <w:tcW w:w="1719" w:type="dxa"/>
            <w:noWrap w:val="0"/>
            <w:vAlign w:val="center"/>
          </w:tcPr>
          <w:p w14:paraId="56DC7195">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等效A声级</w:t>
            </w:r>
          </w:p>
        </w:tc>
        <w:tc>
          <w:tcPr>
            <w:tcW w:w="2450" w:type="dxa"/>
            <w:noWrap w:val="0"/>
            <w:vAlign w:val="center"/>
          </w:tcPr>
          <w:p w14:paraId="18269E42">
            <w:pPr>
              <w:adjustRightInd w:val="0"/>
              <w:snapToGrid w:val="0"/>
              <w:spacing w:line="320" w:lineRule="exact"/>
              <w:jc w:val="center"/>
              <w:rPr>
                <w:rFonts w:hint="default" w:ascii="Times New Roman" w:hAnsi="Times New Roman" w:eastAsia="宋体" w:cs="Times New Roman"/>
                <w:color w:val="auto"/>
                <w:sz w:val="24"/>
                <w:szCs w:val="24"/>
              </w:rPr>
            </w:pPr>
            <w:r>
              <w:rPr>
                <w:bCs/>
                <w:color w:val="auto"/>
                <w:sz w:val="24"/>
                <w:szCs w:val="24"/>
              </w:rPr>
              <w:t>厂房</w:t>
            </w:r>
            <w:r>
              <w:rPr>
                <w:rFonts w:hint="eastAsia"/>
                <w:bCs/>
                <w:color w:val="auto"/>
                <w:sz w:val="24"/>
                <w:szCs w:val="24"/>
              </w:rPr>
              <w:t>隔声，选用低噪声设备</w:t>
            </w:r>
            <w:r>
              <w:rPr>
                <w:bCs/>
                <w:color w:val="auto"/>
                <w:sz w:val="24"/>
                <w:szCs w:val="24"/>
              </w:rPr>
              <w:t>，设备减振等措施</w:t>
            </w:r>
          </w:p>
        </w:tc>
        <w:tc>
          <w:tcPr>
            <w:tcW w:w="2146" w:type="dxa"/>
            <w:noWrap w:val="0"/>
            <w:vAlign w:val="center"/>
          </w:tcPr>
          <w:p w14:paraId="0389A0D3">
            <w:pPr>
              <w:adjustRightInd w:val="0"/>
              <w:snapToGrid w:val="0"/>
              <w:spacing w:line="320" w:lineRule="exact"/>
              <w:jc w:val="center"/>
              <w:rPr>
                <w:rFonts w:hint="default" w:ascii="Times New Roman" w:hAnsi="Times New Roman" w:eastAsia="宋体" w:cs="Times New Roman"/>
                <w:color w:val="auto"/>
                <w:sz w:val="24"/>
                <w:szCs w:val="24"/>
              </w:rPr>
            </w:pPr>
            <w:r>
              <w:rPr>
                <w:color w:val="auto"/>
                <w:sz w:val="24"/>
                <w:highlight w:val="none"/>
              </w:rPr>
              <w:t>厂界噪声满足《工业企业厂界环境噪声排放标准》（GB12348-2008）中的</w:t>
            </w:r>
            <w:r>
              <w:rPr>
                <w:rFonts w:hint="eastAsia"/>
                <w:color w:val="auto"/>
                <w:sz w:val="24"/>
                <w:highlight w:val="none"/>
              </w:rPr>
              <w:t>3</w:t>
            </w:r>
            <w:r>
              <w:rPr>
                <w:color w:val="auto"/>
                <w:sz w:val="24"/>
                <w:highlight w:val="none"/>
              </w:rPr>
              <w:t>类区昼间标准限值</w:t>
            </w:r>
          </w:p>
        </w:tc>
      </w:tr>
      <w:tr w14:paraId="559F6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center"/>
          </w:tcPr>
          <w:p w14:paraId="258ABDC0">
            <w:pPr>
              <w:adjustRightInd w:val="0"/>
              <w:snapToGrid w:val="0"/>
              <w:spacing w:line="32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电磁辐射</w:t>
            </w:r>
          </w:p>
        </w:tc>
        <w:tc>
          <w:tcPr>
            <w:tcW w:w="1815" w:type="dxa"/>
            <w:gridSpan w:val="2"/>
            <w:noWrap w:val="0"/>
            <w:vAlign w:val="center"/>
          </w:tcPr>
          <w:p w14:paraId="4D8F56EC">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719" w:type="dxa"/>
            <w:noWrap w:val="0"/>
            <w:vAlign w:val="center"/>
          </w:tcPr>
          <w:p w14:paraId="635D0F84">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2450" w:type="dxa"/>
            <w:noWrap w:val="0"/>
            <w:vAlign w:val="center"/>
          </w:tcPr>
          <w:p w14:paraId="3BC8D521">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2146" w:type="dxa"/>
            <w:noWrap w:val="0"/>
            <w:vAlign w:val="center"/>
          </w:tcPr>
          <w:p w14:paraId="3E7D7C1D">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43709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center"/>
          </w:tcPr>
          <w:p w14:paraId="11BA0D40">
            <w:pPr>
              <w:adjustRightInd w:val="0"/>
              <w:snapToGrid w:val="0"/>
              <w:spacing w:line="32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固体废物</w:t>
            </w:r>
          </w:p>
        </w:tc>
        <w:tc>
          <w:tcPr>
            <w:tcW w:w="8130" w:type="dxa"/>
            <w:gridSpan w:val="5"/>
            <w:noWrap w:val="0"/>
            <w:vAlign w:val="center"/>
          </w:tcPr>
          <w:p w14:paraId="6089E22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color w:val="auto"/>
                <w:sz w:val="24"/>
                <w:highlight w:val="none"/>
              </w:rPr>
              <w:t>本项目</w:t>
            </w:r>
            <w:r>
              <w:rPr>
                <w:rFonts w:hint="eastAsia"/>
                <w:color w:val="auto"/>
                <w:sz w:val="24"/>
                <w:highlight w:val="none"/>
              </w:rPr>
              <w:t>产生的固体废物主要为废包装袋、不合格品、</w:t>
            </w:r>
            <w:r>
              <w:rPr>
                <w:rFonts w:hint="eastAsia"/>
                <w:color w:val="auto"/>
                <w:sz w:val="24"/>
                <w:highlight w:val="none"/>
                <w:lang w:val="en-US" w:eastAsia="zh-CN"/>
              </w:rPr>
              <w:t>废边角料、</w:t>
            </w:r>
            <w:r>
              <w:rPr>
                <w:rFonts w:hint="eastAsia"/>
                <w:color w:val="auto"/>
                <w:sz w:val="24"/>
                <w:highlight w:val="none"/>
              </w:rPr>
              <w:t>废活性炭、废润滑油</w:t>
            </w:r>
            <w:r>
              <w:rPr>
                <w:rFonts w:hint="eastAsia"/>
                <w:color w:val="auto"/>
                <w:sz w:val="24"/>
                <w:highlight w:val="none"/>
                <w:lang w:eastAsia="zh-CN"/>
              </w:rPr>
              <w:t>、</w:t>
            </w:r>
            <w:r>
              <w:rPr>
                <w:rFonts w:hint="eastAsia"/>
                <w:color w:val="auto"/>
                <w:sz w:val="24"/>
                <w:highlight w:val="none"/>
              </w:rPr>
              <w:t>废润滑油桶</w:t>
            </w:r>
            <w:r>
              <w:rPr>
                <w:rFonts w:hint="eastAsia"/>
                <w:color w:val="auto"/>
                <w:sz w:val="24"/>
                <w:highlight w:val="none"/>
                <w:lang w:val="en-US" w:eastAsia="zh-CN"/>
              </w:rPr>
              <w:t>以及生活垃圾</w:t>
            </w:r>
            <w:r>
              <w:rPr>
                <w:rFonts w:hint="eastAsia"/>
                <w:color w:val="auto"/>
                <w:sz w:val="24"/>
                <w:highlight w:val="none"/>
                <w:lang w:eastAsia="zh-CN"/>
              </w:rPr>
              <w:t>。</w:t>
            </w:r>
            <w:r>
              <w:rPr>
                <w:rFonts w:hint="eastAsia"/>
                <w:color w:val="auto"/>
                <w:sz w:val="24"/>
                <w:highlight w:val="none"/>
                <w:lang w:val="en-US" w:eastAsia="zh-CN"/>
              </w:rPr>
              <w:t>其中，废包装袋、不合格品、废边角料</w:t>
            </w:r>
            <w:r>
              <w:rPr>
                <w:rFonts w:hint="eastAsia"/>
                <w:color w:val="auto"/>
                <w:sz w:val="24"/>
                <w:szCs w:val="24"/>
                <w:lang w:val="en-US" w:eastAsia="zh-CN"/>
              </w:rPr>
              <w:t>集中收集后定期外售于废品收购站</w:t>
            </w:r>
            <w:r>
              <w:rPr>
                <w:rFonts w:hint="eastAsia" w:ascii="宋体" w:hAnsi="宋体" w:cs="宋体"/>
                <w:snapToGrid w:val="0"/>
                <w:color w:val="auto"/>
                <w:kern w:val="0"/>
                <w:sz w:val="24"/>
                <w:szCs w:val="20"/>
                <w:lang w:val="en-US" w:eastAsia="zh-CN" w:bidi="ar"/>
              </w:rPr>
              <w:t>；废活性炭、废润滑油、废润滑油桶属于危险废物，废活性炭经密封包装后、废润滑油由密闭储油桶收集后与废润滑油桶置于托盘上，分区贮存于危废贮存点（</w:t>
            </w:r>
            <w:r>
              <w:rPr>
                <w:rFonts w:hint="default" w:ascii="Times New Roman" w:hAnsi="Times New Roman" w:cs="Times New Roman"/>
                <w:snapToGrid w:val="0"/>
                <w:color w:val="auto"/>
                <w:kern w:val="0"/>
                <w:sz w:val="24"/>
                <w:szCs w:val="20"/>
                <w:lang w:val="en-US" w:eastAsia="zh-CN" w:bidi="ar"/>
              </w:rPr>
              <w:t>1座，10m</w:t>
            </w:r>
            <w:r>
              <w:rPr>
                <w:rFonts w:hint="default" w:ascii="Times New Roman" w:hAnsi="Times New Roman" w:cs="Times New Roman"/>
                <w:snapToGrid w:val="0"/>
                <w:color w:val="auto"/>
                <w:kern w:val="0"/>
                <w:sz w:val="24"/>
                <w:szCs w:val="20"/>
                <w:vertAlign w:val="superscript"/>
                <w:lang w:val="en-US" w:eastAsia="zh-CN" w:bidi="ar"/>
              </w:rPr>
              <w:t>2</w:t>
            </w:r>
            <w:r>
              <w:rPr>
                <w:rFonts w:hint="eastAsia" w:ascii="宋体" w:hAnsi="宋体" w:cs="宋体"/>
                <w:snapToGrid w:val="0"/>
                <w:color w:val="auto"/>
                <w:kern w:val="0"/>
                <w:sz w:val="24"/>
                <w:szCs w:val="20"/>
                <w:lang w:val="en-US" w:eastAsia="zh-CN" w:bidi="ar"/>
              </w:rPr>
              <w:t>），定期委托有资质的单位进行处置；生活垃圾经垃圾分类设施分类收集后交由园区环卫部门统一处置。</w:t>
            </w:r>
          </w:p>
        </w:tc>
      </w:tr>
      <w:tr w14:paraId="061B2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center"/>
          </w:tcPr>
          <w:p w14:paraId="1612B612">
            <w:pPr>
              <w:adjustRightInd w:val="0"/>
              <w:snapToGrid w:val="0"/>
              <w:spacing w:line="32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土壤及地下水污染防治措施</w:t>
            </w:r>
          </w:p>
        </w:tc>
        <w:tc>
          <w:tcPr>
            <w:tcW w:w="8130" w:type="dxa"/>
            <w:gridSpan w:val="5"/>
            <w:noWrap w:val="0"/>
            <w:vAlign w:val="center"/>
          </w:tcPr>
          <w:p w14:paraId="53005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本项目运营期采取分区防渗措施，其中，危废贮存点为重点防渗区，项目产生的废活性炭经密封包装后、废润滑油由专用闭口储油桶收集后与废润滑油桶置于托盘上，危险废物不与地面直接接触。贮存设施地面与裙脚应采取表面防渗措施，表面防渗材料应与所接触的物料或污染物相容，可采用抗渗混凝土、高密度聚乙烯膜、钠基膨润土防水毯或其他防渗性能等效的材料；其余区域为简单防渗区，采取一般水泥硬化措施</w:t>
            </w:r>
            <w:r>
              <w:rPr>
                <w:rFonts w:hint="eastAsia" w:ascii="Times New Roman" w:hAnsi="Times New Roman" w:eastAsia="宋体" w:cs="Times New Roman"/>
                <w:color w:val="auto"/>
                <w:sz w:val="24"/>
                <w:szCs w:val="24"/>
                <w:lang w:val="en-US" w:eastAsia="zh-CN"/>
              </w:rPr>
              <w:t>。</w:t>
            </w:r>
          </w:p>
        </w:tc>
      </w:tr>
      <w:tr w14:paraId="24FCC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center"/>
          </w:tcPr>
          <w:p w14:paraId="1B88046A">
            <w:pPr>
              <w:adjustRightInd w:val="0"/>
              <w:snapToGrid w:val="0"/>
              <w:spacing w:line="32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生态保护措施</w:t>
            </w:r>
          </w:p>
        </w:tc>
        <w:tc>
          <w:tcPr>
            <w:tcW w:w="8130" w:type="dxa"/>
            <w:gridSpan w:val="5"/>
            <w:noWrap w:val="0"/>
            <w:vAlign w:val="center"/>
          </w:tcPr>
          <w:p w14:paraId="7D2C145D">
            <w:pPr>
              <w:adjustRightInd w:val="0"/>
              <w:snapToGrid w:val="0"/>
              <w:spacing w:line="32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14:paraId="11908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center"/>
          </w:tcPr>
          <w:p w14:paraId="3F618054">
            <w:pPr>
              <w:adjustRightInd w:val="0"/>
              <w:snapToGrid w:val="0"/>
              <w:spacing w:line="320" w:lineRule="exact"/>
              <w:jc w:val="center"/>
              <w:rPr>
                <w:rFonts w:hint="default" w:ascii="Times New Roman" w:hAnsi="Times New Roman" w:eastAsia="宋体" w:cs="Times New Roman"/>
                <w:b/>
                <w:bCs/>
                <w:color w:val="auto"/>
                <w:spacing w:val="-8"/>
                <w:sz w:val="24"/>
                <w:szCs w:val="24"/>
              </w:rPr>
            </w:pPr>
            <w:r>
              <w:rPr>
                <w:rFonts w:hint="default" w:ascii="Times New Roman" w:hAnsi="Times New Roman" w:eastAsia="宋体" w:cs="Times New Roman"/>
                <w:b/>
                <w:bCs/>
                <w:color w:val="auto"/>
                <w:spacing w:val="-8"/>
                <w:sz w:val="24"/>
                <w:szCs w:val="24"/>
              </w:rPr>
              <w:t>环境风险防范措施</w:t>
            </w:r>
          </w:p>
        </w:tc>
        <w:tc>
          <w:tcPr>
            <w:tcW w:w="8130" w:type="dxa"/>
            <w:gridSpan w:val="5"/>
            <w:noWrap w:val="0"/>
            <w:vAlign w:val="center"/>
          </w:tcPr>
          <w:p w14:paraId="77391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⑴建设单位应做好防渗措施，并加强巡查，发现泄漏及时采取堵截、补漏措施。</w:t>
            </w:r>
          </w:p>
          <w:p w14:paraId="41823F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⑵制定完备的安全防范措施，尽可能降低项目环境风险事故发生的概率。</w:t>
            </w:r>
          </w:p>
          <w:p w14:paraId="75990D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⑶当发生废润滑油泄漏或遇明火引发火灾时，及时拨打119和（或）110报警，报警时应说清着火物质、地理位置、报警人姓名，如有人员烧伤，应迅速将烧伤人员转移到安全区域，同时拨打120急救电话。</w:t>
            </w:r>
          </w:p>
          <w:p w14:paraId="1042E7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⑷结合项目情况，制定突发环境事件应急预案，并严格执行预案中的相关要求。</w:t>
            </w:r>
          </w:p>
        </w:tc>
      </w:tr>
      <w:tr w14:paraId="7CC5D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2" w:type="dxa"/>
            <w:noWrap w:val="0"/>
            <w:vAlign w:val="center"/>
          </w:tcPr>
          <w:p w14:paraId="5C47FE7E">
            <w:pPr>
              <w:adjustRightInd w:val="0"/>
              <w:snapToGrid w:val="0"/>
              <w:spacing w:line="360" w:lineRule="exact"/>
              <w:jc w:val="center"/>
              <w:rPr>
                <w:rFonts w:hint="default" w:ascii="Times New Roman" w:hAnsi="Times New Roman" w:eastAsia="宋体" w:cs="Times New Roman"/>
                <w:b/>
                <w:bCs/>
                <w:color w:val="auto"/>
                <w:spacing w:val="-8"/>
                <w:sz w:val="24"/>
                <w:szCs w:val="24"/>
              </w:rPr>
            </w:pPr>
            <w:r>
              <w:rPr>
                <w:rFonts w:hint="default" w:ascii="Times New Roman" w:hAnsi="Times New Roman" w:eastAsia="宋体" w:cs="Times New Roman"/>
                <w:b/>
                <w:bCs/>
                <w:color w:val="auto"/>
                <w:spacing w:val="-8"/>
                <w:sz w:val="24"/>
                <w:szCs w:val="24"/>
              </w:rPr>
              <w:t>其他环境管理要求</w:t>
            </w:r>
          </w:p>
        </w:tc>
        <w:tc>
          <w:tcPr>
            <w:tcW w:w="8130" w:type="dxa"/>
            <w:gridSpan w:val="5"/>
            <w:noWrap w:val="0"/>
            <w:vAlign w:val="center"/>
          </w:tcPr>
          <w:p w14:paraId="5B28041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color w:val="auto"/>
                <w:sz w:val="24"/>
                <w:highlight w:val="none"/>
              </w:rPr>
            </w:pPr>
            <w:r>
              <w:rPr>
                <w:b/>
                <w:color w:val="auto"/>
                <w:sz w:val="24"/>
                <w:highlight w:val="none"/>
              </w:rPr>
              <w:t>1、排污许可管理要求</w:t>
            </w:r>
          </w:p>
          <w:p w14:paraId="44C0B7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根据《国务院办公厅关于印发控制污染物排放许可证》（国办发</w:t>
            </w:r>
            <w:r>
              <w:rPr>
                <w:rFonts w:hint="eastAsia"/>
                <w:color w:val="auto"/>
                <w:sz w:val="24"/>
                <w:highlight w:val="none"/>
              </w:rPr>
              <w:t>〔</w:t>
            </w:r>
            <w:r>
              <w:rPr>
                <w:color w:val="auto"/>
                <w:sz w:val="24"/>
                <w:highlight w:val="none"/>
              </w:rPr>
              <w:t>2016</w:t>
            </w:r>
            <w:r>
              <w:rPr>
                <w:rFonts w:hint="eastAsia"/>
                <w:color w:val="auto"/>
                <w:sz w:val="24"/>
                <w:highlight w:val="none"/>
              </w:rPr>
              <w:t>〕</w:t>
            </w:r>
            <w:r>
              <w:rPr>
                <w:color w:val="auto"/>
                <w:sz w:val="24"/>
                <w:highlight w:val="none"/>
              </w:rPr>
              <w:t>81号）、《关于印发&lt;排污许可证管理暂行规定&gt;的通知》（环水体</w:t>
            </w:r>
            <w:r>
              <w:rPr>
                <w:rFonts w:hint="eastAsia"/>
                <w:color w:val="auto"/>
                <w:sz w:val="24"/>
                <w:highlight w:val="none"/>
              </w:rPr>
              <w:t>〔2016〕186号</w:t>
            </w:r>
            <w:r>
              <w:rPr>
                <w:color w:val="auto"/>
                <w:sz w:val="24"/>
                <w:highlight w:val="none"/>
              </w:rPr>
              <w:t>）及《关于发布排污许可证承诺书样本、排污许可证申请表和排污许可证格式的通知》（环规财</w:t>
            </w:r>
            <w:r>
              <w:rPr>
                <w:rFonts w:hint="eastAsia"/>
                <w:color w:val="auto"/>
                <w:sz w:val="24"/>
                <w:highlight w:val="none"/>
              </w:rPr>
              <w:t>〔</w:t>
            </w:r>
            <w:r>
              <w:rPr>
                <w:color w:val="auto"/>
                <w:sz w:val="24"/>
                <w:highlight w:val="none"/>
              </w:rPr>
              <w:t>2018</w:t>
            </w:r>
            <w:r>
              <w:rPr>
                <w:rFonts w:hint="eastAsia"/>
                <w:color w:val="auto"/>
                <w:sz w:val="24"/>
                <w:highlight w:val="none"/>
              </w:rPr>
              <w:t>〕</w:t>
            </w:r>
            <w:r>
              <w:rPr>
                <w:color w:val="auto"/>
                <w:sz w:val="24"/>
                <w:highlight w:val="none"/>
              </w:rPr>
              <w:t>80号）、</w:t>
            </w:r>
            <w:r>
              <w:rPr>
                <w:rFonts w:hint="eastAsia"/>
                <w:color w:val="auto"/>
                <w:sz w:val="24"/>
                <w:highlight w:val="none"/>
              </w:rPr>
              <w:t>《排污许可证申请与核发技术规范 橡胶和塑料制品工业》（HJ1122-2020）</w:t>
            </w:r>
            <w:r>
              <w:rPr>
                <w:color w:val="auto"/>
                <w:sz w:val="24"/>
                <w:highlight w:val="none"/>
              </w:rPr>
              <w:t>等文件规定，项目建成投产前建设单位应依法向当地环境保护主管部门申请排污许可证，实行排污许可管理，排污许可证应载明项目排污口的位置、数量、排放方式及排放去向；排放污染物的种类，许可排放浓度及许可排放量。排污许可证副本应载明污染设施运行、维护，无组织排放控制等环境保护措施要求；自行监测方案、台账记录、执行报告等要求。排污单位自行监测、执行报告等信息公开要求。</w:t>
            </w:r>
          </w:p>
          <w:p w14:paraId="2CEDB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建设单位应严格执行排污许可的规定，遵守下列要求：</w:t>
            </w:r>
          </w:p>
          <w:p w14:paraId="1B212B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⑴排污口位置和数量、排放方式、排放去向、排放污染物种类、排放浓度和排放量、执行的排放标准等，不得私设暗管或以其他方式逃避监管。</w:t>
            </w:r>
          </w:p>
          <w:p w14:paraId="7773AB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⑵落实重污染天气应急管理措施、遵守法律规定的最新环境保护要求等。</w:t>
            </w:r>
          </w:p>
          <w:p w14:paraId="4DFF91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⑶按照排污许可证规定的监测点位、监测因子、监测频次和相关监测技术规范开展自行监测并进行信息公开。</w:t>
            </w:r>
          </w:p>
          <w:p w14:paraId="5ECE4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⑷按规定进行台账记录，主要内容包括生产信息、原辅材料使用情况、污染防治设施运行记录、监测数据等。</w:t>
            </w:r>
          </w:p>
          <w:p w14:paraId="536629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⑸按排污许可证规定，定期在国家排污许可管理信息平台填报信息、编制排污许可证执行报告，及时报送核发权的环境保护主管部门并公开、执行报告主要内容包括生产信息、污染防治设施运行情况，污染物按证排放情况等。</w:t>
            </w:r>
          </w:p>
          <w:p w14:paraId="1270D8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⑹法律法规规定的其他义务。</w:t>
            </w:r>
          </w:p>
          <w:p w14:paraId="1DB2D8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color w:val="auto"/>
                <w:sz w:val="24"/>
                <w:highlight w:val="none"/>
              </w:rPr>
            </w:pPr>
            <w:r>
              <w:rPr>
                <w:b/>
                <w:color w:val="auto"/>
                <w:sz w:val="24"/>
                <w:highlight w:val="none"/>
              </w:rPr>
              <w:t>2、环境管理</w:t>
            </w:r>
          </w:p>
          <w:p w14:paraId="63DDFF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highlight w:val="none"/>
              </w:rPr>
            </w:pPr>
            <w:r>
              <w:rPr>
                <w:color w:val="auto"/>
                <w:sz w:val="24"/>
                <w:highlight w:val="none"/>
              </w:rPr>
              <w:t>项目建成后</w:t>
            </w:r>
            <w:r>
              <w:rPr>
                <w:rFonts w:hint="eastAsia"/>
                <w:color w:val="auto"/>
                <w:sz w:val="24"/>
                <w:highlight w:val="none"/>
              </w:rPr>
              <w:t>依托现有</w:t>
            </w:r>
            <w:r>
              <w:rPr>
                <w:color w:val="auto"/>
                <w:sz w:val="24"/>
                <w:highlight w:val="none"/>
              </w:rPr>
              <w:t>生态环境管理部门，</w:t>
            </w:r>
            <w:r>
              <w:rPr>
                <w:rFonts w:hint="eastAsia"/>
                <w:color w:val="auto"/>
                <w:sz w:val="24"/>
                <w:highlight w:val="none"/>
              </w:rPr>
              <w:t>对</w:t>
            </w:r>
            <w:r>
              <w:rPr>
                <w:color w:val="auto"/>
                <w:sz w:val="24"/>
                <w:highlight w:val="none"/>
              </w:rPr>
              <w:t>全厂的环境保护管理工作，</w:t>
            </w:r>
            <w:r>
              <w:rPr>
                <w:rFonts w:hint="eastAsia"/>
                <w:color w:val="auto"/>
                <w:sz w:val="24"/>
                <w:highlight w:val="none"/>
              </w:rPr>
              <w:t>建立健全扬尘污染防治制度、进出车辆管理制度及污染设施运行制度等，</w:t>
            </w:r>
            <w:r>
              <w:rPr>
                <w:color w:val="auto"/>
                <w:sz w:val="24"/>
                <w:highlight w:val="none"/>
              </w:rPr>
              <w:t>监督并定期检查</w:t>
            </w:r>
            <w:r>
              <w:rPr>
                <w:rFonts w:hint="eastAsia"/>
                <w:color w:val="auto"/>
                <w:sz w:val="24"/>
                <w:highlight w:val="none"/>
              </w:rPr>
              <w:t>各生产设施</w:t>
            </w:r>
            <w:r>
              <w:rPr>
                <w:color w:val="auto"/>
                <w:sz w:val="24"/>
                <w:highlight w:val="none"/>
              </w:rPr>
              <w:t>环保设施的管理和运行情况，发现问题及时会同有关部门解决，保证全厂环保设施处于完好状态</w:t>
            </w:r>
            <w:r>
              <w:rPr>
                <w:rFonts w:hint="eastAsia"/>
                <w:color w:val="auto"/>
                <w:sz w:val="24"/>
                <w:highlight w:val="none"/>
              </w:rPr>
              <w:t>；项目竣工后，按规定程序组织开展竣工环保验收，经验收合格后项目方可投入正式运行。</w:t>
            </w:r>
          </w:p>
          <w:p w14:paraId="46A64DB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color w:val="auto"/>
                <w:sz w:val="24"/>
                <w:highlight w:val="none"/>
              </w:rPr>
            </w:pPr>
            <w:r>
              <w:rPr>
                <w:b/>
                <w:color w:val="auto"/>
                <w:sz w:val="24"/>
                <w:highlight w:val="none"/>
              </w:rPr>
              <w:t>3、自行监测要求</w:t>
            </w:r>
          </w:p>
          <w:p w14:paraId="570735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运营期建设单位应按照《排污单位自行监测技术指南 橡胶和塑料制品》（HJ1207-2021）委托有资质单位开展自行监测。</w:t>
            </w:r>
          </w:p>
          <w:p w14:paraId="5F7E580D">
            <w:pPr>
              <w:pStyle w:val="51"/>
              <w:rPr>
                <w:rFonts w:hint="eastAsia" w:ascii="Times New Roman" w:hAnsi="Times New Roman" w:eastAsia="宋体" w:cs="Times New Roman"/>
                <w:color w:val="auto"/>
                <w:sz w:val="24"/>
                <w:highlight w:val="none"/>
              </w:rPr>
            </w:pPr>
          </w:p>
          <w:p w14:paraId="3B51BE26">
            <w:pPr>
              <w:pStyle w:val="51"/>
              <w:rPr>
                <w:rFonts w:hint="eastAsia" w:ascii="Times New Roman" w:hAnsi="Times New Roman" w:eastAsia="宋体" w:cs="Times New Roman"/>
                <w:color w:val="auto"/>
                <w:sz w:val="24"/>
                <w:highlight w:val="none"/>
              </w:rPr>
            </w:pPr>
          </w:p>
          <w:p w14:paraId="145239B2">
            <w:pPr>
              <w:pStyle w:val="51"/>
              <w:ind w:left="0" w:leftChars="0" w:firstLine="0" w:firstLineChars="0"/>
              <w:rPr>
                <w:rFonts w:hint="default" w:ascii="Times New Roman" w:hAnsi="Times New Roman" w:eastAsia="宋体" w:cs="Times New Roman"/>
                <w:color w:val="auto"/>
                <w:sz w:val="24"/>
                <w:highlight w:val="none"/>
              </w:rPr>
            </w:pPr>
          </w:p>
        </w:tc>
      </w:tr>
    </w:tbl>
    <w:p w14:paraId="1EA4905B">
      <w:pPr>
        <w:pStyle w:val="27"/>
        <w:adjustRightInd w:val="0"/>
        <w:snapToGrid w:val="0"/>
        <w:spacing w:before="0" w:beforeAutospacing="0" w:after="0" w:afterAutospacing="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2"/>
      </w:tblGrid>
      <w:tr w14:paraId="6EA1EF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01" w:hRule="atLeast"/>
        </w:trPr>
        <w:tc>
          <w:tcPr>
            <w:tcW w:w="9242" w:type="dxa"/>
            <w:noWrap w:val="0"/>
            <w:vAlign w:val="top"/>
          </w:tcPr>
          <w:p w14:paraId="412274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本项目符合国家相关产业政策，用地选址合理可行，总平面布置合理可行；区域无明显环境制约因子。项目在运行中产生一定程度的废水、废气、噪声及固体废物的污染，建设单位加强营运期管理，严格遵循环保</w:t>
            </w:r>
            <w:r>
              <w:rPr>
                <w:rFonts w:hint="eastAsia"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三同时</w:t>
            </w:r>
            <w:r>
              <w:rPr>
                <w:rFonts w:hint="eastAsia"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制度，在切实落实本报告提出的各项污染防治措施前提下，项目对周围环境的影响可以控制在国家有关标准和要求的允许范围以内。本项目拟采取的污染防治措施从技术上和经济上均可行。</w:t>
            </w:r>
          </w:p>
          <w:p w14:paraId="46C95E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从环境保护角度分析，该项目建设可行。</w:t>
            </w:r>
          </w:p>
        </w:tc>
      </w:tr>
    </w:tbl>
    <w:p w14:paraId="32517852">
      <w:pPr>
        <w:rPr>
          <w:rFonts w:hint="default" w:ascii="Times New Roman" w:hAnsi="Times New Roman" w:eastAsia="宋体" w:cs="Times New Roman"/>
          <w:color w:val="auto"/>
        </w:rPr>
        <w:sectPr>
          <w:pgSz w:w="11906" w:h="16838"/>
          <w:pgMar w:top="1701" w:right="1531" w:bottom="1701" w:left="1531" w:header="851" w:footer="851" w:gutter="0"/>
          <w:pgBorders w:offsetFrom="page">
            <w:top w:val="none" w:sz="0" w:space="0"/>
            <w:left w:val="none" w:sz="0" w:space="0"/>
            <w:bottom w:val="none" w:sz="0" w:space="0"/>
            <w:right w:val="none" w:sz="0" w:space="0"/>
          </w:pgBorders>
          <w:cols w:space="720" w:num="1"/>
          <w:docGrid w:linePitch="312" w:charSpace="0"/>
        </w:sectPr>
      </w:pPr>
    </w:p>
    <w:p w14:paraId="6522C0E2">
      <w:pPr>
        <w:pStyle w:val="27"/>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textAlignment w:val="auto"/>
        <w:outlineLvl w:val="0"/>
        <w:rPr>
          <w:rFonts w:hint="default" w:ascii="Times New Roman" w:hAnsi="Times New Roman" w:eastAsia="宋体" w:cs="Times New Roman"/>
          <w:b/>
          <w:bCs/>
          <w:snapToGrid w:val="0"/>
          <w:color w:val="auto"/>
          <w:sz w:val="32"/>
          <w:szCs w:val="32"/>
        </w:rPr>
      </w:pPr>
      <w:r>
        <w:rPr>
          <w:rFonts w:hint="default" w:ascii="Times New Roman" w:hAnsi="Times New Roman" w:eastAsia="宋体" w:cs="Times New Roman"/>
          <w:b/>
          <w:bCs/>
          <w:snapToGrid w:val="0"/>
          <w:color w:val="auto"/>
          <w:sz w:val="32"/>
          <w:szCs w:val="32"/>
        </w:rPr>
        <w:t>附表</w:t>
      </w:r>
    </w:p>
    <w:p w14:paraId="1EEBAB41">
      <w:pPr>
        <w:pStyle w:val="27"/>
        <w:adjustRightInd w:val="0"/>
        <w:snapToGrid w:val="0"/>
        <w:spacing w:before="0" w:beforeAutospacing="0" w:after="0" w:afterAutospacing="0" w:line="312" w:lineRule="auto"/>
        <w:jc w:val="center"/>
        <w:outlineLvl w:val="0"/>
        <w:rPr>
          <w:rFonts w:hint="default" w:ascii="Times New Roman" w:hAnsi="Times New Roman" w:eastAsia="宋体" w:cs="Times New Roman"/>
          <w:b/>
          <w:bCs/>
          <w:snapToGrid w:val="0"/>
          <w:color w:val="auto"/>
          <w:sz w:val="38"/>
          <w:szCs w:val="38"/>
        </w:rPr>
      </w:pPr>
      <w:r>
        <w:rPr>
          <w:rFonts w:hint="default" w:ascii="Times New Roman" w:hAnsi="Times New Roman" w:eastAsia="宋体" w:cs="Times New Roman"/>
          <w:b/>
          <w:bCs/>
          <w:snapToGrid w:val="0"/>
          <w:color w:val="auto"/>
          <w:sz w:val="38"/>
          <w:szCs w:val="38"/>
        </w:rPr>
        <w:t>建设项目污染物排放量汇总表</w:t>
      </w:r>
    </w:p>
    <w:tbl>
      <w:tblPr>
        <w:tblStyle w:val="30"/>
        <w:tblW w:w="13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245"/>
        <w:gridCol w:w="1453"/>
        <w:gridCol w:w="1290"/>
        <w:gridCol w:w="1245"/>
        <w:gridCol w:w="1650"/>
        <w:gridCol w:w="1680"/>
        <w:gridCol w:w="1635"/>
        <w:gridCol w:w="1688"/>
        <w:gridCol w:w="826"/>
      </w:tblGrid>
      <w:tr w14:paraId="60895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76" w:type="dxa"/>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5BB453E">
            <w:pPr>
              <w:pStyle w:val="72"/>
              <w:snapToGrid w:val="0"/>
              <w:spacing w:beforeLines="0" w:afterLines="0" w:line="240" w:lineRule="auto"/>
              <w:ind w:firstLine="0"/>
              <w:jc w:val="both"/>
              <mc:AlternateContent>
                <mc:Choice Requires="wpsCustomData">
                  <wpsCustomData:diagonalParaType/>
                </mc:Choice>
              </mc:AlternateContent>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分类</w:t>
            </w:r>
          </w:p>
          <w:p w14:paraId="382FE2D7">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项目</w:t>
            </w:r>
          </w:p>
        </w:tc>
        <w:tc>
          <w:tcPr>
            <w:tcW w:w="2698" w:type="dxa"/>
            <w:gridSpan w:val="2"/>
            <w:tcBorders>
              <w:tl2br w:val="nil"/>
              <w:tr2bl w:val="nil"/>
            </w:tcBorders>
            <w:noWrap w:val="0"/>
            <w:tcMar>
              <w:left w:w="28" w:type="dxa"/>
              <w:right w:w="28" w:type="dxa"/>
            </w:tcMar>
            <w:vAlign w:val="center"/>
          </w:tcPr>
          <w:p w14:paraId="64D99444">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污染物名称</w:t>
            </w:r>
          </w:p>
        </w:tc>
        <w:tc>
          <w:tcPr>
            <w:tcW w:w="1290" w:type="dxa"/>
            <w:tcBorders>
              <w:tl2br w:val="nil"/>
              <w:tr2bl w:val="nil"/>
            </w:tcBorders>
            <w:noWrap w:val="0"/>
            <w:tcMar>
              <w:left w:w="28" w:type="dxa"/>
              <w:right w:w="28" w:type="dxa"/>
            </w:tcMar>
            <w:vAlign w:val="center"/>
          </w:tcPr>
          <w:p w14:paraId="409227DA">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现有工程排放量（固体废物产生量）</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1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①</w:t>
            </w:r>
            <w:r>
              <w:rPr>
                <w:rFonts w:hint="default" w:ascii="Times New Roman" w:hAnsi="Times New Roman" w:eastAsia="宋体" w:cs="Times New Roman"/>
                <w:b/>
                <w:bCs/>
                <w:snapToGrid w:val="0"/>
                <w:color w:val="auto"/>
                <w:spacing w:val="-6"/>
                <w:kern w:val="21"/>
                <w:sz w:val="21"/>
                <w:szCs w:val="21"/>
              </w:rPr>
              <w:fldChar w:fldCharType="end"/>
            </w:r>
          </w:p>
        </w:tc>
        <w:tc>
          <w:tcPr>
            <w:tcW w:w="1245" w:type="dxa"/>
            <w:tcBorders>
              <w:tl2br w:val="nil"/>
              <w:tr2bl w:val="nil"/>
            </w:tcBorders>
            <w:noWrap w:val="0"/>
            <w:tcMar>
              <w:left w:w="28" w:type="dxa"/>
              <w:right w:w="28" w:type="dxa"/>
            </w:tcMar>
            <w:vAlign w:val="center"/>
          </w:tcPr>
          <w:p w14:paraId="2A195EC9">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现有工程许可排放量</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2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snapToGrid w:val="0"/>
                <w:color w:val="auto"/>
                <w:spacing w:val="-6"/>
                <w:kern w:val="21"/>
                <w:sz w:val="21"/>
                <w:szCs w:val="21"/>
              </w:rPr>
              <w:t>②</w:t>
            </w:r>
            <w:r>
              <w:rPr>
                <w:rFonts w:hint="default" w:ascii="Times New Roman" w:hAnsi="Times New Roman" w:eastAsia="宋体" w:cs="Times New Roman"/>
                <w:b/>
                <w:bCs/>
                <w:snapToGrid w:val="0"/>
                <w:color w:val="auto"/>
                <w:spacing w:val="-6"/>
                <w:kern w:val="21"/>
                <w:sz w:val="21"/>
                <w:szCs w:val="21"/>
              </w:rPr>
              <w:fldChar w:fldCharType="end"/>
            </w:r>
          </w:p>
        </w:tc>
        <w:tc>
          <w:tcPr>
            <w:tcW w:w="1650" w:type="dxa"/>
            <w:tcBorders>
              <w:tl2br w:val="nil"/>
              <w:tr2bl w:val="nil"/>
            </w:tcBorders>
            <w:noWrap w:val="0"/>
            <w:tcMar>
              <w:left w:w="28" w:type="dxa"/>
              <w:right w:w="28" w:type="dxa"/>
            </w:tcMar>
            <w:vAlign w:val="center"/>
          </w:tcPr>
          <w:p w14:paraId="160A1AB5">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在建工程排放量（固体废物产生量）</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3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③</w:t>
            </w:r>
            <w:r>
              <w:rPr>
                <w:rFonts w:hint="default" w:ascii="Times New Roman" w:hAnsi="Times New Roman" w:eastAsia="宋体" w:cs="Times New Roman"/>
                <w:b/>
                <w:bCs/>
                <w:snapToGrid w:val="0"/>
                <w:color w:val="auto"/>
                <w:spacing w:val="-6"/>
                <w:kern w:val="21"/>
                <w:sz w:val="21"/>
                <w:szCs w:val="21"/>
              </w:rPr>
              <w:fldChar w:fldCharType="end"/>
            </w:r>
          </w:p>
        </w:tc>
        <w:tc>
          <w:tcPr>
            <w:tcW w:w="1680" w:type="dxa"/>
            <w:tcBorders>
              <w:tl2br w:val="nil"/>
              <w:tr2bl w:val="nil"/>
            </w:tcBorders>
            <w:noWrap w:val="0"/>
            <w:tcMar>
              <w:left w:w="28" w:type="dxa"/>
              <w:right w:w="28" w:type="dxa"/>
            </w:tcMar>
            <w:vAlign w:val="center"/>
          </w:tcPr>
          <w:p w14:paraId="79A8DFB8">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本项目排放量（固体废物产生量）</w:t>
            </w: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4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④</w:t>
            </w:r>
            <w:r>
              <w:rPr>
                <w:rFonts w:hint="default" w:ascii="Times New Roman" w:hAnsi="Times New Roman" w:eastAsia="宋体" w:cs="Times New Roman"/>
                <w:b/>
                <w:bCs/>
                <w:snapToGrid w:val="0"/>
                <w:color w:val="auto"/>
                <w:spacing w:val="-6"/>
                <w:kern w:val="21"/>
                <w:sz w:val="21"/>
                <w:szCs w:val="21"/>
              </w:rPr>
              <w:fldChar w:fldCharType="end"/>
            </w:r>
          </w:p>
        </w:tc>
        <w:tc>
          <w:tcPr>
            <w:tcW w:w="1635" w:type="dxa"/>
            <w:tcBorders>
              <w:tl2br w:val="nil"/>
              <w:tr2bl w:val="nil"/>
            </w:tcBorders>
            <w:noWrap w:val="0"/>
            <w:tcMar>
              <w:left w:w="28" w:type="dxa"/>
              <w:right w:w="28" w:type="dxa"/>
            </w:tcMar>
            <w:vAlign w:val="center"/>
          </w:tcPr>
          <w:p w14:paraId="55DC2B58">
            <w:pPr>
              <w:pStyle w:val="72"/>
              <w:spacing w:beforeLines="0" w:afterLines="0" w:line="240" w:lineRule="auto"/>
              <w:ind w:firstLine="0"/>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以新带老削减量</w:t>
            </w:r>
          </w:p>
          <w:p w14:paraId="7DC5C646">
            <w:pPr>
              <w:pStyle w:val="72"/>
              <w:spacing w:beforeLines="0" w:afterLines="0" w:line="240" w:lineRule="auto"/>
              <w:ind w:firstLine="0"/>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（新建项目不填）</w:t>
            </w:r>
            <w:r>
              <w:rPr>
                <w:rFonts w:hint="default" w:ascii="Times New Roman" w:hAnsi="Times New Roman" w:eastAsia="宋体" w:cs="Times New Roman"/>
                <w:b/>
                <w:bCs/>
                <w:snapToGrid w:val="0"/>
                <w:color w:val="auto"/>
                <w:spacing w:val="-16"/>
                <w:kern w:val="21"/>
                <w:sz w:val="21"/>
                <w:szCs w:val="21"/>
              </w:rPr>
              <w:fldChar w:fldCharType="begin"/>
            </w:r>
            <w:r>
              <w:rPr>
                <w:rFonts w:hint="default" w:ascii="Times New Roman" w:hAnsi="Times New Roman" w:eastAsia="宋体" w:cs="Times New Roman"/>
                <w:b/>
                <w:bCs/>
                <w:snapToGrid w:val="0"/>
                <w:color w:val="auto"/>
                <w:spacing w:val="-16"/>
                <w:kern w:val="21"/>
                <w:sz w:val="21"/>
                <w:szCs w:val="21"/>
              </w:rPr>
              <w:instrText xml:space="preserve"> = 5 \* GB3 \* MERGEFORMAT </w:instrText>
            </w:r>
            <w:r>
              <w:rPr>
                <w:rFonts w:hint="default" w:ascii="Times New Roman" w:hAnsi="Times New Roman" w:eastAsia="宋体" w:cs="Times New Roman"/>
                <w:b/>
                <w:bCs/>
                <w:snapToGrid w:val="0"/>
                <w:color w:val="auto"/>
                <w:spacing w:val="-16"/>
                <w:kern w:val="21"/>
                <w:sz w:val="21"/>
                <w:szCs w:val="21"/>
              </w:rPr>
              <w:fldChar w:fldCharType="separate"/>
            </w:r>
            <w:r>
              <w:rPr>
                <w:rFonts w:hint="default" w:ascii="Times New Roman" w:hAnsi="Times New Roman" w:eastAsia="宋体" w:cs="Times New Roman"/>
                <w:b/>
                <w:bCs/>
                <w:color w:val="auto"/>
                <w:kern w:val="2"/>
                <w:sz w:val="21"/>
                <w:szCs w:val="21"/>
              </w:rPr>
              <w:t>⑤</w:t>
            </w:r>
            <w:r>
              <w:rPr>
                <w:rFonts w:hint="default" w:ascii="Times New Roman" w:hAnsi="Times New Roman" w:eastAsia="宋体" w:cs="Times New Roman"/>
                <w:b/>
                <w:bCs/>
                <w:snapToGrid w:val="0"/>
                <w:color w:val="auto"/>
                <w:spacing w:val="-16"/>
                <w:kern w:val="21"/>
                <w:sz w:val="21"/>
                <w:szCs w:val="21"/>
              </w:rPr>
              <w:fldChar w:fldCharType="end"/>
            </w:r>
          </w:p>
        </w:tc>
        <w:tc>
          <w:tcPr>
            <w:tcW w:w="1688" w:type="dxa"/>
            <w:tcBorders>
              <w:tl2br w:val="nil"/>
              <w:tr2bl w:val="nil"/>
            </w:tcBorders>
            <w:noWrap w:val="0"/>
            <w:tcMar>
              <w:left w:w="28" w:type="dxa"/>
              <w:right w:w="28" w:type="dxa"/>
            </w:tcMar>
            <w:vAlign w:val="center"/>
          </w:tcPr>
          <w:p w14:paraId="5D0C67A8">
            <w:pPr>
              <w:pStyle w:val="72"/>
              <w:spacing w:beforeLines="0" w:afterLines="0" w:line="240" w:lineRule="auto"/>
              <w:ind w:firstLine="0"/>
              <w:rPr>
                <w:rFonts w:hint="default" w:ascii="Times New Roman" w:hAnsi="Times New Roman" w:eastAsia="宋体" w:cs="Times New Roman"/>
                <w:b/>
                <w:bCs/>
                <w:snapToGrid w:val="0"/>
                <w:color w:val="auto"/>
                <w:spacing w:val="-16"/>
                <w:kern w:val="21"/>
                <w:sz w:val="21"/>
                <w:szCs w:val="21"/>
              </w:rPr>
            </w:pPr>
            <w:r>
              <w:rPr>
                <w:rFonts w:hint="default" w:ascii="Times New Roman" w:hAnsi="Times New Roman" w:eastAsia="宋体" w:cs="Times New Roman"/>
                <w:b/>
                <w:bCs/>
                <w:snapToGrid w:val="0"/>
                <w:color w:val="auto"/>
                <w:spacing w:val="-16"/>
                <w:kern w:val="21"/>
                <w:sz w:val="21"/>
                <w:szCs w:val="21"/>
              </w:rPr>
              <w:t>本项目建成后全厂排放量（固体废物产生量）</w:t>
            </w:r>
            <w:r>
              <w:rPr>
                <w:rFonts w:hint="default" w:ascii="Times New Roman" w:hAnsi="Times New Roman" w:eastAsia="宋体" w:cs="Times New Roman"/>
                <w:b/>
                <w:bCs/>
                <w:snapToGrid w:val="0"/>
                <w:color w:val="auto"/>
                <w:spacing w:val="-16"/>
                <w:kern w:val="21"/>
                <w:sz w:val="21"/>
                <w:szCs w:val="21"/>
              </w:rPr>
              <w:fldChar w:fldCharType="begin"/>
            </w:r>
            <w:r>
              <w:rPr>
                <w:rFonts w:hint="default" w:ascii="Times New Roman" w:hAnsi="Times New Roman" w:eastAsia="宋体" w:cs="Times New Roman"/>
                <w:b/>
                <w:bCs/>
                <w:snapToGrid w:val="0"/>
                <w:color w:val="auto"/>
                <w:spacing w:val="-16"/>
                <w:kern w:val="21"/>
                <w:sz w:val="21"/>
                <w:szCs w:val="21"/>
              </w:rPr>
              <w:instrText xml:space="preserve"> = 6 \* GB3 \* MERGEFORMAT </w:instrText>
            </w:r>
            <w:r>
              <w:rPr>
                <w:rFonts w:hint="default" w:ascii="Times New Roman" w:hAnsi="Times New Roman" w:eastAsia="宋体" w:cs="Times New Roman"/>
                <w:b/>
                <w:bCs/>
                <w:snapToGrid w:val="0"/>
                <w:color w:val="auto"/>
                <w:spacing w:val="-16"/>
                <w:kern w:val="21"/>
                <w:sz w:val="21"/>
                <w:szCs w:val="21"/>
              </w:rPr>
              <w:fldChar w:fldCharType="separate"/>
            </w:r>
            <w:r>
              <w:rPr>
                <w:rFonts w:hint="default" w:ascii="Times New Roman" w:hAnsi="Times New Roman" w:eastAsia="宋体" w:cs="Times New Roman"/>
                <w:b/>
                <w:bCs/>
                <w:color w:val="auto"/>
                <w:kern w:val="2"/>
                <w:sz w:val="21"/>
                <w:szCs w:val="21"/>
              </w:rPr>
              <w:t>⑥</w:t>
            </w:r>
            <w:r>
              <w:rPr>
                <w:rFonts w:hint="default" w:ascii="Times New Roman" w:hAnsi="Times New Roman" w:eastAsia="宋体" w:cs="Times New Roman"/>
                <w:b/>
                <w:bCs/>
                <w:snapToGrid w:val="0"/>
                <w:color w:val="auto"/>
                <w:spacing w:val="-16"/>
                <w:kern w:val="21"/>
                <w:sz w:val="21"/>
                <w:szCs w:val="21"/>
              </w:rPr>
              <w:fldChar w:fldCharType="end"/>
            </w:r>
          </w:p>
        </w:tc>
        <w:tc>
          <w:tcPr>
            <w:tcW w:w="826" w:type="dxa"/>
            <w:tcBorders>
              <w:tl2br w:val="nil"/>
              <w:tr2bl w:val="nil"/>
            </w:tcBorders>
            <w:noWrap w:val="0"/>
            <w:tcMar>
              <w:left w:w="28" w:type="dxa"/>
              <w:right w:w="28" w:type="dxa"/>
            </w:tcMar>
            <w:vAlign w:val="center"/>
          </w:tcPr>
          <w:p w14:paraId="04AE41F9">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t>变化量</w:t>
            </w:r>
          </w:p>
          <w:p w14:paraId="3DB44A38">
            <w:pPr>
              <w:pStyle w:val="72"/>
              <w:spacing w:beforeLines="0" w:afterLines="0" w:line="240" w:lineRule="auto"/>
              <w:ind w:firstLine="0"/>
              <w:rPr>
                <w:rFonts w:hint="default" w:ascii="Times New Roman" w:hAnsi="Times New Roman" w:eastAsia="宋体" w:cs="Times New Roman"/>
                <w:b/>
                <w:bCs/>
                <w:snapToGrid w:val="0"/>
                <w:color w:val="auto"/>
                <w:spacing w:val="-6"/>
                <w:kern w:val="21"/>
                <w:sz w:val="21"/>
                <w:szCs w:val="21"/>
              </w:rPr>
            </w:pPr>
            <w:r>
              <w:rPr>
                <w:rFonts w:hint="default" w:ascii="Times New Roman" w:hAnsi="Times New Roman" w:eastAsia="宋体" w:cs="Times New Roman"/>
                <w:b/>
                <w:bCs/>
                <w:snapToGrid w:val="0"/>
                <w:color w:val="auto"/>
                <w:spacing w:val="-6"/>
                <w:kern w:val="21"/>
                <w:sz w:val="21"/>
                <w:szCs w:val="21"/>
              </w:rPr>
              <w:fldChar w:fldCharType="begin"/>
            </w:r>
            <w:r>
              <w:rPr>
                <w:rFonts w:hint="default" w:ascii="Times New Roman" w:hAnsi="Times New Roman" w:eastAsia="宋体" w:cs="Times New Roman"/>
                <w:b/>
                <w:bCs/>
                <w:snapToGrid w:val="0"/>
                <w:color w:val="auto"/>
                <w:spacing w:val="-6"/>
                <w:kern w:val="21"/>
                <w:sz w:val="21"/>
                <w:szCs w:val="21"/>
              </w:rPr>
              <w:instrText xml:space="preserve"> = 7 \* GB3 \* MERGEFORMAT </w:instrText>
            </w:r>
            <w:r>
              <w:rPr>
                <w:rFonts w:hint="default" w:ascii="Times New Roman" w:hAnsi="Times New Roman" w:eastAsia="宋体" w:cs="Times New Roman"/>
                <w:b/>
                <w:bCs/>
                <w:snapToGrid w:val="0"/>
                <w:color w:val="auto"/>
                <w:spacing w:val="-6"/>
                <w:kern w:val="21"/>
                <w:sz w:val="21"/>
                <w:szCs w:val="21"/>
              </w:rPr>
              <w:fldChar w:fldCharType="separate"/>
            </w:r>
            <w:r>
              <w:rPr>
                <w:rFonts w:hint="default" w:ascii="Times New Roman" w:hAnsi="Times New Roman" w:eastAsia="宋体" w:cs="Times New Roman"/>
                <w:b/>
                <w:bCs/>
                <w:color w:val="auto"/>
                <w:kern w:val="2"/>
                <w:sz w:val="21"/>
                <w:szCs w:val="21"/>
              </w:rPr>
              <w:t>⑦</w:t>
            </w:r>
            <w:r>
              <w:rPr>
                <w:rFonts w:hint="default" w:ascii="Times New Roman" w:hAnsi="Times New Roman" w:eastAsia="宋体" w:cs="Times New Roman"/>
                <w:b/>
                <w:bCs/>
                <w:snapToGrid w:val="0"/>
                <w:color w:val="auto"/>
                <w:spacing w:val="-6"/>
                <w:kern w:val="21"/>
                <w:sz w:val="21"/>
                <w:szCs w:val="21"/>
              </w:rPr>
              <w:fldChar w:fldCharType="end"/>
            </w:r>
          </w:p>
        </w:tc>
      </w:tr>
      <w:tr w14:paraId="65883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restart"/>
            <w:tcBorders>
              <w:tl2br w:val="nil"/>
              <w:tr2bl w:val="nil"/>
            </w:tcBorders>
            <w:noWrap w:val="0"/>
            <w:vAlign w:val="center"/>
          </w:tcPr>
          <w:p w14:paraId="0D9CA79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废气</w:t>
            </w:r>
          </w:p>
        </w:tc>
        <w:tc>
          <w:tcPr>
            <w:tcW w:w="1245" w:type="dxa"/>
            <w:vMerge w:val="restart"/>
            <w:tcBorders>
              <w:tl2br w:val="nil"/>
              <w:tr2bl w:val="nil"/>
            </w:tcBorders>
            <w:noWrap w:val="0"/>
            <w:vAlign w:val="center"/>
          </w:tcPr>
          <w:p w14:paraId="3B1ABCF3">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一期</w:t>
            </w:r>
          </w:p>
        </w:tc>
        <w:tc>
          <w:tcPr>
            <w:tcW w:w="1453" w:type="dxa"/>
            <w:tcBorders>
              <w:tl2br w:val="nil"/>
              <w:tr2bl w:val="nil"/>
            </w:tcBorders>
            <w:noWrap w:val="0"/>
            <w:vAlign w:val="center"/>
          </w:tcPr>
          <w:p w14:paraId="77B62DA9">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非甲烷总烃</w:t>
            </w:r>
          </w:p>
        </w:tc>
        <w:tc>
          <w:tcPr>
            <w:tcW w:w="1290" w:type="dxa"/>
            <w:tcBorders>
              <w:tl2br w:val="nil"/>
              <w:tr2bl w:val="nil"/>
            </w:tcBorders>
            <w:noWrap w:val="0"/>
            <w:vAlign w:val="center"/>
          </w:tcPr>
          <w:p w14:paraId="7A433EF1">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16E2BF62">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5BCE6496">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0ACDBE6D">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eastAsia" w:ascii="Times New Roman" w:hAnsi="Times New Roman" w:eastAsia="宋体" w:cs="Times New Roman"/>
                <w:snapToGrid w:val="0"/>
                <w:color w:val="auto"/>
                <w:kern w:val="21"/>
                <w:sz w:val="21"/>
                <w:szCs w:val="21"/>
                <w:lang w:val="en-US" w:eastAsia="zh-CN"/>
              </w:rPr>
              <w:t>0.14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20F8D808">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0441F783">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eastAsia" w:ascii="Times New Roman" w:hAnsi="Times New Roman" w:eastAsia="宋体" w:cs="Times New Roman"/>
                <w:snapToGrid w:val="0"/>
                <w:color w:val="auto"/>
                <w:kern w:val="21"/>
                <w:sz w:val="21"/>
                <w:szCs w:val="21"/>
                <w:lang w:val="en-US" w:eastAsia="zh-CN"/>
              </w:rPr>
              <w:t>0.14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2D2D0A76">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368C6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2985216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134EE715">
            <w:pPr>
              <w:pStyle w:val="72"/>
              <w:spacing w:beforeLines="0" w:afterLines="0" w:line="240" w:lineRule="auto"/>
              <w:ind w:firstLine="0"/>
              <w:rPr>
                <w:rFonts w:hint="default"/>
                <w:color w:val="auto"/>
                <w:lang w:val="en-US" w:eastAsia="zh-CN"/>
              </w:rPr>
            </w:pPr>
          </w:p>
        </w:tc>
        <w:tc>
          <w:tcPr>
            <w:tcW w:w="1453" w:type="dxa"/>
            <w:tcBorders>
              <w:tl2br w:val="nil"/>
              <w:tr2bl w:val="nil"/>
            </w:tcBorders>
            <w:noWrap w:val="0"/>
            <w:vAlign w:val="center"/>
          </w:tcPr>
          <w:p w14:paraId="5B865761">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甲苯</w:t>
            </w:r>
          </w:p>
        </w:tc>
        <w:tc>
          <w:tcPr>
            <w:tcW w:w="1290" w:type="dxa"/>
            <w:tcBorders>
              <w:tl2br w:val="nil"/>
              <w:tr2bl w:val="nil"/>
            </w:tcBorders>
            <w:noWrap w:val="0"/>
            <w:vAlign w:val="center"/>
          </w:tcPr>
          <w:p w14:paraId="782B4340">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7D2154ED">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A6BB9D1">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2C00CBE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bCs/>
                <w:color w:val="auto"/>
                <w:kern w:val="2"/>
                <w:sz w:val="21"/>
                <w:szCs w:val="21"/>
                <w:highlight w:val="none"/>
                <w:lang w:val="en-US" w:eastAsia="zh-CN" w:bidi="ar-SA"/>
              </w:rPr>
              <w:t>4.</w:t>
            </w:r>
            <w:r>
              <w:rPr>
                <w:rFonts w:hint="eastAsia" w:ascii="Times New Roman" w:eastAsia="宋体" w:cs="Times New Roman"/>
                <w:bCs/>
                <w:color w:val="auto"/>
                <w:kern w:val="2"/>
                <w:sz w:val="21"/>
                <w:szCs w:val="21"/>
                <w:highlight w:val="none"/>
                <w:lang w:val="en-US" w:eastAsia="zh-CN" w:bidi="ar-SA"/>
              </w:rPr>
              <w:t>39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63A22DAF">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0A0C70C9">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bCs/>
                <w:color w:val="auto"/>
                <w:kern w:val="2"/>
                <w:sz w:val="21"/>
                <w:szCs w:val="21"/>
                <w:highlight w:val="none"/>
                <w:lang w:val="en-US" w:eastAsia="zh-CN" w:bidi="ar-SA"/>
              </w:rPr>
              <w:t>4.</w:t>
            </w:r>
            <w:r>
              <w:rPr>
                <w:rFonts w:hint="eastAsia" w:ascii="Times New Roman" w:eastAsia="宋体" w:cs="Times New Roman"/>
                <w:bCs/>
                <w:color w:val="auto"/>
                <w:kern w:val="2"/>
                <w:sz w:val="21"/>
                <w:szCs w:val="21"/>
                <w:highlight w:val="none"/>
                <w:lang w:val="en-US" w:eastAsia="zh-CN" w:bidi="ar-SA"/>
              </w:rPr>
              <w:t>39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7BD84919">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16016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3216B0FF">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7CC3C736">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noWrap w:val="0"/>
            <w:vAlign w:val="center"/>
          </w:tcPr>
          <w:p w14:paraId="5271CF37">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乙苯</w:t>
            </w:r>
          </w:p>
        </w:tc>
        <w:tc>
          <w:tcPr>
            <w:tcW w:w="1290" w:type="dxa"/>
            <w:tcBorders>
              <w:tl2br w:val="nil"/>
              <w:tr2bl w:val="nil"/>
            </w:tcBorders>
            <w:noWrap w:val="0"/>
            <w:vAlign w:val="center"/>
          </w:tcPr>
          <w:p w14:paraId="6A4239C6">
            <w:pPr>
              <w:pStyle w:val="72"/>
              <w:spacing w:beforeLines="0" w:afterLines="0" w:line="240" w:lineRule="auto"/>
              <w:ind w:firstLine="0" w:firstLineChars="0"/>
              <w:rPr>
                <w:rFonts w:hint="default" w:ascii="Times New Roman" w:hAnsi="Times New Roman" w:eastAsia="宋体" w:cs="Times New Roman"/>
                <w:snapToGrid w:val="0"/>
                <w:color w:val="auto"/>
                <w:spacing w:val="0"/>
                <w:kern w:val="21"/>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2009D6C3">
            <w:pPr>
              <w:pStyle w:val="72"/>
              <w:spacing w:beforeLines="0" w:afterLines="0" w:line="240" w:lineRule="auto"/>
              <w:ind w:firstLine="0" w:firstLineChars="0"/>
              <w:rPr>
                <w:rFonts w:hint="default" w:ascii="Times New Roman" w:hAnsi="Times New Roman" w:eastAsia="宋体" w:cs="Times New Roman"/>
                <w:snapToGrid w:val="0"/>
                <w:color w:val="auto"/>
                <w:spacing w:val="0"/>
                <w:kern w:val="21"/>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A6A2DBA">
            <w:pPr>
              <w:pStyle w:val="72"/>
              <w:spacing w:beforeLines="0" w:afterLines="0" w:line="240" w:lineRule="auto"/>
              <w:ind w:firstLine="0" w:firstLineChars="0"/>
              <w:rPr>
                <w:rFonts w:hint="default" w:ascii="Times New Roman" w:hAnsi="Times New Roman" w:eastAsia="宋体" w:cs="Times New Roman"/>
                <w:snapToGrid w:val="0"/>
                <w:color w:val="auto"/>
                <w:spacing w:val="0"/>
                <w:kern w:val="21"/>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7F617417">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bCs/>
                <w:color w:val="auto"/>
                <w:sz w:val="21"/>
                <w:szCs w:val="21"/>
                <w:highlight w:val="none"/>
                <w:lang w:val="en-US" w:eastAsia="zh-CN"/>
              </w:rPr>
              <w:t>1.</w:t>
            </w:r>
            <w:r>
              <w:rPr>
                <w:rFonts w:hint="eastAsia" w:ascii="Times New Roman" w:cs="Times New Roman"/>
                <w:bCs/>
                <w:color w:val="auto"/>
                <w:sz w:val="21"/>
                <w:szCs w:val="21"/>
                <w:highlight w:val="none"/>
                <w:lang w:val="en-US" w:eastAsia="zh-CN"/>
              </w:rPr>
              <w:t>94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3AC3EB15">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72FCA64A">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bCs/>
                <w:color w:val="auto"/>
                <w:sz w:val="21"/>
                <w:szCs w:val="21"/>
                <w:highlight w:val="none"/>
                <w:lang w:val="en-US" w:eastAsia="zh-CN"/>
              </w:rPr>
              <w:t>1.</w:t>
            </w:r>
            <w:r>
              <w:rPr>
                <w:rFonts w:hint="eastAsia" w:ascii="Times New Roman" w:cs="Times New Roman"/>
                <w:bCs/>
                <w:color w:val="auto"/>
                <w:sz w:val="21"/>
                <w:szCs w:val="21"/>
                <w:highlight w:val="none"/>
                <w:lang w:val="en-US" w:eastAsia="zh-CN"/>
              </w:rPr>
              <w:t>94</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563E5AF0">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6DF6A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6C641651">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031CAADA">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noWrap w:val="0"/>
            <w:vAlign w:val="center"/>
          </w:tcPr>
          <w:p w14:paraId="04E55B2C">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苯乙烯</w:t>
            </w:r>
          </w:p>
        </w:tc>
        <w:tc>
          <w:tcPr>
            <w:tcW w:w="1290" w:type="dxa"/>
            <w:tcBorders>
              <w:tl2br w:val="nil"/>
              <w:tr2bl w:val="nil"/>
            </w:tcBorders>
            <w:noWrap w:val="0"/>
            <w:vAlign w:val="center"/>
          </w:tcPr>
          <w:p w14:paraId="7F3962B7">
            <w:pPr>
              <w:pStyle w:val="72"/>
              <w:spacing w:beforeLines="0" w:afterLines="0" w:line="240" w:lineRule="auto"/>
              <w:ind w:firstLine="0" w:firstLineChars="0"/>
              <w:rPr>
                <w:rFonts w:hint="default" w:ascii="Times New Roman" w:hAnsi="Times New Roman" w:eastAsia="宋体" w:cs="Times New Roman"/>
                <w:snapToGrid w:val="0"/>
                <w:color w:val="auto"/>
                <w:spacing w:val="0"/>
                <w:kern w:val="21"/>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49278A53">
            <w:pPr>
              <w:pStyle w:val="72"/>
              <w:spacing w:beforeLines="0" w:afterLines="0" w:line="240" w:lineRule="auto"/>
              <w:ind w:firstLine="0" w:firstLineChars="0"/>
              <w:rPr>
                <w:rFonts w:hint="default" w:ascii="Times New Roman" w:hAnsi="Times New Roman" w:eastAsia="宋体" w:cs="Times New Roman"/>
                <w:snapToGrid w:val="0"/>
                <w:color w:val="auto"/>
                <w:spacing w:val="0"/>
                <w:kern w:val="21"/>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0295E899">
            <w:pPr>
              <w:pStyle w:val="72"/>
              <w:spacing w:beforeLines="0" w:afterLines="0" w:line="240" w:lineRule="auto"/>
              <w:ind w:firstLine="0" w:firstLineChars="0"/>
              <w:rPr>
                <w:rFonts w:hint="default" w:ascii="Times New Roman" w:hAnsi="Times New Roman" w:eastAsia="宋体" w:cs="Times New Roman"/>
                <w:snapToGrid w:val="0"/>
                <w:color w:val="auto"/>
                <w:spacing w:val="0"/>
                <w:kern w:val="21"/>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693925FC">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bCs/>
                <w:color w:val="auto"/>
                <w:sz w:val="21"/>
                <w:szCs w:val="21"/>
                <w:highlight w:val="none"/>
                <w:lang w:val="en-US" w:eastAsia="zh-CN"/>
              </w:rPr>
              <w:t>1.</w:t>
            </w:r>
            <w:r>
              <w:rPr>
                <w:rFonts w:hint="eastAsia" w:ascii="Times New Roman" w:cs="Times New Roman"/>
                <w:bCs/>
                <w:color w:val="auto"/>
                <w:sz w:val="21"/>
                <w:szCs w:val="21"/>
                <w:highlight w:val="none"/>
                <w:lang w:val="en-US" w:eastAsia="zh-CN"/>
              </w:rPr>
              <w:t>19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4B3DBF27">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10A44AF4">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bCs/>
                <w:color w:val="auto"/>
                <w:sz w:val="21"/>
                <w:szCs w:val="21"/>
                <w:highlight w:val="none"/>
                <w:lang w:val="en-US" w:eastAsia="zh-CN"/>
              </w:rPr>
              <w:t>1.</w:t>
            </w:r>
            <w:r>
              <w:rPr>
                <w:rFonts w:hint="eastAsia" w:ascii="Times New Roman" w:cs="Times New Roman"/>
                <w:bCs/>
                <w:color w:val="auto"/>
                <w:sz w:val="21"/>
                <w:szCs w:val="21"/>
                <w:highlight w:val="none"/>
                <w:lang w:val="en-US" w:eastAsia="zh-CN"/>
              </w:rPr>
              <w:t>19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0DB670B0">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55C33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49375C74">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restart"/>
            <w:tcBorders>
              <w:tl2br w:val="nil"/>
              <w:tr2bl w:val="nil"/>
            </w:tcBorders>
            <w:noWrap w:val="0"/>
            <w:vAlign w:val="center"/>
          </w:tcPr>
          <w:p w14:paraId="013AC2EE">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二期</w:t>
            </w:r>
          </w:p>
        </w:tc>
        <w:tc>
          <w:tcPr>
            <w:tcW w:w="1453" w:type="dxa"/>
            <w:tcBorders>
              <w:tl2br w:val="nil"/>
              <w:tr2bl w:val="nil"/>
            </w:tcBorders>
            <w:shd w:val="clear" w:color="auto" w:fill="auto"/>
            <w:noWrap w:val="0"/>
            <w:vAlign w:val="center"/>
          </w:tcPr>
          <w:p w14:paraId="02B82BD5">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非甲烷总烃</w:t>
            </w:r>
          </w:p>
        </w:tc>
        <w:tc>
          <w:tcPr>
            <w:tcW w:w="1290" w:type="dxa"/>
            <w:tcBorders>
              <w:tl2br w:val="nil"/>
              <w:tr2bl w:val="nil"/>
            </w:tcBorders>
            <w:noWrap w:val="0"/>
            <w:vAlign w:val="center"/>
          </w:tcPr>
          <w:p w14:paraId="28A258F4">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75749A28">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0E88F047">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292829A6">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0.29</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27A995E1">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17B76CFF">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0.29</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28736F1E">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17063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511AF0DF">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528EA4C8">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shd w:val="clear" w:color="auto" w:fill="auto"/>
            <w:noWrap w:val="0"/>
            <w:vAlign w:val="center"/>
          </w:tcPr>
          <w:p w14:paraId="56DC55EE">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甲苯</w:t>
            </w:r>
          </w:p>
        </w:tc>
        <w:tc>
          <w:tcPr>
            <w:tcW w:w="1290" w:type="dxa"/>
            <w:tcBorders>
              <w:tl2br w:val="nil"/>
              <w:tr2bl w:val="nil"/>
            </w:tcBorders>
            <w:noWrap w:val="0"/>
            <w:vAlign w:val="center"/>
          </w:tcPr>
          <w:p w14:paraId="48A4E0F1">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45FEDA7E">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AC9E32C">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2A9CF77F">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color w:val="auto"/>
                <w:sz w:val="21"/>
                <w:szCs w:val="21"/>
                <w:highlight w:val="none"/>
                <w:lang w:val="en-US" w:eastAsia="zh-CN"/>
              </w:rPr>
              <w:t>8.80</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1CD296CF">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755D51E0">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color w:val="auto"/>
                <w:sz w:val="21"/>
                <w:szCs w:val="21"/>
                <w:highlight w:val="none"/>
                <w:lang w:val="en-US" w:eastAsia="zh-CN"/>
              </w:rPr>
              <w:t>8.80</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31DF5BD4">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078B2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3630FEB4">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66EC174F">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shd w:val="clear" w:color="auto" w:fill="auto"/>
            <w:noWrap w:val="0"/>
            <w:vAlign w:val="center"/>
          </w:tcPr>
          <w:p w14:paraId="2643ED58">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乙苯</w:t>
            </w:r>
          </w:p>
        </w:tc>
        <w:tc>
          <w:tcPr>
            <w:tcW w:w="1290" w:type="dxa"/>
            <w:tcBorders>
              <w:tl2br w:val="nil"/>
              <w:tr2bl w:val="nil"/>
            </w:tcBorders>
            <w:noWrap w:val="0"/>
            <w:vAlign w:val="center"/>
          </w:tcPr>
          <w:p w14:paraId="144FF1C5">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15B0F342">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3F5BBEC">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5C5690DC">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bCs/>
                <w:color w:val="auto"/>
                <w:sz w:val="21"/>
                <w:szCs w:val="21"/>
                <w:highlight w:val="none"/>
                <w:lang w:val="en-US" w:eastAsia="zh-CN"/>
              </w:rPr>
              <w:t>3.85</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5FEEC0DD">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6488868F">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bCs/>
                <w:color w:val="auto"/>
                <w:sz w:val="21"/>
                <w:szCs w:val="21"/>
                <w:highlight w:val="none"/>
                <w:lang w:val="en-US" w:eastAsia="zh-CN"/>
              </w:rPr>
              <w:t>3.85</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343F321A">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04C4D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1BD1FF31">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65734557">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shd w:val="clear" w:color="auto" w:fill="auto"/>
            <w:noWrap w:val="0"/>
            <w:vAlign w:val="center"/>
          </w:tcPr>
          <w:p w14:paraId="435C73DC">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苯乙烯</w:t>
            </w:r>
          </w:p>
        </w:tc>
        <w:tc>
          <w:tcPr>
            <w:tcW w:w="1290" w:type="dxa"/>
            <w:tcBorders>
              <w:tl2br w:val="nil"/>
              <w:tr2bl w:val="nil"/>
            </w:tcBorders>
            <w:noWrap w:val="0"/>
            <w:vAlign w:val="center"/>
          </w:tcPr>
          <w:p w14:paraId="37C7CBB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34CFBDD0">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0D94D92C">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542C90E2">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bCs/>
                <w:color w:val="auto"/>
                <w:sz w:val="21"/>
                <w:szCs w:val="21"/>
                <w:highlight w:val="none"/>
                <w:lang w:val="en-US" w:eastAsia="zh-CN"/>
              </w:rPr>
              <w:t>2.39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3EE7321E">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6D2A7699">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bCs/>
                <w:color w:val="auto"/>
                <w:sz w:val="21"/>
                <w:szCs w:val="21"/>
                <w:highlight w:val="none"/>
                <w:lang w:val="en-US" w:eastAsia="zh-CN"/>
              </w:rPr>
              <w:t>2.39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13B7B373">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27B18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614AB72A">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restart"/>
            <w:tcBorders>
              <w:tl2br w:val="nil"/>
              <w:tr2bl w:val="nil"/>
            </w:tcBorders>
            <w:noWrap w:val="0"/>
            <w:vAlign w:val="center"/>
          </w:tcPr>
          <w:p w14:paraId="156ED542">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二期建成后全厂</w:t>
            </w:r>
          </w:p>
        </w:tc>
        <w:tc>
          <w:tcPr>
            <w:tcW w:w="1453" w:type="dxa"/>
            <w:tcBorders>
              <w:tl2br w:val="nil"/>
              <w:tr2bl w:val="nil"/>
            </w:tcBorders>
            <w:shd w:val="clear" w:color="auto" w:fill="auto"/>
            <w:noWrap w:val="0"/>
            <w:vAlign w:val="center"/>
          </w:tcPr>
          <w:p w14:paraId="0B1FD22C">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非甲烷总烃</w:t>
            </w:r>
          </w:p>
        </w:tc>
        <w:tc>
          <w:tcPr>
            <w:tcW w:w="1290" w:type="dxa"/>
            <w:tcBorders>
              <w:tl2br w:val="nil"/>
              <w:tr2bl w:val="nil"/>
            </w:tcBorders>
            <w:noWrap w:val="0"/>
            <w:vAlign w:val="center"/>
          </w:tcPr>
          <w:p w14:paraId="16A06377">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2ADCA74C">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120784DE">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36895E17">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0.43</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655303CA">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05534845">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0.43</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08048037">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7F90A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39D521F4">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6C60FA35">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shd w:val="clear" w:color="auto" w:fill="auto"/>
            <w:noWrap w:val="0"/>
            <w:vAlign w:val="center"/>
          </w:tcPr>
          <w:p w14:paraId="5F261A7B">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甲苯</w:t>
            </w:r>
          </w:p>
        </w:tc>
        <w:tc>
          <w:tcPr>
            <w:tcW w:w="1290" w:type="dxa"/>
            <w:tcBorders>
              <w:tl2br w:val="nil"/>
              <w:tr2bl w:val="nil"/>
            </w:tcBorders>
            <w:noWrap w:val="0"/>
            <w:vAlign w:val="center"/>
          </w:tcPr>
          <w:p w14:paraId="6E31CEBE">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59459EA3">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0941AC5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0EFF887A">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bCs/>
                <w:color w:val="auto"/>
                <w:kern w:val="2"/>
                <w:sz w:val="21"/>
                <w:szCs w:val="21"/>
                <w:highlight w:val="none"/>
                <w:lang w:val="en-US" w:eastAsia="zh-CN" w:bidi="ar-SA"/>
              </w:rPr>
              <w:t>1.3</w:t>
            </w:r>
            <w:r>
              <w:rPr>
                <w:rFonts w:hint="eastAsia" w:ascii="Times New Roman" w:eastAsia="宋体" w:cs="Times New Roman"/>
                <w:bCs/>
                <w:color w:val="auto"/>
                <w:kern w:val="2"/>
                <w:sz w:val="21"/>
                <w:szCs w:val="21"/>
                <w:highlight w:val="none"/>
                <w:lang w:val="en-US" w:eastAsia="zh-CN" w:bidi="ar-SA"/>
              </w:rPr>
              <w:t>2</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1D939C8D">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7CEBF622">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bCs/>
                <w:color w:val="auto"/>
                <w:kern w:val="2"/>
                <w:sz w:val="21"/>
                <w:szCs w:val="21"/>
                <w:highlight w:val="none"/>
                <w:lang w:val="en-US" w:eastAsia="zh-CN" w:bidi="ar-SA"/>
              </w:rPr>
              <w:t>1.3</w:t>
            </w:r>
            <w:r>
              <w:rPr>
                <w:rFonts w:hint="eastAsia" w:ascii="Times New Roman" w:eastAsia="宋体" w:cs="Times New Roman"/>
                <w:bCs/>
                <w:color w:val="auto"/>
                <w:kern w:val="2"/>
                <w:sz w:val="21"/>
                <w:szCs w:val="21"/>
                <w:highlight w:val="none"/>
                <w:lang w:val="en-US" w:eastAsia="zh-CN" w:bidi="ar-SA"/>
              </w:rPr>
              <w:t>2</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7FB9A255">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6BE99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5101315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56C9DC53">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shd w:val="clear" w:color="auto" w:fill="auto"/>
            <w:noWrap w:val="0"/>
            <w:vAlign w:val="center"/>
          </w:tcPr>
          <w:p w14:paraId="002F3295">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乙苯</w:t>
            </w:r>
          </w:p>
        </w:tc>
        <w:tc>
          <w:tcPr>
            <w:tcW w:w="1290" w:type="dxa"/>
            <w:tcBorders>
              <w:tl2br w:val="nil"/>
              <w:tr2bl w:val="nil"/>
            </w:tcBorders>
            <w:noWrap w:val="0"/>
            <w:vAlign w:val="center"/>
          </w:tcPr>
          <w:p w14:paraId="1AF23350">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68235E4A">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4343F40">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6871FD37">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bCs/>
                <w:color w:val="auto"/>
                <w:sz w:val="21"/>
                <w:szCs w:val="21"/>
                <w:highlight w:val="none"/>
                <w:lang w:val="en-US" w:eastAsia="zh-CN"/>
              </w:rPr>
              <w:t>5.79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12C6EF5E">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42888AFF">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cs="Times New Roman"/>
                <w:bCs/>
                <w:color w:val="auto"/>
                <w:sz w:val="21"/>
                <w:szCs w:val="21"/>
                <w:highlight w:val="none"/>
                <w:lang w:val="en-US" w:eastAsia="zh-CN"/>
              </w:rPr>
              <w:t>5.79</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eastAsia" w:asci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66517AF6">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2114C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76" w:type="dxa"/>
            <w:vMerge w:val="continue"/>
            <w:tcBorders>
              <w:tl2br w:val="nil"/>
              <w:tr2bl w:val="nil"/>
            </w:tcBorders>
            <w:noWrap w:val="0"/>
            <w:vAlign w:val="center"/>
          </w:tcPr>
          <w:p w14:paraId="786F2955">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2ECE1BC7">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p>
        </w:tc>
        <w:tc>
          <w:tcPr>
            <w:tcW w:w="1453" w:type="dxa"/>
            <w:tcBorders>
              <w:tl2br w:val="nil"/>
              <w:tr2bl w:val="nil"/>
            </w:tcBorders>
            <w:shd w:val="clear" w:color="auto" w:fill="auto"/>
            <w:noWrap w:val="0"/>
            <w:vAlign w:val="center"/>
          </w:tcPr>
          <w:p w14:paraId="16AA32FC">
            <w:pPr>
              <w:pStyle w:val="72"/>
              <w:spacing w:beforeLines="0" w:afterLines="0" w:line="240" w:lineRule="auto"/>
              <w:ind w:firstLine="0" w:firstLineChars="0"/>
              <w:rPr>
                <w:rFonts w:hint="eastAsia" w:ascii="Times New Roman" w:hAnsi="Times New Roman" w:eastAsia="宋体" w:cs="Times New Roman"/>
                <w:snapToGrid w:val="0"/>
                <w:color w:val="auto"/>
                <w:spacing w:val="0"/>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苯乙烯</w:t>
            </w:r>
          </w:p>
        </w:tc>
        <w:tc>
          <w:tcPr>
            <w:tcW w:w="1290" w:type="dxa"/>
            <w:tcBorders>
              <w:tl2br w:val="nil"/>
              <w:tr2bl w:val="nil"/>
            </w:tcBorders>
            <w:noWrap w:val="0"/>
            <w:vAlign w:val="center"/>
          </w:tcPr>
          <w:p w14:paraId="5CB9A4E3">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373C77D6">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4A1AC60">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3AA1CA65">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bCs/>
                <w:color w:val="auto"/>
                <w:sz w:val="21"/>
                <w:szCs w:val="21"/>
                <w:highlight w:val="none"/>
                <w:lang w:val="en-US" w:eastAsia="zh-CN"/>
              </w:rPr>
              <w:t>3</w:t>
            </w:r>
            <w:r>
              <w:rPr>
                <w:rFonts w:hint="eastAsia" w:ascii="Times New Roman" w:cs="Times New Roman"/>
                <w:bCs/>
                <w:color w:val="auto"/>
                <w:sz w:val="21"/>
                <w:szCs w:val="21"/>
                <w:highlight w:val="none"/>
                <w:lang w:val="en-US" w:eastAsia="zh-CN"/>
              </w:rPr>
              <w:t>.58</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4CF0AE59">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39A03174">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cs="Times New Roman"/>
                <w:bCs/>
                <w:color w:val="auto"/>
                <w:sz w:val="21"/>
                <w:szCs w:val="21"/>
                <w:highlight w:val="none"/>
                <w:lang w:val="en-US" w:eastAsia="zh-CN"/>
              </w:rPr>
              <w:t>3.</w:t>
            </w:r>
            <w:r>
              <w:rPr>
                <w:rFonts w:hint="eastAsia" w:ascii="Times New Roman" w:cs="Times New Roman"/>
                <w:bCs/>
                <w:color w:val="auto"/>
                <w:sz w:val="21"/>
                <w:szCs w:val="21"/>
                <w:highlight w:val="none"/>
                <w:lang w:val="en-US" w:eastAsia="zh-CN"/>
              </w:rPr>
              <w:t>5</w:t>
            </w:r>
            <w:r>
              <w:rPr>
                <w:rFonts w:hint="eastAsia" w:ascii="Times New Roman" w:hAnsi="Times New Roman" w:cs="Times New Roman"/>
                <w:bCs/>
                <w:color w:val="auto"/>
                <w:sz w:val="21"/>
                <w:szCs w:val="21"/>
                <w:highlight w:val="none"/>
                <w:lang w:val="en-US" w:eastAsia="zh-CN"/>
              </w:rPr>
              <w:t>8</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z w:val="21"/>
                <w:szCs w:val="21"/>
                <w:highlight w:val="none"/>
                <w:vertAlign w:val="superscript"/>
              </w:rPr>
              <w:t>-</w:t>
            </w:r>
            <w:r>
              <w:rPr>
                <w:rFonts w:hint="default" w:ascii="Times New Roman" w:hAnsi="Times New Roman" w:cs="Times New Roman"/>
                <w:color w:val="auto"/>
                <w:sz w:val="21"/>
                <w:szCs w:val="21"/>
                <w:highlight w:val="none"/>
                <w:vertAlign w:val="superscript"/>
                <w:lang w:val="en-US" w:eastAsia="zh-CN"/>
              </w:rPr>
              <w:t>4</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70470102">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781F7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restart"/>
            <w:tcBorders>
              <w:tl2br w:val="nil"/>
              <w:tr2bl w:val="nil"/>
            </w:tcBorders>
            <w:noWrap w:val="0"/>
            <w:vAlign w:val="center"/>
          </w:tcPr>
          <w:p w14:paraId="43A406CB">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废水</w:t>
            </w:r>
          </w:p>
        </w:tc>
        <w:tc>
          <w:tcPr>
            <w:tcW w:w="1245" w:type="dxa"/>
            <w:vMerge w:val="restart"/>
            <w:tcBorders>
              <w:tl2br w:val="nil"/>
              <w:tr2bl w:val="nil"/>
            </w:tcBorders>
            <w:noWrap w:val="0"/>
            <w:vAlign w:val="center"/>
          </w:tcPr>
          <w:p w14:paraId="1E25F056">
            <w:pPr>
              <w:adjustRightInd w:val="0"/>
              <w:snapToGrid w:val="0"/>
              <w:jc w:val="center"/>
              <w:rPr>
                <w:rFonts w:hint="eastAsia"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sz w:val="21"/>
                <w:szCs w:val="21"/>
                <w:lang w:val="en-US" w:eastAsia="zh-CN"/>
              </w:rPr>
              <w:t>二期建成后全厂</w:t>
            </w:r>
          </w:p>
        </w:tc>
        <w:tc>
          <w:tcPr>
            <w:tcW w:w="1453" w:type="dxa"/>
            <w:tcBorders>
              <w:tl2br w:val="nil"/>
              <w:tr2bl w:val="nil"/>
            </w:tcBorders>
            <w:noWrap w:val="0"/>
            <w:vAlign w:val="center"/>
          </w:tcPr>
          <w:p w14:paraId="2B32F6B8">
            <w:pPr>
              <w:adjustRightInd w:val="0"/>
              <w:snapToGrid w:val="0"/>
              <w:jc w:val="center"/>
              <w:rPr>
                <w:rFonts w:hint="eastAsia"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废水量</w:t>
            </w:r>
          </w:p>
        </w:tc>
        <w:tc>
          <w:tcPr>
            <w:tcW w:w="1290" w:type="dxa"/>
            <w:tcBorders>
              <w:tl2br w:val="nil"/>
              <w:tr2bl w:val="nil"/>
            </w:tcBorders>
            <w:noWrap w:val="0"/>
            <w:vAlign w:val="center"/>
          </w:tcPr>
          <w:p w14:paraId="2576FBD2">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519686DC">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136A1F1B">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5F7EF548">
            <w:pPr>
              <w:adjustRightInd w:val="0"/>
              <w:snapToGrid w:val="0"/>
              <w:jc w:val="center"/>
              <w:rPr>
                <w:rFonts w:hint="default" w:ascii="Times New Roman" w:hAnsi="Times New Roman" w:eastAsia="宋体" w:cs="Times New Roman"/>
                <w:bCs/>
                <w:color w:val="auto"/>
                <w:lang w:val="en-US" w:eastAsia="zh-CN"/>
              </w:rPr>
            </w:pPr>
            <w:r>
              <w:rPr>
                <w:rFonts w:hint="eastAsia"/>
                <w:b w:val="0"/>
                <w:bCs/>
                <w:color w:val="auto"/>
                <w:sz w:val="21"/>
                <w:szCs w:val="21"/>
                <w:lang w:val="en-US" w:eastAsia="zh-CN"/>
              </w:rPr>
              <w:t>294</w:t>
            </w:r>
            <w:r>
              <w:rPr>
                <w:b w:val="0"/>
                <w:bCs/>
                <w:color w:val="auto"/>
                <w:sz w:val="21"/>
                <w:szCs w:val="21"/>
              </w:rPr>
              <w:t>m</w:t>
            </w:r>
            <w:r>
              <w:rPr>
                <w:b w:val="0"/>
                <w:bCs/>
                <w:color w:val="auto"/>
                <w:sz w:val="21"/>
                <w:szCs w:val="21"/>
                <w:vertAlign w:val="superscript"/>
              </w:rPr>
              <w:t>3</w:t>
            </w:r>
            <w:r>
              <w:rPr>
                <w:b w:val="0"/>
                <w:bCs/>
                <w:color w:val="auto"/>
                <w:sz w:val="21"/>
                <w:szCs w:val="21"/>
              </w:rPr>
              <w:t>/a</w:t>
            </w:r>
          </w:p>
        </w:tc>
        <w:tc>
          <w:tcPr>
            <w:tcW w:w="1635" w:type="dxa"/>
            <w:tcBorders>
              <w:tl2br w:val="nil"/>
              <w:tr2bl w:val="nil"/>
            </w:tcBorders>
            <w:noWrap w:val="0"/>
            <w:vAlign w:val="center"/>
          </w:tcPr>
          <w:p w14:paraId="5ABEBB25">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noWrap w:val="0"/>
            <w:vAlign w:val="center"/>
          </w:tcPr>
          <w:p w14:paraId="23A41CDE">
            <w:pPr>
              <w:adjustRightInd w:val="0"/>
              <w:snapToGrid w:val="0"/>
              <w:jc w:val="center"/>
              <w:rPr>
                <w:rFonts w:hint="eastAsia" w:ascii="Times New Roman" w:hAnsi="Times New Roman" w:eastAsia="宋体" w:cs="Times New Roman"/>
                <w:bCs/>
                <w:color w:val="auto"/>
                <w:lang w:val="en-US" w:eastAsia="zh-CN"/>
              </w:rPr>
            </w:pPr>
            <w:r>
              <w:rPr>
                <w:rFonts w:hint="eastAsia"/>
                <w:b w:val="0"/>
                <w:bCs/>
                <w:color w:val="auto"/>
                <w:sz w:val="21"/>
                <w:szCs w:val="21"/>
                <w:lang w:val="en-US" w:eastAsia="zh-CN"/>
              </w:rPr>
              <w:t>294</w:t>
            </w:r>
            <w:r>
              <w:rPr>
                <w:b w:val="0"/>
                <w:bCs/>
                <w:color w:val="auto"/>
                <w:sz w:val="21"/>
                <w:szCs w:val="21"/>
              </w:rPr>
              <w:t>m</w:t>
            </w:r>
            <w:r>
              <w:rPr>
                <w:b w:val="0"/>
                <w:bCs/>
                <w:color w:val="auto"/>
                <w:sz w:val="21"/>
                <w:szCs w:val="21"/>
                <w:vertAlign w:val="superscript"/>
              </w:rPr>
              <w:t>3</w:t>
            </w:r>
            <w:r>
              <w:rPr>
                <w:b w:val="0"/>
                <w:bCs/>
                <w:color w:val="auto"/>
                <w:sz w:val="21"/>
                <w:szCs w:val="21"/>
              </w:rPr>
              <w:t>/a</w:t>
            </w:r>
          </w:p>
        </w:tc>
        <w:tc>
          <w:tcPr>
            <w:tcW w:w="826" w:type="dxa"/>
            <w:tcBorders>
              <w:tl2br w:val="nil"/>
              <w:tr2bl w:val="nil"/>
            </w:tcBorders>
            <w:noWrap w:val="0"/>
            <w:vAlign w:val="center"/>
          </w:tcPr>
          <w:p w14:paraId="71881092">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634B0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21149A1A">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20902C27">
            <w:pPr>
              <w:adjustRightInd w:val="0"/>
              <w:snapToGrid w:val="0"/>
              <w:jc w:val="center"/>
              <w:rPr>
                <w:rFonts w:hint="default" w:ascii="Times New Roman" w:hAnsi="Times New Roman" w:eastAsia="宋体" w:cs="Times New Roman"/>
                <w:snapToGrid w:val="0"/>
                <w:color w:val="auto"/>
                <w:kern w:val="21"/>
              </w:rPr>
            </w:pPr>
          </w:p>
        </w:tc>
        <w:tc>
          <w:tcPr>
            <w:tcW w:w="1453" w:type="dxa"/>
            <w:tcBorders>
              <w:tl2br w:val="nil"/>
              <w:tr2bl w:val="nil"/>
            </w:tcBorders>
            <w:noWrap w:val="0"/>
            <w:vAlign w:val="center"/>
          </w:tcPr>
          <w:p w14:paraId="11FDB9B7">
            <w:pPr>
              <w:adjustRightInd w:val="0"/>
              <w:snapToGrid w:val="0"/>
              <w:jc w:val="center"/>
              <w:rPr>
                <w:rFonts w:hint="default" w:ascii="Times New Roman" w:hAnsi="Times New Roman" w:eastAsia="宋体" w:cs="Times New Roman"/>
                <w:snapToGrid w:val="0"/>
                <w:color w:val="auto"/>
                <w:kern w:val="21"/>
              </w:rPr>
            </w:pPr>
            <w:r>
              <w:rPr>
                <w:rFonts w:hint="default" w:ascii="Times New Roman" w:hAnsi="Times New Roman" w:eastAsia="宋体" w:cs="Times New Roman"/>
                <w:snapToGrid w:val="0"/>
                <w:color w:val="auto"/>
                <w:kern w:val="21"/>
              </w:rPr>
              <w:t>COD</w:t>
            </w:r>
          </w:p>
        </w:tc>
        <w:tc>
          <w:tcPr>
            <w:tcW w:w="1290" w:type="dxa"/>
            <w:tcBorders>
              <w:tl2br w:val="nil"/>
              <w:tr2bl w:val="nil"/>
            </w:tcBorders>
            <w:noWrap w:val="0"/>
            <w:vAlign w:val="center"/>
          </w:tcPr>
          <w:p w14:paraId="23E251D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71C4575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24F7DD0">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0916FF9A">
            <w:pPr>
              <w:adjustRightInd w:val="0"/>
              <w:snapToGrid w:val="0"/>
              <w:jc w:val="center"/>
              <w:rPr>
                <w:rFonts w:hint="default"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0.092</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6A477473">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5B0077E8">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lang w:val="en-US" w:eastAsia="zh-CN"/>
              </w:rPr>
              <w:t>0.092</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334E5920">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73EAE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28F6F1B1">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6DD5C04D">
            <w:pPr>
              <w:adjustRightInd w:val="0"/>
              <w:snapToGrid w:val="0"/>
              <w:jc w:val="center"/>
              <w:rPr>
                <w:rFonts w:hint="default" w:ascii="Times New Roman" w:hAnsi="Times New Roman" w:eastAsia="宋体" w:cs="Times New Roman"/>
                <w:snapToGrid w:val="0"/>
                <w:color w:val="auto"/>
                <w:kern w:val="21"/>
              </w:rPr>
            </w:pPr>
          </w:p>
        </w:tc>
        <w:tc>
          <w:tcPr>
            <w:tcW w:w="1453" w:type="dxa"/>
            <w:tcBorders>
              <w:tl2br w:val="nil"/>
              <w:tr2bl w:val="nil"/>
            </w:tcBorders>
            <w:noWrap w:val="0"/>
            <w:vAlign w:val="center"/>
          </w:tcPr>
          <w:p w14:paraId="51CC2494">
            <w:pPr>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BOD</w:t>
            </w:r>
            <w:r>
              <w:rPr>
                <w:rFonts w:hint="default" w:ascii="Times New Roman" w:hAnsi="Times New Roman" w:eastAsia="宋体" w:cs="Times New Roman"/>
                <w:color w:val="auto"/>
                <w:kern w:val="0"/>
                <w:vertAlign w:val="subscript"/>
              </w:rPr>
              <w:t>5</w:t>
            </w:r>
          </w:p>
        </w:tc>
        <w:tc>
          <w:tcPr>
            <w:tcW w:w="1290" w:type="dxa"/>
            <w:tcBorders>
              <w:tl2br w:val="nil"/>
              <w:tr2bl w:val="nil"/>
            </w:tcBorders>
            <w:noWrap w:val="0"/>
            <w:vAlign w:val="center"/>
          </w:tcPr>
          <w:p w14:paraId="6918AF34">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60CA8946">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1F4C6B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5A67B079">
            <w:pPr>
              <w:adjustRightInd w:val="0"/>
              <w:snapToGrid w:val="0"/>
              <w:jc w:val="center"/>
              <w:rPr>
                <w:rFonts w:hint="default"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0.065</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3532A0BB">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60808502">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lang w:val="en-US" w:eastAsia="zh-CN"/>
              </w:rPr>
              <w:t>0.065</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3BB4E31C">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0BE9D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3D8A714B">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20B0E350">
            <w:pPr>
              <w:adjustRightInd w:val="0"/>
              <w:snapToGrid w:val="0"/>
              <w:jc w:val="center"/>
              <w:rPr>
                <w:rFonts w:hint="default" w:ascii="Times New Roman" w:hAnsi="Times New Roman" w:eastAsia="宋体" w:cs="Times New Roman"/>
                <w:snapToGrid w:val="0"/>
                <w:color w:val="auto"/>
                <w:kern w:val="21"/>
              </w:rPr>
            </w:pPr>
          </w:p>
        </w:tc>
        <w:tc>
          <w:tcPr>
            <w:tcW w:w="1453" w:type="dxa"/>
            <w:tcBorders>
              <w:tl2br w:val="nil"/>
              <w:tr2bl w:val="nil"/>
            </w:tcBorders>
            <w:noWrap w:val="0"/>
            <w:vAlign w:val="center"/>
          </w:tcPr>
          <w:p w14:paraId="64F1E200">
            <w:pPr>
              <w:adjustRightInd w:val="0"/>
              <w:snapToGrid w:val="0"/>
              <w:jc w:val="center"/>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SS</w:t>
            </w:r>
          </w:p>
        </w:tc>
        <w:tc>
          <w:tcPr>
            <w:tcW w:w="1290" w:type="dxa"/>
            <w:tcBorders>
              <w:tl2br w:val="nil"/>
              <w:tr2bl w:val="nil"/>
            </w:tcBorders>
            <w:noWrap w:val="0"/>
            <w:vAlign w:val="center"/>
          </w:tcPr>
          <w:p w14:paraId="7CA0E0FA">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77CCFFB7">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0A0E5A55">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212E52F2">
            <w:pPr>
              <w:adjustRightInd w:val="0"/>
              <w:snapToGrid w:val="0"/>
              <w:jc w:val="center"/>
              <w:rPr>
                <w:rFonts w:hint="default"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0.048</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2D471266">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76AC77CD">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lang w:val="en-US" w:eastAsia="zh-CN"/>
              </w:rPr>
              <w:t>0.048</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27B73967">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7094B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2E4F727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5FED7E97">
            <w:pPr>
              <w:adjustRightInd w:val="0"/>
              <w:snapToGrid w:val="0"/>
              <w:jc w:val="center"/>
              <w:rPr>
                <w:rFonts w:hint="default" w:ascii="Times New Roman" w:hAnsi="Times New Roman" w:eastAsia="宋体" w:cs="Times New Roman"/>
                <w:snapToGrid w:val="0"/>
                <w:color w:val="auto"/>
                <w:kern w:val="21"/>
              </w:rPr>
            </w:pPr>
          </w:p>
        </w:tc>
        <w:tc>
          <w:tcPr>
            <w:tcW w:w="1453" w:type="dxa"/>
            <w:tcBorders>
              <w:tl2br w:val="nil"/>
              <w:tr2bl w:val="nil"/>
            </w:tcBorders>
            <w:noWrap w:val="0"/>
            <w:vAlign w:val="center"/>
          </w:tcPr>
          <w:p w14:paraId="7FFB73DB">
            <w:pPr>
              <w:adjustRightInd w:val="0"/>
              <w:snapToGrid w:val="0"/>
              <w:jc w:val="center"/>
              <w:rPr>
                <w:rFonts w:hint="default" w:ascii="Times New Roman" w:hAnsi="Times New Roman" w:eastAsia="宋体" w:cs="Times New Roman"/>
                <w:snapToGrid w:val="0"/>
                <w:color w:val="auto"/>
                <w:kern w:val="21"/>
              </w:rPr>
            </w:pPr>
            <w:r>
              <w:rPr>
                <w:rFonts w:hint="default" w:ascii="Times New Roman" w:hAnsi="Times New Roman" w:eastAsia="宋体" w:cs="Times New Roman"/>
                <w:snapToGrid w:val="0"/>
                <w:color w:val="auto"/>
                <w:kern w:val="21"/>
              </w:rPr>
              <w:t>NH</w:t>
            </w:r>
            <w:r>
              <w:rPr>
                <w:rFonts w:hint="default" w:ascii="Times New Roman" w:hAnsi="Times New Roman" w:eastAsia="宋体" w:cs="Times New Roman"/>
                <w:snapToGrid w:val="0"/>
                <w:color w:val="auto"/>
                <w:kern w:val="21"/>
                <w:vertAlign w:val="subscript"/>
              </w:rPr>
              <w:t>3</w:t>
            </w:r>
            <w:r>
              <w:rPr>
                <w:rFonts w:hint="default" w:ascii="Times New Roman" w:hAnsi="Times New Roman" w:eastAsia="宋体" w:cs="Times New Roman"/>
                <w:snapToGrid w:val="0"/>
                <w:color w:val="auto"/>
                <w:kern w:val="21"/>
              </w:rPr>
              <w:t>-N</w:t>
            </w:r>
          </w:p>
        </w:tc>
        <w:tc>
          <w:tcPr>
            <w:tcW w:w="1290" w:type="dxa"/>
            <w:tcBorders>
              <w:tl2br w:val="nil"/>
              <w:tr2bl w:val="nil"/>
            </w:tcBorders>
            <w:noWrap w:val="0"/>
            <w:vAlign w:val="center"/>
          </w:tcPr>
          <w:p w14:paraId="366757DF">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4E7D9CDE">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34F71658">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02146B32">
            <w:pPr>
              <w:adjustRightInd w:val="0"/>
              <w:snapToGrid w:val="0"/>
              <w:jc w:val="center"/>
              <w:rPr>
                <w:rFonts w:hint="default"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0.008</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25FDDF50">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0C7E0C9B">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lang w:val="en-US" w:eastAsia="zh-CN"/>
              </w:rPr>
              <w:t>0.008</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46183752">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095A8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40F46420">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4C5E5654">
            <w:pPr>
              <w:adjustRightInd w:val="0"/>
              <w:snapToGrid w:val="0"/>
              <w:jc w:val="center"/>
              <w:rPr>
                <w:rFonts w:hint="default" w:ascii="Times New Roman" w:hAnsi="Times New Roman" w:eastAsia="宋体" w:cs="Times New Roman"/>
                <w:snapToGrid w:val="0"/>
                <w:color w:val="auto"/>
                <w:kern w:val="21"/>
              </w:rPr>
            </w:pPr>
          </w:p>
        </w:tc>
        <w:tc>
          <w:tcPr>
            <w:tcW w:w="1453" w:type="dxa"/>
            <w:tcBorders>
              <w:tl2br w:val="nil"/>
              <w:tr2bl w:val="nil"/>
            </w:tcBorders>
            <w:noWrap w:val="0"/>
            <w:vAlign w:val="center"/>
          </w:tcPr>
          <w:p w14:paraId="4933F5F1">
            <w:pPr>
              <w:adjustRightInd w:val="0"/>
              <w:snapToGrid w:val="0"/>
              <w:jc w:val="center"/>
              <w:rPr>
                <w:rFonts w:hint="eastAsia"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TDS</w:t>
            </w:r>
          </w:p>
        </w:tc>
        <w:tc>
          <w:tcPr>
            <w:tcW w:w="1290" w:type="dxa"/>
            <w:tcBorders>
              <w:tl2br w:val="nil"/>
              <w:tr2bl w:val="nil"/>
            </w:tcBorders>
            <w:noWrap w:val="0"/>
            <w:vAlign w:val="center"/>
          </w:tcPr>
          <w:p w14:paraId="00951A50">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22230ECE">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5957D81">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0DDF3720">
            <w:pPr>
              <w:adjustRightInd w:val="0"/>
              <w:snapToGrid w:val="0"/>
              <w:jc w:val="center"/>
              <w:rPr>
                <w:rFonts w:hint="default" w:ascii="Times New Roman" w:hAnsi="Times New Roman" w:eastAsia="宋体" w:cs="Times New Roman"/>
                <w:bCs/>
                <w:color w:val="auto"/>
                <w:lang w:val="en-US" w:eastAsia="zh-CN"/>
              </w:rPr>
            </w:pPr>
            <w:r>
              <w:rPr>
                <w:rFonts w:hint="eastAsia" w:ascii="Times New Roman" w:hAnsi="Times New Roman" w:eastAsia="宋体" w:cs="Times New Roman"/>
                <w:bCs/>
                <w:color w:val="auto"/>
                <w:lang w:val="en-US" w:eastAsia="zh-CN"/>
              </w:rPr>
              <w:t>0.</w:t>
            </w:r>
            <w:r>
              <w:rPr>
                <w:rFonts w:hint="eastAsia" w:cs="Times New Roman"/>
                <w:bCs/>
                <w:color w:val="auto"/>
                <w:lang w:val="en-US" w:eastAsia="zh-CN"/>
              </w:rPr>
              <w:t>065</w:t>
            </w:r>
            <w:r>
              <w:rPr>
                <w:rFonts w:hint="default" w:ascii="Times New Roman" w:hAnsi="Times New Roman" w:eastAsia="宋体" w:cs="Times New Roman"/>
                <w:snapToGrid w:val="0"/>
                <w:color w:val="auto"/>
                <w:kern w:val="21"/>
                <w:sz w:val="21"/>
                <w:szCs w:val="21"/>
              </w:rPr>
              <w:t>t/a</w:t>
            </w:r>
          </w:p>
        </w:tc>
        <w:tc>
          <w:tcPr>
            <w:tcW w:w="1635" w:type="dxa"/>
            <w:tcBorders>
              <w:tl2br w:val="nil"/>
              <w:tr2bl w:val="nil"/>
            </w:tcBorders>
            <w:noWrap w:val="0"/>
            <w:vAlign w:val="center"/>
          </w:tcPr>
          <w:p w14:paraId="7A954A74">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7B3FF850">
            <w:pPr>
              <w:adjustRightInd w:val="0"/>
              <w:snapToGrid w:val="0"/>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lang w:val="en-US" w:eastAsia="zh-CN"/>
              </w:rPr>
              <w:t>0.</w:t>
            </w:r>
            <w:r>
              <w:rPr>
                <w:rFonts w:hint="eastAsia" w:cs="Times New Roman"/>
                <w:bCs/>
                <w:color w:val="auto"/>
                <w:lang w:val="en-US" w:eastAsia="zh-CN"/>
              </w:rPr>
              <w:t>065</w:t>
            </w:r>
            <w:r>
              <w:rPr>
                <w:rFonts w:hint="default" w:ascii="Times New Roman" w:hAnsi="Times New Roman" w:eastAsia="宋体" w:cs="Times New Roman"/>
                <w:snapToGrid w:val="0"/>
                <w:color w:val="auto"/>
                <w:kern w:val="21"/>
                <w:sz w:val="21"/>
                <w:szCs w:val="21"/>
              </w:rPr>
              <w:t>t/a</w:t>
            </w:r>
          </w:p>
        </w:tc>
        <w:tc>
          <w:tcPr>
            <w:tcW w:w="826" w:type="dxa"/>
            <w:tcBorders>
              <w:tl2br w:val="nil"/>
              <w:tr2bl w:val="nil"/>
            </w:tcBorders>
            <w:noWrap w:val="0"/>
            <w:vAlign w:val="center"/>
          </w:tcPr>
          <w:p w14:paraId="098458F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r>
      <w:tr w14:paraId="74402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restart"/>
            <w:tcBorders>
              <w:tl2br w:val="nil"/>
              <w:tr2bl w:val="nil"/>
            </w:tcBorders>
            <w:noWrap w:val="0"/>
            <w:vAlign w:val="center"/>
          </w:tcPr>
          <w:p w14:paraId="2A6132F2">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一般工业固体废物</w:t>
            </w:r>
          </w:p>
        </w:tc>
        <w:tc>
          <w:tcPr>
            <w:tcW w:w="1245" w:type="dxa"/>
            <w:vMerge w:val="restart"/>
            <w:tcBorders>
              <w:tl2br w:val="nil"/>
              <w:tr2bl w:val="nil"/>
            </w:tcBorders>
            <w:noWrap w:val="0"/>
            <w:vAlign w:val="center"/>
          </w:tcPr>
          <w:p w14:paraId="6BDA647F">
            <w:pPr>
              <w:adjustRightInd w:val="0"/>
              <w:snapToGrid w:val="0"/>
              <w:jc w:val="center"/>
              <w:rPr>
                <w:rFonts w:hint="eastAsia"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一期</w:t>
            </w:r>
          </w:p>
        </w:tc>
        <w:tc>
          <w:tcPr>
            <w:tcW w:w="1453" w:type="dxa"/>
            <w:tcBorders>
              <w:tl2br w:val="nil"/>
              <w:tr2bl w:val="nil"/>
            </w:tcBorders>
            <w:noWrap w:val="0"/>
            <w:vAlign w:val="center"/>
          </w:tcPr>
          <w:p w14:paraId="4178FDC7">
            <w:pPr>
              <w:adjustRightInd w:val="0"/>
              <w:snapToGrid w:val="0"/>
              <w:jc w:val="center"/>
              <w:rPr>
                <w:color w:val="auto"/>
                <w:kern w:val="0"/>
                <w:szCs w:val="21"/>
                <w:highlight w:val="none"/>
              </w:rPr>
            </w:pPr>
            <w:r>
              <w:rPr>
                <w:color w:val="auto"/>
                <w:kern w:val="0"/>
                <w:szCs w:val="21"/>
                <w:highlight w:val="none"/>
              </w:rPr>
              <w:t>废包装袋</w:t>
            </w:r>
          </w:p>
        </w:tc>
        <w:tc>
          <w:tcPr>
            <w:tcW w:w="1290" w:type="dxa"/>
            <w:tcBorders>
              <w:tl2br w:val="nil"/>
              <w:tr2bl w:val="nil"/>
            </w:tcBorders>
            <w:noWrap w:val="0"/>
            <w:vAlign w:val="center"/>
          </w:tcPr>
          <w:p w14:paraId="417A1CB1">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3CDF5C9A">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42E33E43">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104720CF">
            <w:pPr>
              <w:adjustRightInd w:val="0"/>
              <w:snapToGrid w:val="0"/>
              <w:jc w:val="center"/>
              <w:rPr>
                <w:rFonts w:hint="default" w:ascii="Times New Roman" w:hAnsi="Times New Roman" w:eastAsia="宋体" w:cs="Times New Roman"/>
                <w:snapToGrid w:val="0"/>
                <w:color w:val="auto"/>
                <w:kern w:val="21"/>
                <w:sz w:val="21"/>
                <w:szCs w:val="21"/>
              </w:rPr>
            </w:pPr>
            <w:r>
              <w:rPr>
                <w:rFonts w:hint="eastAsia" w:ascii="Times New Roman" w:hAnsi="Times New Roman" w:eastAsia="宋体" w:cs="Times New Roman"/>
                <w:snapToGrid w:val="0"/>
                <w:color w:val="auto"/>
                <w:kern w:val="0"/>
                <w:lang w:val="en-US" w:eastAsia="zh-CN"/>
              </w:rPr>
              <w:t>0.9</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306D8637">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7D4D5EA7">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0"/>
                <w:lang w:val="en-US" w:eastAsia="zh-CN"/>
              </w:rPr>
              <w:t>0.9</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03B887FD">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3B53B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3F78EECF">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2CD6775E">
            <w:pPr>
              <w:adjustRightInd w:val="0"/>
              <w:snapToGrid w:val="0"/>
              <w:jc w:val="center"/>
              <w:rPr>
                <w:rFonts w:hint="default" w:ascii="Times New Roman" w:hAnsi="Times New Roman" w:eastAsia="宋体" w:cs="Times New Roman"/>
                <w:snapToGrid w:val="0"/>
                <w:color w:val="auto"/>
                <w:kern w:val="21"/>
              </w:rPr>
            </w:pPr>
          </w:p>
        </w:tc>
        <w:tc>
          <w:tcPr>
            <w:tcW w:w="1453" w:type="dxa"/>
            <w:tcBorders>
              <w:tl2br w:val="nil"/>
              <w:tr2bl w:val="nil"/>
            </w:tcBorders>
            <w:noWrap w:val="0"/>
            <w:vAlign w:val="center"/>
          </w:tcPr>
          <w:p w14:paraId="44E388D9">
            <w:pPr>
              <w:adjustRightInd w:val="0"/>
              <w:snapToGrid w:val="0"/>
              <w:jc w:val="center"/>
              <w:rPr>
                <w:color w:val="auto"/>
                <w:kern w:val="0"/>
                <w:szCs w:val="21"/>
                <w:highlight w:val="none"/>
              </w:rPr>
            </w:pPr>
            <w:r>
              <w:rPr>
                <w:color w:val="auto"/>
                <w:kern w:val="0"/>
                <w:szCs w:val="21"/>
                <w:highlight w:val="none"/>
              </w:rPr>
              <w:t>不合格品</w:t>
            </w:r>
          </w:p>
        </w:tc>
        <w:tc>
          <w:tcPr>
            <w:tcW w:w="1290" w:type="dxa"/>
            <w:tcBorders>
              <w:tl2br w:val="nil"/>
              <w:tr2bl w:val="nil"/>
            </w:tcBorders>
            <w:noWrap w:val="0"/>
            <w:vAlign w:val="center"/>
          </w:tcPr>
          <w:p w14:paraId="1BF28594">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3F9ED997">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D028FBC">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1A90F1B3">
            <w:pPr>
              <w:adjustRightInd w:val="0"/>
              <w:snapToGrid w:val="0"/>
              <w:jc w:val="center"/>
              <w:rPr>
                <w:rFonts w:hint="default" w:ascii="Times New Roman" w:hAnsi="Times New Roman" w:eastAsia="宋体" w:cs="Times New Roman"/>
                <w:snapToGrid w:val="0"/>
                <w:color w:val="auto"/>
                <w:kern w:val="21"/>
                <w:sz w:val="21"/>
                <w:szCs w:val="21"/>
              </w:rPr>
            </w:pPr>
            <w:r>
              <w:rPr>
                <w:rFonts w:hint="eastAsia" w:ascii="Times New Roman" w:hAnsi="Times New Roman" w:eastAsia="宋体" w:cs="Times New Roman"/>
                <w:snapToGrid w:val="0"/>
                <w:color w:val="auto"/>
                <w:kern w:val="0"/>
                <w:lang w:val="en-US" w:eastAsia="zh-CN"/>
              </w:rPr>
              <w:t>1.7</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3DB81046">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1AB5D724">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0"/>
                <w:lang w:val="en-US" w:eastAsia="zh-CN"/>
              </w:rPr>
              <w:t>1.7</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7F03EFF8">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0776C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5968BD22">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5E75F7D0">
            <w:pPr>
              <w:adjustRightInd w:val="0"/>
              <w:snapToGrid w:val="0"/>
              <w:jc w:val="center"/>
              <w:rPr>
                <w:rFonts w:hint="default" w:ascii="Times New Roman" w:hAnsi="Times New Roman" w:eastAsia="宋体" w:cs="Times New Roman"/>
                <w:snapToGrid w:val="0"/>
                <w:color w:val="auto"/>
                <w:kern w:val="21"/>
              </w:rPr>
            </w:pPr>
          </w:p>
        </w:tc>
        <w:tc>
          <w:tcPr>
            <w:tcW w:w="1453" w:type="dxa"/>
            <w:tcBorders>
              <w:tl2br w:val="nil"/>
              <w:tr2bl w:val="nil"/>
            </w:tcBorders>
            <w:noWrap w:val="0"/>
            <w:vAlign w:val="center"/>
          </w:tcPr>
          <w:p w14:paraId="268FC3DE">
            <w:pPr>
              <w:adjustRightInd w:val="0"/>
              <w:snapToGrid w:val="0"/>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废边角料</w:t>
            </w:r>
          </w:p>
        </w:tc>
        <w:tc>
          <w:tcPr>
            <w:tcW w:w="1290" w:type="dxa"/>
            <w:tcBorders>
              <w:tl2br w:val="nil"/>
              <w:tr2bl w:val="nil"/>
            </w:tcBorders>
            <w:noWrap w:val="0"/>
            <w:vAlign w:val="center"/>
          </w:tcPr>
          <w:p w14:paraId="5234B801">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c>
          <w:tcPr>
            <w:tcW w:w="1245" w:type="dxa"/>
            <w:tcBorders>
              <w:tl2br w:val="nil"/>
              <w:tr2bl w:val="nil"/>
            </w:tcBorders>
            <w:noWrap w:val="0"/>
            <w:vAlign w:val="center"/>
          </w:tcPr>
          <w:p w14:paraId="01C0538D">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c>
          <w:tcPr>
            <w:tcW w:w="1650" w:type="dxa"/>
            <w:tcBorders>
              <w:tl2br w:val="nil"/>
              <w:tr2bl w:val="nil"/>
            </w:tcBorders>
            <w:noWrap w:val="0"/>
            <w:vAlign w:val="center"/>
          </w:tcPr>
          <w:p w14:paraId="1A4B15F5">
            <w:pPr>
              <w:pStyle w:val="72"/>
              <w:spacing w:beforeLines="0" w:afterLines="0" w:line="240" w:lineRule="auto"/>
              <w:ind w:firstLine="0" w:firstLineChars="0"/>
              <w:rPr>
                <w:rFonts w:hint="eastAsia"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c>
          <w:tcPr>
            <w:tcW w:w="1680" w:type="dxa"/>
            <w:tcBorders>
              <w:tl2br w:val="nil"/>
              <w:tr2bl w:val="nil"/>
            </w:tcBorders>
            <w:noWrap w:val="0"/>
            <w:vAlign w:val="center"/>
          </w:tcPr>
          <w:p w14:paraId="26340FB5">
            <w:pPr>
              <w:adjustRightInd w:val="0"/>
              <w:snapToGrid w:val="0"/>
              <w:jc w:val="center"/>
              <w:rPr>
                <w:rFonts w:hint="default" w:eastAsia="宋体"/>
                <w:color w:val="auto"/>
                <w:lang w:val="en-US" w:eastAsia="zh-CN"/>
              </w:rPr>
            </w:pPr>
            <w:r>
              <w:rPr>
                <w:rFonts w:hint="eastAsia"/>
                <w:color w:val="auto"/>
                <w:lang w:val="en-US" w:eastAsia="zh-CN"/>
              </w:rPr>
              <w:t>0.063</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5367C836">
            <w:pPr>
              <w:pStyle w:val="72"/>
              <w:spacing w:beforeLines="0" w:afterLines="0" w:line="240" w:lineRule="auto"/>
              <w:ind w:firstLine="0"/>
              <w:rPr>
                <w:rFonts w:hint="default"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c>
          <w:tcPr>
            <w:tcW w:w="1688" w:type="dxa"/>
            <w:tcBorders>
              <w:tl2br w:val="nil"/>
              <w:tr2bl w:val="nil"/>
            </w:tcBorders>
            <w:shd w:val="clear" w:color="auto" w:fill="auto"/>
            <w:noWrap w:val="0"/>
            <w:vAlign w:val="center"/>
          </w:tcPr>
          <w:p w14:paraId="243E5F13">
            <w:pPr>
              <w:adjustRightInd w:val="0"/>
              <w:snapToGrid w:val="0"/>
              <w:jc w:val="center"/>
              <w:rPr>
                <w:color w:val="auto"/>
              </w:rPr>
            </w:pPr>
            <w:r>
              <w:rPr>
                <w:rFonts w:hint="eastAsia"/>
                <w:color w:val="auto"/>
                <w:lang w:val="en-US" w:eastAsia="zh-CN"/>
              </w:rPr>
              <w:t>0.063</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673A229E">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r>
      <w:tr w14:paraId="0B82D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0878E5A4">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restart"/>
            <w:tcBorders>
              <w:tl2br w:val="nil"/>
              <w:tr2bl w:val="nil"/>
            </w:tcBorders>
            <w:noWrap w:val="0"/>
            <w:vAlign w:val="center"/>
          </w:tcPr>
          <w:p w14:paraId="27BED538">
            <w:pPr>
              <w:adjustRightInd w:val="0"/>
              <w:snapToGrid w:val="0"/>
              <w:jc w:val="center"/>
              <w:rPr>
                <w:rFonts w:hint="eastAsia"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二期</w:t>
            </w:r>
          </w:p>
        </w:tc>
        <w:tc>
          <w:tcPr>
            <w:tcW w:w="1453" w:type="dxa"/>
            <w:tcBorders>
              <w:tl2br w:val="nil"/>
              <w:tr2bl w:val="nil"/>
            </w:tcBorders>
            <w:shd w:val="clear" w:color="auto" w:fill="auto"/>
            <w:noWrap w:val="0"/>
            <w:vAlign w:val="center"/>
          </w:tcPr>
          <w:p w14:paraId="37E86E75">
            <w:pPr>
              <w:adjustRightInd w:val="0"/>
              <w:snapToGrid w:val="0"/>
              <w:jc w:val="center"/>
              <w:rPr>
                <w:color w:val="auto"/>
                <w:kern w:val="0"/>
                <w:sz w:val="21"/>
                <w:szCs w:val="21"/>
                <w:highlight w:val="none"/>
                <w:lang w:val="en-US" w:eastAsia="zh-CN" w:bidi="ar-SA"/>
              </w:rPr>
            </w:pPr>
            <w:r>
              <w:rPr>
                <w:color w:val="auto"/>
                <w:kern w:val="0"/>
                <w:szCs w:val="21"/>
                <w:highlight w:val="none"/>
              </w:rPr>
              <w:t>废包装袋</w:t>
            </w:r>
          </w:p>
        </w:tc>
        <w:tc>
          <w:tcPr>
            <w:tcW w:w="1290" w:type="dxa"/>
            <w:tcBorders>
              <w:tl2br w:val="nil"/>
              <w:tr2bl w:val="nil"/>
            </w:tcBorders>
            <w:noWrap w:val="0"/>
            <w:vAlign w:val="center"/>
          </w:tcPr>
          <w:p w14:paraId="051B3AFE">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7D65612F">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C9DBEFD">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1DAABF90">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0"/>
                <w:lang w:val="en-US" w:eastAsia="zh-CN"/>
              </w:rPr>
              <w:t>1.8</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1E4572A8">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114552AA">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lang w:val="en-US" w:eastAsia="zh-CN"/>
              </w:rPr>
              <w:t>1.8</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76A740F4">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r>
      <w:tr w14:paraId="7C404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09F7EFE8">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13FFC845">
            <w:pPr>
              <w:adjustRightInd w:val="0"/>
              <w:snapToGrid w:val="0"/>
              <w:jc w:val="center"/>
              <w:rPr>
                <w:rFonts w:hint="eastAsia" w:ascii="Times New Roman" w:hAnsi="Times New Roman" w:eastAsia="宋体" w:cs="Times New Roman"/>
                <w:snapToGrid w:val="0"/>
                <w:color w:val="auto"/>
                <w:kern w:val="21"/>
                <w:lang w:val="en-US" w:eastAsia="zh-CN"/>
              </w:rPr>
            </w:pPr>
          </w:p>
        </w:tc>
        <w:tc>
          <w:tcPr>
            <w:tcW w:w="1453" w:type="dxa"/>
            <w:tcBorders>
              <w:tl2br w:val="nil"/>
              <w:tr2bl w:val="nil"/>
            </w:tcBorders>
            <w:shd w:val="clear" w:color="auto" w:fill="auto"/>
            <w:noWrap w:val="0"/>
            <w:vAlign w:val="center"/>
          </w:tcPr>
          <w:p w14:paraId="08FFAFD7">
            <w:pPr>
              <w:adjustRightInd w:val="0"/>
              <w:snapToGrid w:val="0"/>
              <w:jc w:val="center"/>
              <w:rPr>
                <w:color w:val="auto"/>
                <w:kern w:val="0"/>
                <w:sz w:val="21"/>
                <w:szCs w:val="21"/>
                <w:highlight w:val="none"/>
                <w:lang w:val="en-US" w:eastAsia="zh-CN" w:bidi="ar-SA"/>
              </w:rPr>
            </w:pPr>
            <w:r>
              <w:rPr>
                <w:color w:val="auto"/>
                <w:kern w:val="0"/>
                <w:szCs w:val="21"/>
                <w:highlight w:val="none"/>
              </w:rPr>
              <w:t>不合格品</w:t>
            </w:r>
          </w:p>
        </w:tc>
        <w:tc>
          <w:tcPr>
            <w:tcW w:w="1290" w:type="dxa"/>
            <w:tcBorders>
              <w:tl2br w:val="nil"/>
              <w:tr2bl w:val="nil"/>
            </w:tcBorders>
            <w:noWrap w:val="0"/>
            <w:vAlign w:val="center"/>
          </w:tcPr>
          <w:p w14:paraId="326236D8">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3AAC972B">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39E567D">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170FCB53">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0"/>
                <w:lang w:val="en-US" w:eastAsia="zh-CN"/>
              </w:rPr>
              <w:t>3.4</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7B6C4251">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582F91A6">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lang w:val="en-US" w:eastAsia="zh-CN"/>
              </w:rPr>
              <w:t>3.4</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0BB045CF">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r>
      <w:tr w14:paraId="6BC53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051930A9">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21181836">
            <w:pPr>
              <w:adjustRightInd w:val="0"/>
              <w:snapToGrid w:val="0"/>
              <w:jc w:val="center"/>
              <w:rPr>
                <w:rFonts w:hint="eastAsia" w:ascii="Times New Roman" w:hAnsi="Times New Roman" w:eastAsia="宋体" w:cs="Times New Roman"/>
                <w:snapToGrid w:val="0"/>
                <w:color w:val="auto"/>
                <w:kern w:val="21"/>
                <w:lang w:val="en-US" w:eastAsia="zh-CN"/>
              </w:rPr>
            </w:pPr>
          </w:p>
        </w:tc>
        <w:tc>
          <w:tcPr>
            <w:tcW w:w="1453" w:type="dxa"/>
            <w:tcBorders>
              <w:tl2br w:val="nil"/>
              <w:tr2bl w:val="nil"/>
            </w:tcBorders>
            <w:shd w:val="clear" w:color="auto" w:fill="auto"/>
            <w:noWrap w:val="0"/>
            <w:vAlign w:val="center"/>
          </w:tcPr>
          <w:p w14:paraId="78AEB905">
            <w:pPr>
              <w:adjustRightInd w:val="0"/>
              <w:snapToGrid w:val="0"/>
              <w:jc w:val="center"/>
              <w:rPr>
                <w:color w:val="auto"/>
                <w:kern w:val="0"/>
                <w:szCs w:val="21"/>
                <w:highlight w:val="none"/>
              </w:rPr>
            </w:pPr>
            <w:r>
              <w:rPr>
                <w:rFonts w:hint="eastAsia"/>
                <w:color w:val="auto"/>
                <w:kern w:val="0"/>
                <w:szCs w:val="21"/>
                <w:highlight w:val="none"/>
                <w:lang w:val="en-US" w:eastAsia="zh-CN"/>
              </w:rPr>
              <w:t>废边角料</w:t>
            </w:r>
          </w:p>
        </w:tc>
        <w:tc>
          <w:tcPr>
            <w:tcW w:w="1290" w:type="dxa"/>
            <w:tcBorders>
              <w:tl2br w:val="nil"/>
              <w:tr2bl w:val="nil"/>
            </w:tcBorders>
            <w:noWrap w:val="0"/>
            <w:vAlign w:val="center"/>
          </w:tcPr>
          <w:p w14:paraId="18A77A63">
            <w:pPr>
              <w:spacing w:beforeLines="0" w:afterLines="0"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45" w:type="dxa"/>
            <w:tcBorders>
              <w:tl2br w:val="nil"/>
              <w:tr2bl w:val="nil"/>
            </w:tcBorders>
            <w:noWrap w:val="0"/>
            <w:vAlign w:val="center"/>
          </w:tcPr>
          <w:p w14:paraId="604C9794">
            <w:pPr>
              <w:spacing w:beforeLines="0" w:afterLines="0"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50" w:type="dxa"/>
            <w:tcBorders>
              <w:tl2br w:val="nil"/>
              <w:tr2bl w:val="nil"/>
            </w:tcBorders>
            <w:noWrap w:val="0"/>
            <w:vAlign w:val="center"/>
          </w:tcPr>
          <w:p w14:paraId="71B85EB8">
            <w:pPr>
              <w:spacing w:beforeLines="0" w:afterLines="0"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80" w:type="dxa"/>
            <w:tcBorders>
              <w:tl2br w:val="nil"/>
              <w:tr2bl w:val="nil"/>
            </w:tcBorders>
            <w:noWrap w:val="0"/>
            <w:vAlign w:val="center"/>
          </w:tcPr>
          <w:p w14:paraId="2162C130">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cs="Times New Roman"/>
                <w:snapToGrid w:val="0"/>
                <w:color w:val="auto"/>
                <w:kern w:val="0"/>
                <w:lang w:val="en-US" w:eastAsia="zh-CN"/>
              </w:rPr>
              <w:t>0.067</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1ECAD4F0">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p>
        </w:tc>
        <w:tc>
          <w:tcPr>
            <w:tcW w:w="1688" w:type="dxa"/>
            <w:tcBorders>
              <w:tl2br w:val="nil"/>
              <w:tr2bl w:val="nil"/>
            </w:tcBorders>
            <w:shd w:val="clear" w:color="auto" w:fill="auto"/>
            <w:noWrap w:val="0"/>
            <w:vAlign w:val="center"/>
          </w:tcPr>
          <w:p w14:paraId="35BD19B4">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cs="Times New Roman"/>
                <w:snapToGrid w:val="0"/>
                <w:color w:val="auto"/>
                <w:kern w:val="0"/>
                <w:lang w:val="en-US" w:eastAsia="zh-CN"/>
              </w:rPr>
              <w:t>0.067</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66AE2090">
            <w:pPr>
              <w:pStyle w:val="72"/>
              <w:spacing w:beforeLines="0" w:afterLines="0" w:line="240" w:lineRule="auto"/>
              <w:ind w:firstLine="0"/>
              <w:rPr>
                <w:rFonts w:hint="eastAsia" w:ascii="Times New Roman" w:eastAsia="宋体" w:cs="Times New Roman"/>
                <w:snapToGrid w:val="0"/>
                <w:color w:val="auto"/>
                <w:kern w:val="21"/>
                <w:sz w:val="21"/>
                <w:szCs w:val="21"/>
                <w:lang w:val="en-US" w:eastAsia="zh-CN"/>
              </w:rPr>
            </w:pPr>
          </w:p>
        </w:tc>
      </w:tr>
      <w:tr w14:paraId="0CFEE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4D85C98E">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restart"/>
            <w:tcBorders>
              <w:tl2br w:val="nil"/>
              <w:tr2bl w:val="nil"/>
            </w:tcBorders>
            <w:noWrap w:val="0"/>
            <w:vAlign w:val="center"/>
          </w:tcPr>
          <w:p w14:paraId="7A00FC8F">
            <w:pPr>
              <w:adjustRightInd w:val="0"/>
              <w:snapToGrid w:val="0"/>
              <w:jc w:val="center"/>
              <w:rPr>
                <w:rFonts w:hint="default" w:ascii="Times New Roman" w:hAnsi="Times New Roman" w:eastAsia="宋体" w:cs="Times New Roman"/>
                <w:snapToGrid w:val="0"/>
                <w:color w:val="auto"/>
                <w:kern w:val="21"/>
                <w:lang w:val="en-US" w:eastAsia="zh-CN"/>
              </w:rPr>
            </w:pPr>
            <w:r>
              <w:rPr>
                <w:rFonts w:hint="eastAsia" w:ascii="Times New Roman" w:hAnsi="Times New Roman" w:eastAsia="宋体" w:cs="Times New Roman"/>
                <w:snapToGrid w:val="0"/>
                <w:color w:val="auto"/>
                <w:kern w:val="21"/>
                <w:lang w:val="en-US" w:eastAsia="zh-CN"/>
              </w:rPr>
              <w:t>二期建成后全厂</w:t>
            </w:r>
          </w:p>
        </w:tc>
        <w:tc>
          <w:tcPr>
            <w:tcW w:w="1453" w:type="dxa"/>
            <w:tcBorders>
              <w:tl2br w:val="nil"/>
              <w:tr2bl w:val="nil"/>
            </w:tcBorders>
            <w:shd w:val="clear" w:color="auto" w:fill="auto"/>
            <w:noWrap w:val="0"/>
            <w:vAlign w:val="center"/>
          </w:tcPr>
          <w:p w14:paraId="46CB9E3A">
            <w:pPr>
              <w:adjustRightInd w:val="0"/>
              <w:snapToGrid w:val="0"/>
              <w:jc w:val="center"/>
              <w:rPr>
                <w:color w:val="auto"/>
                <w:kern w:val="0"/>
                <w:sz w:val="21"/>
                <w:szCs w:val="21"/>
                <w:highlight w:val="none"/>
                <w:lang w:val="en-US" w:eastAsia="zh-CN" w:bidi="ar-SA"/>
              </w:rPr>
            </w:pPr>
            <w:r>
              <w:rPr>
                <w:color w:val="auto"/>
                <w:kern w:val="0"/>
                <w:szCs w:val="21"/>
                <w:highlight w:val="none"/>
              </w:rPr>
              <w:t>废包装袋</w:t>
            </w:r>
          </w:p>
        </w:tc>
        <w:tc>
          <w:tcPr>
            <w:tcW w:w="1290" w:type="dxa"/>
            <w:tcBorders>
              <w:tl2br w:val="nil"/>
              <w:tr2bl w:val="nil"/>
            </w:tcBorders>
            <w:noWrap w:val="0"/>
            <w:vAlign w:val="center"/>
          </w:tcPr>
          <w:p w14:paraId="0FA4395D">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233CADA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E1E34C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655F9BF8">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0"/>
                <w:lang w:val="en-US" w:eastAsia="zh-CN"/>
              </w:rPr>
              <w:t>2.7</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670A6840">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7EF0704C">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lang w:val="en-US" w:eastAsia="zh-CN"/>
              </w:rPr>
              <w:t>2.7</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2CAC623F">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r>
      <w:tr w14:paraId="18F8A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4D48CFCC">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36EE034D">
            <w:pPr>
              <w:adjustRightInd w:val="0"/>
              <w:snapToGrid w:val="0"/>
              <w:jc w:val="center"/>
              <w:rPr>
                <w:rFonts w:hint="eastAsia" w:ascii="Times New Roman" w:hAnsi="Times New Roman" w:eastAsia="宋体" w:cs="Times New Roman"/>
                <w:snapToGrid w:val="0"/>
                <w:color w:val="auto"/>
                <w:kern w:val="21"/>
                <w:lang w:val="en-US" w:eastAsia="zh-CN"/>
              </w:rPr>
            </w:pPr>
          </w:p>
        </w:tc>
        <w:tc>
          <w:tcPr>
            <w:tcW w:w="1453" w:type="dxa"/>
            <w:tcBorders>
              <w:tl2br w:val="nil"/>
              <w:tr2bl w:val="nil"/>
            </w:tcBorders>
            <w:shd w:val="clear" w:color="auto" w:fill="auto"/>
            <w:noWrap w:val="0"/>
            <w:vAlign w:val="center"/>
          </w:tcPr>
          <w:p w14:paraId="1737CD4F">
            <w:pPr>
              <w:adjustRightInd w:val="0"/>
              <w:snapToGrid w:val="0"/>
              <w:jc w:val="center"/>
              <w:rPr>
                <w:color w:val="auto"/>
                <w:kern w:val="0"/>
                <w:sz w:val="21"/>
                <w:szCs w:val="21"/>
                <w:highlight w:val="none"/>
                <w:lang w:val="en-US" w:eastAsia="zh-CN" w:bidi="ar-SA"/>
              </w:rPr>
            </w:pPr>
            <w:r>
              <w:rPr>
                <w:color w:val="auto"/>
                <w:kern w:val="0"/>
                <w:szCs w:val="21"/>
                <w:highlight w:val="none"/>
              </w:rPr>
              <w:t>不合格品</w:t>
            </w:r>
          </w:p>
        </w:tc>
        <w:tc>
          <w:tcPr>
            <w:tcW w:w="1290" w:type="dxa"/>
            <w:tcBorders>
              <w:tl2br w:val="nil"/>
              <w:tr2bl w:val="nil"/>
            </w:tcBorders>
            <w:noWrap w:val="0"/>
            <w:vAlign w:val="center"/>
          </w:tcPr>
          <w:p w14:paraId="217D1F53">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691EE097">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C5C437F">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48232421">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0"/>
                <w:lang w:val="en-US" w:eastAsia="zh-CN"/>
              </w:rPr>
              <w:t>5.1</w:t>
            </w:r>
            <w:r>
              <w:rPr>
                <w:rFonts w:hint="eastAsia" w:cs="Times New Roman"/>
                <w:snapToGrid w:val="0"/>
                <w:color w:val="auto"/>
                <w:kern w:val="0"/>
                <w:lang w:val="en-US" w:eastAsia="zh-CN"/>
              </w:rPr>
              <w:t>t/a</w:t>
            </w:r>
          </w:p>
        </w:tc>
        <w:tc>
          <w:tcPr>
            <w:tcW w:w="1635" w:type="dxa"/>
            <w:tcBorders>
              <w:tl2br w:val="nil"/>
              <w:tr2bl w:val="nil"/>
            </w:tcBorders>
            <w:noWrap w:val="0"/>
            <w:vAlign w:val="center"/>
          </w:tcPr>
          <w:p w14:paraId="4E089800">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668BB214">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lang w:val="en-US" w:eastAsia="zh-CN"/>
              </w:rPr>
              <w:t>5.1</w:t>
            </w:r>
            <w:r>
              <w:rPr>
                <w:rFonts w:hint="eastAsia" w:cs="Times New Roman"/>
                <w:snapToGrid w:val="0"/>
                <w:color w:val="auto"/>
                <w:kern w:val="0"/>
                <w:lang w:val="en-US" w:eastAsia="zh-CN"/>
              </w:rPr>
              <w:t>t/a</w:t>
            </w:r>
          </w:p>
        </w:tc>
        <w:tc>
          <w:tcPr>
            <w:tcW w:w="826" w:type="dxa"/>
            <w:tcBorders>
              <w:tl2br w:val="nil"/>
              <w:tr2bl w:val="nil"/>
            </w:tcBorders>
            <w:noWrap w:val="0"/>
            <w:vAlign w:val="center"/>
          </w:tcPr>
          <w:p w14:paraId="53280E16">
            <w:pPr>
              <w:pStyle w:val="72"/>
              <w:spacing w:beforeLines="0" w:afterLines="0" w:line="240" w:lineRule="auto"/>
              <w:ind w:firstLine="0"/>
              <w:rPr>
                <w:rFonts w:hint="eastAsia" w:ascii="Times New Roman" w:hAnsi="Times New Roman" w:eastAsia="宋体" w:cs="Times New Roman"/>
                <w:snapToGrid w:val="0"/>
                <w:color w:val="auto"/>
                <w:kern w:val="21"/>
                <w:sz w:val="21"/>
                <w:szCs w:val="21"/>
                <w:lang w:val="en-US" w:eastAsia="zh-CN"/>
              </w:rPr>
            </w:pPr>
            <w:r>
              <w:rPr>
                <w:rFonts w:hint="eastAsia" w:ascii="Times New Roman" w:eastAsia="宋体" w:cs="Times New Roman"/>
                <w:snapToGrid w:val="0"/>
                <w:color w:val="auto"/>
                <w:kern w:val="21"/>
                <w:sz w:val="21"/>
                <w:szCs w:val="21"/>
                <w:lang w:val="en-US" w:eastAsia="zh-CN"/>
              </w:rPr>
              <w:t>/</w:t>
            </w:r>
          </w:p>
        </w:tc>
      </w:tr>
      <w:tr w14:paraId="7FEDA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1C3A080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63BE9E6F">
            <w:pPr>
              <w:adjustRightInd w:val="0"/>
              <w:snapToGrid w:val="0"/>
              <w:jc w:val="center"/>
              <w:rPr>
                <w:rFonts w:hint="eastAsia" w:ascii="Times New Roman" w:hAnsi="Times New Roman" w:eastAsia="宋体" w:cs="Times New Roman"/>
                <w:snapToGrid w:val="0"/>
                <w:color w:val="auto"/>
                <w:kern w:val="21"/>
                <w:lang w:val="en-US" w:eastAsia="zh-CN"/>
              </w:rPr>
            </w:pPr>
          </w:p>
        </w:tc>
        <w:tc>
          <w:tcPr>
            <w:tcW w:w="1453" w:type="dxa"/>
            <w:tcBorders>
              <w:tl2br w:val="nil"/>
              <w:tr2bl w:val="nil"/>
            </w:tcBorders>
            <w:shd w:val="clear" w:color="auto" w:fill="auto"/>
            <w:noWrap w:val="0"/>
            <w:vAlign w:val="center"/>
          </w:tcPr>
          <w:p w14:paraId="19036F76">
            <w:pPr>
              <w:adjustRightInd w:val="0"/>
              <w:snapToGrid w:val="0"/>
              <w:jc w:val="center"/>
              <w:rPr>
                <w:color w:val="auto"/>
                <w:kern w:val="0"/>
                <w:szCs w:val="21"/>
                <w:highlight w:val="none"/>
              </w:rPr>
            </w:pPr>
            <w:r>
              <w:rPr>
                <w:rFonts w:hint="eastAsia"/>
                <w:color w:val="auto"/>
                <w:kern w:val="0"/>
                <w:szCs w:val="21"/>
                <w:highlight w:val="none"/>
                <w:lang w:val="en-US" w:eastAsia="zh-CN"/>
              </w:rPr>
              <w:t>废边角料</w:t>
            </w:r>
          </w:p>
        </w:tc>
        <w:tc>
          <w:tcPr>
            <w:tcW w:w="1290" w:type="dxa"/>
            <w:tcBorders>
              <w:tl2br w:val="nil"/>
              <w:tr2bl w:val="nil"/>
            </w:tcBorders>
            <w:noWrap w:val="0"/>
            <w:vAlign w:val="center"/>
          </w:tcPr>
          <w:p w14:paraId="24836EB5">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245" w:type="dxa"/>
            <w:tcBorders>
              <w:tl2br w:val="nil"/>
              <w:tr2bl w:val="nil"/>
            </w:tcBorders>
            <w:noWrap w:val="0"/>
            <w:vAlign w:val="center"/>
          </w:tcPr>
          <w:p w14:paraId="33E2EA0D">
            <w:pPr>
              <w:spacing w:beforeLines="0" w:afterLines="0"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50" w:type="dxa"/>
            <w:tcBorders>
              <w:tl2br w:val="nil"/>
              <w:tr2bl w:val="nil"/>
            </w:tcBorders>
            <w:noWrap w:val="0"/>
            <w:vAlign w:val="center"/>
          </w:tcPr>
          <w:p w14:paraId="3A33449C">
            <w:pPr>
              <w:spacing w:beforeLines="0" w:afterLines="0" w:line="240" w:lineRule="auto"/>
              <w:ind w:firstLine="0" w:firstLineChars="0"/>
              <w:jc w:val="center"/>
              <w:rPr>
                <w:rFonts w:hint="eastAsia" w:ascii="Times New Roman" w:hAnsi="Times New Roman" w:eastAsia="宋体" w:cs="Times New Roman"/>
                <w:snapToGrid w:val="0"/>
                <w:color w:val="auto"/>
                <w:kern w:val="21"/>
                <w:sz w:val="21"/>
                <w:szCs w:val="21"/>
                <w:lang w:val="en-US" w:eastAsia="zh-CN"/>
              </w:rPr>
            </w:pPr>
            <w:r>
              <w:rPr>
                <w:rFonts w:hint="eastAsia" w:cs="Times New Roman"/>
                <w:snapToGrid w:val="0"/>
                <w:color w:val="auto"/>
                <w:kern w:val="21"/>
                <w:sz w:val="21"/>
                <w:szCs w:val="21"/>
                <w:lang w:val="en-US" w:eastAsia="zh-CN"/>
              </w:rPr>
              <w:t>/</w:t>
            </w:r>
          </w:p>
        </w:tc>
        <w:tc>
          <w:tcPr>
            <w:tcW w:w="1680" w:type="dxa"/>
            <w:tcBorders>
              <w:tl2br w:val="nil"/>
              <w:tr2bl w:val="nil"/>
            </w:tcBorders>
            <w:noWrap w:val="0"/>
            <w:vAlign w:val="center"/>
          </w:tcPr>
          <w:p w14:paraId="4E0A3A72">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cs="Times New Roman"/>
                <w:snapToGrid w:val="0"/>
                <w:color w:val="auto"/>
                <w:kern w:val="0"/>
                <w:lang w:val="en-US" w:eastAsia="zh-CN"/>
              </w:rPr>
              <w:t>0.13t/a</w:t>
            </w:r>
          </w:p>
        </w:tc>
        <w:tc>
          <w:tcPr>
            <w:tcW w:w="1635" w:type="dxa"/>
            <w:tcBorders>
              <w:tl2br w:val="nil"/>
              <w:tr2bl w:val="nil"/>
            </w:tcBorders>
            <w:noWrap w:val="0"/>
            <w:vAlign w:val="center"/>
          </w:tcPr>
          <w:p w14:paraId="55E199F8">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p>
        </w:tc>
        <w:tc>
          <w:tcPr>
            <w:tcW w:w="1688" w:type="dxa"/>
            <w:tcBorders>
              <w:tl2br w:val="nil"/>
              <w:tr2bl w:val="nil"/>
            </w:tcBorders>
            <w:shd w:val="clear" w:color="auto" w:fill="auto"/>
            <w:noWrap w:val="0"/>
            <w:vAlign w:val="center"/>
          </w:tcPr>
          <w:p w14:paraId="56FE767F">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cs="Times New Roman"/>
                <w:snapToGrid w:val="0"/>
                <w:color w:val="auto"/>
                <w:kern w:val="0"/>
                <w:lang w:val="en-US" w:eastAsia="zh-CN"/>
              </w:rPr>
              <w:t>0.13t/a</w:t>
            </w:r>
          </w:p>
        </w:tc>
        <w:tc>
          <w:tcPr>
            <w:tcW w:w="826" w:type="dxa"/>
            <w:tcBorders>
              <w:tl2br w:val="nil"/>
              <w:tr2bl w:val="nil"/>
            </w:tcBorders>
            <w:noWrap w:val="0"/>
            <w:vAlign w:val="center"/>
          </w:tcPr>
          <w:p w14:paraId="4E50BCD0">
            <w:pPr>
              <w:pStyle w:val="72"/>
              <w:spacing w:beforeLines="0" w:afterLines="0" w:line="240" w:lineRule="auto"/>
              <w:ind w:firstLine="0"/>
              <w:rPr>
                <w:rFonts w:hint="eastAsia" w:ascii="Times New Roman" w:eastAsia="宋体" w:cs="Times New Roman"/>
                <w:snapToGrid w:val="0"/>
                <w:color w:val="auto"/>
                <w:kern w:val="21"/>
                <w:sz w:val="21"/>
                <w:szCs w:val="21"/>
                <w:lang w:val="en-US" w:eastAsia="zh-CN"/>
              </w:rPr>
            </w:pPr>
          </w:p>
        </w:tc>
      </w:tr>
      <w:tr w14:paraId="3C23F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restart"/>
            <w:tcBorders>
              <w:tl2br w:val="nil"/>
              <w:tr2bl w:val="nil"/>
            </w:tcBorders>
            <w:noWrap w:val="0"/>
            <w:vAlign w:val="center"/>
          </w:tcPr>
          <w:p w14:paraId="64AB273F">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危险废物</w:t>
            </w:r>
          </w:p>
        </w:tc>
        <w:tc>
          <w:tcPr>
            <w:tcW w:w="1245" w:type="dxa"/>
            <w:vMerge w:val="restart"/>
            <w:tcBorders>
              <w:tl2br w:val="nil"/>
              <w:tr2bl w:val="nil"/>
            </w:tcBorders>
            <w:noWrap w:val="0"/>
            <w:vAlign w:val="center"/>
          </w:tcPr>
          <w:p w14:paraId="20A8E82A">
            <w:pPr>
              <w:adjustRightInd w:val="0"/>
              <w:snapToGrid w:val="0"/>
              <w:jc w:val="center"/>
              <w:rPr>
                <w:rFonts w:hint="eastAsia"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一期</w:t>
            </w:r>
          </w:p>
        </w:tc>
        <w:tc>
          <w:tcPr>
            <w:tcW w:w="1453" w:type="dxa"/>
            <w:tcBorders>
              <w:tl2br w:val="nil"/>
              <w:tr2bl w:val="nil"/>
            </w:tcBorders>
            <w:noWrap w:val="0"/>
            <w:vAlign w:val="center"/>
          </w:tcPr>
          <w:p w14:paraId="0EA9F66C">
            <w:pPr>
              <w:adjustRightInd w:val="0"/>
              <w:snapToGrid w:val="0"/>
              <w:jc w:val="center"/>
              <w:rPr>
                <w:snapToGrid w:val="0"/>
                <w:color w:val="auto"/>
                <w:kern w:val="0"/>
                <w:szCs w:val="21"/>
                <w:highlight w:val="none"/>
              </w:rPr>
            </w:pPr>
            <w:r>
              <w:rPr>
                <w:snapToGrid w:val="0"/>
                <w:color w:val="auto"/>
                <w:kern w:val="0"/>
                <w:szCs w:val="21"/>
                <w:highlight w:val="none"/>
              </w:rPr>
              <w:t>废活性炭</w:t>
            </w:r>
          </w:p>
        </w:tc>
        <w:tc>
          <w:tcPr>
            <w:tcW w:w="1290" w:type="dxa"/>
            <w:tcBorders>
              <w:tl2br w:val="nil"/>
              <w:tr2bl w:val="nil"/>
            </w:tcBorders>
            <w:noWrap w:val="0"/>
            <w:vAlign w:val="center"/>
          </w:tcPr>
          <w:p w14:paraId="57A71FB6">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66DC04C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EF21A9F">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442C38DB">
            <w:pPr>
              <w:adjustRightInd w:val="0"/>
              <w:snapToGrid w:val="0"/>
              <w:jc w:val="center"/>
              <w:rPr>
                <w:rFonts w:hint="default" w:ascii="Times New Roman" w:hAnsi="Times New Roman" w:eastAsia="宋体" w:cs="Times New Roman"/>
                <w:snapToGrid w:val="0"/>
                <w:color w:val="auto"/>
                <w:kern w:val="21"/>
                <w:sz w:val="21"/>
                <w:szCs w:val="21"/>
              </w:rPr>
            </w:pPr>
            <w:r>
              <w:rPr>
                <w:rFonts w:hint="eastAsia" w:ascii="Times New Roman" w:hAnsi="Times New Roman" w:eastAsia="宋体" w:cs="Times New Roman"/>
                <w:snapToGrid w:val="0"/>
                <w:color w:val="auto"/>
                <w:kern w:val="0"/>
                <w:lang w:val="en-US" w:eastAsia="zh-CN"/>
              </w:rPr>
              <w:t>1.</w:t>
            </w:r>
            <w:r>
              <w:rPr>
                <w:rFonts w:hint="eastAsia" w:cs="Times New Roman"/>
                <w:snapToGrid w:val="0"/>
                <w:color w:val="auto"/>
                <w:kern w:val="0"/>
                <w:lang w:val="en-US" w:eastAsia="zh-CN"/>
              </w:rPr>
              <w:t>46</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25F3D46B">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36BF2486">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0"/>
                <w:lang w:val="en-US" w:eastAsia="zh-CN"/>
              </w:rPr>
              <w:t>1.</w:t>
            </w:r>
            <w:r>
              <w:rPr>
                <w:rFonts w:hint="eastAsia" w:cs="Times New Roman"/>
                <w:snapToGrid w:val="0"/>
                <w:color w:val="auto"/>
                <w:kern w:val="0"/>
                <w:lang w:val="en-US" w:eastAsia="zh-CN"/>
              </w:rPr>
              <w:t>46</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5EA1778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41131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76" w:type="dxa"/>
            <w:vMerge w:val="continue"/>
            <w:tcBorders>
              <w:tl2br w:val="nil"/>
              <w:tr2bl w:val="nil"/>
            </w:tcBorders>
            <w:noWrap w:val="0"/>
            <w:vAlign w:val="center"/>
          </w:tcPr>
          <w:p w14:paraId="36D6BC91">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52231A09">
            <w:pPr>
              <w:adjustRightInd w:val="0"/>
              <w:snapToGrid w:val="0"/>
              <w:jc w:val="center"/>
              <w:rPr>
                <w:rFonts w:hint="default" w:ascii="Times New Roman" w:hAnsi="Times New Roman" w:eastAsia="宋体" w:cs="Times New Roman"/>
                <w:snapToGrid w:val="0"/>
                <w:color w:val="auto"/>
                <w:kern w:val="0"/>
              </w:rPr>
            </w:pPr>
          </w:p>
        </w:tc>
        <w:tc>
          <w:tcPr>
            <w:tcW w:w="1453" w:type="dxa"/>
            <w:tcBorders>
              <w:tl2br w:val="nil"/>
              <w:tr2bl w:val="nil"/>
            </w:tcBorders>
            <w:noWrap w:val="0"/>
            <w:vAlign w:val="center"/>
          </w:tcPr>
          <w:p w14:paraId="5BC6739E">
            <w:pPr>
              <w:adjustRightInd w:val="0"/>
              <w:snapToGrid w:val="0"/>
              <w:jc w:val="center"/>
              <w:rPr>
                <w:bCs/>
                <w:snapToGrid w:val="0"/>
                <w:color w:val="auto"/>
                <w:kern w:val="0"/>
                <w:szCs w:val="21"/>
                <w:highlight w:val="none"/>
              </w:rPr>
            </w:pPr>
            <w:r>
              <w:rPr>
                <w:bCs/>
                <w:snapToGrid w:val="0"/>
                <w:color w:val="auto"/>
                <w:kern w:val="0"/>
                <w:szCs w:val="21"/>
                <w:highlight w:val="none"/>
              </w:rPr>
              <w:t>废润滑油</w:t>
            </w:r>
          </w:p>
        </w:tc>
        <w:tc>
          <w:tcPr>
            <w:tcW w:w="1290" w:type="dxa"/>
            <w:tcBorders>
              <w:tl2br w:val="nil"/>
              <w:tr2bl w:val="nil"/>
            </w:tcBorders>
            <w:noWrap w:val="0"/>
            <w:vAlign w:val="center"/>
          </w:tcPr>
          <w:p w14:paraId="3C0F5D29">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05193238">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1D96701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47B41948">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0.01</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3EA22BA3">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273620DF">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0.01</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52AAB7A8">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7D417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1985B982">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01F6C355">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1453" w:type="dxa"/>
            <w:tcBorders>
              <w:tl2br w:val="nil"/>
              <w:tr2bl w:val="nil"/>
            </w:tcBorders>
            <w:noWrap w:val="0"/>
            <w:vAlign w:val="center"/>
          </w:tcPr>
          <w:p w14:paraId="03B6B326">
            <w:pPr>
              <w:adjustRightInd w:val="0"/>
              <w:snapToGrid w:val="0"/>
              <w:jc w:val="center"/>
              <w:rPr>
                <w:bCs/>
                <w:snapToGrid w:val="0"/>
                <w:color w:val="auto"/>
                <w:kern w:val="0"/>
                <w:szCs w:val="21"/>
                <w:highlight w:val="none"/>
              </w:rPr>
            </w:pPr>
            <w:r>
              <w:rPr>
                <w:bCs/>
                <w:snapToGrid w:val="0"/>
                <w:color w:val="auto"/>
                <w:kern w:val="0"/>
                <w:szCs w:val="21"/>
                <w:highlight w:val="none"/>
              </w:rPr>
              <w:t>废润滑油桶</w:t>
            </w:r>
          </w:p>
        </w:tc>
        <w:tc>
          <w:tcPr>
            <w:tcW w:w="1290" w:type="dxa"/>
            <w:tcBorders>
              <w:tl2br w:val="nil"/>
              <w:tr2bl w:val="nil"/>
            </w:tcBorders>
            <w:noWrap w:val="0"/>
            <w:vAlign w:val="center"/>
          </w:tcPr>
          <w:p w14:paraId="72F42725">
            <w:pPr>
              <w:pStyle w:val="72"/>
              <w:spacing w:beforeLines="0" w:afterLines="0" w:line="240" w:lineRule="auto"/>
              <w:ind w:firstLine="0" w:firstLineChars="0"/>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1D29F2B3">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733BB2C6">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13353430">
            <w:pPr>
              <w:adjustRightInd w:val="0"/>
              <w:snapToGrid w:val="0"/>
              <w:jc w:val="center"/>
              <w:rPr>
                <w:rFonts w:hint="default" w:ascii="Times New Roman" w:hAnsi="Times New Roman" w:eastAsia="宋体" w:cs="Times New Roman"/>
                <w:snapToGrid w:val="0"/>
                <w:color w:val="auto"/>
                <w:kern w:val="21"/>
                <w:sz w:val="21"/>
                <w:szCs w:val="21"/>
                <w:lang w:val="en-US" w:eastAsia="zh-CN"/>
              </w:rPr>
            </w:pPr>
            <w:r>
              <w:rPr>
                <w:rFonts w:hint="eastAsia" w:ascii="Times New Roman" w:hAnsi="Times New Roman" w:eastAsia="宋体" w:cs="Times New Roman"/>
                <w:snapToGrid w:val="0"/>
                <w:color w:val="auto"/>
                <w:kern w:val="21"/>
                <w:sz w:val="21"/>
                <w:szCs w:val="21"/>
                <w:lang w:val="en-US" w:eastAsia="zh-CN"/>
              </w:rPr>
              <w:t>0.002</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533BB054">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382E493E">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0.002</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3E65EDA7">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77126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3B69DC6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restart"/>
            <w:tcBorders>
              <w:tl2br w:val="nil"/>
              <w:tr2bl w:val="nil"/>
            </w:tcBorders>
            <w:noWrap w:val="0"/>
            <w:vAlign w:val="center"/>
          </w:tcPr>
          <w:p w14:paraId="4A0A2E4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二期</w:t>
            </w:r>
          </w:p>
        </w:tc>
        <w:tc>
          <w:tcPr>
            <w:tcW w:w="1453" w:type="dxa"/>
            <w:tcBorders>
              <w:tl2br w:val="nil"/>
              <w:tr2bl w:val="nil"/>
            </w:tcBorders>
            <w:shd w:val="clear" w:color="auto" w:fill="auto"/>
            <w:noWrap w:val="0"/>
            <w:vAlign w:val="center"/>
          </w:tcPr>
          <w:p w14:paraId="39D92566">
            <w:pPr>
              <w:adjustRightInd w:val="0"/>
              <w:snapToGrid w:val="0"/>
              <w:jc w:val="center"/>
              <w:rPr>
                <w:snapToGrid w:val="0"/>
                <w:color w:val="auto"/>
                <w:kern w:val="0"/>
                <w:sz w:val="21"/>
                <w:szCs w:val="21"/>
                <w:highlight w:val="none"/>
                <w:lang w:val="en-US" w:eastAsia="zh-CN" w:bidi="ar-SA"/>
              </w:rPr>
            </w:pPr>
            <w:r>
              <w:rPr>
                <w:snapToGrid w:val="0"/>
                <w:color w:val="auto"/>
                <w:kern w:val="0"/>
                <w:szCs w:val="21"/>
                <w:highlight w:val="none"/>
              </w:rPr>
              <w:t>废活性炭</w:t>
            </w:r>
          </w:p>
        </w:tc>
        <w:tc>
          <w:tcPr>
            <w:tcW w:w="1290" w:type="dxa"/>
            <w:tcBorders>
              <w:tl2br w:val="nil"/>
              <w:tr2bl w:val="nil"/>
            </w:tcBorders>
            <w:noWrap w:val="0"/>
            <w:vAlign w:val="center"/>
          </w:tcPr>
          <w:p w14:paraId="5C8A8FD4">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72BA5971">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2BB97962">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0034812A">
            <w:pPr>
              <w:adjustRightInd w:val="0"/>
              <w:snapToGrid w:val="0"/>
              <w:jc w:val="center"/>
              <w:rPr>
                <w:rFonts w:hint="eastAsia"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0"/>
                <w:lang w:val="en-US" w:eastAsia="zh-CN"/>
              </w:rPr>
              <w:t>2.</w:t>
            </w:r>
            <w:r>
              <w:rPr>
                <w:rFonts w:hint="eastAsia" w:cs="Times New Roman"/>
                <w:snapToGrid w:val="0"/>
                <w:color w:val="auto"/>
                <w:kern w:val="0"/>
                <w:lang w:val="en-US" w:eastAsia="zh-CN"/>
              </w:rPr>
              <w:t>86</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0FF02BCD">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54914526">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lang w:val="en-US" w:eastAsia="zh-CN"/>
              </w:rPr>
              <w:t>2.</w:t>
            </w:r>
            <w:r>
              <w:rPr>
                <w:rFonts w:hint="eastAsia" w:cs="Times New Roman"/>
                <w:snapToGrid w:val="0"/>
                <w:color w:val="auto"/>
                <w:kern w:val="0"/>
                <w:lang w:val="en-US" w:eastAsia="zh-CN"/>
              </w:rPr>
              <w:t>86</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482539EE">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6B2BB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6256AC6E">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7F01E1D3">
            <w:pPr>
              <w:adjustRightInd w:val="0"/>
              <w:snapToGrid w:val="0"/>
              <w:jc w:val="center"/>
              <w:rPr>
                <w:rFonts w:hint="eastAsia" w:ascii="Times New Roman" w:hAnsi="Times New Roman" w:eastAsia="宋体" w:cs="Times New Roman"/>
                <w:color w:val="auto"/>
                <w:kern w:val="2"/>
                <w:sz w:val="21"/>
                <w:szCs w:val="21"/>
                <w:lang w:val="en-US" w:eastAsia="zh-CN" w:bidi="ar-SA"/>
              </w:rPr>
            </w:pPr>
          </w:p>
        </w:tc>
        <w:tc>
          <w:tcPr>
            <w:tcW w:w="1453" w:type="dxa"/>
            <w:tcBorders>
              <w:tl2br w:val="nil"/>
              <w:tr2bl w:val="nil"/>
            </w:tcBorders>
            <w:shd w:val="clear" w:color="auto" w:fill="auto"/>
            <w:noWrap w:val="0"/>
            <w:vAlign w:val="center"/>
          </w:tcPr>
          <w:p w14:paraId="634FDF95">
            <w:pPr>
              <w:adjustRightInd w:val="0"/>
              <w:snapToGrid w:val="0"/>
              <w:jc w:val="center"/>
              <w:rPr>
                <w:bCs/>
                <w:snapToGrid w:val="0"/>
                <w:color w:val="auto"/>
                <w:kern w:val="0"/>
                <w:sz w:val="21"/>
                <w:szCs w:val="21"/>
                <w:highlight w:val="none"/>
                <w:lang w:val="en-US" w:eastAsia="zh-CN" w:bidi="ar-SA"/>
              </w:rPr>
            </w:pPr>
            <w:r>
              <w:rPr>
                <w:bCs/>
                <w:snapToGrid w:val="0"/>
                <w:color w:val="auto"/>
                <w:kern w:val="0"/>
                <w:szCs w:val="21"/>
                <w:highlight w:val="none"/>
              </w:rPr>
              <w:t>废润滑油</w:t>
            </w:r>
          </w:p>
        </w:tc>
        <w:tc>
          <w:tcPr>
            <w:tcW w:w="1290" w:type="dxa"/>
            <w:tcBorders>
              <w:tl2br w:val="nil"/>
              <w:tr2bl w:val="nil"/>
            </w:tcBorders>
            <w:noWrap w:val="0"/>
            <w:vAlign w:val="center"/>
          </w:tcPr>
          <w:p w14:paraId="60CFB0F1">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297F91BB">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540B1644">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255BAA06">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0"/>
                <w:lang w:val="en-US" w:eastAsia="zh-CN"/>
              </w:rPr>
              <w:t>0.0</w:t>
            </w:r>
            <w:r>
              <w:rPr>
                <w:rFonts w:hint="eastAsia" w:cs="Times New Roman"/>
                <w:snapToGrid w:val="0"/>
                <w:color w:val="auto"/>
                <w:kern w:val="0"/>
                <w:lang w:val="en-US" w:eastAsia="zh-CN"/>
              </w:rPr>
              <w:t>2</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4C9CFD0E">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61A8890A">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lang w:val="en-US" w:eastAsia="zh-CN"/>
              </w:rPr>
              <w:t>0.0</w:t>
            </w:r>
            <w:r>
              <w:rPr>
                <w:rFonts w:hint="eastAsia" w:cs="Times New Roman"/>
                <w:snapToGrid w:val="0"/>
                <w:color w:val="auto"/>
                <w:kern w:val="0"/>
                <w:lang w:val="en-US" w:eastAsia="zh-CN"/>
              </w:rPr>
              <w:t>2</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134D05AC">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2C053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5CADBFB3">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508B9B8E">
            <w:pPr>
              <w:adjustRightInd w:val="0"/>
              <w:snapToGrid w:val="0"/>
              <w:jc w:val="center"/>
              <w:rPr>
                <w:rFonts w:hint="eastAsia" w:ascii="Times New Roman" w:hAnsi="Times New Roman" w:eastAsia="宋体" w:cs="Times New Roman"/>
                <w:color w:val="auto"/>
                <w:kern w:val="2"/>
                <w:sz w:val="21"/>
                <w:szCs w:val="21"/>
                <w:lang w:val="en-US" w:eastAsia="zh-CN" w:bidi="ar-SA"/>
              </w:rPr>
            </w:pPr>
          </w:p>
        </w:tc>
        <w:tc>
          <w:tcPr>
            <w:tcW w:w="1453" w:type="dxa"/>
            <w:tcBorders>
              <w:tl2br w:val="nil"/>
              <w:tr2bl w:val="nil"/>
            </w:tcBorders>
            <w:shd w:val="clear" w:color="auto" w:fill="auto"/>
            <w:noWrap w:val="0"/>
            <w:vAlign w:val="center"/>
          </w:tcPr>
          <w:p w14:paraId="75F38F0E">
            <w:pPr>
              <w:adjustRightInd w:val="0"/>
              <w:snapToGrid w:val="0"/>
              <w:jc w:val="center"/>
              <w:rPr>
                <w:bCs/>
                <w:snapToGrid w:val="0"/>
                <w:color w:val="auto"/>
                <w:kern w:val="0"/>
                <w:sz w:val="21"/>
                <w:szCs w:val="21"/>
                <w:highlight w:val="none"/>
                <w:lang w:val="en-US" w:eastAsia="zh-CN" w:bidi="ar-SA"/>
              </w:rPr>
            </w:pPr>
            <w:r>
              <w:rPr>
                <w:bCs/>
                <w:snapToGrid w:val="0"/>
                <w:color w:val="auto"/>
                <w:kern w:val="0"/>
                <w:szCs w:val="21"/>
                <w:highlight w:val="none"/>
              </w:rPr>
              <w:t>废润滑油桶</w:t>
            </w:r>
          </w:p>
        </w:tc>
        <w:tc>
          <w:tcPr>
            <w:tcW w:w="1290" w:type="dxa"/>
            <w:tcBorders>
              <w:tl2br w:val="nil"/>
              <w:tr2bl w:val="nil"/>
            </w:tcBorders>
            <w:noWrap w:val="0"/>
            <w:vAlign w:val="center"/>
          </w:tcPr>
          <w:p w14:paraId="7D00B210">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0EFD7326">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614DC303">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1F2CB44E">
            <w:pPr>
              <w:adjustRightInd w:val="0"/>
              <w:snapToGrid w:val="0"/>
              <w:jc w:val="center"/>
              <w:rPr>
                <w:rFonts w:hint="eastAsia"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21"/>
                <w:sz w:val="21"/>
                <w:szCs w:val="21"/>
                <w:lang w:val="en-US" w:eastAsia="zh-CN"/>
              </w:rPr>
              <w:t>0.002</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3F6C67B1">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456A3241">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0.002</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2299B2F4">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761C8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030E9E49">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restart"/>
            <w:tcBorders>
              <w:tl2br w:val="nil"/>
              <w:tr2bl w:val="nil"/>
            </w:tcBorders>
            <w:noWrap w:val="0"/>
            <w:vAlign w:val="center"/>
          </w:tcPr>
          <w:p w14:paraId="2F28216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二期建成后全厂</w:t>
            </w:r>
          </w:p>
        </w:tc>
        <w:tc>
          <w:tcPr>
            <w:tcW w:w="1453" w:type="dxa"/>
            <w:tcBorders>
              <w:tl2br w:val="nil"/>
              <w:tr2bl w:val="nil"/>
            </w:tcBorders>
            <w:shd w:val="clear" w:color="auto" w:fill="auto"/>
            <w:noWrap w:val="0"/>
            <w:vAlign w:val="center"/>
          </w:tcPr>
          <w:p w14:paraId="08DB8DBB">
            <w:pPr>
              <w:adjustRightInd w:val="0"/>
              <w:snapToGrid w:val="0"/>
              <w:jc w:val="center"/>
              <w:rPr>
                <w:snapToGrid w:val="0"/>
                <w:color w:val="auto"/>
                <w:kern w:val="0"/>
                <w:sz w:val="21"/>
                <w:szCs w:val="21"/>
                <w:highlight w:val="none"/>
                <w:lang w:val="en-US" w:eastAsia="zh-CN" w:bidi="ar-SA"/>
              </w:rPr>
            </w:pPr>
            <w:r>
              <w:rPr>
                <w:snapToGrid w:val="0"/>
                <w:color w:val="auto"/>
                <w:kern w:val="0"/>
                <w:szCs w:val="21"/>
                <w:highlight w:val="none"/>
              </w:rPr>
              <w:t>废活性炭</w:t>
            </w:r>
          </w:p>
        </w:tc>
        <w:tc>
          <w:tcPr>
            <w:tcW w:w="1290" w:type="dxa"/>
            <w:tcBorders>
              <w:tl2br w:val="nil"/>
              <w:tr2bl w:val="nil"/>
            </w:tcBorders>
            <w:noWrap w:val="0"/>
            <w:vAlign w:val="center"/>
          </w:tcPr>
          <w:p w14:paraId="14697D4A">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054623EC">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0384414D">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791FADD1">
            <w:pPr>
              <w:adjustRightInd w:val="0"/>
              <w:snapToGrid w:val="0"/>
              <w:jc w:val="center"/>
              <w:rPr>
                <w:rFonts w:hint="eastAsia" w:ascii="Times New Roman" w:hAnsi="Times New Roman" w:eastAsia="宋体" w:cs="Times New Roman"/>
                <w:snapToGrid w:val="0"/>
                <w:color w:val="auto"/>
                <w:kern w:val="0"/>
                <w:lang w:val="en-US" w:eastAsia="zh-CN"/>
              </w:rPr>
            </w:pPr>
            <w:r>
              <w:rPr>
                <w:rFonts w:hint="eastAsia" w:cs="Times New Roman"/>
                <w:snapToGrid w:val="0"/>
                <w:color w:val="auto"/>
                <w:kern w:val="0"/>
                <w:lang w:val="en-US" w:eastAsia="zh-CN"/>
              </w:rPr>
              <w:t>4</w:t>
            </w:r>
            <w:r>
              <w:rPr>
                <w:rFonts w:hint="eastAsia" w:ascii="Times New Roman" w:hAnsi="Times New Roman" w:eastAsia="宋体" w:cs="Times New Roman"/>
                <w:snapToGrid w:val="0"/>
                <w:color w:val="auto"/>
                <w:kern w:val="0"/>
                <w:lang w:val="en-US" w:eastAsia="zh-CN"/>
              </w:rPr>
              <w:t>.</w:t>
            </w:r>
            <w:r>
              <w:rPr>
                <w:rFonts w:hint="eastAsia" w:cs="Times New Roman"/>
                <w:snapToGrid w:val="0"/>
                <w:color w:val="auto"/>
                <w:kern w:val="0"/>
                <w:lang w:val="en-US" w:eastAsia="zh-CN"/>
              </w:rPr>
              <w:t>32</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72EDAEA3">
            <w:pPr>
              <w:spacing w:beforeLines="0" w:afterLines="0" w:line="240" w:lineRule="auto"/>
              <w:ind w:firstLine="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23288CB7">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lang w:val="en-US" w:eastAsia="zh-CN"/>
              </w:rPr>
              <w:t>4</w:t>
            </w:r>
            <w:r>
              <w:rPr>
                <w:rFonts w:hint="eastAsia" w:ascii="Times New Roman" w:hAnsi="Times New Roman" w:eastAsia="宋体" w:cs="Times New Roman"/>
                <w:snapToGrid w:val="0"/>
                <w:color w:val="auto"/>
                <w:kern w:val="0"/>
                <w:lang w:val="en-US" w:eastAsia="zh-CN"/>
              </w:rPr>
              <w:t>.</w:t>
            </w:r>
            <w:r>
              <w:rPr>
                <w:rFonts w:hint="eastAsia" w:cs="Times New Roman"/>
                <w:snapToGrid w:val="0"/>
                <w:color w:val="auto"/>
                <w:kern w:val="0"/>
                <w:lang w:val="en-US" w:eastAsia="zh-CN"/>
              </w:rPr>
              <w:t>32</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009F619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25453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09A9E6EC">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169BC463">
            <w:pPr>
              <w:adjustRightInd w:val="0"/>
              <w:snapToGrid w:val="0"/>
              <w:jc w:val="center"/>
              <w:rPr>
                <w:rFonts w:hint="eastAsia" w:ascii="Times New Roman" w:hAnsi="Times New Roman" w:eastAsia="宋体" w:cs="Times New Roman"/>
                <w:color w:val="auto"/>
                <w:kern w:val="2"/>
                <w:sz w:val="21"/>
                <w:szCs w:val="21"/>
                <w:lang w:val="en-US" w:eastAsia="zh-CN" w:bidi="ar-SA"/>
              </w:rPr>
            </w:pPr>
          </w:p>
        </w:tc>
        <w:tc>
          <w:tcPr>
            <w:tcW w:w="1453" w:type="dxa"/>
            <w:tcBorders>
              <w:tl2br w:val="nil"/>
              <w:tr2bl w:val="nil"/>
            </w:tcBorders>
            <w:shd w:val="clear" w:color="auto" w:fill="auto"/>
            <w:noWrap w:val="0"/>
            <w:vAlign w:val="center"/>
          </w:tcPr>
          <w:p w14:paraId="09BAA795">
            <w:pPr>
              <w:adjustRightInd w:val="0"/>
              <w:snapToGrid w:val="0"/>
              <w:jc w:val="center"/>
              <w:rPr>
                <w:bCs/>
                <w:snapToGrid w:val="0"/>
                <w:color w:val="auto"/>
                <w:kern w:val="0"/>
                <w:sz w:val="21"/>
                <w:szCs w:val="21"/>
                <w:highlight w:val="none"/>
                <w:lang w:val="en-US" w:eastAsia="zh-CN" w:bidi="ar-SA"/>
              </w:rPr>
            </w:pPr>
            <w:r>
              <w:rPr>
                <w:bCs/>
                <w:snapToGrid w:val="0"/>
                <w:color w:val="auto"/>
                <w:kern w:val="0"/>
                <w:szCs w:val="21"/>
                <w:highlight w:val="none"/>
              </w:rPr>
              <w:t>废润滑油</w:t>
            </w:r>
          </w:p>
        </w:tc>
        <w:tc>
          <w:tcPr>
            <w:tcW w:w="1290" w:type="dxa"/>
            <w:tcBorders>
              <w:tl2br w:val="nil"/>
              <w:tr2bl w:val="nil"/>
            </w:tcBorders>
            <w:noWrap w:val="0"/>
            <w:vAlign w:val="center"/>
          </w:tcPr>
          <w:p w14:paraId="2476AADD">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40243FF7">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0AD9B6A7">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36C10693">
            <w:pPr>
              <w:adjustRightInd w:val="0"/>
              <w:snapToGrid w:val="0"/>
              <w:jc w:val="center"/>
              <w:rPr>
                <w:rFonts w:hint="default"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0"/>
                <w:lang w:val="en-US" w:eastAsia="zh-CN"/>
              </w:rPr>
              <w:t>0.0</w:t>
            </w:r>
            <w:r>
              <w:rPr>
                <w:rFonts w:hint="eastAsia" w:cs="Times New Roman"/>
                <w:snapToGrid w:val="0"/>
                <w:color w:val="auto"/>
                <w:kern w:val="0"/>
                <w:lang w:val="en-US" w:eastAsia="zh-CN"/>
              </w:rPr>
              <w:t>3</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7B72FDEA">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334612E1">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lang w:val="en-US" w:eastAsia="zh-CN"/>
              </w:rPr>
              <w:t>0.0</w:t>
            </w:r>
            <w:r>
              <w:rPr>
                <w:rFonts w:hint="eastAsia" w:cs="Times New Roman"/>
                <w:snapToGrid w:val="0"/>
                <w:color w:val="auto"/>
                <w:kern w:val="0"/>
                <w:lang w:val="en-US" w:eastAsia="zh-CN"/>
              </w:rPr>
              <w:t>3</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5148C9CF">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r w14:paraId="62889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tcBorders>
              <w:tl2br w:val="nil"/>
              <w:tr2bl w:val="nil"/>
            </w:tcBorders>
            <w:noWrap w:val="0"/>
            <w:vAlign w:val="center"/>
          </w:tcPr>
          <w:p w14:paraId="74511C16">
            <w:pPr>
              <w:pStyle w:val="72"/>
              <w:spacing w:beforeLines="0" w:afterLines="0" w:line="240" w:lineRule="auto"/>
              <w:ind w:firstLine="0"/>
              <w:rPr>
                <w:rFonts w:hint="default" w:ascii="Times New Roman" w:hAnsi="Times New Roman" w:eastAsia="宋体" w:cs="Times New Roman"/>
                <w:snapToGrid w:val="0"/>
                <w:color w:val="auto"/>
                <w:kern w:val="21"/>
                <w:sz w:val="21"/>
                <w:szCs w:val="21"/>
              </w:rPr>
            </w:pPr>
          </w:p>
        </w:tc>
        <w:tc>
          <w:tcPr>
            <w:tcW w:w="1245" w:type="dxa"/>
            <w:vMerge w:val="continue"/>
            <w:tcBorders>
              <w:tl2br w:val="nil"/>
              <w:tr2bl w:val="nil"/>
            </w:tcBorders>
            <w:noWrap w:val="0"/>
            <w:vAlign w:val="center"/>
          </w:tcPr>
          <w:p w14:paraId="2BF34816">
            <w:pPr>
              <w:adjustRightInd w:val="0"/>
              <w:snapToGrid w:val="0"/>
              <w:jc w:val="center"/>
              <w:rPr>
                <w:rFonts w:hint="eastAsia" w:ascii="Times New Roman" w:hAnsi="Times New Roman" w:eastAsia="宋体" w:cs="Times New Roman"/>
                <w:color w:val="auto"/>
                <w:kern w:val="2"/>
                <w:sz w:val="21"/>
                <w:szCs w:val="21"/>
                <w:lang w:val="en-US" w:eastAsia="zh-CN" w:bidi="ar-SA"/>
              </w:rPr>
            </w:pPr>
          </w:p>
        </w:tc>
        <w:tc>
          <w:tcPr>
            <w:tcW w:w="1453" w:type="dxa"/>
            <w:tcBorders>
              <w:tl2br w:val="nil"/>
              <w:tr2bl w:val="nil"/>
            </w:tcBorders>
            <w:shd w:val="clear" w:color="auto" w:fill="auto"/>
            <w:noWrap w:val="0"/>
            <w:vAlign w:val="center"/>
          </w:tcPr>
          <w:p w14:paraId="6588EDBE">
            <w:pPr>
              <w:adjustRightInd w:val="0"/>
              <w:snapToGrid w:val="0"/>
              <w:jc w:val="center"/>
              <w:rPr>
                <w:bCs/>
                <w:snapToGrid w:val="0"/>
                <w:color w:val="auto"/>
                <w:kern w:val="0"/>
                <w:sz w:val="21"/>
                <w:szCs w:val="21"/>
                <w:highlight w:val="none"/>
                <w:lang w:val="en-US" w:eastAsia="zh-CN" w:bidi="ar-SA"/>
              </w:rPr>
            </w:pPr>
            <w:r>
              <w:rPr>
                <w:bCs/>
                <w:snapToGrid w:val="0"/>
                <w:color w:val="auto"/>
                <w:kern w:val="0"/>
                <w:szCs w:val="21"/>
                <w:highlight w:val="none"/>
              </w:rPr>
              <w:t>废润滑油桶</w:t>
            </w:r>
          </w:p>
        </w:tc>
        <w:tc>
          <w:tcPr>
            <w:tcW w:w="1290" w:type="dxa"/>
            <w:tcBorders>
              <w:tl2br w:val="nil"/>
              <w:tr2bl w:val="nil"/>
            </w:tcBorders>
            <w:noWrap w:val="0"/>
            <w:vAlign w:val="center"/>
          </w:tcPr>
          <w:p w14:paraId="6FE956B5">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245" w:type="dxa"/>
            <w:tcBorders>
              <w:tl2br w:val="nil"/>
              <w:tr2bl w:val="nil"/>
            </w:tcBorders>
            <w:noWrap w:val="0"/>
            <w:vAlign w:val="center"/>
          </w:tcPr>
          <w:p w14:paraId="72E37A09">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50" w:type="dxa"/>
            <w:tcBorders>
              <w:tl2br w:val="nil"/>
              <w:tr2bl w:val="nil"/>
            </w:tcBorders>
            <w:noWrap w:val="0"/>
            <w:vAlign w:val="center"/>
          </w:tcPr>
          <w:p w14:paraId="3C3F0A18">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0" w:type="dxa"/>
            <w:tcBorders>
              <w:tl2br w:val="nil"/>
              <w:tr2bl w:val="nil"/>
            </w:tcBorders>
            <w:noWrap w:val="0"/>
            <w:vAlign w:val="center"/>
          </w:tcPr>
          <w:p w14:paraId="5B50110B">
            <w:pPr>
              <w:adjustRightInd w:val="0"/>
              <w:snapToGrid w:val="0"/>
              <w:jc w:val="center"/>
              <w:rPr>
                <w:rFonts w:hint="eastAsia" w:ascii="Times New Roman" w:hAnsi="Times New Roman" w:eastAsia="宋体" w:cs="Times New Roman"/>
                <w:snapToGrid w:val="0"/>
                <w:color w:val="auto"/>
                <w:kern w:val="0"/>
                <w:lang w:val="en-US" w:eastAsia="zh-CN"/>
              </w:rPr>
            </w:pPr>
            <w:r>
              <w:rPr>
                <w:rFonts w:hint="eastAsia" w:ascii="Times New Roman" w:hAnsi="Times New Roman" w:eastAsia="宋体" w:cs="Times New Roman"/>
                <w:snapToGrid w:val="0"/>
                <w:color w:val="auto"/>
                <w:kern w:val="21"/>
                <w:sz w:val="21"/>
                <w:szCs w:val="21"/>
                <w:lang w:val="en-US" w:eastAsia="zh-CN"/>
              </w:rPr>
              <w:t>0.00</w:t>
            </w:r>
            <w:r>
              <w:rPr>
                <w:rFonts w:hint="eastAsia" w:cs="Times New Roman"/>
                <w:snapToGrid w:val="0"/>
                <w:color w:val="auto"/>
                <w:kern w:val="21"/>
                <w:sz w:val="21"/>
                <w:szCs w:val="21"/>
                <w:lang w:val="en-US" w:eastAsia="zh-CN"/>
              </w:rPr>
              <w:t>4</w:t>
            </w:r>
            <w:r>
              <w:rPr>
                <w:rFonts w:hint="default" w:ascii="Times New Roman" w:hAnsi="Times New Roman" w:eastAsia="宋体" w:cs="Times New Roman"/>
                <w:snapToGrid w:val="0"/>
                <w:color w:val="auto"/>
                <w:kern w:val="0"/>
              </w:rPr>
              <w:t>t/a</w:t>
            </w:r>
          </w:p>
        </w:tc>
        <w:tc>
          <w:tcPr>
            <w:tcW w:w="1635" w:type="dxa"/>
            <w:tcBorders>
              <w:tl2br w:val="nil"/>
              <w:tr2bl w:val="nil"/>
            </w:tcBorders>
            <w:noWrap w:val="0"/>
            <w:vAlign w:val="center"/>
          </w:tcPr>
          <w:p w14:paraId="24831BB1">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688" w:type="dxa"/>
            <w:tcBorders>
              <w:tl2br w:val="nil"/>
              <w:tr2bl w:val="nil"/>
            </w:tcBorders>
            <w:shd w:val="clear" w:color="auto" w:fill="auto"/>
            <w:noWrap w:val="0"/>
            <w:vAlign w:val="center"/>
          </w:tcPr>
          <w:p w14:paraId="4DB3CAC3">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21"/>
                <w:sz w:val="21"/>
                <w:szCs w:val="21"/>
                <w:lang w:val="en-US" w:eastAsia="zh-CN"/>
              </w:rPr>
              <w:t>0.00</w:t>
            </w:r>
            <w:r>
              <w:rPr>
                <w:rFonts w:hint="eastAsia" w:cs="Times New Roman"/>
                <w:snapToGrid w:val="0"/>
                <w:color w:val="auto"/>
                <w:kern w:val="21"/>
                <w:sz w:val="21"/>
                <w:szCs w:val="21"/>
                <w:lang w:val="en-US" w:eastAsia="zh-CN"/>
              </w:rPr>
              <w:t>4</w:t>
            </w:r>
            <w:r>
              <w:rPr>
                <w:rFonts w:hint="default" w:ascii="Times New Roman" w:hAnsi="Times New Roman" w:eastAsia="宋体" w:cs="Times New Roman"/>
                <w:snapToGrid w:val="0"/>
                <w:color w:val="auto"/>
                <w:kern w:val="0"/>
              </w:rPr>
              <w:t>t/a</w:t>
            </w:r>
          </w:p>
        </w:tc>
        <w:tc>
          <w:tcPr>
            <w:tcW w:w="826" w:type="dxa"/>
            <w:tcBorders>
              <w:tl2br w:val="nil"/>
              <w:tr2bl w:val="nil"/>
            </w:tcBorders>
            <w:noWrap w:val="0"/>
            <w:vAlign w:val="center"/>
          </w:tcPr>
          <w:p w14:paraId="2818676A">
            <w:pPr>
              <w:spacing w:beforeLines="0" w:afterLines="0" w:line="240" w:lineRule="auto"/>
              <w:ind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r>
    </w:tbl>
    <w:p w14:paraId="5CAF898F">
      <w:pPr>
        <w:pStyle w:val="7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567"/>
        <w:jc w:val="left"/>
        <w:textAlignment w:val="auto"/>
        <w:rPr>
          <w:rFonts w:hint="default" w:ascii="Times New Roman" w:hAnsi="Times New Roman" w:eastAsia="宋体" w:cs="Times New Roman"/>
          <w:color w:val="auto"/>
        </w:rPr>
      </w:pPr>
      <w:r>
        <w:rPr>
          <w:rFonts w:hint="default" w:ascii="Times New Roman" w:hAnsi="Times New Roman" w:eastAsia="宋体" w:cs="Times New Roman"/>
          <w:snapToGrid w:val="0"/>
          <w:color w:val="auto"/>
          <w:kern w:val="21"/>
          <w:sz w:val="21"/>
          <w:szCs w:val="21"/>
        </w:rPr>
        <w:t>注：</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6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sz w:val="21"/>
          <w:szCs w:val="21"/>
        </w:rPr>
        <w:t>⑥</w:t>
      </w:r>
      <w:r>
        <w:rPr>
          <w:rFonts w:hint="default" w:ascii="Times New Roman" w:hAnsi="Times New Roman" w:eastAsia="宋体" w:cs="Times New Roman"/>
          <w:snapToGrid w:val="0"/>
          <w:color w:val="auto"/>
          <w:spacing w:val="-16"/>
          <w:kern w:val="21"/>
          <w:sz w:val="21"/>
          <w:szCs w:val="21"/>
        </w:rPr>
        <w:fldChar w:fldCharType="end"/>
      </w:r>
      <w:r>
        <w:rPr>
          <w:rFonts w:hint="default" w:ascii="Times New Roman" w:hAnsi="Times New Roman" w:eastAsia="宋体" w:cs="Times New Roman"/>
          <w:snapToGrid w:val="0"/>
          <w:color w:val="auto"/>
          <w:spacing w:val="-1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1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①</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3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③</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4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④</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5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sz w:val="21"/>
          <w:szCs w:val="21"/>
        </w:rPr>
        <w:t>⑤</w:t>
      </w:r>
      <w:r>
        <w:rPr>
          <w:rFonts w:hint="default" w:ascii="Times New Roman" w:hAnsi="Times New Roman" w:eastAsia="宋体" w:cs="Times New Roman"/>
          <w:snapToGrid w:val="0"/>
          <w:color w:val="auto"/>
          <w:spacing w:val="-16"/>
          <w:kern w:val="21"/>
          <w:sz w:val="21"/>
          <w:szCs w:val="21"/>
        </w:rPr>
        <w:fldChar w:fldCharType="end"/>
      </w:r>
      <w:r>
        <w:rPr>
          <w:rFonts w:hint="default" w:ascii="Times New Roman" w:hAnsi="Times New Roman" w:eastAsia="宋体" w:cs="Times New Roman"/>
          <w:snapToGrid w:val="0"/>
          <w:color w:val="auto"/>
          <w:spacing w:val="-1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7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⑦</w:t>
      </w:r>
      <w:r>
        <w:rPr>
          <w:rFonts w:hint="default" w:ascii="Times New Roman" w:hAnsi="Times New Roman" w:eastAsia="宋体" w:cs="Times New Roman"/>
          <w:snapToGrid w:val="0"/>
          <w:color w:val="auto"/>
          <w:spacing w:val="-6"/>
          <w:kern w:val="21"/>
          <w:sz w:val="21"/>
          <w:szCs w:val="21"/>
        </w:rPr>
        <w:fldChar w:fldCharType="end"/>
      </w:r>
      <w:r>
        <w:rPr>
          <w:rFonts w:hint="default" w:ascii="Times New Roman" w:hAnsi="Times New Roman" w:eastAsia="宋体" w:cs="Times New Roman"/>
          <w:snapToGrid w:val="0"/>
          <w:color w:val="auto"/>
          <w:spacing w:val="-6"/>
          <w:kern w:val="21"/>
          <w:sz w:val="21"/>
          <w:szCs w:val="21"/>
        </w:rPr>
        <w:t>=</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6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sz w:val="21"/>
          <w:szCs w:val="21"/>
        </w:rPr>
        <w:t>⑥</w:t>
      </w:r>
      <w:r>
        <w:rPr>
          <w:rFonts w:hint="default" w:ascii="Times New Roman" w:hAnsi="Times New Roman" w:eastAsia="宋体" w:cs="Times New Roman"/>
          <w:snapToGrid w:val="0"/>
          <w:color w:val="auto"/>
          <w:spacing w:val="-16"/>
          <w:kern w:val="21"/>
          <w:sz w:val="21"/>
          <w:szCs w:val="21"/>
        </w:rPr>
        <w:fldChar w:fldCharType="end"/>
      </w:r>
      <w:r>
        <w:rPr>
          <w:rFonts w:hint="default" w:ascii="Times New Roman" w:hAnsi="Times New Roman" w:eastAsia="宋体" w:cs="Times New Roman"/>
          <w:snapToGrid w:val="0"/>
          <w:color w:val="auto"/>
          <w:spacing w:val="-16"/>
          <w:kern w:val="21"/>
          <w:sz w:val="21"/>
          <w:szCs w:val="21"/>
        </w:rPr>
        <w:t>-</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1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sz w:val="21"/>
          <w:szCs w:val="21"/>
        </w:rPr>
        <w:t>①</w:t>
      </w:r>
      <w:r>
        <w:rPr>
          <w:rFonts w:hint="default" w:ascii="Times New Roman" w:hAnsi="Times New Roman" w:eastAsia="宋体" w:cs="Times New Roman"/>
          <w:snapToGrid w:val="0"/>
          <w:color w:val="auto"/>
          <w:spacing w:val="-6"/>
          <w:kern w:val="21"/>
          <w:sz w:val="21"/>
          <w:szCs w:val="21"/>
        </w:rPr>
        <w:fldChar w:fldCharType="end"/>
      </w:r>
    </w:p>
    <w:sectPr>
      <w:footerReference r:id="rId6" w:type="default"/>
      <w:pgSz w:w="16838" w:h="11906" w:orient="landscape"/>
      <w:pgMar w:top="1531" w:right="1701" w:bottom="1531" w:left="1701" w:header="851" w:footer="851" w:gutter="0"/>
      <w:pgBorders w:offsetFrom="page">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18030">
    <w:altName w:val="方正书宋_GBK"/>
    <w:panose1 w:val="00000000000000000000"/>
    <w:charset w:val="00"/>
    <w:family w:val="auto"/>
    <w:pitch w:val="default"/>
    <w:sig w:usb0="00000000" w:usb1="00000000" w:usb2="00000000" w:usb3="00000000" w:csb0="00040001" w:csb1="00000000"/>
  </w:font>
  <w:font w:name="MingLiU">
    <w:altName w:val="方正书宋_GBK"/>
    <w:panose1 w:val="02020509000000000000"/>
    <w:charset w:val="88"/>
    <w:family w:val="modern"/>
    <w:pitch w:val="default"/>
    <w:sig w:usb0="00000000" w:usb1="00000000" w:usb2="00000016" w:usb3="00000000" w:csb0="00100001" w:csb1="00000000"/>
  </w:font>
  <w:font w:name="·...">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86"/>
    <w:family w:val="roman"/>
    <w:pitch w:val="default"/>
    <w:sig w:usb0="00000000" w:usb1="00000000" w:usb2="0000007F" w:usb3="00000000" w:csb0="203F01FF" w:csb1="DFFF0000"/>
  </w:font>
  <w:font w:name="Arial">
    <w:panose1 w:val="020B0704020202020204"/>
    <w:charset w:val="00"/>
    <w:family w:val="auto"/>
    <w:pitch w:val="default"/>
    <w:sig w:usb0="E0002AFF" w:usb1="C0007843" w:usb2="00000009" w:usb3="00000000" w:csb0="400001FF" w:csb1="FFFF0000"/>
  </w:font>
  <w:font w:name="Sim Sun">
    <w:altName w:val="仿宋_GB2312"/>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2C63">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12681">
    <w:pPr>
      <w:pStyle w:val="20"/>
      <w:framePr w:wrap="around" w:vAnchor="text" w:hAnchor="margin" w:xAlign="center" w:y="1"/>
      <w:rPr>
        <w:rStyle w:val="34"/>
      </w:rPr>
    </w:pPr>
    <w:r>
      <w:fldChar w:fldCharType="begin"/>
    </w:r>
    <w:r>
      <w:rPr>
        <w:rStyle w:val="34"/>
      </w:rPr>
      <w:instrText xml:space="preserve">PAGE  </w:instrText>
    </w:r>
    <w:r>
      <w:fldChar w:fldCharType="end"/>
    </w:r>
  </w:p>
  <w:p w14:paraId="2C9DF87B">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1E28">
    <w:pPr>
      <w:pStyle w:val="20"/>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8069E">
                          <w:pPr>
                            <w:pStyle w:val="20"/>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Fonts w:hint="default" w:ascii="Times New Roman" w:hAnsi="Times New Roman" w:cs="Times New Roman"/>
                              <w:sz w:val="24"/>
                              <w:szCs w:val="24"/>
                            </w:rPr>
                            <w:fldChar w:fldCharType="begin"/>
                          </w:r>
                          <w:r>
                            <w:rPr>
                              <w:rStyle w:val="34"/>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34"/>
                              <w:rFonts w:hint="default" w:ascii="Times New Roman" w:hAnsi="Times New Roman" w:cs="Times New Roman"/>
                              <w:sz w:val="24"/>
                              <w:szCs w:val="24"/>
                            </w:rPr>
                            <w:t>60</w:t>
                          </w:r>
                          <w:r>
                            <w:rPr>
                              <w:rFonts w:hint="default" w:ascii="Times New Roman" w:hAnsi="Times New Roman" w:cs="Times New Roman"/>
                              <w:sz w:val="24"/>
                              <w:szCs w:val="24"/>
                            </w:rPr>
                            <w:fldChar w:fldCharType="end"/>
                          </w:r>
                          <w:r>
                            <w:rPr>
                              <w:rStyle w:val="34"/>
                              <w:rFonts w:hint="default" w:ascii="Times New Roman" w:hAnsi="Times New Roman" w:cs="Times New Roman"/>
                              <w:sz w:val="18"/>
                              <w:szCs w:val="18"/>
                            </w:rPr>
                            <w:t xml:space="preserve">  </w:t>
                          </w:r>
                          <w:r>
                            <w:rPr>
                              <w:rStyle w:val="34"/>
                              <w:rFonts w:hint="eastAsia" w:ascii="宋体" w:hAnsi="宋体"/>
                              <w:sz w:val="28"/>
                              <w:szCs w:val="28"/>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6QKcs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W+kCnLAQAAnAMAAA4AAAAAAAAAAQAgAAAAHgEAAGRycy9lMm9E&#10;b2MueG1sUEsFBgAAAAAGAAYAWQEAAFsFAAAAAA==&#10;">
              <v:fill on="f" focussize="0,0"/>
              <v:stroke on="f"/>
              <v:imagedata o:title=""/>
              <o:lock v:ext="edit" aspectratio="f"/>
              <v:textbox inset="0mm,0mm,0mm,0mm" style="mso-fit-shape-to-text:t;">
                <w:txbxContent>
                  <w:p w14:paraId="5C08069E">
                    <w:pPr>
                      <w:pStyle w:val="20"/>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Fonts w:hint="default" w:ascii="Times New Roman" w:hAnsi="Times New Roman" w:cs="Times New Roman"/>
                        <w:sz w:val="24"/>
                        <w:szCs w:val="24"/>
                      </w:rPr>
                      <w:fldChar w:fldCharType="begin"/>
                    </w:r>
                    <w:r>
                      <w:rPr>
                        <w:rStyle w:val="34"/>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34"/>
                        <w:rFonts w:hint="default" w:ascii="Times New Roman" w:hAnsi="Times New Roman" w:cs="Times New Roman"/>
                        <w:sz w:val="24"/>
                        <w:szCs w:val="24"/>
                      </w:rPr>
                      <w:t>60</w:t>
                    </w:r>
                    <w:r>
                      <w:rPr>
                        <w:rFonts w:hint="default" w:ascii="Times New Roman" w:hAnsi="Times New Roman" w:cs="Times New Roman"/>
                        <w:sz w:val="24"/>
                        <w:szCs w:val="24"/>
                      </w:rPr>
                      <w:fldChar w:fldCharType="end"/>
                    </w:r>
                    <w:r>
                      <w:rPr>
                        <w:rStyle w:val="34"/>
                        <w:rFonts w:hint="default" w:ascii="Times New Roman" w:hAnsi="Times New Roman" w:cs="Times New Roman"/>
                        <w:sz w:val="18"/>
                        <w:szCs w:val="18"/>
                      </w:rPr>
                      <w:t xml:space="preserve">  </w:t>
                    </w:r>
                    <w:r>
                      <w:rPr>
                        <w:rStyle w:val="34"/>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A647">
    <w:pPr>
      <w:pStyle w:val="20"/>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0273A">
                          <w:pPr>
                            <w:pStyle w:val="20"/>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Fonts w:ascii="宋体" w:hAnsi="宋体"/>
                              <w:sz w:val="26"/>
                              <w:szCs w:val="26"/>
                            </w:rPr>
                            <w:fldChar w:fldCharType="begin"/>
                          </w:r>
                          <w:r>
                            <w:rPr>
                              <w:rStyle w:val="34"/>
                              <w:rFonts w:ascii="宋体" w:hAnsi="宋体"/>
                              <w:sz w:val="26"/>
                              <w:szCs w:val="26"/>
                            </w:rPr>
                            <w:instrText xml:space="preserve">PAGE  </w:instrText>
                          </w:r>
                          <w:r>
                            <w:rPr>
                              <w:rFonts w:ascii="宋体" w:hAnsi="宋体"/>
                              <w:sz w:val="26"/>
                              <w:szCs w:val="26"/>
                            </w:rPr>
                            <w:fldChar w:fldCharType="separate"/>
                          </w:r>
                          <w:r>
                            <w:rPr>
                              <w:rStyle w:val="34"/>
                              <w:rFonts w:ascii="宋体" w:hAnsi="宋体"/>
                              <w:sz w:val="26"/>
                              <w:szCs w:val="26"/>
                            </w:rPr>
                            <w:t>64</w:t>
                          </w:r>
                          <w:r>
                            <w:rPr>
                              <w:rFonts w:ascii="宋体" w:hAnsi="宋体"/>
                              <w:sz w:val="26"/>
                              <w:szCs w:val="26"/>
                            </w:rPr>
                            <w:fldChar w:fldCharType="end"/>
                          </w:r>
                          <w:r>
                            <w:rPr>
                              <w:rStyle w:val="34"/>
                              <w:rFonts w:hint="eastAsia" w:ascii="宋体" w:hAnsi="宋体"/>
                              <w:sz w:val="20"/>
                            </w:rPr>
                            <w:t xml:space="preserve">  </w:t>
                          </w:r>
                          <w:r>
                            <w:rPr>
                              <w:rStyle w:val="34"/>
                              <w:rFonts w:hint="eastAsia" w:ascii="宋体" w:hAnsi="宋体"/>
                              <w:sz w:val="28"/>
                              <w:szCs w:val="28"/>
                            </w:rPr>
                            <w:t>—</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fMsoBAACc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sfMsoBAACcAwAADgAAAAAAAAABACAAAAAeAQAAZHJzL2Uyb0Rv&#10;Yy54bWxQSwUGAAAAAAYABgBZAQAAWgUAAAAA&#10;">
              <v:fill on="f" focussize="0,0"/>
              <v:stroke on="f"/>
              <v:imagedata o:title=""/>
              <o:lock v:ext="edit" aspectratio="f"/>
              <v:textbox inset="0mm,0mm,0mm,0mm" style="mso-fit-shape-to-text:t;">
                <w:txbxContent>
                  <w:p w14:paraId="7EC0273A">
                    <w:pPr>
                      <w:pStyle w:val="20"/>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Fonts w:ascii="宋体" w:hAnsi="宋体"/>
                        <w:sz w:val="26"/>
                        <w:szCs w:val="26"/>
                      </w:rPr>
                      <w:fldChar w:fldCharType="begin"/>
                    </w:r>
                    <w:r>
                      <w:rPr>
                        <w:rStyle w:val="34"/>
                        <w:rFonts w:ascii="宋体" w:hAnsi="宋体"/>
                        <w:sz w:val="26"/>
                        <w:szCs w:val="26"/>
                      </w:rPr>
                      <w:instrText xml:space="preserve">PAGE  </w:instrText>
                    </w:r>
                    <w:r>
                      <w:rPr>
                        <w:rFonts w:ascii="宋体" w:hAnsi="宋体"/>
                        <w:sz w:val="26"/>
                        <w:szCs w:val="26"/>
                      </w:rPr>
                      <w:fldChar w:fldCharType="separate"/>
                    </w:r>
                    <w:r>
                      <w:rPr>
                        <w:rStyle w:val="34"/>
                        <w:rFonts w:ascii="宋体" w:hAnsi="宋体"/>
                        <w:sz w:val="26"/>
                        <w:szCs w:val="26"/>
                      </w:rPr>
                      <w:t>64</w:t>
                    </w:r>
                    <w:r>
                      <w:rPr>
                        <w:rFonts w:ascii="宋体" w:hAnsi="宋体"/>
                        <w:sz w:val="26"/>
                        <w:szCs w:val="26"/>
                      </w:rPr>
                      <w:fldChar w:fldCharType="end"/>
                    </w:r>
                    <w:r>
                      <w:rPr>
                        <w:rStyle w:val="34"/>
                        <w:rFonts w:hint="eastAsia" w:ascii="宋体" w:hAnsi="宋体"/>
                        <w:sz w:val="20"/>
                      </w:rPr>
                      <w:t xml:space="preserve">  </w:t>
                    </w:r>
                    <w:r>
                      <w:rPr>
                        <w:rStyle w:val="34"/>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CB36D"/>
    <w:multiLevelType w:val="singleLevel"/>
    <w:tmpl w:val="857CB36D"/>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FFA64EC7"/>
    <w:multiLevelType w:val="singleLevel"/>
    <w:tmpl w:val="FFA64EC7"/>
    <w:lvl w:ilvl="0" w:tentative="0">
      <w:start w:val="4"/>
      <w:numFmt w:val="chineseCounting"/>
      <w:suff w:val="nothing"/>
      <w:lvlText w:val="%1、"/>
      <w:lvlJc w:val="left"/>
      <w:rPr>
        <w:rFonts w:hint="eastAsia"/>
      </w:rPr>
    </w:lvl>
  </w:abstractNum>
  <w:abstractNum w:abstractNumId="2">
    <w:nsid w:val="53533947"/>
    <w:multiLevelType w:val="singleLevel"/>
    <w:tmpl w:val="53533947"/>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YmUyYTYxMWE2NjFkMmY5MTU3NzU2YTg4NTI0MzkifQ=="/>
  </w:docVars>
  <w:rsids>
    <w:rsidRoot w:val="00172A27"/>
    <w:rsid w:val="000060B3"/>
    <w:rsid w:val="0002393A"/>
    <w:rsid w:val="00026E83"/>
    <w:rsid w:val="00027866"/>
    <w:rsid w:val="00031029"/>
    <w:rsid w:val="0004364B"/>
    <w:rsid w:val="0005179D"/>
    <w:rsid w:val="00053CCA"/>
    <w:rsid w:val="00057407"/>
    <w:rsid w:val="00060BD7"/>
    <w:rsid w:val="00061B1F"/>
    <w:rsid w:val="000733C4"/>
    <w:rsid w:val="000740E1"/>
    <w:rsid w:val="00074783"/>
    <w:rsid w:val="000751D9"/>
    <w:rsid w:val="00076684"/>
    <w:rsid w:val="00076E35"/>
    <w:rsid w:val="000776DF"/>
    <w:rsid w:val="0008070B"/>
    <w:rsid w:val="00080823"/>
    <w:rsid w:val="000810AC"/>
    <w:rsid w:val="000819B5"/>
    <w:rsid w:val="00081A02"/>
    <w:rsid w:val="00082231"/>
    <w:rsid w:val="0008343D"/>
    <w:rsid w:val="0008574D"/>
    <w:rsid w:val="00092D38"/>
    <w:rsid w:val="0009377B"/>
    <w:rsid w:val="000A02E7"/>
    <w:rsid w:val="000A20C9"/>
    <w:rsid w:val="000A2F7D"/>
    <w:rsid w:val="000B058F"/>
    <w:rsid w:val="000B2E2D"/>
    <w:rsid w:val="000B4467"/>
    <w:rsid w:val="000B4DB9"/>
    <w:rsid w:val="000C017D"/>
    <w:rsid w:val="000C09AC"/>
    <w:rsid w:val="000C0A3A"/>
    <w:rsid w:val="000C1740"/>
    <w:rsid w:val="000C3696"/>
    <w:rsid w:val="000C66A9"/>
    <w:rsid w:val="000C767F"/>
    <w:rsid w:val="000D3088"/>
    <w:rsid w:val="000D5A44"/>
    <w:rsid w:val="000E3ED2"/>
    <w:rsid w:val="000E4A34"/>
    <w:rsid w:val="000E4D74"/>
    <w:rsid w:val="000E646B"/>
    <w:rsid w:val="000E6A6C"/>
    <w:rsid w:val="000F0B51"/>
    <w:rsid w:val="000F2EAA"/>
    <w:rsid w:val="00102BA1"/>
    <w:rsid w:val="00104771"/>
    <w:rsid w:val="001175B1"/>
    <w:rsid w:val="0012175D"/>
    <w:rsid w:val="00131F42"/>
    <w:rsid w:val="001324EA"/>
    <w:rsid w:val="00133387"/>
    <w:rsid w:val="001352FF"/>
    <w:rsid w:val="001357F1"/>
    <w:rsid w:val="00140FA8"/>
    <w:rsid w:val="00142FEB"/>
    <w:rsid w:val="00143A2D"/>
    <w:rsid w:val="00145245"/>
    <w:rsid w:val="00145A41"/>
    <w:rsid w:val="0014635E"/>
    <w:rsid w:val="00150195"/>
    <w:rsid w:val="00151675"/>
    <w:rsid w:val="00157435"/>
    <w:rsid w:val="001579AC"/>
    <w:rsid w:val="00157CDE"/>
    <w:rsid w:val="00164C36"/>
    <w:rsid w:val="0016643B"/>
    <w:rsid w:val="00171278"/>
    <w:rsid w:val="0017504D"/>
    <w:rsid w:val="00175E35"/>
    <w:rsid w:val="0017671A"/>
    <w:rsid w:val="00176DEB"/>
    <w:rsid w:val="00177422"/>
    <w:rsid w:val="00177D15"/>
    <w:rsid w:val="00181E6F"/>
    <w:rsid w:val="00183DA0"/>
    <w:rsid w:val="00184590"/>
    <w:rsid w:val="001866F8"/>
    <w:rsid w:val="001870D1"/>
    <w:rsid w:val="001877F6"/>
    <w:rsid w:val="0018781E"/>
    <w:rsid w:val="0019262D"/>
    <w:rsid w:val="00193C14"/>
    <w:rsid w:val="001A0434"/>
    <w:rsid w:val="001A1B35"/>
    <w:rsid w:val="001A48A2"/>
    <w:rsid w:val="001A65B1"/>
    <w:rsid w:val="001A6F61"/>
    <w:rsid w:val="001B07CC"/>
    <w:rsid w:val="001B223C"/>
    <w:rsid w:val="001B2FC8"/>
    <w:rsid w:val="001B3631"/>
    <w:rsid w:val="001B405A"/>
    <w:rsid w:val="001B72B8"/>
    <w:rsid w:val="001C3231"/>
    <w:rsid w:val="001C66E0"/>
    <w:rsid w:val="001C69B3"/>
    <w:rsid w:val="001D1CA9"/>
    <w:rsid w:val="001D5422"/>
    <w:rsid w:val="001D5595"/>
    <w:rsid w:val="001D7874"/>
    <w:rsid w:val="001D7F22"/>
    <w:rsid w:val="001E0539"/>
    <w:rsid w:val="001E6B9E"/>
    <w:rsid w:val="001F0F17"/>
    <w:rsid w:val="001F20AE"/>
    <w:rsid w:val="001F27AD"/>
    <w:rsid w:val="001F3347"/>
    <w:rsid w:val="001F4A7F"/>
    <w:rsid w:val="001F69E4"/>
    <w:rsid w:val="001F745B"/>
    <w:rsid w:val="00200367"/>
    <w:rsid w:val="00204215"/>
    <w:rsid w:val="002047FA"/>
    <w:rsid w:val="002114BB"/>
    <w:rsid w:val="002125B4"/>
    <w:rsid w:val="00213110"/>
    <w:rsid w:val="002155B8"/>
    <w:rsid w:val="00221E2C"/>
    <w:rsid w:val="00223F3B"/>
    <w:rsid w:val="00224839"/>
    <w:rsid w:val="002249B2"/>
    <w:rsid w:val="00226402"/>
    <w:rsid w:val="00226574"/>
    <w:rsid w:val="00226611"/>
    <w:rsid w:val="002278EC"/>
    <w:rsid w:val="00230400"/>
    <w:rsid w:val="00231B9D"/>
    <w:rsid w:val="0023280E"/>
    <w:rsid w:val="002340CD"/>
    <w:rsid w:val="00234DF3"/>
    <w:rsid w:val="002377D1"/>
    <w:rsid w:val="00241267"/>
    <w:rsid w:val="002506BC"/>
    <w:rsid w:val="002513C2"/>
    <w:rsid w:val="00253B79"/>
    <w:rsid w:val="00254345"/>
    <w:rsid w:val="00260293"/>
    <w:rsid w:val="0026130D"/>
    <w:rsid w:val="00264271"/>
    <w:rsid w:val="00264557"/>
    <w:rsid w:val="002659BF"/>
    <w:rsid w:val="00266667"/>
    <w:rsid w:val="00266AB8"/>
    <w:rsid w:val="00271110"/>
    <w:rsid w:val="002805AB"/>
    <w:rsid w:val="00284204"/>
    <w:rsid w:val="00291773"/>
    <w:rsid w:val="00296492"/>
    <w:rsid w:val="002A168C"/>
    <w:rsid w:val="002A3DC7"/>
    <w:rsid w:val="002A5682"/>
    <w:rsid w:val="002B3332"/>
    <w:rsid w:val="002B49E2"/>
    <w:rsid w:val="002B5B3F"/>
    <w:rsid w:val="002B63F1"/>
    <w:rsid w:val="002B74FA"/>
    <w:rsid w:val="002B7B00"/>
    <w:rsid w:val="002B7C44"/>
    <w:rsid w:val="002C2B17"/>
    <w:rsid w:val="002C39AA"/>
    <w:rsid w:val="002D269B"/>
    <w:rsid w:val="002D3DD0"/>
    <w:rsid w:val="002D65E2"/>
    <w:rsid w:val="002D744C"/>
    <w:rsid w:val="002D7589"/>
    <w:rsid w:val="002E079F"/>
    <w:rsid w:val="002E1F3A"/>
    <w:rsid w:val="002E298A"/>
    <w:rsid w:val="002E784E"/>
    <w:rsid w:val="002F0042"/>
    <w:rsid w:val="002F498D"/>
    <w:rsid w:val="00300EBD"/>
    <w:rsid w:val="00301978"/>
    <w:rsid w:val="0030332C"/>
    <w:rsid w:val="003036F7"/>
    <w:rsid w:val="003051C2"/>
    <w:rsid w:val="00312296"/>
    <w:rsid w:val="0031380D"/>
    <w:rsid w:val="00313FC0"/>
    <w:rsid w:val="00314971"/>
    <w:rsid w:val="00314F0E"/>
    <w:rsid w:val="00317811"/>
    <w:rsid w:val="00317F4F"/>
    <w:rsid w:val="00321D8E"/>
    <w:rsid w:val="00323254"/>
    <w:rsid w:val="00324692"/>
    <w:rsid w:val="00324F9C"/>
    <w:rsid w:val="00325928"/>
    <w:rsid w:val="0032768E"/>
    <w:rsid w:val="0033043B"/>
    <w:rsid w:val="00330CF6"/>
    <w:rsid w:val="00331CAD"/>
    <w:rsid w:val="00332863"/>
    <w:rsid w:val="0033684D"/>
    <w:rsid w:val="003375D8"/>
    <w:rsid w:val="00337B42"/>
    <w:rsid w:val="0034001E"/>
    <w:rsid w:val="00341B42"/>
    <w:rsid w:val="0034348F"/>
    <w:rsid w:val="00354796"/>
    <w:rsid w:val="00356653"/>
    <w:rsid w:val="0035743F"/>
    <w:rsid w:val="00357BE2"/>
    <w:rsid w:val="0036170C"/>
    <w:rsid w:val="00362BF3"/>
    <w:rsid w:val="00364574"/>
    <w:rsid w:val="00366E0F"/>
    <w:rsid w:val="0037039E"/>
    <w:rsid w:val="0037251B"/>
    <w:rsid w:val="00375AF9"/>
    <w:rsid w:val="003760F6"/>
    <w:rsid w:val="00380C92"/>
    <w:rsid w:val="00381A72"/>
    <w:rsid w:val="00384676"/>
    <w:rsid w:val="00386C24"/>
    <w:rsid w:val="00390857"/>
    <w:rsid w:val="003946B3"/>
    <w:rsid w:val="00394BF3"/>
    <w:rsid w:val="0039553A"/>
    <w:rsid w:val="003A38CE"/>
    <w:rsid w:val="003A4BF3"/>
    <w:rsid w:val="003B19BC"/>
    <w:rsid w:val="003B3DEF"/>
    <w:rsid w:val="003B420D"/>
    <w:rsid w:val="003C6C16"/>
    <w:rsid w:val="003D001C"/>
    <w:rsid w:val="003D12B5"/>
    <w:rsid w:val="003D1C8F"/>
    <w:rsid w:val="003D1EAE"/>
    <w:rsid w:val="003D2423"/>
    <w:rsid w:val="003D272F"/>
    <w:rsid w:val="003D794D"/>
    <w:rsid w:val="003E3058"/>
    <w:rsid w:val="003E5D63"/>
    <w:rsid w:val="003E76A9"/>
    <w:rsid w:val="003F0809"/>
    <w:rsid w:val="003F1E19"/>
    <w:rsid w:val="003F51F4"/>
    <w:rsid w:val="003F6A8C"/>
    <w:rsid w:val="003F755C"/>
    <w:rsid w:val="004007F9"/>
    <w:rsid w:val="0040219A"/>
    <w:rsid w:val="00406F01"/>
    <w:rsid w:val="00414D57"/>
    <w:rsid w:val="0041613C"/>
    <w:rsid w:val="00416420"/>
    <w:rsid w:val="00416D50"/>
    <w:rsid w:val="00416FD5"/>
    <w:rsid w:val="004171F4"/>
    <w:rsid w:val="00417330"/>
    <w:rsid w:val="00417772"/>
    <w:rsid w:val="00420E6A"/>
    <w:rsid w:val="00422E43"/>
    <w:rsid w:val="0042478C"/>
    <w:rsid w:val="0042599E"/>
    <w:rsid w:val="00425A9E"/>
    <w:rsid w:val="00426D6B"/>
    <w:rsid w:val="00431E6C"/>
    <w:rsid w:val="004328F4"/>
    <w:rsid w:val="00433CE7"/>
    <w:rsid w:val="00435DB5"/>
    <w:rsid w:val="0043626F"/>
    <w:rsid w:val="004373C6"/>
    <w:rsid w:val="004428D1"/>
    <w:rsid w:val="00443F2E"/>
    <w:rsid w:val="00444289"/>
    <w:rsid w:val="00452738"/>
    <w:rsid w:val="00456091"/>
    <w:rsid w:val="0046174C"/>
    <w:rsid w:val="004634F1"/>
    <w:rsid w:val="00464E9D"/>
    <w:rsid w:val="00464F9A"/>
    <w:rsid w:val="00466321"/>
    <w:rsid w:val="004700BC"/>
    <w:rsid w:val="00471DD5"/>
    <w:rsid w:val="0047500A"/>
    <w:rsid w:val="00484B9B"/>
    <w:rsid w:val="004855F6"/>
    <w:rsid w:val="0048661E"/>
    <w:rsid w:val="0048751A"/>
    <w:rsid w:val="00487BFF"/>
    <w:rsid w:val="00494670"/>
    <w:rsid w:val="00494B42"/>
    <w:rsid w:val="00496A0D"/>
    <w:rsid w:val="004A2B89"/>
    <w:rsid w:val="004A3823"/>
    <w:rsid w:val="004A4666"/>
    <w:rsid w:val="004A570C"/>
    <w:rsid w:val="004A6002"/>
    <w:rsid w:val="004A72A3"/>
    <w:rsid w:val="004E6946"/>
    <w:rsid w:val="004F0D3E"/>
    <w:rsid w:val="004F1292"/>
    <w:rsid w:val="004F1AD8"/>
    <w:rsid w:val="005039CB"/>
    <w:rsid w:val="00504AB7"/>
    <w:rsid w:val="0050558F"/>
    <w:rsid w:val="00506286"/>
    <w:rsid w:val="00510813"/>
    <w:rsid w:val="00511990"/>
    <w:rsid w:val="00511DE0"/>
    <w:rsid w:val="00513A90"/>
    <w:rsid w:val="00514326"/>
    <w:rsid w:val="00514870"/>
    <w:rsid w:val="00514B9B"/>
    <w:rsid w:val="00517F02"/>
    <w:rsid w:val="00524303"/>
    <w:rsid w:val="005258A2"/>
    <w:rsid w:val="005277D2"/>
    <w:rsid w:val="00531DB5"/>
    <w:rsid w:val="0053203F"/>
    <w:rsid w:val="005401AE"/>
    <w:rsid w:val="00540D89"/>
    <w:rsid w:val="00542511"/>
    <w:rsid w:val="00542E07"/>
    <w:rsid w:val="005444E8"/>
    <w:rsid w:val="00544983"/>
    <w:rsid w:val="005452EC"/>
    <w:rsid w:val="005453EB"/>
    <w:rsid w:val="00545424"/>
    <w:rsid w:val="00554A7B"/>
    <w:rsid w:val="0055572C"/>
    <w:rsid w:val="00560712"/>
    <w:rsid w:val="0056106A"/>
    <w:rsid w:val="00563048"/>
    <w:rsid w:val="005635CE"/>
    <w:rsid w:val="00567504"/>
    <w:rsid w:val="0056773E"/>
    <w:rsid w:val="00567BD2"/>
    <w:rsid w:val="005714C6"/>
    <w:rsid w:val="005720AE"/>
    <w:rsid w:val="00575FBE"/>
    <w:rsid w:val="00583B9F"/>
    <w:rsid w:val="00583F23"/>
    <w:rsid w:val="00586847"/>
    <w:rsid w:val="005872F0"/>
    <w:rsid w:val="00592B8E"/>
    <w:rsid w:val="00594D77"/>
    <w:rsid w:val="005969E4"/>
    <w:rsid w:val="005A06B7"/>
    <w:rsid w:val="005A1759"/>
    <w:rsid w:val="005A68A7"/>
    <w:rsid w:val="005A787E"/>
    <w:rsid w:val="005B0D6E"/>
    <w:rsid w:val="005B0EA1"/>
    <w:rsid w:val="005B16E0"/>
    <w:rsid w:val="005B4FE4"/>
    <w:rsid w:val="005B7205"/>
    <w:rsid w:val="005C14FB"/>
    <w:rsid w:val="005D36AB"/>
    <w:rsid w:val="005D51DA"/>
    <w:rsid w:val="005E29D4"/>
    <w:rsid w:val="005E3136"/>
    <w:rsid w:val="005E4132"/>
    <w:rsid w:val="005E4704"/>
    <w:rsid w:val="00606738"/>
    <w:rsid w:val="0061524A"/>
    <w:rsid w:val="00617CC3"/>
    <w:rsid w:val="00621C19"/>
    <w:rsid w:val="00625439"/>
    <w:rsid w:val="006265E2"/>
    <w:rsid w:val="00627E22"/>
    <w:rsid w:val="00627E44"/>
    <w:rsid w:val="0063603A"/>
    <w:rsid w:val="006377A6"/>
    <w:rsid w:val="00637A3D"/>
    <w:rsid w:val="006405C7"/>
    <w:rsid w:val="00640612"/>
    <w:rsid w:val="006411EF"/>
    <w:rsid w:val="006430EF"/>
    <w:rsid w:val="00650B1D"/>
    <w:rsid w:val="00654AC7"/>
    <w:rsid w:val="00657C49"/>
    <w:rsid w:val="00657F0E"/>
    <w:rsid w:val="00662BC8"/>
    <w:rsid w:val="00663A99"/>
    <w:rsid w:val="00664C7A"/>
    <w:rsid w:val="006652DA"/>
    <w:rsid w:val="006661FD"/>
    <w:rsid w:val="00666D1A"/>
    <w:rsid w:val="00671F6A"/>
    <w:rsid w:val="006748B8"/>
    <w:rsid w:val="006775C3"/>
    <w:rsid w:val="00677840"/>
    <w:rsid w:val="00677A43"/>
    <w:rsid w:val="00677C9D"/>
    <w:rsid w:val="00682E1B"/>
    <w:rsid w:val="0068569D"/>
    <w:rsid w:val="006900A8"/>
    <w:rsid w:val="006911F9"/>
    <w:rsid w:val="0069290A"/>
    <w:rsid w:val="00697305"/>
    <w:rsid w:val="0069775A"/>
    <w:rsid w:val="00697813"/>
    <w:rsid w:val="00697C47"/>
    <w:rsid w:val="006A3EE8"/>
    <w:rsid w:val="006A72BF"/>
    <w:rsid w:val="006A730F"/>
    <w:rsid w:val="006B03F2"/>
    <w:rsid w:val="006B2079"/>
    <w:rsid w:val="006B37DC"/>
    <w:rsid w:val="006B4F68"/>
    <w:rsid w:val="006C0592"/>
    <w:rsid w:val="006C272E"/>
    <w:rsid w:val="006C5479"/>
    <w:rsid w:val="006C72C4"/>
    <w:rsid w:val="006D13B5"/>
    <w:rsid w:val="006D650D"/>
    <w:rsid w:val="006D6F3B"/>
    <w:rsid w:val="006D7323"/>
    <w:rsid w:val="006E12FF"/>
    <w:rsid w:val="006E4A62"/>
    <w:rsid w:val="006E607E"/>
    <w:rsid w:val="00706C5D"/>
    <w:rsid w:val="007101AD"/>
    <w:rsid w:val="00712A6E"/>
    <w:rsid w:val="00712F38"/>
    <w:rsid w:val="00716E0A"/>
    <w:rsid w:val="007238EE"/>
    <w:rsid w:val="0073108B"/>
    <w:rsid w:val="00732922"/>
    <w:rsid w:val="00733E26"/>
    <w:rsid w:val="00737A5B"/>
    <w:rsid w:val="00742046"/>
    <w:rsid w:val="00744D01"/>
    <w:rsid w:val="00745AF9"/>
    <w:rsid w:val="00747FDA"/>
    <w:rsid w:val="0075162E"/>
    <w:rsid w:val="00751D82"/>
    <w:rsid w:val="0075206C"/>
    <w:rsid w:val="00754034"/>
    <w:rsid w:val="007549D9"/>
    <w:rsid w:val="00756556"/>
    <w:rsid w:val="007618C4"/>
    <w:rsid w:val="007632B6"/>
    <w:rsid w:val="00764904"/>
    <w:rsid w:val="00767980"/>
    <w:rsid w:val="00770B19"/>
    <w:rsid w:val="0077463F"/>
    <w:rsid w:val="007836EA"/>
    <w:rsid w:val="00784CDA"/>
    <w:rsid w:val="00785E5C"/>
    <w:rsid w:val="00786304"/>
    <w:rsid w:val="007906C4"/>
    <w:rsid w:val="00791447"/>
    <w:rsid w:val="00791F09"/>
    <w:rsid w:val="00791F27"/>
    <w:rsid w:val="007940EA"/>
    <w:rsid w:val="00794B18"/>
    <w:rsid w:val="007967E8"/>
    <w:rsid w:val="007A2170"/>
    <w:rsid w:val="007A22BF"/>
    <w:rsid w:val="007A3323"/>
    <w:rsid w:val="007A359C"/>
    <w:rsid w:val="007A74C7"/>
    <w:rsid w:val="007B417C"/>
    <w:rsid w:val="007B421B"/>
    <w:rsid w:val="007B57CD"/>
    <w:rsid w:val="007B72B8"/>
    <w:rsid w:val="007B7A58"/>
    <w:rsid w:val="007C21B5"/>
    <w:rsid w:val="007C5764"/>
    <w:rsid w:val="007D53D7"/>
    <w:rsid w:val="007E0F13"/>
    <w:rsid w:val="007E4BD2"/>
    <w:rsid w:val="007E514E"/>
    <w:rsid w:val="007E6A61"/>
    <w:rsid w:val="007F6E29"/>
    <w:rsid w:val="007F79D2"/>
    <w:rsid w:val="00801393"/>
    <w:rsid w:val="00802F88"/>
    <w:rsid w:val="00803699"/>
    <w:rsid w:val="008052C0"/>
    <w:rsid w:val="0081293E"/>
    <w:rsid w:val="008145B6"/>
    <w:rsid w:val="00815465"/>
    <w:rsid w:val="00815522"/>
    <w:rsid w:val="00815620"/>
    <w:rsid w:val="0081587C"/>
    <w:rsid w:val="00817E9A"/>
    <w:rsid w:val="00822CD5"/>
    <w:rsid w:val="00823FF8"/>
    <w:rsid w:val="00825A68"/>
    <w:rsid w:val="008261FC"/>
    <w:rsid w:val="008306BD"/>
    <w:rsid w:val="008312FB"/>
    <w:rsid w:val="00831A80"/>
    <w:rsid w:val="008332F1"/>
    <w:rsid w:val="00833743"/>
    <w:rsid w:val="008340A4"/>
    <w:rsid w:val="00836758"/>
    <w:rsid w:val="00843615"/>
    <w:rsid w:val="00843A32"/>
    <w:rsid w:val="00852F5A"/>
    <w:rsid w:val="008578E6"/>
    <w:rsid w:val="008617BC"/>
    <w:rsid w:val="0087135F"/>
    <w:rsid w:val="008713C5"/>
    <w:rsid w:val="00872D94"/>
    <w:rsid w:val="008747BF"/>
    <w:rsid w:val="00880364"/>
    <w:rsid w:val="008811B9"/>
    <w:rsid w:val="0088424C"/>
    <w:rsid w:val="00885372"/>
    <w:rsid w:val="00885783"/>
    <w:rsid w:val="008865AC"/>
    <w:rsid w:val="0088782B"/>
    <w:rsid w:val="00891592"/>
    <w:rsid w:val="00891E9E"/>
    <w:rsid w:val="008A2F68"/>
    <w:rsid w:val="008A4AF3"/>
    <w:rsid w:val="008B09B6"/>
    <w:rsid w:val="008B3647"/>
    <w:rsid w:val="008B3C01"/>
    <w:rsid w:val="008B4FA6"/>
    <w:rsid w:val="008B5282"/>
    <w:rsid w:val="008B7C17"/>
    <w:rsid w:val="008C1C3E"/>
    <w:rsid w:val="008C1FB7"/>
    <w:rsid w:val="008C2A5E"/>
    <w:rsid w:val="008C2D01"/>
    <w:rsid w:val="008C40E6"/>
    <w:rsid w:val="008C4BA5"/>
    <w:rsid w:val="008D0578"/>
    <w:rsid w:val="008D0F7A"/>
    <w:rsid w:val="008D68E4"/>
    <w:rsid w:val="008E0506"/>
    <w:rsid w:val="008E0CFF"/>
    <w:rsid w:val="008E5D6B"/>
    <w:rsid w:val="008E76F0"/>
    <w:rsid w:val="008F15FE"/>
    <w:rsid w:val="008F2484"/>
    <w:rsid w:val="008F2D29"/>
    <w:rsid w:val="008F30D3"/>
    <w:rsid w:val="008F5043"/>
    <w:rsid w:val="008F5187"/>
    <w:rsid w:val="008F60D8"/>
    <w:rsid w:val="008F6475"/>
    <w:rsid w:val="00902727"/>
    <w:rsid w:val="0090312B"/>
    <w:rsid w:val="009055E7"/>
    <w:rsid w:val="009059A7"/>
    <w:rsid w:val="0090647C"/>
    <w:rsid w:val="00915400"/>
    <w:rsid w:val="00915B77"/>
    <w:rsid w:val="0091736D"/>
    <w:rsid w:val="009178A3"/>
    <w:rsid w:val="009178CE"/>
    <w:rsid w:val="00921364"/>
    <w:rsid w:val="0093037A"/>
    <w:rsid w:val="009307B6"/>
    <w:rsid w:val="00933A1C"/>
    <w:rsid w:val="009351A4"/>
    <w:rsid w:val="0094154D"/>
    <w:rsid w:val="009444C8"/>
    <w:rsid w:val="00946FCB"/>
    <w:rsid w:val="00947985"/>
    <w:rsid w:val="00947D56"/>
    <w:rsid w:val="00950A81"/>
    <w:rsid w:val="0095155F"/>
    <w:rsid w:val="00953831"/>
    <w:rsid w:val="00954429"/>
    <w:rsid w:val="00955398"/>
    <w:rsid w:val="009563CE"/>
    <w:rsid w:val="0096197E"/>
    <w:rsid w:val="00961FF5"/>
    <w:rsid w:val="00966589"/>
    <w:rsid w:val="009715C8"/>
    <w:rsid w:val="009719CB"/>
    <w:rsid w:val="00976328"/>
    <w:rsid w:val="0097680D"/>
    <w:rsid w:val="00982438"/>
    <w:rsid w:val="0098404C"/>
    <w:rsid w:val="00985283"/>
    <w:rsid w:val="00992213"/>
    <w:rsid w:val="009954FC"/>
    <w:rsid w:val="00995688"/>
    <w:rsid w:val="00995992"/>
    <w:rsid w:val="009A03E5"/>
    <w:rsid w:val="009A0F3B"/>
    <w:rsid w:val="009A1BB4"/>
    <w:rsid w:val="009A2628"/>
    <w:rsid w:val="009A3200"/>
    <w:rsid w:val="009A5857"/>
    <w:rsid w:val="009A70C6"/>
    <w:rsid w:val="009B0806"/>
    <w:rsid w:val="009B0897"/>
    <w:rsid w:val="009B0EAA"/>
    <w:rsid w:val="009B7BD9"/>
    <w:rsid w:val="009C4D78"/>
    <w:rsid w:val="009C557F"/>
    <w:rsid w:val="009C7DD5"/>
    <w:rsid w:val="009D161B"/>
    <w:rsid w:val="009D4E9F"/>
    <w:rsid w:val="009D63F8"/>
    <w:rsid w:val="009E227D"/>
    <w:rsid w:val="009E35C3"/>
    <w:rsid w:val="009E5019"/>
    <w:rsid w:val="009E7964"/>
    <w:rsid w:val="009E7FE5"/>
    <w:rsid w:val="009F092E"/>
    <w:rsid w:val="009F095A"/>
    <w:rsid w:val="009F2F8E"/>
    <w:rsid w:val="009F6D82"/>
    <w:rsid w:val="009F718F"/>
    <w:rsid w:val="00A01D75"/>
    <w:rsid w:val="00A02C80"/>
    <w:rsid w:val="00A04F1B"/>
    <w:rsid w:val="00A0501B"/>
    <w:rsid w:val="00A0567B"/>
    <w:rsid w:val="00A06234"/>
    <w:rsid w:val="00A13691"/>
    <w:rsid w:val="00A14947"/>
    <w:rsid w:val="00A20F5D"/>
    <w:rsid w:val="00A2231C"/>
    <w:rsid w:val="00A3101F"/>
    <w:rsid w:val="00A32A83"/>
    <w:rsid w:val="00A368DB"/>
    <w:rsid w:val="00A423AA"/>
    <w:rsid w:val="00A44713"/>
    <w:rsid w:val="00A5042E"/>
    <w:rsid w:val="00A51485"/>
    <w:rsid w:val="00A53EC6"/>
    <w:rsid w:val="00A55C0F"/>
    <w:rsid w:val="00A61A28"/>
    <w:rsid w:val="00A63C1B"/>
    <w:rsid w:val="00A644B7"/>
    <w:rsid w:val="00A7509C"/>
    <w:rsid w:val="00A762ED"/>
    <w:rsid w:val="00A77142"/>
    <w:rsid w:val="00A77614"/>
    <w:rsid w:val="00A77A3C"/>
    <w:rsid w:val="00A826C0"/>
    <w:rsid w:val="00A862D3"/>
    <w:rsid w:val="00A8713F"/>
    <w:rsid w:val="00A90BA1"/>
    <w:rsid w:val="00A91348"/>
    <w:rsid w:val="00A97A9A"/>
    <w:rsid w:val="00AA0671"/>
    <w:rsid w:val="00AA2531"/>
    <w:rsid w:val="00AB0854"/>
    <w:rsid w:val="00AB1E09"/>
    <w:rsid w:val="00AB27CA"/>
    <w:rsid w:val="00AB5284"/>
    <w:rsid w:val="00AB5330"/>
    <w:rsid w:val="00AB7747"/>
    <w:rsid w:val="00AC14CE"/>
    <w:rsid w:val="00AC14D2"/>
    <w:rsid w:val="00AC2A56"/>
    <w:rsid w:val="00AC6923"/>
    <w:rsid w:val="00AD055E"/>
    <w:rsid w:val="00AD47A7"/>
    <w:rsid w:val="00AE05A1"/>
    <w:rsid w:val="00AE0688"/>
    <w:rsid w:val="00AE757C"/>
    <w:rsid w:val="00AF0A0D"/>
    <w:rsid w:val="00AF0CBF"/>
    <w:rsid w:val="00AF257F"/>
    <w:rsid w:val="00AF273C"/>
    <w:rsid w:val="00AF2BFA"/>
    <w:rsid w:val="00AF33CF"/>
    <w:rsid w:val="00AF4D50"/>
    <w:rsid w:val="00AF6179"/>
    <w:rsid w:val="00B020D0"/>
    <w:rsid w:val="00B0507A"/>
    <w:rsid w:val="00B068E1"/>
    <w:rsid w:val="00B1295A"/>
    <w:rsid w:val="00B165B9"/>
    <w:rsid w:val="00B20A45"/>
    <w:rsid w:val="00B22C5C"/>
    <w:rsid w:val="00B245AB"/>
    <w:rsid w:val="00B24F30"/>
    <w:rsid w:val="00B25DFB"/>
    <w:rsid w:val="00B31ABF"/>
    <w:rsid w:val="00B33BE3"/>
    <w:rsid w:val="00B33F35"/>
    <w:rsid w:val="00B50152"/>
    <w:rsid w:val="00B52690"/>
    <w:rsid w:val="00B5281C"/>
    <w:rsid w:val="00B5283D"/>
    <w:rsid w:val="00B53B5D"/>
    <w:rsid w:val="00B53C1F"/>
    <w:rsid w:val="00B54EFE"/>
    <w:rsid w:val="00B56BF4"/>
    <w:rsid w:val="00B6055E"/>
    <w:rsid w:val="00B6265E"/>
    <w:rsid w:val="00B6317D"/>
    <w:rsid w:val="00B6579A"/>
    <w:rsid w:val="00B701B7"/>
    <w:rsid w:val="00B712C2"/>
    <w:rsid w:val="00B765F6"/>
    <w:rsid w:val="00B768AE"/>
    <w:rsid w:val="00B769CD"/>
    <w:rsid w:val="00B7723F"/>
    <w:rsid w:val="00B80534"/>
    <w:rsid w:val="00B81AB8"/>
    <w:rsid w:val="00B83FCD"/>
    <w:rsid w:val="00B8433C"/>
    <w:rsid w:val="00B87491"/>
    <w:rsid w:val="00B90989"/>
    <w:rsid w:val="00B91AC3"/>
    <w:rsid w:val="00BA02BF"/>
    <w:rsid w:val="00BA141F"/>
    <w:rsid w:val="00BA2161"/>
    <w:rsid w:val="00BA27EE"/>
    <w:rsid w:val="00BA29E9"/>
    <w:rsid w:val="00BA3840"/>
    <w:rsid w:val="00BA3C38"/>
    <w:rsid w:val="00BA7142"/>
    <w:rsid w:val="00BB01F0"/>
    <w:rsid w:val="00BB237C"/>
    <w:rsid w:val="00BB41A3"/>
    <w:rsid w:val="00BB642D"/>
    <w:rsid w:val="00BC32DC"/>
    <w:rsid w:val="00BC35B6"/>
    <w:rsid w:val="00BD0F74"/>
    <w:rsid w:val="00BD1B51"/>
    <w:rsid w:val="00BD2C12"/>
    <w:rsid w:val="00BD4596"/>
    <w:rsid w:val="00BE0987"/>
    <w:rsid w:val="00BE0B27"/>
    <w:rsid w:val="00BE1405"/>
    <w:rsid w:val="00BE312D"/>
    <w:rsid w:val="00BE41FD"/>
    <w:rsid w:val="00BF0B1C"/>
    <w:rsid w:val="00BF1C20"/>
    <w:rsid w:val="00BF2F50"/>
    <w:rsid w:val="00C01343"/>
    <w:rsid w:val="00C03920"/>
    <w:rsid w:val="00C10578"/>
    <w:rsid w:val="00C135BC"/>
    <w:rsid w:val="00C15C95"/>
    <w:rsid w:val="00C2596A"/>
    <w:rsid w:val="00C26F0E"/>
    <w:rsid w:val="00C27537"/>
    <w:rsid w:val="00C27EAB"/>
    <w:rsid w:val="00C32808"/>
    <w:rsid w:val="00C328FE"/>
    <w:rsid w:val="00C33507"/>
    <w:rsid w:val="00C410F4"/>
    <w:rsid w:val="00C4409D"/>
    <w:rsid w:val="00C44E72"/>
    <w:rsid w:val="00C45A06"/>
    <w:rsid w:val="00C4708E"/>
    <w:rsid w:val="00C47E5B"/>
    <w:rsid w:val="00C522FF"/>
    <w:rsid w:val="00C533E1"/>
    <w:rsid w:val="00C60EAE"/>
    <w:rsid w:val="00C61E4B"/>
    <w:rsid w:val="00C62C95"/>
    <w:rsid w:val="00C64BFF"/>
    <w:rsid w:val="00C65452"/>
    <w:rsid w:val="00C65917"/>
    <w:rsid w:val="00C704E9"/>
    <w:rsid w:val="00C73C18"/>
    <w:rsid w:val="00C73E46"/>
    <w:rsid w:val="00C745C8"/>
    <w:rsid w:val="00C763C9"/>
    <w:rsid w:val="00C80057"/>
    <w:rsid w:val="00C82232"/>
    <w:rsid w:val="00C82913"/>
    <w:rsid w:val="00C926FF"/>
    <w:rsid w:val="00C948C8"/>
    <w:rsid w:val="00C972B1"/>
    <w:rsid w:val="00CA2C01"/>
    <w:rsid w:val="00CA2CCE"/>
    <w:rsid w:val="00CA43FD"/>
    <w:rsid w:val="00CA7EF8"/>
    <w:rsid w:val="00CB1BA1"/>
    <w:rsid w:val="00CB3381"/>
    <w:rsid w:val="00CB5E7A"/>
    <w:rsid w:val="00CB7F34"/>
    <w:rsid w:val="00CC489B"/>
    <w:rsid w:val="00CD2BCD"/>
    <w:rsid w:val="00CD3A4C"/>
    <w:rsid w:val="00CD49A3"/>
    <w:rsid w:val="00CD6EE3"/>
    <w:rsid w:val="00CE0A60"/>
    <w:rsid w:val="00CE10E9"/>
    <w:rsid w:val="00CE2910"/>
    <w:rsid w:val="00CE5393"/>
    <w:rsid w:val="00CE53D8"/>
    <w:rsid w:val="00CE634E"/>
    <w:rsid w:val="00CF1BEE"/>
    <w:rsid w:val="00CF36BE"/>
    <w:rsid w:val="00CF6000"/>
    <w:rsid w:val="00D003F3"/>
    <w:rsid w:val="00D0364F"/>
    <w:rsid w:val="00D06834"/>
    <w:rsid w:val="00D136C8"/>
    <w:rsid w:val="00D15BC6"/>
    <w:rsid w:val="00D258D7"/>
    <w:rsid w:val="00D308ED"/>
    <w:rsid w:val="00D34B59"/>
    <w:rsid w:val="00D34E00"/>
    <w:rsid w:val="00D36D86"/>
    <w:rsid w:val="00D41018"/>
    <w:rsid w:val="00D428AA"/>
    <w:rsid w:val="00D47419"/>
    <w:rsid w:val="00D50278"/>
    <w:rsid w:val="00D50A34"/>
    <w:rsid w:val="00D53EFA"/>
    <w:rsid w:val="00D55205"/>
    <w:rsid w:val="00D6048D"/>
    <w:rsid w:val="00D655F2"/>
    <w:rsid w:val="00D729F7"/>
    <w:rsid w:val="00D72CE4"/>
    <w:rsid w:val="00D73C77"/>
    <w:rsid w:val="00D75758"/>
    <w:rsid w:val="00D82D61"/>
    <w:rsid w:val="00D83318"/>
    <w:rsid w:val="00D86725"/>
    <w:rsid w:val="00D91398"/>
    <w:rsid w:val="00D921ED"/>
    <w:rsid w:val="00D94A7C"/>
    <w:rsid w:val="00D94EBA"/>
    <w:rsid w:val="00D95896"/>
    <w:rsid w:val="00D9637F"/>
    <w:rsid w:val="00D96D2C"/>
    <w:rsid w:val="00DA0912"/>
    <w:rsid w:val="00DA10D5"/>
    <w:rsid w:val="00DA2B39"/>
    <w:rsid w:val="00DA602D"/>
    <w:rsid w:val="00DA73CE"/>
    <w:rsid w:val="00DA77EF"/>
    <w:rsid w:val="00DB25D0"/>
    <w:rsid w:val="00DB2983"/>
    <w:rsid w:val="00DB2993"/>
    <w:rsid w:val="00DC1257"/>
    <w:rsid w:val="00DC3DC0"/>
    <w:rsid w:val="00DC5B2B"/>
    <w:rsid w:val="00DD027E"/>
    <w:rsid w:val="00DD06D6"/>
    <w:rsid w:val="00DD318D"/>
    <w:rsid w:val="00DE3F4B"/>
    <w:rsid w:val="00DE6A5C"/>
    <w:rsid w:val="00DF0E9F"/>
    <w:rsid w:val="00DF11D5"/>
    <w:rsid w:val="00DF2E12"/>
    <w:rsid w:val="00DF3004"/>
    <w:rsid w:val="00DF514A"/>
    <w:rsid w:val="00DF611E"/>
    <w:rsid w:val="00DF6690"/>
    <w:rsid w:val="00DF6804"/>
    <w:rsid w:val="00DF75E4"/>
    <w:rsid w:val="00DF7618"/>
    <w:rsid w:val="00E0358D"/>
    <w:rsid w:val="00E04323"/>
    <w:rsid w:val="00E06EC9"/>
    <w:rsid w:val="00E070A2"/>
    <w:rsid w:val="00E12B7A"/>
    <w:rsid w:val="00E1467D"/>
    <w:rsid w:val="00E15322"/>
    <w:rsid w:val="00E2024E"/>
    <w:rsid w:val="00E21C13"/>
    <w:rsid w:val="00E24DB5"/>
    <w:rsid w:val="00E2656A"/>
    <w:rsid w:val="00E30D57"/>
    <w:rsid w:val="00E32560"/>
    <w:rsid w:val="00E3646C"/>
    <w:rsid w:val="00E412D0"/>
    <w:rsid w:val="00E417A5"/>
    <w:rsid w:val="00E4591F"/>
    <w:rsid w:val="00E45940"/>
    <w:rsid w:val="00E45DA2"/>
    <w:rsid w:val="00E46AD2"/>
    <w:rsid w:val="00E56322"/>
    <w:rsid w:val="00E57413"/>
    <w:rsid w:val="00E60982"/>
    <w:rsid w:val="00E62C62"/>
    <w:rsid w:val="00E63BD2"/>
    <w:rsid w:val="00E654C1"/>
    <w:rsid w:val="00E65D97"/>
    <w:rsid w:val="00E66426"/>
    <w:rsid w:val="00E66CA0"/>
    <w:rsid w:val="00E72A5A"/>
    <w:rsid w:val="00E73354"/>
    <w:rsid w:val="00E76200"/>
    <w:rsid w:val="00E775E2"/>
    <w:rsid w:val="00E846E5"/>
    <w:rsid w:val="00E9242D"/>
    <w:rsid w:val="00E928EF"/>
    <w:rsid w:val="00E94D5D"/>
    <w:rsid w:val="00E956D5"/>
    <w:rsid w:val="00EA15E0"/>
    <w:rsid w:val="00EB5255"/>
    <w:rsid w:val="00EB5C47"/>
    <w:rsid w:val="00EB5F94"/>
    <w:rsid w:val="00EB6520"/>
    <w:rsid w:val="00EB7950"/>
    <w:rsid w:val="00EC3CE2"/>
    <w:rsid w:val="00ED0639"/>
    <w:rsid w:val="00ED25DD"/>
    <w:rsid w:val="00ED2D48"/>
    <w:rsid w:val="00ED47A1"/>
    <w:rsid w:val="00ED5B33"/>
    <w:rsid w:val="00EE1017"/>
    <w:rsid w:val="00EE6870"/>
    <w:rsid w:val="00EF0EBA"/>
    <w:rsid w:val="00EF234D"/>
    <w:rsid w:val="00EF26AF"/>
    <w:rsid w:val="00EF3C72"/>
    <w:rsid w:val="00EF4755"/>
    <w:rsid w:val="00EF7135"/>
    <w:rsid w:val="00F027DB"/>
    <w:rsid w:val="00F03240"/>
    <w:rsid w:val="00F03AE8"/>
    <w:rsid w:val="00F04153"/>
    <w:rsid w:val="00F06667"/>
    <w:rsid w:val="00F10116"/>
    <w:rsid w:val="00F11A32"/>
    <w:rsid w:val="00F14A7A"/>
    <w:rsid w:val="00F20058"/>
    <w:rsid w:val="00F22985"/>
    <w:rsid w:val="00F23673"/>
    <w:rsid w:val="00F24D0A"/>
    <w:rsid w:val="00F27441"/>
    <w:rsid w:val="00F3383E"/>
    <w:rsid w:val="00F4174C"/>
    <w:rsid w:val="00F41903"/>
    <w:rsid w:val="00F465A7"/>
    <w:rsid w:val="00F50699"/>
    <w:rsid w:val="00F50B7C"/>
    <w:rsid w:val="00F5217E"/>
    <w:rsid w:val="00F550E6"/>
    <w:rsid w:val="00F6575B"/>
    <w:rsid w:val="00F664CD"/>
    <w:rsid w:val="00F67B7E"/>
    <w:rsid w:val="00F74345"/>
    <w:rsid w:val="00F80A0A"/>
    <w:rsid w:val="00F81CA4"/>
    <w:rsid w:val="00F82B19"/>
    <w:rsid w:val="00F84E51"/>
    <w:rsid w:val="00F86883"/>
    <w:rsid w:val="00F9212D"/>
    <w:rsid w:val="00F93EA0"/>
    <w:rsid w:val="00F94A9E"/>
    <w:rsid w:val="00F95450"/>
    <w:rsid w:val="00F965DA"/>
    <w:rsid w:val="00FA38A0"/>
    <w:rsid w:val="00FA406A"/>
    <w:rsid w:val="00FA77D2"/>
    <w:rsid w:val="00FB3021"/>
    <w:rsid w:val="00FB3416"/>
    <w:rsid w:val="00FB382F"/>
    <w:rsid w:val="00FB503A"/>
    <w:rsid w:val="00FB516C"/>
    <w:rsid w:val="00FB544D"/>
    <w:rsid w:val="00FC1F6E"/>
    <w:rsid w:val="00FC387E"/>
    <w:rsid w:val="00FC42C2"/>
    <w:rsid w:val="00FC4700"/>
    <w:rsid w:val="00FD0236"/>
    <w:rsid w:val="00FD14B7"/>
    <w:rsid w:val="00FD18F4"/>
    <w:rsid w:val="00FD4577"/>
    <w:rsid w:val="00FD53DD"/>
    <w:rsid w:val="00FD54DB"/>
    <w:rsid w:val="00FD619F"/>
    <w:rsid w:val="00FE0090"/>
    <w:rsid w:val="00FE00E7"/>
    <w:rsid w:val="00FE18EB"/>
    <w:rsid w:val="00FE24B4"/>
    <w:rsid w:val="00FE3B31"/>
    <w:rsid w:val="00FF0240"/>
    <w:rsid w:val="00FF3FC1"/>
    <w:rsid w:val="010019A2"/>
    <w:rsid w:val="0108200E"/>
    <w:rsid w:val="010827C0"/>
    <w:rsid w:val="010D7DD7"/>
    <w:rsid w:val="010E5BF8"/>
    <w:rsid w:val="01154EDD"/>
    <w:rsid w:val="01187393"/>
    <w:rsid w:val="01260F37"/>
    <w:rsid w:val="01290F7E"/>
    <w:rsid w:val="012A0989"/>
    <w:rsid w:val="012F5F9F"/>
    <w:rsid w:val="0135337D"/>
    <w:rsid w:val="01541EA9"/>
    <w:rsid w:val="015B3238"/>
    <w:rsid w:val="015C4E83"/>
    <w:rsid w:val="015D1E09"/>
    <w:rsid w:val="015E4AC8"/>
    <w:rsid w:val="01611BDD"/>
    <w:rsid w:val="01695955"/>
    <w:rsid w:val="016C0FA1"/>
    <w:rsid w:val="017E672B"/>
    <w:rsid w:val="018502B5"/>
    <w:rsid w:val="018A58CB"/>
    <w:rsid w:val="018A5C63"/>
    <w:rsid w:val="018F38F6"/>
    <w:rsid w:val="01A30E5C"/>
    <w:rsid w:val="01C22832"/>
    <w:rsid w:val="01C715DA"/>
    <w:rsid w:val="01C95043"/>
    <w:rsid w:val="01CB0F78"/>
    <w:rsid w:val="01CC7C92"/>
    <w:rsid w:val="01CF32DE"/>
    <w:rsid w:val="01D54ECF"/>
    <w:rsid w:val="01DD4386"/>
    <w:rsid w:val="020016E9"/>
    <w:rsid w:val="020058B7"/>
    <w:rsid w:val="020D04C0"/>
    <w:rsid w:val="022720F4"/>
    <w:rsid w:val="022845A6"/>
    <w:rsid w:val="022B2C0A"/>
    <w:rsid w:val="026003DA"/>
    <w:rsid w:val="02697903"/>
    <w:rsid w:val="02830CB2"/>
    <w:rsid w:val="02924A37"/>
    <w:rsid w:val="02A70258"/>
    <w:rsid w:val="02B7624C"/>
    <w:rsid w:val="02DE7C7D"/>
    <w:rsid w:val="02EA4388"/>
    <w:rsid w:val="02ED6112"/>
    <w:rsid w:val="02F21690"/>
    <w:rsid w:val="02F8635A"/>
    <w:rsid w:val="02F96569"/>
    <w:rsid w:val="02FD5D58"/>
    <w:rsid w:val="02FF17CC"/>
    <w:rsid w:val="030654B3"/>
    <w:rsid w:val="03107E22"/>
    <w:rsid w:val="0321400D"/>
    <w:rsid w:val="032B0373"/>
    <w:rsid w:val="03323B24"/>
    <w:rsid w:val="03351ECF"/>
    <w:rsid w:val="03353615"/>
    <w:rsid w:val="03364608"/>
    <w:rsid w:val="03376DB8"/>
    <w:rsid w:val="03407948"/>
    <w:rsid w:val="03497A81"/>
    <w:rsid w:val="034A3564"/>
    <w:rsid w:val="03575298"/>
    <w:rsid w:val="035903B5"/>
    <w:rsid w:val="035B2972"/>
    <w:rsid w:val="035C5045"/>
    <w:rsid w:val="035F5A3C"/>
    <w:rsid w:val="03676684"/>
    <w:rsid w:val="0371253A"/>
    <w:rsid w:val="037C6FB6"/>
    <w:rsid w:val="037E4FBC"/>
    <w:rsid w:val="038509C9"/>
    <w:rsid w:val="03870314"/>
    <w:rsid w:val="038D3451"/>
    <w:rsid w:val="0394702E"/>
    <w:rsid w:val="03962305"/>
    <w:rsid w:val="039A7B14"/>
    <w:rsid w:val="03A2514E"/>
    <w:rsid w:val="03A27EF1"/>
    <w:rsid w:val="03BB6210"/>
    <w:rsid w:val="03C66965"/>
    <w:rsid w:val="03D80B70"/>
    <w:rsid w:val="03DD7F34"/>
    <w:rsid w:val="03DF3028"/>
    <w:rsid w:val="03E05C76"/>
    <w:rsid w:val="03EA7B21"/>
    <w:rsid w:val="03F359AA"/>
    <w:rsid w:val="03F922D4"/>
    <w:rsid w:val="04051239"/>
    <w:rsid w:val="040769CB"/>
    <w:rsid w:val="04117BDE"/>
    <w:rsid w:val="04124768"/>
    <w:rsid w:val="04282189"/>
    <w:rsid w:val="043525B3"/>
    <w:rsid w:val="04406715"/>
    <w:rsid w:val="04421CED"/>
    <w:rsid w:val="04425FE9"/>
    <w:rsid w:val="046057CC"/>
    <w:rsid w:val="046A46B1"/>
    <w:rsid w:val="046C3066"/>
    <w:rsid w:val="047C774D"/>
    <w:rsid w:val="048E55BC"/>
    <w:rsid w:val="048F465A"/>
    <w:rsid w:val="04912D27"/>
    <w:rsid w:val="04925647"/>
    <w:rsid w:val="04A3117E"/>
    <w:rsid w:val="04C22ADC"/>
    <w:rsid w:val="04C44C50"/>
    <w:rsid w:val="04D253F8"/>
    <w:rsid w:val="04E13A54"/>
    <w:rsid w:val="04E6087A"/>
    <w:rsid w:val="04E86B91"/>
    <w:rsid w:val="04F03C97"/>
    <w:rsid w:val="04F17DE4"/>
    <w:rsid w:val="04F76DD4"/>
    <w:rsid w:val="05002F87"/>
    <w:rsid w:val="050339CA"/>
    <w:rsid w:val="051F457C"/>
    <w:rsid w:val="0522094B"/>
    <w:rsid w:val="0523406D"/>
    <w:rsid w:val="05290F57"/>
    <w:rsid w:val="052971A9"/>
    <w:rsid w:val="05355B4E"/>
    <w:rsid w:val="05410997"/>
    <w:rsid w:val="05463D6A"/>
    <w:rsid w:val="05466333"/>
    <w:rsid w:val="055204AE"/>
    <w:rsid w:val="05573D16"/>
    <w:rsid w:val="0563090D"/>
    <w:rsid w:val="0575419C"/>
    <w:rsid w:val="05777F14"/>
    <w:rsid w:val="05964F85"/>
    <w:rsid w:val="059860C1"/>
    <w:rsid w:val="059B00A7"/>
    <w:rsid w:val="059C180E"/>
    <w:rsid w:val="059C797B"/>
    <w:rsid w:val="05B13057"/>
    <w:rsid w:val="05B13426"/>
    <w:rsid w:val="05B53C02"/>
    <w:rsid w:val="05B72A07"/>
    <w:rsid w:val="05C11AF4"/>
    <w:rsid w:val="05C56ED2"/>
    <w:rsid w:val="05D13AC9"/>
    <w:rsid w:val="05D610DF"/>
    <w:rsid w:val="05D81EC4"/>
    <w:rsid w:val="05F23A3F"/>
    <w:rsid w:val="05F477B7"/>
    <w:rsid w:val="05F67B74"/>
    <w:rsid w:val="05F71525"/>
    <w:rsid w:val="05F83EAE"/>
    <w:rsid w:val="05F9301F"/>
    <w:rsid w:val="06015E1D"/>
    <w:rsid w:val="060911D9"/>
    <w:rsid w:val="06177E24"/>
    <w:rsid w:val="06252E2F"/>
    <w:rsid w:val="0627193B"/>
    <w:rsid w:val="062D59D5"/>
    <w:rsid w:val="062F6A41"/>
    <w:rsid w:val="0635660C"/>
    <w:rsid w:val="063D2F0C"/>
    <w:rsid w:val="063E7D85"/>
    <w:rsid w:val="064C13A1"/>
    <w:rsid w:val="06514813"/>
    <w:rsid w:val="065B7836"/>
    <w:rsid w:val="06640E4B"/>
    <w:rsid w:val="067D3568"/>
    <w:rsid w:val="067E2B27"/>
    <w:rsid w:val="06840E03"/>
    <w:rsid w:val="0687062B"/>
    <w:rsid w:val="068A3C77"/>
    <w:rsid w:val="06A42F8B"/>
    <w:rsid w:val="06A92629"/>
    <w:rsid w:val="06B156A8"/>
    <w:rsid w:val="06B17456"/>
    <w:rsid w:val="06B70F10"/>
    <w:rsid w:val="06C4362D"/>
    <w:rsid w:val="06C669EC"/>
    <w:rsid w:val="06D17EE2"/>
    <w:rsid w:val="06D575E9"/>
    <w:rsid w:val="06D6041C"/>
    <w:rsid w:val="06E17D3B"/>
    <w:rsid w:val="06E33EC7"/>
    <w:rsid w:val="06F32700"/>
    <w:rsid w:val="06FA2BAB"/>
    <w:rsid w:val="06FB2C42"/>
    <w:rsid w:val="07041C7C"/>
    <w:rsid w:val="070938E6"/>
    <w:rsid w:val="070E3CD5"/>
    <w:rsid w:val="07100621"/>
    <w:rsid w:val="071010C3"/>
    <w:rsid w:val="07293586"/>
    <w:rsid w:val="07295285"/>
    <w:rsid w:val="073A1792"/>
    <w:rsid w:val="073A17BD"/>
    <w:rsid w:val="07410027"/>
    <w:rsid w:val="07436660"/>
    <w:rsid w:val="07466D87"/>
    <w:rsid w:val="074A1D85"/>
    <w:rsid w:val="074E34A0"/>
    <w:rsid w:val="07500A1D"/>
    <w:rsid w:val="075065BC"/>
    <w:rsid w:val="075B6A1A"/>
    <w:rsid w:val="07636392"/>
    <w:rsid w:val="076562D9"/>
    <w:rsid w:val="07670BF6"/>
    <w:rsid w:val="07741229"/>
    <w:rsid w:val="07770C56"/>
    <w:rsid w:val="077A36B1"/>
    <w:rsid w:val="07846919"/>
    <w:rsid w:val="078B070E"/>
    <w:rsid w:val="07944DAE"/>
    <w:rsid w:val="07990616"/>
    <w:rsid w:val="07997E12"/>
    <w:rsid w:val="079A2388"/>
    <w:rsid w:val="07A25BAF"/>
    <w:rsid w:val="07AA2823"/>
    <w:rsid w:val="07B0770E"/>
    <w:rsid w:val="07C35693"/>
    <w:rsid w:val="07CB4548"/>
    <w:rsid w:val="07D07AAD"/>
    <w:rsid w:val="07D4246E"/>
    <w:rsid w:val="07D77390"/>
    <w:rsid w:val="07E04497"/>
    <w:rsid w:val="07E55609"/>
    <w:rsid w:val="07E70D4B"/>
    <w:rsid w:val="07FB307F"/>
    <w:rsid w:val="07FE491D"/>
    <w:rsid w:val="08053EFD"/>
    <w:rsid w:val="08236132"/>
    <w:rsid w:val="083242B7"/>
    <w:rsid w:val="084D0F58"/>
    <w:rsid w:val="084E1401"/>
    <w:rsid w:val="084F5179"/>
    <w:rsid w:val="08512C9F"/>
    <w:rsid w:val="08534C69"/>
    <w:rsid w:val="08602EE2"/>
    <w:rsid w:val="087461DB"/>
    <w:rsid w:val="087F5A5E"/>
    <w:rsid w:val="08A13C26"/>
    <w:rsid w:val="08A76D63"/>
    <w:rsid w:val="08A92ADB"/>
    <w:rsid w:val="08AC4379"/>
    <w:rsid w:val="08D00FFA"/>
    <w:rsid w:val="08D101C3"/>
    <w:rsid w:val="08F2466C"/>
    <w:rsid w:val="09075A53"/>
    <w:rsid w:val="09093579"/>
    <w:rsid w:val="09120680"/>
    <w:rsid w:val="092217DD"/>
    <w:rsid w:val="092B4317"/>
    <w:rsid w:val="09341002"/>
    <w:rsid w:val="093412EE"/>
    <w:rsid w:val="09355BE0"/>
    <w:rsid w:val="093A7294"/>
    <w:rsid w:val="095A6AE5"/>
    <w:rsid w:val="09795283"/>
    <w:rsid w:val="097C3D4B"/>
    <w:rsid w:val="097D074F"/>
    <w:rsid w:val="097F383C"/>
    <w:rsid w:val="09842C00"/>
    <w:rsid w:val="09886B94"/>
    <w:rsid w:val="098B21E0"/>
    <w:rsid w:val="098D1AD4"/>
    <w:rsid w:val="098F7F23"/>
    <w:rsid w:val="09972933"/>
    <w:rsid w:val="09975029"/>
    <w:rsid w:val="099A2423"/>
    <w:rsid w:val="099B1640"/>
    <w:rsid w:val="09A02008"/>
    <w:rsid w:val="09B63A79"/>
    <w:rsid w:val="09BE25B6"/>
    <w:rsid w:val="09C53944"/>
    <w:rsid w:val="09C9041E"/>
    <w:rsid w:val="09D24AB4"/>
    <w:rsid w:val="09D92F4C"/>
    <w:rsid w:val="09DE67B4"/>
    <w:rsid w:val="09E0764A"/>
    <w:rsid w:val="09E638BB"/>
    <w:rsid w:val="0A03446D"/>
    <w:rsid w:val="0A0501E5"/>
    <w:rsid w:val="0A0D0E47"/>
    <w:rsid w:val="0A125155"/>
    <w:rsid w:val="0A200B7B"/>
    <w:rsid w:val="0A2543E3"/>
    <w:rsid w:val="0A263993"/>
    <w:rsid w:val="0A285C81"/>
    <w:rsid w:val="0A2D3AC2"/>
    <w:rsid w:val="0A314E36"/>
    <w:rsid w:val="0A3E36F7"/>
    <w:rsid w:val="0A572A77"/>
    <w:rsid w:val="0A6C3DC0"/>
    <w:rsid w:val="0A764C3F"/>
    <w:rsid w:val="0A852B6F"/>
    <w:rsid w:val="0A856C30"/>
    <w:rsid w:val="0A876E4C"/>
    <w:rsid w:val="0A897491"/>
    <w:rsid w:val="0A8F7AAE"/>
    <w:rsid w:val="0A913826"/>
    <w:rsid w:val="0AA755DF"/>
    <w:rsid w:val="0AB1607D"/>
    <w:rsid w:val="0ABF0394"/>
    <w:rsid w:val="0AC0235E"/>
    <w:rsid w:val="0AC0410C"/>
    <w:rsid w:val="0AC260D6"/>
    <w:rsid w:val="0AC77248"/>
    <w:rsid w:val="0AC97464"/>
    <w:rsid w:val="0ACB4F8A"/>
    <w:rsid w:val="0AD100C7"/>
    <w:rsid w:val="0AD329BB"/>
    <w:rsid w:val="0ADB2CF4"/>
    <w:rsid w:val="0AE27405"/>
    <w:rsid w:val="0AE44DD0"/>
    <w:rsid w:val="0AEE6ECB"/>
    <w:rsid w:val="0AEF054D"/>
    <w:rsid w:val="0B047927"/>
    <w:rsid w:val="0B120D44"/>
    <w:rsid w:val="0B1224D1"/>
    <w:rsid w:val="0B13248D"/>
    <w:rsid w:val="0B1F7084"/>
    <w:rsid w:val="0B2A123D"/>
    <w:rsid w:val="0B2D3779"/>
    <w:rsid w:val="0B2D4916"/>
    <w:rsid w:val="0B304DED"/>
    <w:rsid w:val="0B324EDB"/>
    <w:rsid w:val="0B330D82"/>
    <w:rsid w:val="0B372620"/>
    <w:rsid w:val="0B3A3EBE"/>
    <w:rsid w:val="0B3F7726"/>
    <w:rsid w:val="0B4007CB"/>
    <w:rsid w:val="0B462863"/>
    <w:rsid w:val="0B574A70"/>
    <w:rsid w:val="0B584344"/>
    <w:rsid w:val="0B5A28ED"/>
    <w:rsid w:val="0B670BE4"/>
    <w:rsid w:val="0B6E6509"/>
    <w:rsid w:val="0B712B9C"/>
    <w:rsid w:val="0B784F10"/>
    <w:rsid w:val="0B7A250D"/>
    <w:rsid w:val="0B837613"/>
    <w:rsid w:val="0B9449A1"/>
    <w:rsid w:val="0B9510F4"/>
    <w:rsid w:val="0B9A670B"/>
    <w:rsid w:val="0BA63302"/>
    <w:rsid w:val="0BA674A8"/>
    <w:rsid w:val="0BB023D2"/>
    <w:rsid w:val="0BB04180"/>
    <w:rsid w:val="0BB772BD"/>
    <w:rsid w:val="0BC11EE9"/>
    <w:rsid w:val="0BD27BF6"/>
    <w:rsid w:val="0BD46791"/>
    <w:rsid w:val="0BD55995"/>
    <w:rsid w:val="0BD92F93"/>
    <w:rsid w:val="0BE61950"/>
    <w:rsid w:val="0BEA7728"/>
    <w:rsid w:val="0BF26547"/>
    <w:rsid w:val="0BFC73C5"/>
    <w:rsid w:val="0C013B43"/>
    <w:rsid w:val="0C040028"/>
    <w:rsid w:val="0C087366"/>
    <w:rsid w:val="0C192B8C"/>
    <w:rsid w:val="0C193AD3"/>
    <w:rsid w:val="0C2030B4"/>
    <w:rsid w:val="0C234952"/>
    <w:rsid w:val="0C2801BA"/>
    <w:rsid w:val="0C281F69"/>
    <w:rsid w:val="0C2B45A8"/>
    <w:rsid w:val="0C2F779B"/>
    <w:rsid w:val="0C360E8F"/>
    <w:rsid w:val="0C3923C8"/>
    <w:rsid w:val="0C3B3C7D"/>
    <w:rsid w:val="0C3E79DE"/>
    <w:rsid w:val="0C474AE5"/>
    <w:rsid w:val="0C476893"/>
    <w:rsid w:val="0C4C3EA9"/>
    <w:rsid w:val="0C4F74F5"/>
    <w:rsid w:val="0C5263F3"/>
    <w:rsid w:val="0C526FE5"/>
    <w:rsid w:val="0C5E598A"/>
    <w:rsid w:val="0C6329E2"/>
    <w:rsid w:val="0C6E18D7"/>
    <w:rsid w:val="0C71390F"/>
    <w:rsid w:val="0C7358DA"/>
    <w:rsid w:val="0C7728F5"/>
    <w:rsid w:val="0C9910B8"/>
    <w:rsid w:val="0CA77331"/>
    <w:rsid w:val="0CA904A4"/>
    <w:rsid w:val="0CA9751C"/>
    <w:rsid w:val="0CAB2EAE"/>
    <w:rsid w:val="0CB02BEB"/>
    <w:rsid w:val="0CB152CC"/>
    <w:rsid w:val="0CB8153E"/>
    <w:rsid w:val="0CB90E13"/>
    <w:rsid w:val="0CC47EE3"/>
    <w:rsid w:val="0CCB0B59"/>
    <w:rsid w:val="0CCF0636"/>
    <w:rsid w:val="0CD22A2D"/>
    <w:rsid w:val="0CE04884"/>
    <w:rsid w:val="0CE95B9C"/>
    <w:rsid w:val="0CFD1647"/>
    <w:rsid w:val="0D014D4B"/>
    <w:rsid w:val="0D087BCF"/>
    <w:rsid w:val="0D10175C"/>
    <w:rsid w:val="0D29243C"/>
    <w:rsid w:val="0D324ED3"/>
    <w:rsid w:val="0D367139"/>
    <w:rsid w:val="0D3C254C"/>
    <w:rsid w:val="0D411DE7"/>
    <w:rsid w:val="0D4F1296"/>
    <w:rsid w:val="0D544BF4"/>
    <w:rsid w:val="0D621C7D"/>
    <w:rsid w:val="0D657CAC"/>
    <w:rsid w:val="0D75742F"/>
    <w:rsid w:val="0D7A4879"/>
    <w:rsid w:val="0D807666"/>
    <w:rsid w:val="0D821B4C"/>
    <w:rsid w:val="0D8E229F"/>
    <w:rsid w:val="0D913B3D"/>
    <w:rsid w:val="0D976274"/>
    <w:rsid w:val="0D9A50E8"/>
    <w:rsid w:val="0DA01F17"/>
    <w:rsid w:val="0DAA3634"/>
    <w:rsid w:val="0DAB10A3"/>
    <w:rsid w:val="0DAB4BFF"/>
    <w:rsid w:val="0DBA6674"/>
    <w:rsid w:val="0DBC3838"/>
    <w:rsid w:val="0DC313D6"/>
    <w:rsid w:val="0DC71BA8"/>
    <w:rsid w:val="0DD25FB8"/>
    <w:rsid w:val="0DD365AF"/>
    <w:rsid w:val="0DD856C5"/>
    <w:rsid w:val="0DE6032D"/>
    <w:rsid w:val="0DE63E89"/>
    <w:rsid w:val="0DF61A7D"/>
    <w:rsid w:val="0DF645D6"/>
    <w:rsid w:val="0E0407B3"/>
    <w:rsid w:val="0E056A05"/>
    <w:rsid w:val="0E0802A4"/>
    <w:rsid w:val="0E107158"/>
    <w:rsid w:val="0E15651D"/>
    <w:rsid w:val="0E281AD3"/>
    <w:rsid w:val="0E2844A2"/>
    <w:rsid w:val="0E342E47"/>
    <w:rsid w:val="0E4D215A"/>
    <w:rsid w:val="0E4F4D64"/>
    <w:rsid w:val="0E4F5ED2"/>
    <w:rsid w:val="0E567261"/>
    <w:rsid w:val="0E5723AE"/>
    <w:rsid w:val="0E614144"/>
    <w:rsid w:val="0E665BF5"/>
    <w:rsid w:val="0E67321C"/>
    <w:rsid w:val="0E73034D"/>
    <w:rsid w:val="0E7C1ED0"/>
    <w:rsid w:val="0E883192"/>
    <w:rsid w:val="0E8B67DF"/>
    <w:rsid w:val="0E990EFC"/>
    <w:rsid w:val="0E9E6313"/>
    <w:rsid w:val="0EC8358F"/>
    <w:rsid w:val="0ED62150"/>
    <w:rsid w:val="0EE1101E"/>
    <w:rsid w:val="0EFB5712"/>
    <w:rsid w:val="0EFE3EAD"/>
    <w:rsid w:val="0F13775A"/>
    <w:rsid w:val="0F216FC8"/>
    <w:rsid w:val="0F2E71B6"/>
    <w:rsid w:val="0F2E7896"/>
    <w:rsid w:val="0F437B1F"/>
    <w:rsid w:val="0F517A28"/>
    <w:rsid w:val="0F5337A0"/>
    <w:rsid w:val="0F5D0A2F"/>
    <w:rsid w:val="0F5F45FE"/>
    <w:rsid w:val="0F65224A"/>
    <w:rsid w:val="0F742064"/>
    <w:rsid w:val="0F7D6A6F"/>
    <w:rsid w:val="0F7F00F1"/>
    <w:rsid w:val="0F835F92"/>
    <w:rsid w:val="0F842307"/>
    <w:rsid w:val="0F847DFE"/>
    <w:rsid w:val="0F933B9D"/>
    <w:rsid w:val="0F9A112B"/>
    <w:rsid w:val="0F9F0794"/>
    <w:rsid w:val="0F9F69E6"/>
    <w:rsid w:val="0FA0350C"/>
    <w:rsid w:val="0FA101FD"/>
    <w:rsid w:val="0FB139B7"/>
    <w:rsid w:val="0FC24F0B"/>
    <w:rsid w:val="0FC93A62"/>
    <w:rsid w:val="0FD51F87"/>
    <w:rsid w:val="0FD934B0"/>
    <w:rsid w:val="0FE268D2"/>
    <w:rsid w:val="0FEC465E"/>
    <w:rsid w:val="0FF24D67"/>
    <w:rsid w:val="0FFE370C"/>
    <w:rsid w:val="101412D3"/>
    <w:rsid w:val="101958FA"/>
    <w:rsid w:val="1025513D"/>
    <w:rsid w:val="10303AE2"/>
    <w:rsid w:val="103A33BE"/>
    <w:rsid w:val="103C2AD4"/>
    <w:rsid w:val="103F5AD3"/>
    <w:rsid w:val="1045758D"/>
    <w:rsid w:val="104D4694"/>
    <w:rsid w:val="104F70F7"/>
    <w:rsid w:val="105060D5"/>
    <w:rsid w:val="10521CAA"/>
    <w:rsid w:val="10540A9B"/>
    <w:rsid w:val="1054157E"/>
    <w:rsid w:val="10593038"/>
    <w:rsid w:val="10595278"/>
    <w:rsid w:val="105D4A79"/>
    <w:rsid w:val="106D2F64"/>
    <w:rsid w:val="107838CD"/>
    <w:rsid w:val="107C4C75"/>
    <w:rsid w:val="107F4121"/>
    <w:rsid w:val="10967DE9"/>
    <w:rsid w:val="10970E6A"/>
    <w:rsid w:val="109776BD"/>
    <w:rsid w:val="10A06571"/>
    <w:rsid w:val="10A32505"/>
    <w:rsid w:val="10B262A5"/>
    <w:rsid w:val="10B63710"/>
    <w:rsid w:val="10CA0A12"/>
    <w:rsid w:val="10EA3C90"/>
    <w:rsid w:val="10F00C23"/>
    <w:rsid w:val="10F10820"/>
    <w:rsid w:val="10F16DCD"/>
    <w:rsid w:val="10F25629"/>
    <w:rsid w:val="10F62635"/>
    <w:rsid w:val="10FD7E68"/>
    <w:rsid w:val="11030CCF"/>
    <w:rsid w:val="11101A23"/>
    <w:rsid w:val="11112928"/>
    <w:rsid w:val="111247E3"/>
    <w:rsid w:val="11162CD7"/>
    <w:rsid w:val="111807FE"/>
    <w:rsid w:val="111970F4"/>
    <w:rsid w:val="111C2F7A"/>
    <w:rsid w:val="112278CE"/>
    <w:rsid w:val="11292A0B"/>
    <w:rsid w:val="112E6273"/>
    <w:rsid w:val="11360C84"/>
    <w:rsid w:val="11390774"/>
    <w:rsid w:val="113F222E"/>
    <w:rsid w:val="11446B5C"/>
    <w:rsid w:val="114D677E"/>
    <w:rsid w:val="11537A88"/>
    <w:rsid w:val="11592BC4"/>
    <w:rsid w:val="11665CA1"/>
    <w:rsid w:val="117901BD"/>
    <w:rsid w:val="118440E5"/>
    <w:rsid w:val="11894D57"/>
    <w:rsid w:val="118B5BFE"/>
    <w:rsid w:val="11902A8A"/>
    <w:rsid w:val="119E6076"/>
    <w:rsid w:val="11A249A7"/>
    <w:rsid w:val="11A622AD"/>
    <w:rsid w:val="11B259AF"/>
    <w:rsid w:val="11B322D4"/>
    <w:rsid w:val="11B60016"/>
    <w:rsid w:val="11C40985"/>
    <w:rsid w:val="11CA3C1A"/>
    <w:rsid w:val="11D54941"/>
    <w:rsid w:val="11DF131B"/>
    <w:rsid w:val="11E07AD1"/>
    <w:rsid w:val="11F22629"/>
    <w:rsid w:val="11F70A48"/>
    <w:rsid w:val="11FD79F3"/>
    <w:rsid w:val="12080872"/>
    <w:rsid w:val="120E4405"/>
    <w:rsid w:val="12152FD8"/>
    <w:rsid w:val="1216546D"/>
    <w:rsid w:val="12260CF8"/>
    <w:rsid w:val="12266F4A"/>
    <w:rsid w:val="122E488C"/>
    <w:rsid w:val="12331667"/>
    <w:rsid w:val="1235024B"/>
    <w:rsid w:val="123E4294"/>
    <w:rsid w:val="12413D84"/>
    <w:rsid w:val="12504D05"/>
    <w:rsid w:val="125515DD"/>
    <w:rsid w:val="12581D81"/>
    <w:rsid w:val="126006AE"/>
    <w:rsid w:val="12647A72"/>
    <w:rsid w:val="126637EB"/>
    <w:rsid w:val="126857B5"/>
    <w:rsid w:val="126A4382"/>
    <w:rsid w:val="126D2DCB"/>
    <w:rsid w:val="12883761"/>
    <w:rsid w:val="128A74D9"/>
    <w:rsid w:val="128B3251"/>
    <w:rsid w:val="129465AA"/>
    <w:rsid w:val="129E47A6"/>
    <w:rsid w:val="12A367ED"/>
    <w:rsid w:val="12B151C8"/>
    <w:rsid w:val="12BA7692"/>
    <w:rsid w:val="12C16C73"/>
    <w:rsid w:val="12C97CF4"/>
    <w:rsid w:val="12D22C2E"/>
    <w:rsid w:val="12DE7825"/>
    <w:rsid w:val="12ED279D"/>
    <w:rsid w:val="12F9640D"/>
    <w:rsid w:val="12FB2185"/>
    <w:rsid w:val="130D1EB8"/>
    <w:rsid w:val="13116DA4"/>
    <w:rsid w:val="13117BFA"/>
    <w:rsid w:val="13183FE3"/>
    <w:rsid w:val="1319085D"/>
    <w:rsid w:val="13192145"/>
    <w:rsid w:val="131D034D"/>
    <w:rsid w:val="13203999"/>
    <w:rsid w:val="13280AA0"/>
    <w:rsid w:val="13282143"/>
    <w:rsid w:val="132A027E"/>
    <w:rsid w:val="133739BE"/>
    <w:rsid w:val="133833D9"/>
    <w:rsid w:val="13394A5B"/>
    <w:rsid w:val="133B3709"/>
    <w:rsid w:val="13465239"/>
    <w:rsid w:val="13511DA5"/>
    <w:rsid w:val="135B0E75"/>
    <w:rsid w:val="136046DE"/>
    <w:rsid w:val="1363255E"/>
    <w:rsid w:val="136C311F"/>
    <w:rsid w:val="136F4921"/>
    <w:rsid w:val="13733702"/>
    <w:rsid w:val="137A57A0"/>
    <w:rsid w:val="138228A6"/>
    <w:rsid w:val="13833F28"/>
    <w:rsid w:val="13951726"/>
    <w:rsid w:val="139525D9"/>
    <w:rsid w:val="139B286D"/>
    <w:rsid w:val="139E2CE4"/>
    <w:rsid w:val="13A26AA4"/>
    <w:rsid w:val="13A36200"/>
    <w:rsid w:val="13B62550"/>
    <w:rsid w:val="13BA2040"/>
    <w:rsid w:val="13C01018"/>
    <w:rsid w:val="13C43709"/>
    <w:rsid w:val="13C612DD"/>
    <w:rsid w:val="13CF0769"/>
    <w:rsid w:val="13D053C0"/>
    <w:rsid w:val="13DA4490"/>
    <w:rsid w:val="13DC1FB6"/>
    <w:rsid w:val="13DD62CA"/>
    <w:rsid w:val="13E34684"/>
    <w:rsid w:val="13F049A6"/>
    <w:rsid w:val="140212F1"/>
    <w:rsid w:val="140618A3"/>
    <w:rsid w:val="1410477D"/>
    <w:rsid w:val="14252D71"/>
    <w:rsid w:val="14292D22"/>
    <w:rsid w:val="142F0794"/>
    <w:rsid w:val="14301CC2"/>
    <w:rsid w:val="143040B0"/>
    <w:rsid w:val="14396509"/>
    <w:rsid w:val="143C4803"/>
    <w:rsid w:val="144767ED"/>
    <w:rsid w:val="144D4C62"/>
    <w:rsid w:val="145533A6"/>
    <w:rsid w:val="14575AE1"/>
    <w:rsid w:val="1459605D"/>
    <w:rsid w:val="1473643A"/>
    <w:rsid w:val="14740441"/>
    <w:rsid w:val="1483237A"/>
    <w:rsid w:val="14891A12"/>
    <w:rsid w:val="1490670C"/>
    <w:rsid w:val="149E54BE"/>
    <w:rsid w:val="14A66120"/>
    <w:rsid w:val="14AD5701"/>
    <w:rsid w:val="14C85CE9"/>
    <w:rsid w:val="14CB202B"/>
    <w:rsid w:val="14D233B9"/>
    <w:rsid w:val="14D75ED0"/>
    <w:rsid w:val="14D927BA"/>
    <w:rsid w:val="14DD2C3C"/>
    <w:rsid w:val="14F055ED"/>
    <w:rsid w:val="14F275B8"/>
    <w:rsid w:val="14FC3F92"/>
    <w:rsid w:val="15113EE2"/>
    <w:rsid w:val="15205ED3"/>
    <w:rsid w:val="1525798D"/>
    <w:rsid w:val="152E046E"/>
    <w:rsid w:val="154058E7"/>
    <w:rsid w:val="154556F3"/>
    <w:rsid w:val="154F0213"/>
    <w:rsid w:val="155500FD"/>
    <w:rsid w:val="15567B46"/>
    <w:rsid w:val="15597637"/>
    <w:rsid w:val="155D7127"/>
    <w:rsid w:val="15634011"/>
    <w:rsid w:val="156A1844"/>
    <w:rsid w:val="1585042C"/>
    <w:rsid w:val="158741A4"/>
    <w:rsid w:val="158B6D3B"/>
    <w:rsid w:val="158C17BA"/>
    <w:rsid w:val="158C7B2F"/>
    <w:rsid w:val="1594241D"/>
    <w:rsid w:val="159D7523"/>
    <w:rsid w:val="159F3391"/>
    <w:rsid w:val="15A05265"/>
    <w:rsid w:val="15A5462A"/>
    <w:rsid w:val="15B036FB"/>
    <w:rsid w:val="15B30AF5"/>
    <w:rsid w:val="15B605E5"/>
    <w:rsid w:val="15B91DE4"/>
    <w:rsid w:val="15C53929"/>
    <w:rsid w:val="15CF16A7"/>
    <w:rsid w:val="15D849FF"/>
    <w:rsid w:val="15D84B7B"/>
    <w:rsid w:val="15DB629E"/>
    <w:rsid w:val="15EC59A1"/>
    <w:rsid w:val="15F1270C"/>
    <w:rsid w:val="15FD0670"/>
    <w:rsid w:val="16013F82"/>
    <w:rsid w:val="16027CCE"/>
    <w:rsid w:val="16036753"/>
    <w:rsid w:val="1606331B"/>
    <w:rsid w:val="16087E1D"/>
    <w:rsid w:val="1609105D"/>
    <w:rsid w:val="160F7356"/>
    <w:rsid w:val="16117F11"/>
    <w:rsid w:val="161517B0"/>
    <w:rsid w:val="16221024"/>
    <w:rsid w:val="162261B2"/>
    <w:rsid w:val="162639BD"/>
    <w:rsid w:val="16353C00"/>
    <w:rsid w:val="163A7E23"/>
    <w:rsid w:val="163D726E"/>
    <w:rsid w:val="16493207"/>
    <w:rsid w:val="164D719B"/>
    <w:rsid w:val="16564333"/>
    <w:rsid w:val="165F6ECF"/>
    <w:rsid w:val="16612C47"/>
    <w:rsid w:val="166603FD"/>
    <w:rsid w:val="166E0EC0"/>
    <w:rsid w:val="166E2C6E"/>
    <w:rsid w:val="16707AF8"/>
    <w:rsid w:val="1675334D"/>
    <w:rsid w:val="16813B44"/>
    <w:rsid w:val="16830AEB"/>
    <w:rsid w:val="16845544"/>
    <w:rsid w:val="168D57EA"/>
    <w:rsid w:val="16900E36"/>
    <w:rsid w:val="16952A8F"/>
    <w:rsid w:val="1695644C"/>
    <w:rsid w:val="16984E9E"/>
    <w:rsid w:val="169923E1"/>
    <w:rsid w:val="169D3D74"/>
    <w:rsid w:val="16B41D43"/>
    <w:rsid w:val="16B54D41"/>
    <w:rsid w:val="16BA2357"/>
    <w:rsid w:val="16BD3B7A"/>
    <w:rsid w:val="16BE59A3"/>
    <w:rsid w:val="16BF796D"/>
    <w:rsid w:val="16CA259A"/>
    <w:rsid w:val="16CB6312"/>
    <w:rsid w:val="16CF5E02"/>
    <w:rsid w:val="16DA6555"/>
    <w:rsid w:val="16E15B36"/>
    <w:rsid w:val="16E80C72"/>
    <w:rsid w:val="16EA17B8"/>
    <w:rsid w:val="16ED44DA"/>
    <w:rsid w:val="16F92E7F"/>
    <w:rsid w:val="16FE3FF2"/>
    <w:rsid w:val="17057FFE"/>
    <w:rsid w:val="1711641B"/>
    <w:rsid w:val="1717446B"/>
    <w:rsid w:val="17204F68"/>
    <w:rsid w:val="173B5246"/>
    <w:rsid w:val="174F0CF1"/>
    <w:rsid w:val="17516817"/>
    <w:rsid w:val="176302F9"/>
    <w:rsid w:val="17701D14"/>
    <w:rsid w:val="17703571"/>
    <w:rsid w:val="17735226"/>
    <w:rsid w:val="1775412A"/>
    <w:rsid w:val="177B0796"/>
    <w:rsid w:val="1783099B"/>
    <w:rsid w:val="17871CDF"/>
    <w:rsid w:val="178A4AE9"/>
    <w:rsid w:val="178A7F7B"/>
    <w:rsid w:val="178D1819"/>
    <w:rsid w:val="178D5376"/>
    <w:rsid w:val="17A133F8"/>
    <w:rsid w:val="17A50911"/>
    <w:rsid w:val="17B329D8"/>
    <w:rsid w:val="17C214C3"/>
    <w:rsid w:val="17D11706"/>
    <w:rsid w:val="17D7417D"/>
    <w:rsid w:val="17E137BA"/>
    <w:rsid w:val="17E21D1B"/>
    <w:rsid w:val="17F378CF"/>
    <w:rsid w:val="18062C2E"/>
    <w:rsid w:val="180C6085"/>
    <w:rsid w:val="181B501A"/>
    <w:rsid w:val="18205602"/>
    <w:rsid w:val="18216B7B"/>
    <w:rsid w:val="18227555"/>
    <w:rsid w:val="18326AC9"/>
    <w:rsid w:val="1833416F"/>
    <w:rsid w:val="18344781"/>
    <w:rsid w:val="18381785"/>
    <w:rsid w:val="183C74C7"/>
    <w:rsid w:val="183F12A7"/>
    <w:rsid w:val="184B770B"/>
    <w:rsid w:val="185540E5"/>
    <w:rsid w:val="185B5474"/>
    <w:rsid w:val="186A061D"/>
    <w:rsid w:val="187A7A24"/>
    <w:rsid w:val="187B091F"/>
    <w:rsid w:val="187C78C4"/>
    <w:rsid w:val="188744BB"/>
    <w:rsid w:val="189A41EE"/>
    <w:rsid w:val="189F624C"/>
    <w:rsid w:val="18A706B9"/>
    <w:rsid w:val="18A952D2"/>
    <w:rsid w:val="18AC5CCF"/>
    <w:rsid w:val="18B8457C"/>
    <w:rsid w:val="18C33745"/>
    <w:rsid w:val="18C461FA"/>
    <w:rsid w:val="18C95942"/>
    <w:rsid w:val="18D93032"/>
    <w:rsid w:val="18D944D4"/>
    <w:rsid w:val="18DB1C64"/>
    <w:rsid w:val="18DC65B5"/>
    <w:rsid w:val="18E473AC"/>
    <w:rsid w:val="18EA6F23"/>
    <w:rsid w:val="18ED07C2"/>
    <w:rsid w:val="18F77CFC"/>
    <w:rsid w:val="1902223E"/>
    <w:rsid w:val="190478B9"/>
    <w:rsid w:val="19093C02"/>
    <w:rsid w:val="190D2C12"/>
    <w:rsid w:val="192B4FDB"/>
    <w:rsid w:val="192C54AB"/>
    <w:rsid w:val="19324427"/>
    <w:rsid w:val="19345C55"/>
    <w:rsid w:val="193E101D"/>
    <w:rsid w:val="19404D95"/>
    <w:rsid w:val="194523AC"/>
    <w:rsid w:val="194B7296"/>
    <w:rsid w:val="194F6D87"/>
    <w:rsid w:val="19502AFF"/>
    <w:rsid w:val="19550115"/>
    <w:rsid w:val="195720DF"/>
    <w:rsid w:val="195A572B"/>
    <w:rsid w:val="195D5064"/>
    <w:rsid w:val="195D6EAA"/>
    <w:rsid w:val="196434D1"/>
    <w:rsid w:val="19696253"/>
    <w:rsid w:val="196B292F"/>
    <w:rsid w:val="197752D7"/>
    <w:rsid w:val="19777A51"/>
    <w:rsid w:val="198048E1"/>
    <w:rsid w:val="198D3D53"/>
    <w:rsid w:val="19940C3D"/>
    <w:rsid w:val="19B25A82"/>
    <w:rsid w:val="19B64588"/>
    <w:rsid w:val="19B847F0"/>
    <w:rsid w:val="19B94B48"/>
    <w:rsid w:val="19BF7015"/>
    <w:rsid w:val="19C72DC1"/>
    <w:rsid w:val="19CC487B"/>
    <w:rsid w:val="19CF2F48"/>
    <w:rsid w:val="19D071CC"/>
    <w:rsid w:val="19D842C9"/>
    <w:rsid w:val="19DE56B0"/>
    <w:rsid w:val="19E42A94"/>
    <w:rsid w:val="19EA67AC"/>
    <w:rsid w:val="19EC6CCB"/>
    <w:rsid w:val="19ED659F"/>
    <w:rsid w:val="1A0A1C53"/>
    <w:rsid w:val="1A1917B3"/>
    <w:rsid w:val="1A1C66C0"/>
    <w:rsid w:val="1A1D6E85"/>
    <w:rsid w:val="1A226249"/>
    <w:rsid w:val="1A295829"/>
    <w:rsid w:val="1A345F7C"/>
    <w:rsid w:val="1A381F10"/>
    <w:rsid w:val="1A385A6D"/>
    <w:rsid w:val="1A3D1F3A"/>
    <w:rsid w:val="1A417B90"/>
    <w:rsid w:val="1A42393B"/>
    <w:rsid w:val="1A4473A9"/>
    <w:rsid w:val="1A450189"/>
    <w:rsid w:val="1A4563DB"/>
    <w:rsid w:val="1A506A34"/>
    <w:rsid w:val="1A587EBD"/>
    <w:rsid w:val="1A6525DA"/>
    <w:rsid w:val="1A693E78"/>
    <w:rsid w:val="1A6D693E"/>
    <w:rsid w:val="1A712403"/>
    <w:rsid w:val="1A78055F"/>
    <w:rsid w:val="1A7840BB"/>
    <w:rsid w:val="1A7B4AAD"/>
    <w:rsid w:val="1A805517"/>
    <w:rsid w:val="1A82318C"/>
    <w:rsid w:val="1A9058A9"/>
    <w:rsid w:val="1A951111"/>
    <w:rsid w:val="1A9A2283"/>
    <w:rsid w:val="1A9B04D2"/>
    <w:rsid w:val="1A9B5FFB"/>
    <w:rsid w:val="1A9D6217"/>
    <w:rsid w:val="1AA749A0"/>
    <w:rsid w:val="1AAD45DE"/>
    <w:rsid w:val="1AC47300"/>
    <w:rsid w:val="1AC94917"/>
    <w:rsid w:val="1AD0039B"/>
    <w:rsid w:val="1AD46B1C"/>
    <w:rsid w:val="1AD80FFE"/>
    <w:rsid w:val="1ADF238C"/>
    <w:rsid w:val="1AEA373A"/>
    <w:rsid w:val="1B046F80"/>
    <w:rsid w:val="1B0A3A5F"/>
    <w:rsid w:val="1B122762"/>
    <w:rsid w:val="1B2E0C1E"/>
    <w:rsid w:val="1B3267B5"/>
    <w:rsid w:val="1B365566"/>
    <w:rsid w:val="1B40161D"/>
    <w:rsid w:val="1B441859"/>
    <w:rsid w:val="1B4C3C0F"/>
    <w:rsid w:val="1B505038"/>
    <w:rsid w:val="1B6606B1"/>
    <w:rsid w:val="1B662AAD"/>
    <w:rsid w:val="1B66485B"/>
    <w:rsid w:val="1B6B27A7"/>
    <w:rsid w:val="1B6B346D"/>
    <w:rsid w:val="1B79458F"/>
    <w:rsid w:val="1B7E08C5"/>
    <w:rsid w:val="1B7E3953"/>
    <w:rsid w:val="1B8A679C"/>
    <w:rsid w:val="1B9413C8"/>
    <w:rsid w:val="1B9A3B40"/>
    <w:rsid w:val="1B9B6A8A"/>
    <w:rsid w:val="1BA03591"/>
    <w:rsid w:val="1BA33762"/>
    <w:rsid w:val="1BA869C7"/>
    <w:rsid w:val="1BAA4748"/>
    <w:rsid w:val="1BBC447B"/>
    <w:rsid w:val="1BBE6BA7"/>
    <w:rsid w:val="1BE063BC"/>
    <w:rsid w:val="1BE06DA7"/>
    <w:rsid w:val="1BE35EAC"/>
    <w:rsid w:val="1BEC5FB9"/>
    <w:rsid w:val="1BEF2AA3"/>
    <w:rsid w:val="1BFD4BBB"/>
    <w:rsid w:val="1C154EDE"/>
    <w:rsid w:val="1C275D99"/>
    <w:rsid w:val="1C2C1601"/>
    <w:rsid w:val="1C2F4C4D"/>
    <w:rsid w:val="1C2F6749"/>
    <w:rsid w:val="1C35495A"/>
    <w:rsid w:val="1C3A059A"/>
    <w:rsid w:val="1C3E30E2"/>
    <w:rsid w:val="1C42747C"/>
    <w:rsid w:val="1C4526C3"/>
    <w:rsid w:val="1C4E7373"/>
    <w:rsid w:val="1C5A43C0"/>
    <w:rsid w:val="1C5E7925"/>
    <w:rsid w:val="1C676ADD"/>
    <w:rsid w:val="1C6B037B"/>
    <w:rsid w:val="1C741CA2"/>
    <w:rsid w:val="1C7D3C04"/>
    <w:rsid w:val="1C7F19A7"/>
    <w:rsid w:val="1C8E6C5A"/>
    <w:rsid w:val="1C905E39"/>
    <w:rsid w:val="1C943496"/>
    <w:rsid w:val="1C9633EE"/>
    <w:rsid w:val="1C984EE8"/>
    <w:rsid w:val="1CA21A6F"/>
    <w:rsid w:val="1CA53161"/>
    <w:rsid w:val="1CA62F13"/>
    <w:rsid w:val="1CA70C88"/>
    <w:rsid w:val="1CAB05D0"/>
    <w:rsid w:val="1CAE2016"/>
    <w:rsid w:val="1CB11B06"/>
    <w:rsid w:val="1CB87339"/>
    <w:rsid w:val="1CB876C2"/>
    <w:rsid w:val="1CBF2475"/>
    <w:rsid w:val="1CBF6A46"/>
    <w:rsid w:val="1CC05C52"/>
    <w:rsid w:val="1CCE090A"/>
    <w:rsid w:val="1CD6156D"/>
    <w:rsid w:val="1CDC0B3F"/>
    <w:rsid w:val="1CDC2690"/>
    <w:rsid w:val="1CE471BB"/>
    <w:rsid w:val="1CEB45D2"/>
    <w:rsid w:val="1CEB6DC6"/>
    <w:rsid w:val="1CF163A7"/>
    <w:rsid w:val="1CF2284B"/>
    <w:rsid w:val="1CF77E61"/>
    <w:rsid w:val="1CFB1C06"/>
    <w:rsid w:val="1CFD070F"/>
    <w:rsid w:val="1CFD2F9D"/>
    <w:rsid w:val="1D07144E"/>
    <w:rsid w:val="1D131341"/>
    <w:rsid w:val="1D135AC2"/>
    <w:rsid w:val="1D187DD7"/>
    <w:rsid w:val="1D1B1543"/>
    <w:rsid w:val="1D306ECF"/>
    <w:rsid w:val="1D3B29EA"/>
    <w:rsid w:val="1D41685C"/>
    <w:rsid w:val="1D4431E8"/>
    <w:rsid w:val="1D4E55A7"/>
    <w:rsid w:val="1D4F1A4B"/>
    <w:rsid w:val="1D507571"/>
    <w:rsid w:val="1D553524"/>
    <w:rsid w:val="1D562F59"/>
    <w:rsid w:val="1D5F6196"/>
    <w:rsid w:val="1D6132A5"/>
    <w:rsid w:val="1D6372A4"/>
    <w:rsid w:val="1D682B0D"/>
    <w:rsid w:val="1D721295"/>
    <w:rsid w:val="1D790876"/>
    <w:rsid w:val="1D7C1E86"/>
    <w:rsid w:val="1D807E56"/>
    <w:rsid w:val="1D8E56D5"/>
    <w:rsid w:val="1D927B8A"/>
    <w:rsid w:val="1DA4231F"/>
    <w:rsid w:val="1DA819EC"/>
    <w:rsid w:val="1DAA4ED3"/>
    <w:rsid w:val="1DAB1B41"/>
    <w:rsid w:val="1DB16262"/>
    <w:rsid w:val="1DBE272D"/>
    <w:rsid w:val="1DBE443F"/>
    <w:rsid w:val="1DD41F50"/>
    <w:rsid w:val="1DD43CFE"/>
    <w:rsid w:val="1DD575F8"/>
    <w:rsid w:val="1DDA5E16"/>
    <w:rsid w:val="1DE129E8"/>
    <w:rsid w:val="1DE22E47"/>
    <w:rsid w:val="1DF0665E"/>
    <w:rsid w:val="1E0D5462"/>
    <w:rsid w:val="1E0E6FDF"/>
    <w:rsid w:val="1E114F52"/>
    <w:rsid w:val="1E122A78"/>
    <w:rsid w:val="1E1265D5"/>
    <w:rsid w:val="1E1467F1"/>
    <w:rsid w:val="1E160008"/>
    <w:rsid w:val="1E234C86"/>
    <w:rsid w:val="1E262080"/>
    <w:rsid w:val="1E2C58E8"/>
    <w:rsid w:val="1E301F4B"/>
    <w:rsid w:val="1E316049"/>
    <w:rsid w:val="1E3429EF"/>
    <w:rsid w:val="1E37428D"/>
    <w:rsid w:val="1E3C64F5"/>
    <w:rsid w:val="1E42335E"/>
    <w:rsid w:val="1E4946EC"/>
    <w:rsid w:val="1E4C7D38"/>
    <w:rsid w:val="1E4E3AB1"/>
    <w:rsid w:val="1E566E09"/>
    <w:rsid w:val="1E593087"/>
    <w:rsid w:val="1E5933F2"/>
    <w:rsid w:val="1E5D7DE9"/>
    <w:rsid w:val="1E672DC4"/>
    <w:rsid w:val="1E682698"/>
    <w:rsid w:val="1E6908EA"/>
    <w:rsid w:val="1E784581"/>
    <w:rsid w:val="1E7948A6"/>
    <w:rsid w:val="1E7A43DA"/>
    <w:rsid w:val="1E82375A"/>
    <w:rsid w:val="1E9525AF"/>
    <w:rsid w:val="1E9A586D"/>
    <w:rsid w:val="1E9B2A6E"/>
    <w:rsid w:val="1EA266C0"/>
    <w:rsid w:val="1EAF20C3"/>
    <w:rsid w:val="1EB04CF3"/>
    <w:rsid w:val="1EB32A77"/>
    <w:rsid w:val="1EBD29E4"/>
    <w:rsid w:val="1ED979AD"/>
    <w:rsid w:val="1EDC54FD"/>
    <w:rsid w:val="1EE066D3"/>
    <w:rsid w:val="1EED151B"/>
    <w:rsid w:val="1EFA0DBE"/>
    <w:rsid w:val="1EFA1543"/>
    <w:rsid w:val="1EFD2393"/>
    <w:rsid w:val="1F0E75BF"/>
    <w:rsid w:val="1F2627EB"/>
    <w:rsid w:val="1F3B3EC2"/>
    <w:rsid w:val="1F3C1B5B"/>
    <w:rsid w:val="1F43738D"/>
    <w:rsid w:val="1F460C2C"/>
    <w:rsid w:val="1F484038"/>
    <w:rsid w:val="1F4B4494"/>
    <w:rsid w:val="1F666E01"/>
    <w:rsid w:val="1F6B41EE"/>
    <w:rsid w:val="1F705CA9"/>
    <w:rsid w:val="1F775289"/>
    <w:rsid w:val="1F841754"/>
    <w:rsid w:val="1F8452B0"/>
    <w:rsid w:val="1F9A5406"/>
    <w:rsid w:val="1FA91331"/>
    <w:rsid w:val="1FAD1142"/>
    <w:rsid w:val="1FB060A5"/>
    <w:rsid w:val="1FB42039"/>
    <w:rsid w:val="1FB5190D"/>
    <w:rsid w:val="1FBC7140"/>
    <w:rsid w:val="1FBE07C2"/>
    <w:rsid w:val="1FBE1528"/>
    <w:rsid w:val="1FC87893"/>
    <w:rsid w:val="1FCE6BD7"/>
    <w:rsid w:val="1FD1001D"/>
    <w:rsid w:val="1FDC6E9A"/>
    <w:rsid w:val="1FE3647B"/>
    <w:rsid w:val="1FE7539E"/>
    <w:rsid w:val="1FED10A7"/>
    <w:rsid w:val="1FF57F5C"/>
    <w:rsid w:val="200D799B"/>
    <w:rsid w:val="200F3E48"/>
    <w:rsid w:val="20131187"/>
    <w:rsid w:val="20140D2A"/>
    <w:rsid w:val="201B4033"/>
    <w:rsid w:val="2031368A"/>
    <w:rsid w:val="203B1A9A"/>
    <w:rsid w:val="203B62B7"/>
    <w:rsid w:val="20436F19"/>
    <w:rsid w:val="204607B7"/>
    <w:rsid w:val="20531852"/>
    <w:rsid w:val="2054573D"/>
    <w:rsid w:val="205C7FDB"/>
    <w:rsid w:val="205F50EF"/>
    <w:rsid w:val="2063580D"/>
    <w:rsid w:val="20671BE0"/>
    <w:rsid w:val="206A6B9C"/>
    <w:rsid w:val="206C2914"/>
    <w:rsid w:val="20744B6F"/>
    <w:rsid w:val="20825C93"/>
    <w:rsid w:val="209152CB"/>
    <w:rsid w:val="20963CB8"/>
    <w:rsid w:val="20992FDD"/>
    <w:rsid w:val="209B0B03"/>
    <w:rsid w:val="20A81A1B"/>
    <w:rsid w:val="20AF1E8F"/>
    <w:rsid w:val="20B07FB6"/>
    <w:rsid w:val="20B646FB"/>
    <w:rsid w:val="20BA614C"/>
    <w:rsid w:val="20C067BC"/>
    <w:rsid w:val="20C444FE"/>
    <w:rsid w:val="20D266F7"/>
    <w:rsid w:val="20E0304B"/>
    <w:rsid w:val="20E05780"/>
    <w:rsid w:val="20E71F9A"/>
    <w:rsid w:val="20F16975"/>
    <w:rsid w:val="20F85F56"/>
    <w:rsid w:val="20FD05AB"/>
    <w:rsid w:val="21004E0A"/>
    <w:rsid w:val="21057E7F"/>
    <w:rsid w:val="21221225"/>
    <w:rsid w:val="212E5E1B"/>
    <w:rsid w:val="21333432"/>
    <w:rsid w:val="213B74B1"/>
    <w:rsid w:val="21472C64"/>
    <w:rsid w:val="214B2E0B"/>
    <w:rsid w:val="21535882"/>
    <w:rsid w:val="215A2310"/>
    <w:rsid w:val="21611335"/>
    <w:rsid w:val="216536A1"/>
    <w:rsid w:val="21696E53"/>
    <w:rsid w:val="216D6919"/>
    <w:rsid w:val="216E7FC6"/>
    <w:rsid w:val="21701F90"/>
    <w:rsid w:val="21777747"/>
    <w:rsid w:val="217F3103"/>
    <w:rsid w:val="218B6DCA"/>
    <w:rsid w:val="219771C8"/>
    <w:rsid w:val="219F4623"/>
    <w:rsid w:val="21A460DD"/>
    <w:rsid w:val="21A734D8"/>
    <w:rsid w:val="21B55BF5"/>
    <w:rsid w:val="21BF1DD8"/>
    <w:rsid w:val="21C06B80"/>
    <w:rsid w:val="21CB71C6"/>
    <w:rsid w:val="21D36207"/>
    <w:rsid w:val="21D50045"/>
    <w:rsid w:val="21D520B1"/>
    <w:rsid w:val="21D818E3"/>
    <w:rsid w:val="21DE318A"/>
    <w:rsid w:val="21DF2C72"/>
    <w:rsid w:val="21E336A7"/>
    <w:rsid w:val="21EB1616"/>
    <w:rsid w:val="21EF5B80"/>
    <w:rsid w:val="21EF7079"/>
    <w:rsid w:val="21F4671D"/>
    <w:rsid w:val="21F506E7"/>
    <w:rsid w:val="21FE57EE"/>
    <w:rsid w:val="2201708C"/>
    <w:rsid w:val="220426D8"/>
    <w:rsid w:val="22056B7C"/>
    <w:rsid w:val="220628F4"/>
    <w:rsid w:val="220E2AE7"/>
    <w:rsid w:val="221072CF"/>
    <w:rsid w:val="2212747B"/>
    <w:rsid w:val="22183599"/>
    <w:rsid w:val="222339F7"/>
    <w:rsid w:val="222370FD"/>
    <w:rsid w:val="223034CD"/>
    <w:rsid w:val="223631D9"/>
    <w:rsid w:val="223F4001"/>
    <w:rsid w:val="22405E06"/>
    <w:rsid w:val="22407D0F"/>
    <w:rsid w:val="224D0523"/>
    <w:rsid w:val="22513B6F"/>
    <w:rsid w:val="22576990"/>
    <w:rsid w:val="22590868"/>
    <w:rsid w:val="225B140B"/>
    <w:rsid w:val="225C2514"/>
    <w:rsid w:val="22694385"/>
    <w:rsid w:val="226A2E83"/>
    <w:rsid w:val="227C6712"/>
    <w:rsid w:val="22804455"/>
    <w:rsid w:val="22866796"/>
    <w:rsid w:val="228757E3"/>
    <w:rsid w:val="228B3B76"/>
    <w:rsid w:val="22935F9E"/>
    <w:rsid w:val="229677D4"/>
    <w:rsid w:val="229E48DB"/>
    <w:rsid w:val="22A31EF1"/>
    <w:rsid w:val="22A50220"/>
    <w:rsid w:val="22A706A0"/>
    <w:rsid w:val="22A85759"/>
    <w:rsid w:val="22AC349C"/>
    <w:rsid w:val="22AE035B"/>
    <w:rsid w:val="22B805BC"/>
    <w:rsid w:val="22BA5BB9"/>
    <w:rsid w:val="22C04851"/>
    <w:rsid w:val="22CC1448"/>
    <w:rsid w:val="22CF0F38"/>
    <w:rsid w:val="22D4654E"/>
    <w:rsid w:val="22DA352E"/>
    <w:rsid w:val="22E42C35"/>
    <w:rsid w:val="22E70030"/>
    <w:rsid w:val="22E76C3D"/>
    <w:rsid w:val="22F15EE4"/>
    <w:rsid w:val="22F47480"/>
    <w:rsid w:val="23005595"/>
    <w:rsid w:val="23122420"/>
    <w:rsid w:val="23130E25"/>
    <w:rsid w:val="231336C0"/>
    <w:rsid w:val="23166AD4"/>
    <w:rsid w:val="231F6004"/>
    <w:rsid w:val="23201794"/>
    <w:rsid w:val="232079E6"/>
    <w:rsid w:val="23216393"/>
    <w:rsid w:val="232344A5"/>
    <w:rsid w:val="23256680"/>
    <w:rsid w:val="23333275"/>
    <w:rsid w:val="23384D2F"/>
    <w:rsid w:val="23447230"/>
    <w:rsid w:val="23531352"/>
    <w:rsid w:val="23571659"/>
    <w:rsid w:val="235A52F7"/>
    <w:rsid w:val="235C470F"/>
    <w:rsid w:val="23691129"/>
    <w:rsid w:val="23A423C5"/>
    <w:rsid w:val="23C03737"/>
    <w:rsid w:val="23C10881"/>
    <w:rsid w:val="23C81313"/>
    <w:rsid w:val="23CD5478"/>
    <w:rsid w:val="23D06D16"/>
    <w:rsid w:val="23D902C0"/>
    <w:rsid w:val="23DE1C48"/>
    <w:rsid w:val="23E25E0A"/>
    <w:rsid w:val="23F339F3"/>
    <w:rsid w:val="23F6340C"/>
    <w:rsid w:val="24015121"/>
    <w:rsid w:val="240210CD"/>
    <w:rsid w:val="240366A5"/>
    <w:rsid w:val="240370EB"/>
    <w:rsid w:val="240E783E"/>
    <w:rsid w:val="24163362"/>
    <w:rsid w:val="24294678"/>
    <w:rsid w:val="242A28F9"/>
    <w:rsid w:val="24390D5F"/>
    <w:rsid w:val="243C084F"/>
    <w:rsid w:val="243C25FD"/>
    <w:rsid w:val="24474BEB"/>
    <w:rsid w:val="24480FA2"/>
    <w:rsid w:val="24490928"/>
    <w:rsid w:val="244B3152"/>
    <w:rsid w:val="244D0366"/>
    <w:rsid w:val="245076FF"/>
    <w:rsid w:val="24653902"/>
    <w:rsid w:val="246A53BC"/>
    <w:rsid w:val="246B6A3F"/>
    <w:rsid w:val="2472475B"/>
    <w:rsid w:val="24725679"/>
    <w:rsid w:val="247C5E1C"/>
    <w:rsid w:val="24820A5B"/>
    <w:rsid w:val="24843087"/>
    <w:rsid w:val="24861ACA"/>
    <w:rsid w:val="24AA78C9"/>
    <w:rsid w:val="24AC1531"/>
    <w:rsid w:val="24BF09F7"/>
    <w:rsid w:val="24C20D54"/>
    <w:rsid w:val="24C26FA6"/>
    <w:rsid w:val="24D12D46"/>
    <w:rsid w:val="24E422B9"/>
    <w:rsid w:val="24E82F7E"/>
    <w:rsid w:val="24E862E1"/>
    <w:rsid w:val="24F609FE"/>
    <w:rsid w:val="24FD3B3B"/>
    <w:rsid w:val="2502031E"/>
    <w:rsid w:val="250255F5"/>
    <w:rsid w:val="250A3363"/>
    <w:rsid w:val="25141D3A"/>
    <w:rsid w:val="252D53FE"/>
    <w:rsid w:val="25311A36"/>
    <w:rsid w:val="2533755C"/>
    <w:rsid w:val="2539485F"/>
    <w:rsid w:val="25445C0D"/>
    <w:rsid w:val="254D45A6"/>
    <w:rsid w:val="25506360"/>
    <w:rsid w:val="2556149D"/>
    <w:rsid w:val="256C0CC0"/>
    <w:rsid w:val="25710085"/>
    <w:rsid w:val="25755DC7"/>
    <w:rsid w:val="257858B7"/>
    <w:rsid w:val="257A162F"/>
    <w:rsid w:val="25826736"/>
    <w:rsid w:val="258E2EC9"/>
    <w:rsid w:val="259C498B"/>
    <w:rsid w:val="259C77F7"/>
    <w:rsid w:val="25A14D4F"/>
    <w:rsid w:val="25A352C1"/>
    <w:rsid w:val="25A8619C"/>
    <w:rsid w:val="25B049BE"/>
    <w:rsid w:val="25B63CB2"/>
    <w:rsid w:val="25D57D4B"/>
    <w:rsid w:val="25DB38F1"/>
    <w:rsid w:val="25DC0A27"/>
    <w:rsid w:val="25DE4C6C"/>
    <w:rsid w:val="25DF33D5"/>
    <w:rsid w:val="25E35426"/>
    <w:rsid w:val="25EC2D81"/>
    <w:rsid w:val="25F56F08"/>
    <w:rsid w:val="261B741D"/>
    <w:rsid w:val="26217CFD"/>
    <w:rsid w:val="26261CCC"/>
    <w:rsid w:val="262C1176"/>
    <w:rsid w:val="262D4649"/>
    <w:rsid w:val="262F1E40"/>
    <w:rsid w:val="263317DE"/>
    <w:rsid w:val="263537A8"/>
    <w:rsid w:val="26357304"/>
    <w:rsid w:val="266A16A4"/>
    <w:rsid w:val="267E514F"/>
    <w:rsid w:val="268A55D9"/>
    <w:rsid w:val="268A7BCD"/>
    <w:rsid w:val="268C786C"/>
    <w:rsid w:val="268F044A"/>
    <w:rsid w:val="26924756"/>
    <w:rsid w:val="269A3AE6"/>
    <w:rsid w:val="26A1091A"/>
    <w:rsid w:val="26A61FB0"/>
    <w:rsid w:val="26A83F7A"/>
    <w:rsid w:val="26AC0602"/>
    <w:rsid w:val="26AC3A6A"/>
    <w:rsid w:val="26B20955"/>
    <w:rsid w:val="26B74F7E"/>
    <w:rsid w:val="26BF6F42"/>
    <w:rsid w:val="26C62652"/>
    <w:rsid w:val="26CC5804"/>
    <w:rsid w:val="26CF59AB"/>
    <w:rsid w:val="26D018EA"/>
    <w:rsid w:val="26E50D2A"/>
    <w:rsid w:val="26F60889"/>
    <w:rsid w:val="26F64CE5"/>
    <w:rsid w:val="26FA24F7"/>
    <w:rsid w:val="26FE299E"/>
    <w:rsid w:val="27190DDB"/>
    <w:rsid w:val="27194E78"/>
    <w:rsid w:val="271A01E4"/>
    <w:rsid w:val="2728014B"/>
    <w:rsid w:val="272F5802"/>
    <w:rsid w:val="27313F6F"/>
    <w:rsid w:val="273837FA"/>
    <w:rsid w:val="274912B9"/>
    <w:rsid w:val="2751016E"/>
    <w:rsid w:val="27545EB0"/>
    <w:rsid w:val="27575417"/>
    <w:rsid w:val="275B0FEC"/>
    <w:rsid w:val="275F25C9"/>
    <w:rsid w:val="277057A2"/>
    <w:rsid w:val="27724D2D"/>
    <w:rsid w:val="2778394C"/>
    <w:rsid w:val="279326C9"/>
    <w:rsid w:val="27AC6324"/>
    <w:rsid w:val="27B16E5E"/>
    <w:rsid w:val="27B70919"/>
    <w:rsid w:val="27B92902"/>
    <w:rsid w:val="27BA12A7"/>
    <w:rsid w:val="27BB7CDD"/>
    <w:rsid w:val="27C546B8"/>
    <w:rsid w:val="27C93AA6"/>
    <w:rsid w:val="27CC5A46"/>
    <w:rsid w:val="27D17500"/>
    <w:rsid w:val="27D8516B"/>
    <w:rsid w:val="27EE6010"/>
    <w:rsid w:val="27F52125"/>
    <w:rsid w:val="28065424"/>
    <w:rsid w:val="280E2503"/>
    <w:rsid w:val="28107987"/>
    <w:rsid w:val="281318C7"/>
    <w:rsid w:val="28157105"/>
    <w:rsid w:val="28277120"/>
    <w:rsid w:val="28327F9F"/>
    <w:rsid w:val="283755B5"/>
    <w:rsid w:val="283C5561"/>
    <w:rsid w:val="28414686"/>
    <w:rsid w:val="284C097D"/>
    <w:rsid w:val="284D4DD9"/>
    <w:rsid w:val="284F6DA3"/>
    <w:rsid w:val="28550131"/>
    <w:rsid w:val="285B2563"/>
    <w:rsid w:val="285C14C0"/>
    <w:rsid w:val="28681C13"/>
    <w:rsid w:val="286903EF"/>
    <w:rsid w:val="28716ED4"/>
    <w:rsid w:val="28722A91"/>
    <w:rsid w:val="287C121A"/>
    <w:rsid w:val="287D3E98"/>
    <w:rsid w:val="289533C0"/>
    <w:rsid w:val="289724F8"/>
    <w:rsid w:val="28A644E9"/>
    <w:rsid w:val="28A82340"/>
    <w:rsid w:val="28AD1D1C"/>
    <w:rsid w:val="28AF339E"/>
    <w:rsid w:val="28AF7842"/>
    <w:rsid w:val="28B83071"/>
    <w:rsid w:val="28B9246E"/>
    <w:rsid w:val="28C332ED"/>
    <w:rsid w:val="28CF1C92"/>
    <w:rsid w:val="28D728F5"/>
    <w:rsid w:val="28DC2A1B"/>
    <w:rsid w:val="28E44026"/>
    <w:rsid w:val="28F6721F"/>
    <w:rsid w:val="290860F5"/>
    <w:rsid w:val="290E187F"/>
    <w:rsid w:val="290F389D"/>
    <w:rsid w:val="290F3D12"/>
    <w:rsid w:val="29134581"/>
    <w:rsid w:val="291D0C4F"/>
    <w:rsid w:val="29206EB8"/>
    <w:rsid w:val="292A6EC8"/>
    <w:rsid w:val="292C0E92"/>
    <w:rsid w:val="292E79E7"/>
    <w:rsid w:val="292F52CD"/>
    <w:rsid w:val="293545A3"/>
    <w:rsid w:val="29364810"/>
    <w:rsid w:val="29381B9B"/>
    <w:rsid w:val="29405A4D"/>
    <w:rsid w:val="29490661"/>
    <w:rsid w:val="294E0E09"/>
    <w:rsid w:val="29535E62"/>
    <w:rsid w:val="29564161"/>
    <w:rsid w:val="29595666"/>
    <w:rsid w:val="296F5223"/>
    <w:rsid w:val="297B7FC9"/>
    <w:rsid w:val="297D4691"/>
    <w:rsid w:val="29874881"/>
    <w:rsid w:val="29954C89"/>
    <w:rsid w:val="29976032"/>
    <w:rsid w:val="29B36EBE"/>
    <w:rsid w:val="29BA649E"/>
    <w:rsid w:val="29BD5F8E"/>
    <w:rsid w:val="29C94933"/>
    <w:rsid w:val="29CB06AB"/>
    <w:rsid w:val="29D83B67"/>
    <w:rsid w:val="29E325E0"/>
    <w:rsid w:val="29FF0355"/>
    <w:rsid w:val="2A094D30"/>
    <w:rsid w:val="2A182A1D"/>
    <w:rsid w:val="2A1B56B7"/>
    <w:rsid w:val="2A1E21FB"/>
    <w:rsid w:val="2A1E2D2D"/>
    <w:rsid w:val="2A224043"/>
    <w:rsid w:val="2A2A637C"/>
    <w:rsid w:val="2A2B429D"/>
    <w:rsid w:val="2A3A75DF"/>
    <w:rsid w:val="2A452503"/>
    <w:rsid w:val="2A467D32"/>
    <w:rsid w:val="2A474DE1"/>
    <w:rsid w:val="2A5C1303"/>
    <w:rsid w:val="2A6576FA"/>
    <w:rsid w:val="2A787A01"/>
    <w:rsid w:val="2A7F1496"/>
    <w:rsid w:val="2A8E53CA"/>
    <w:rsid w:val="2A952A67"/>
    <w:rsid w:val="2AB033FD"/>
    <w:rsid w:val="2AB063BD"/>
    <w:rsid w:val="2ACB46DB"/>
    <w:rsid w:val="2ACB6489"/>
    <w:rsid w:val="2ACF41CB"/>
    <w:rsid w:val="2ADE7F6A"/>
    <w:rsid w:val="2AE40E05"/>
    <w:rsid w:val="2AE8528D"/>
    <w:rsid w:val="2AF84813"/>
    <w:rsid w:val="2B0100FD"/>
    <w:rsid w:val="2B035C23"/>
    <w:rsid w:val="2B0360C5"/>
    <w:rsid w:val="2B147E30"/>
    <w:rsid w:val="2B177920"/>
    <w:rsid w:val="2B1B11BE"/>
    <w:rsid w:val="2B200583"/>
    <w:rsid w:val="2B2D7144"/>
    <w:rsid w:val="2B2F07C6"/>
    <w:rsid w:val="2B312790"/>
    <w:rsid w:val="2B3D7387"/>
    <w:rsid w:val="2B4A5600"/>
    <w:rsid w:val="2B577D1D"/>
    <w:rsid w:val="2B5D17D7"/>
    <w:rsid w:val="2B626DED"/>
    <w:rsid w:val="2B6366C1"/>
    <w:rsid w:val="2B691DD8"/>
    <w:rsid w:val="2B6A5CA2"/>
    <w:rsid w:val="2B797C93"/>
    <w:rsid w:val="2B7B6331"/>
    <w:rsid w:val="2B7E52A9"/>
    <w:rsid w:val="2B922977"/>
    <w:rsid w:val="2B9D7E25"/>
    <w:rsid w:val="2BA936A8"/>
    <w:rsid w:val="2BB138D1"/>
    <w:rsid w:val="2BB46F1D"/>
    <w:rsid w:val="2BBB580F"/>
    <w:rsid w:val="2BBD471E"/>
    <w:rsid w:val="2BC44ED9"/>
    <w:rsid w:val="2BC96E6C"/>
    <w:rsid w:val="2BD82C0B"/>
    <w:rsid w:val="2BFB4B4C"/>
    <w:rsid w:val="2C0C4FAB"/>
    <w:rsid w:val="2C1856FE"/>
    <w:rsid w:val="2C1A3C52"/>
    <w:rsid w:val="2C1B5D59"/>
    <w:rsid w:val="2C207AE4"/>
    <w:rsid w:val="2C217DEE"/>
    <w:rsid w:val="2C2B0674"/>
    <w:rsid w:val="2C2B3683"/>
    <w:rsid w:val="2C2C2F57"/>
    <w:rsid w:val="2C2E0A7D"/>
    <w:rsid w:val="2C3027C9"/>
    <w:rsid w:val="2C315A5A"/>
    <w:rsid w:val="2C363DD6"/>
    <w:rsid w:val="2C3D33B6"/>
    <w:rsid w:val="2C4209CD"/>
    <w:rsid w:val="2C421D81"/>
    <w:rsid w:val="2C4B1C25"/>
    <w:rsid w:val="2C5D75B5"/>
    <w:rsid w:val="2C61038D"/>
    <w:rsid w:val="2C6170A5"/>
    <w:rsid w:val="2C622E1D"/>
    <w:rsid w:val="2C6D5A4A"/>
    <w:rsid w:val="2C6F4C88"/>
    <w:rsid w:val="2C727F57"/>
    <w:rsid w:val="2C7A0167"/>
    <w:rsid w:val="2C817547"/>
    <w:rsid w:val="2C844B41"/>
    <w:rsid w:val="2C974875"/>
    <w:rsid w:val="2C9C1986"/>
    <w:rsid w:val="2C9F5E1F"/>
    <w:rsid w:val="2CA174A1"/>
    <w:rsid w:val="2CB03B88"/>
    <w:rsid w:val="2CB05936"/>
    <w:rsid w:val="2CB216AE"/>
    <w:rsid w:val="2CB573F1"/>
    <w:rsid w:val="2CD07D87"/>
    <w:rsid w:val="2CD51841"/>
    <w:rsid w:val="2CF021D7"/>
    <w:rsid w:val="2CF21818"/>
    <w:rsid w:val="2CFA5AB0"/>
    <w:rsid w:val="2CFC71ED"/>
    <w:rsid w:val="2CFE27E0"/>
    <w:rsid w:val="2CFE2B46"/>
    <w:rsid w:val="2D0118A8"/>
    <w:rsid w:val="2D031F0A"/>
    <w:rsid w:val="2D0976FA"/>
    <w:rsid w:val="2D0C7D48"/>
    <w:rsid w:val="2D0F6A7D"/>
    <w:rsid w:val="2D151C3D"/>
    <w:rsid w:val="2D197980"/>
    <w:rsid w:val="2D1C2FCC"/>
    <w:rsid w:val="2D1F6B19"/>
    <w:rsid w:val="2D2A6D75"/>
    <w:rsid w:val="2D2B320F"/>
    <w:rsid w:val="2D3227EF"/>
    <w:rsid w:val="2D32459D"/>
    <w:rsid w:val="2D377E06"/>
    <w:rsid w:val="2D522E91"/>
    <w:rsid w:val="2D542766"/>
    <w:rsid w:val="2D592802"/>
    <w:rsid w:val="2D5E5392"/>
    <w:rsid w:val="2D680954"/>
    <w:rsid w:val="2D7B7CF2"/>
    <w:rsid w:val="2D8D2425"/>
    <w:rsid w:val="2D990AC0"/>
    <w:rsid w:val="2D9D235F"/>
    <w:rsid w:val="2D9E56F5"/>
    <w:rsid w:val="2D9F7082"/>
    <w:rsid w:val="2DA14432"/>
    <w:rsid w:val="2DAC0314"/>
    <w:rsid w:val="2DAC0A59"/>
    <w:rsid w:val="2DB63420"/>
    <w:rsid w:val="2DB81A56"/>
    <w:rsid w:val="2DBD655D"/>
    <w:rsid w:val="2DBF31A5"/>
    <w:rsid w:val="2DBF6CB9"/>
    <w:rsid w:val="2DC154FE"/>
    <w:rsid w:val="2DC77C2F"/>
    <w:rsid w:val="2DE55AB4"/>
    <w:rsid w:val="2DF343B6"/>
    <w:rsid w:val="2DFD4010"/>
    <w:rsid w:val="2DFE26D1"/>
    <w:rsid w:val="2DFF746D"/>
    <w:rsid w:val="2E020414"/>
    <w:rsid w:val="2E073C7C"/>
    <w:rsid w:val="2E0B4ED3"/>
    <w:rsid w:val="2E1B21DA"/>
    <w:rsid w:val="2E292FC8"/>
    <w:rsid w:val="2E294A91"/>
    <w:rsid w:val="2E366416"/>
    <w:rsid w:val="2E3B58C1"/>
    <w:rsid w:val="2E41718E"/>
    <w:rsid w:val="2E507B3E"/>
    <w:rsid w:val="2E556795"/>
    <w:rsid w:val="2E560BBA"/>
    <w:rsid w:val="2E5844D8"/>
    <w:rsid w:val="2E5D389C"/>
    <w:rsid w:val="2E667F96"/>
    <w:rsid w:val="2E67296D"/>
    <w:rsid w:val="2E6C3ADF"/>
    <w:rsid w:val="2E7806D6"/>
    <w:rsid w:val="2E7A444E"/>
    <w:rsid w:val="2E7B1F74"/>
    <w:rsid w:val="2E801076"/>
    <w:rsid w:val="2E802934"/>
    <w:rsid w:val="2E8226AB"/>
    <w:rsid w:val="2E8250B1"/>
    <w:rsid w:val="2E8848C5"/>
    <w:rsid w:val="2E8B4E3F"/>
    <w:rsid w:val="2E8D23D3"/>
    <w:rsid w:val="2E9229F1"/>
    <w:rsid w:val="2E964E15"/>
    <w:rsid w:val="2E9D1EEA"/>
    <w:rsid w:val="2E9D638E"/>
    <w:rsid w:val="2E9F4F8A"/>
    <w:rsid w:val="2EA339A5"/>
    <w:rsid w:val="2EA94687"/>
    <w:rsid w:val="2EB21E3A"/>
    <w:rsid w:val="2EB72FAC"/>
    <w:rsid w:val="2EBD11F7"/>
    <w:rsid w:val="2EBF4557"/>
    <w:rsid w:val="2EC518CD"/>
    <w:rsid w:val="2EC61441"/>
    <w:rsid w:val="2ECA0053"/>
    <w:rsid w:val="2ECD49C0"/>
    <w:rsid w:val="2ED27DE6"/>
    <w:rsid w:val="2ED52D07"/>
    <w:rsid w:val="2ED9575E"/>
    <w:rsid w:val="2EDD678B"/>
    <w:rsid w:val="2EE23DA1"/>
    <w:rsid w:val="2EE67D35"/>
    <w:rsid w:val="2EEB0EA8"/>
    <w:rsid w:val="2F034443"/>
    <w:rsid w:val="2F1A178D"/>
    <w:rsid w:val="2F1C3757"/>
    <w:rsid w:val="2F1E22C8"/>
    <w:rsid w:val="2F234AE5"/>
    <w:rsid w:val="2F2F222D"/>
    <w:rsid w:val="2F340AA1"/>
    <w:rsid w:val="2F3A3BDD"/>
    <w:rsid w:val="2F3C1C87"/>
    <w:rsid w:val="2F412617"/>
    <w:rsid w:val="2F43624E"/>
    <w:rsid w:val="2F6C023B"/>
    <w:rsid w:val="2F7401D4"/>
    <w:rsid w:val="2F792957"/>
    <w:rsid w:val="2F827A5E"/>
    <w:rsid w:val="2F833C37"/>
    <w:rsid w:val="2F911A4F"/>
    <w:rsid w:val="2F93220A"/>
    <w:rsid w:val="2F974ABA"/>
    <w:rsid w:val="2F996B56"/>
    <w:rsid w:val="2F9A4130"/>
    <w:rsid w:val="2F9B467C"/>
    <w:rsid w:val="2FA15A0A"/>
    <w:rsid w:val="2FA175C2"/>
    <w:rsid w:val="2FA554FB"/>
    <w:rsid w:val="2FA71273"/>
    <w:rsid w:val="2FBE480E"/>
    <w:rsid w:val="2FC342C5"/>
    <w:rsid w:val="2FC5794B"/>
    <w:rsid w:val="2FD065E6"/>
    <w:rsid w:val="2FD96870"/>
    <w:rsid w:val="2FDE0A0C"/>
    <w:rsid w:val="2FE149E3"/>
    <w:rsid w:val="2FE53B49"/>
    <w:rsid w:val="2FE65986"/>
    <w:rsid w:val="2FE82075"/>
    <w:rsid w:val="2FED2CFA"/>
    <w:rsid w:val="2FF81ACE"/>
    <w:rsid w:val="300B7369"/>
    <w:rsid w:val="300C7328"/>
    <w:rsid w:val="3011493E"/>
    <w:rsid w:val="30136908"/>
    <w:rsid w:val="3014736D"/>
    <w:rsid w:val="30161F54"/>
    <w:rsid w:val="301D0982"/>
    <w:rsid w:val="301D7787"/>
    <w:rsid w:val="303B19BB"/>
    <w:rsid w:val="303F6897"/>
    <w:rsid w:val="304C56A5"/>
    <w:rsid w:val="30580BC9"/>
    <w:rsid w:val="305B7C64"/>
    <w:rsid w:val="306C6018"/>
    <w:rsid w:val="306C7DC6"/>
    <w:rsid w:val="3078676B"/>
    <w:rsid w:val="307B59E5"/>
    <w:rsid w:val="30880951"/>
    <w:rsid w:val="308B0B94"/>
    <w:rsid w:val="308C0468"/>
    <w:rsid w:val="309612E7"/>
    <w:rsid w:val="30A42599"/>
    <w:rsid w:val="30AC7196"/>
    <w:rsid w:val="30AE5029"/>
    <w:rsid w:val="30D519E8"/>
    <w:rsid w:val="30DD6F16"/>
    <w:rsid w:val="30E6401D"/>
    <w:rsid w:val="30EB518F"/>
    <w:rsid w:val="30F720DE"/>
    <w:rsid w:val="30FC01F6"/>
    <w:rsid w:val="31010E56"/>
    <w:rsid w:val="310A3DAC"/>
    <w:rsid w:val="311233AC"/>
    <w:rsid w:val="31157105"/>
    <w:rsid w:val="311E2ED7"/>
    <w:rsid w:val="31260360"/>
    <w:rsid w:val="31291D49"/>
    <w:rsid w:val="312A215B"/>
    <w:rsid w:val="313421B5"/>
    <w:rsid w:val="31435B14"/>
    <w:rsid w:val="314E571E"/>
    <w:rsid w:val="31522A38"/>
    <w:rsid w:val="315619EE"/>
    <w:rsid w:val="315A46B3"/>
    <w:rsid w:val="315C449C"/>
    <w:rsid w:val="31634333"/>
    <w:rsid w:val="31742586"/>
    <w:rsid w:val="318B6972"/>
    <w:rsid w:val="318F1F71"/>
    <w:rsid w:val="3192385D"/>
    <w:rsid w:val="319D2995"/>
    <w:rsid w:val="319F5F79"/>
    <w:rsid w:val="31A0241D"/>
    <w:rsid w:val="31A04D91"/>
    <w:rsid w:val="31AA23AC"/>
    <w:rsid w:val="31B22151"/>
    <w:rsid w:val="31B3092A"/>
    <w:rsid w:val="31B41874"/>
    <w:rsid w:val="31B45EC9"/>
    <w:rsid w:val="31B82709"/>
    <w:rsid w:val="31BB2DB3"/>
    <w:rsid w:val="31D05482"/>
    <w:rsid w:val="31D16A7B"/>
    <w:rsid w:val="31D36975"/>
    <w:rsid w:val="31DD5420"/>
    <w:rsid w:val="31ED6E7A"/>
    <w:rsid w:val="31F27592"/>
    <w:rsid w:val="31F462C5"/>
    <w:rsid w:val="31F521F9"/>
    <w:rsid w:val="31FC517A"/>
    <w:rsid w:val="31FE5396"/>
    <w:rsid w:val="3200110E"/>
    <w:rsid w:val="32026C34"/>
    <w:rsid w:val="320D7570"/>
    <w:rsid w:val="32103167"/>
    <w:rsid w:val="32191556"/>
    <w:rsid w:val="321D4C62"/>
    <w:rsid w:val="321D4E26"/>
    <w:rsid w:val="321E3A0A"/>
    <w:rsid w:val="32250B75"/>
    <w:rsid w:val="322F72FD"/>
    <w:rsid w:val="32326DEE"/>
    <w:rsid w:val="323A13F3"/>
    <w:rsid w:val="32400B34"/>
    <w:rsid w:val="32457231"/>
    <w:rsid w:val="32495C16"/>
    <w:rsid w:val="324A2389"/>
    <w:rsid w:val="324B19B3"/>
    <w:rsid w:val="32591540"/>
    <w:rsid w:val="32591705"/>
    <w:rsid w:val="325A081E"/>
    <w:rsid w:val="32601BAD"/>
    <w:rsid w:val="32667075"/>
    <w:rsid w:val="3267118D"/>
    <w:rsid w:val="32674CE9"/>
    <w:rsid w:val="32695335"/>
    <w:rsid w:val="327C0898"/>
    <w:rsid w:val="327F2560"/>
    <w:rsid w:val="329E6876"/>
    <w:rsid w:val="32A23F73"/>
    <w:rsid w:val="32A4473E"/>
    <w:rsid w:val="32AB72CC"/>
    <w:rsid w:val="32BE00D2"/>
    <w:rsid w:val="32D11D89"/>
    <w:rsid w:val="32D3412D"/>
    <w:rsid w:val="32D86CB5"/>
    <w:rsid w:val="32D87995"/>
    <w:rsid w:val="32DA2160"/>
    <w:rsid w:val="32EA7018"/>
    <w:rsid w:val="32F41134"/>
    <w:rsid w:val="3313201A"/>
    <w:rsid w:val="33136C1F"/>
    <w:rsid w:val="33245299"/>
    <w:rsid w:val="333015F2"/>
    <w:rsid w:val="3345642D"/>
    <w:rsid w:val="334B6320"/>
    <w:rsid w:val="33563073"/>
    <w:rsid w:val="335E433E"/>
    <w:rsid w:val="33791178"/>
    <w:rsid w:val="337E678E"/>
    <w:rsid w:val="338673F1"/>
    <w:rsid w:val="338A1AD5"/>
    <w:rsid w:val="338D0B4A"/>
    <w:rsid w:val="33923FE8"/>
    <w:rsid w:val="3394457C"/>
    <w:rsid w:val="339E0BDF"/>
    <w:rsid w:val="33AB50A9"/>
    <w:rsid w:val="33BC72B7"/>
    <w:rsid w:val="33BE4DDD"/>
    <w:rsid w:val="33C00B55"/>
    <w:rsid w:val="33C33887"/>
    <w:rsid w:val="33CB30FE"/>
    <w:rsid w:val="33D22548"/>
    <w:rsid w:val="33D22636"/>
    <w:rsid w:val="33D93212"/>
    <w:rsid w:val="33D934D4"/>
    <w:rsid w:val="33DA4CA7"/>
    <w:rsid w:val="33DC1B26"/>
    <w:rsid w:val="33F001AC"/>
    <w:rsid w:val="33FE2F6A"/>
    <w:rsid w:val="34056007"/>
    <w:rsid w:val="340D18C0"/>
    <w:rsid w:val="340E07E5"/>
    <w:rsid w:val="340E164C"/>
    <w:rsid w:val="34120C85"/>
    <w:rsid w:val="342235BE"/>
    <w:rsid w:val="3423503E"/>
    <w:rsid w:val="34235BF7"/>
    <w:rsid w:val="342B239C"/>
    <w:rsid w:val="343B01DB"/>
    <w:rsid w:val="343B2105"/>
    <w:rsid w:val="343B70D4"/>
    <w:rsid w:val="343F6D1F"/>
    <w:rsid w:val="34425A0E"/>
    <w:rsid w:val="34472DB9"/>
    <w:rsid w:val="344A6670"/>
    <w:rsid w:val="344E43B3"/>
    <w:rsid w:val="345A3DD4"/>
    <w:rsid w:val="34620BF5"/>
    <w:rsid w:val="346813A7"/>
    <w:rsid w:val="34790D04"/>
    <w:rsid w:val="347D6A46"/>
    <w:rsid w:val="347E0430"/>
    <w:rsid w:val="348002E4"/>
    <w:rsid w:val="34853B4C"/>
    <w:rsid w:val="3498562E"/>
    <w:rsid w:val="349B511E"/>
    <w:rsid w:val="349F223F"/>
    <w:rsid w:val="349F4C0E"/>
    <w:rsid w:val="34A00474"/>
    <w:rsid w:val="34AF23C5"/>
    <w:rsid w:val="34AF4725"/>
    <w:rsid w:val="34C75F13"/>
    <w:rsid w:val="34C91C8B"/>
    <w:rsid w:val="34CE72A2"/>
    <w:rsid w:val="34D07886"/>
    <w:rsid w:val="34D23A37"/>
    <w:rsid w:val="34D643A8"/>
    <w:rsid w:val="34E2763A"/>
    <w:rsid w:val="34E56399"/>
    <w:rsid w:val="34E97A94"/>
    <w:rsid w:val="34EA5475"/>
    <w:rsid w:val="34EC3ECA"/>
    <w:rsid w:val="34F17554"/>
    <w:rsid w:val="34F211E2"/>
    <w:rsid w:val="34F767AB"/>
    <w:rsid w:val="34F83B89"/>
    <w:rsid w:val="34FD336F"/>
    <w:rsid w:val="34FE62BA"/>
    <w:rsid w:val="34FF38FF"/>
    <w:rsid w:val="35095397"/>
    <w:rsid w:val="350D601C"/>
    <w:rsid w:val="351F18AB"/>
    <w:rsid w:val="35293D25"/>
    <w:rsid w:val="35373099"/>
    <w:rsid w:val="354D6418"/>
    <w:rsid w:val="35543BCF"/>
    <w:rsid w:val="355A28E3"/>
    <w:rsid w:val="35696FCA"/>
    <w:rsid w:val="35700359"/>
    <w:rsid w:val="357A4D33"/>
    <w:rsid w:val="3586192A"/>
    <w:rsid w:val="358C5FA8"/>
    <w:rsid w:val="35906305"/>
    <w:rsid w:val="35971A38"/>
    <w:rsid w:val="35AB75E3"/>
    <w:rsid w:val="35AF4B72"/>
    <w:rsid w:val="35BC1103"/>
    <w:rsid w:val="35BE7316"/>
    <w:rsid w:val="35C15DF1"/>
    <w:rsid w:val="35D441A3"/>
    <w:rsid w:val="35D444AB"/>
    <w:rsid w:val="35E545AB"/>
    <w:rsid w:val="35F631C0"/>
    <w:rsid w:val="36074A7F"/>
    <w:rsid w:val="3615572B"/>
    <w:rsid w:val="361B6516"/>
    <w:rsid w:val="36321AB2"/>
    <w:rsid w:val="363B0967"/>
    <w:rsid w:val="363B4A32"/>
    <w:rsid w:val="36413AA3"/>
    <w:rsid w:val="36435A6D"/>
    <w:rsid w:val="364F61C0"/>
    <w:rsid w:val="3653104E"/>
    <w:rsid w:val="365732C7"/>
    <w:rsid w:val="36592B9B"/>
    <w:rsid w:val="365B6913"/>
    <w:rsid w:val="365D6127"/>
    <w:rsid w:val="36614AC9"/>
    <w:rsid w:val="366D4898"/>
    <w:rsid w:val="367365E5"/>
    <w:rsid w:val="36767BF1"/>
    <w:rsid w:val="36812A38"/>
    <w:rsid w:val="3682564A"/>
    <w:rsid w:val="36874DFF"/>
    <w:rsid w:val="368959FD"/>
    <w:rsid w:val="36923549"/>
    <w:rsid w:val="369B27A6"/>
    <w:rsid w:val="369D163F"/>
    <w:rsid w:val="36A4475E"/>
    <w:rsid w:val="36B75FBF"/>
    <w:rsid w:val="36BD0C45"/>
    <w:rsid w:val="36C46BAE"/>
    <w:rsid w:val="36C75EAE"/>
    <w:rsid w:val="36D10B7D"/>
    <w:rsid w:val="36D83E65"/>
    <w:rsid w:val="36DB43E0"/>
    <w:rsid w:val="36EA627A"/>
    <w:rsid w:val="370130B6"/>
    <w:rsid w:val="370B658B"/>
    <w:rsid w:val="372223AA"/>
    <w:rsid w:val="372238D5"/>
    <w:rsid w:val="37297497"/>
    <w:rsid w:val="372D6F71"/>
    <w:rsid w:val="37384253"/>
    <w:rsid w:val="37492C0F"/>
    <w:rsid w:val="374970B3"/>
    <w:rsid w:val="37553B99"/>
    <w:rsid w:val="37585548"/>
    <w:rsid w:val="37691B50"/>
    <w:rsid w:val="376B0D36"/>
    <w:rsid w:val="376C68FE"/>
    <w:rsid w:val="37717149"/>
    <w:rsid w:val="37734130"/>
    <w:rsid w:val="37826121"/>
    <w:rsid w:val="378B454C"/>
    <w:rsid w:val="37974803"/>
    <w:rsid w:val="37983B97"/>
    <w:rsid w:val="37983C1D"/>
    <w:rsid w:val="37984F8C"/>
    <w:rsid w:val="37A16410"/>
    <w:rsid w:val="37A97B52"/>
    <w:rsid w:val="37AE5168"/>
    <w:rsid w:val="37B3277F"/>
    <w:rsid w:val="37B409D1"/>
    <w:rsid w:val="37BB72AC"/>
    <w:rsid w:val="37C047E6"/>
    <w:rsid w:val="37C60704"/>
    <w:rsid w:val="37CF5761"/>
    <w:rsid w:val="37E00298"/>
    <w:rsid w:val="37E42938"/>
    <w:rsid w:val="37E868CC"/>
    <w:rsid w:val="37EE32D6"/>
    <w:rsid w:val="37EF1A09"/>
    <w:rsid w:val="37F708BD"/>
    <w:rsid w:val="37F86DB7"/>
    <w:rsid w:val="38055562"/>
    <w:rsid w:val="38084878"/>
    <w:rsid w:val="38196A86"/>
    <w:rsid w:val="381D2CE6"/>
    <w:rsid w:val="381F5D4D"/>
    <w:rsid w:val="38262F51"/>
    <w:rsid w:val="382D42DF"/>
    <w:rsid w:val="383C4522"/>
    <w:rsid w:val="3848736B"/>
    <w:rsid w:val="38505119"/>
    <w:rsid w:val="38591578"/>
    <w:rsid w:val="385B709E"/>
    <w:rsid w:val="386D49C9"/>
    <w:rsid w:val="386D6DD1"/>
    <w:rsid w:val="3870241E"/>
    <w:rsid w:val="387D60DC"/>
    <w:rsid w:val="387E4B3B"/>
    <w:rsid w:val="3882287D"/>
    <w:rsid w:val="38845CED"/>
    <w:rsid w:val="38865FD0"/>
    <w:rsid w:val="389C480E"/>
    <w:rsid w:val="389E6CFC"/>
    <w:rsid w:val="38A30A45"/>
    <w:rsid w:val="38A85F49"/>
    <w:rsid w:val="38B05AAC"/>
    <w:rsid w:val="38B302F9"/>
    <w:rsid w:val="38C342A4"/>
    <w:rsid w:val="38C83C36"/>
    <w:rsid w:val="38CD161E"/>
    <w:rsid w:val="38D53146"/>
    <w:rsid w:val="38DB3D3B"/>
    <w:rsid w:val="38F12CD3"/>
    <w:rsid w:val="38F66DC7"/>
    <w:rsid w:val="38F94775"/>
    <w:rsid w:val="38FE7A29"/>
    <w:rsid w:val="39070FD4"/>
    <w:rsid w:val="39093CE1"/>
    <w:rsid w:val="39162FC5"/>
    <w:rsid w:val="39237490"/>
    <w:rsid w:val="392971ED"/>
    <w:rsid w:val="39311BAD"/>
    <w:rsid w:val="39325651"/>
    <w:rsid w:val="39362D77"/>
    <w:rsid w:val="393F076E"/>
    <w:rsid w:val="394A743A"/>
    <w:rsid w:val="394C2E8B"/>
    <w:rsid w:val="39561614"/>
    <w:rsid w:val="39565AB7"/>
    <w:rsid w:val="395F496C"/>
    <w:rsid w:val="395F671A"/>
    <w:rsid w:val="39673821"/>
    <w:rsid w:val="397D38C7"/>
    <w:rsid w:val="39810D86"/>
    <w:rsid w:val="39925FA6"/>
    <w:rsid w:val="39930ABA"/>
    <w:rsid w:val="39932868"/>
    <w:rsid w:val="399A59A4"/>
    <w:rsid w:val="39AC158B"/>
    <w:rsid w:val="39AC7D00"/>
    <w:rsid w:val="39B53C0B"/>
    <w:rsid w:val="39B747A8"/>
    <w:rsid w:val="39B8407C"/>
    <w:rsid w:val="39CE1AF2"/>
    <w:rsid w:val="39CE6157"/>
    <w:rsid w:val="39D22C47"/>
    <w:rsid w:val="39D43588"/>
    <w:rsid w:val="39D4453E"/>
    <w:rsid w:val="39DE1F09"/>
    <w:rsid w:val="39E135D3"/>
    <w:rsid w:val="39E6508D"/>
    <w:rsid w:val="39F852B7"/>
    <w:rsid w:val="3A03112B"/>
    <w:rsid w:val="3A03179B"/>
    <w:rsid w:val="3A0D4436"/>
    <w:rsid w:val="3A2762EE"/>
    <w:rsid w:val="3A345DF9"/>
    <w:rsid w:val="3A3C2EFF"/>
    <w:rsid w:val="3A477746"/>
    <w:rsid w:val="3A4D2260"/>
    <w:rsid w:val="3A565FB7"/>
    <w:rsid w:val="3A5A5133"/>
    <w:rsid w:val="3A625371"/>
    <w:rsid w:val="3A675041"/>
    <w:rsid w:val="3A6839E8"/>
    <w:rsid w:val="3A6A62B8"/>
    <w:rsid w:val="3A712BA9"/>
    <w:rsid w:val="3A797CAF"/>
    <w:rsid w:val="3A7F400B"/>
    <w:rsid w:val="3A872856"/>
    <w:rsid w:val="3A8D375B"/>
    <w:rsid w:val="3A976388"/>
    <w:rsid w:val="3A9C399E"/>
    <w:rsid w:val="3AAA60BB"/>
    <w:rsid w:val="3AAF547F"/>
    <w:rsid w:val="3AB14CEA"/>
    <w:rsid w:val="3AB40CFA"/>
    <w:rsid w:val="3AC10DCA"/>
    <w:rsid w:val="3AD44EE6"/>
    <w:rsid w:val="3ADD4291"/>
    <w:rsid w:val="3ADF02DC"/>
    <w:rsid w:val="3AE113B1"/>
    <w:rsid w:val="3AE35129"/>
    <w:rsid w:val="3AEA4709"/>
    <w:rsid w:val="3AFB6916"/>
    <w:rsid w:val="3B041057"/>
    <w:rsid w:val="3B0C28D2"/>
    <w:rsid w:val="3B1A15DF"/>
    <w:rsid w:val="3B1D4ADF"/>
    <w:rsid w:val="3B2A4C9B"/>
    <w:rsid w:val="3B2B2ADD"/>
    <w:rsid w:val="3B2C087E"/>
    <w:rsid w:val="3B334302"/>
    <w:rsid w:val="3B3360B0"/>
    <w:rsid w:val="3B3763D1"/>
    <w:rsid w:val="3B40671F"/>
    <w:rsid w:val="3B554279"/>
    <w:rsid w:val="3B583D69"/>
    <w:rsid w:val="3B5B1163"/>
    <w:rsid w:val="3B6444BC"/>
    <w:rsid w:val="3B65583C"/>
    <w:rsid w:val="3B660234"/>
    <w:rsid w:val="3B7067E8"/>
    <w:rsid w:val="3B8E7126"/>
    <w:rsid w:val="3B9052B1"/>
    <w:rsid w:val="3B974891"/>
    <w:rsid w:val="3B9F7FA4"/>
    <w:rsid w:val="3BA50630"/>
    <w:rsid w:val="3BA670B3"/>
    <w:rsid w:val="3BA743A8"/>
    <w:rsid w:val="3BA77CCD"/>
    <w:rsid w:val="3BAB1014"/>
    <w:rsid w:val="3BAB3E99"/>
    <w:rsid w:val="3BAC7C11"/>
    <w:rsid w:val="3BB0325D"/>
    <w:rsid w:val="3BBA232E"/>
    <w:rsid w:val="3BC94E0E"/>
    <w:rsid w:val="3BCA25D9"/>
    <w:rsid w:val="3BCD02B3"/>
    <w:rsid w:val="3BDC04F6"/>
    <w:rsid w:val="3BF53366"/>
    <w:rsid w:val="3C0637C5"/>
    <w:rsid w:val="3C1275F2"/>
    <w:rsid w:val="3C1A101E"/>
    <w:rsid w:val="3C2E05A3"/>
    <w:rsid w:val="3C2F6E1E"/>
    <w:rsid w:val="3C340332"/>
    <w:rsid w:val="3C3F0A85"/>
    <w:rsid w:val="3C4076E5"/>
    <w:rsid w:val="3C4B0281"/>
    <w:rsid w:val="3C4F64BA"/>
    <w:rsid w:val="3C577B7C"/>
    <w:rsid w:val="3C5B3823"/>
    <w:rsid w:val="3C8F1A7A"/>
    <w:rsid w:val="3C90308E"/>
    <w:rsid w:val="3CA17A87"/>
    <w:rsid w:val="3CAC4B5A"/>
    <w:rsid w:val="3CB02C72"/>
    <w:rsid w:val="3CBD0327"/>
    <w:rsid w:val="3CC441C6"/>
    <w:rsid w:val="3CC86905"/>
    <w:rsid w:val="3CC95EEA"/>
    <w:rsid w:val="3CDA245A"/>
    <w:rsid w:val="3CE05DC4"/>
    <w:rsid w:val="3CE358B4"/>
    <w:rsid w:val="3CE76C69"/>
    <w:rsid w:val="3CED228F"/>
    <w:rsid w:val="3CEF05D0"/>
    <w:rsid w:val="3CF331E5"/>
    <w:rsid w:val="3CF4361D"/>
    <w:rsid w:val="3CF57F54"/>
    <w:rsid w:val="3CF947C0"/>
    <w:rsid w:val="3D0221DE"/>
    <w:rsid w:val="3D0B6D6D"/>
    <w:rsid w:val="3D0E1E41"/>
    <w:rsid w:val="3D146CD2"/>
    <w:rsid w:val="3D197528"/>
    <w:rsid w:val="3D1A30C6"/>
    <w:rsid w:val="3D1B504E"/>
    <w:rsid w:val="3D1D2B74"/>
    <w:rsid w:val="3D1E06B7"/>
    <w:rsid w:val="3D25516C"/>
    <w:rsid w:val="3D257C7B"/>
    <w:rsid w:val="3D3305EA"/>
    <w:rsid w:val="3D374562"/>
    <w:rsid w:val="3D3E2AEA"/>
    <w:rsid w:val="3D43120E"/>
    <w:rsid w:val="3D4520CB"/>
    <w:rsid w:val="3D456592"/>
    <w:rsid w:val="3D4C16AB"/>
    <w:rsid w:val="3D4D4713"/>
    <w:rsid w:val="3D510A70"/>
    <w:rsid w:val="3D5347E8"/>
    <w:rsid w:val="3D5D6F4F"/>
    <w:rsid w:val="3D7B5AED"/>
    <w:rsid w:val="3D826E7B"/>
    <w:rsid w:val="3D8726E3"/>
    <w:rsid w:val="3D89020A"/>
    <w:rsid w:val="3D8C6ADA"/>
    <w:rsid w:val="3D931088"/>
    <w:rsid w:val="3D934113"/>
    <w:rsid w:val="3D9B618F"/>
    <w:rsid w:val="3D9B65E3"/>
    <w:rsid w:val="3DA45D3D"/>
    <w:rsid w:val="3DA60DBB"/>
    <w:rsid w:val="3DC265D9"/>
    <w:rsid w:val="3DC40CD9"/>
    <w:rsid w:val="3DCA68C0"/>
    <w:rsid w:val="3DD07BE6"/>
    <w:rsid w:val="3DD31485"/>
    <w:rsid w:val="3DD455A6"/>
    <w:rsid w:val="3DE63ECE"/>
    <w:rsid w:val="3DF956F9"/>
    <w:rsid w:val="3E0930F8"/>
    <w:rsid w:val="3E12578C"/>
    <w:rsid w:val="3E126451"/>
    <w:rsid w:val="3E1D0952"/>
    <w:rsid w:val="3E29379B"/>
    <w:rsid w:val="3E2B6524"/>
    <w:rsid w:val="3E2C6DE7"/>
    <w:rsid w:val="3E3642DC"/>
    <w:rsid w:val="3E3F4D6C"/>
    <w:rsid w:val="3E444130"/>
    <w:rsid w:val="3E491747"/>
    <w:rsid w:val="3E506F79"/>
    <w:rsid w:val="3E520C03"/>
    <w:rsid w:val="3E5370D4"/>
    <w:rsid w:val="3E5E3444"/>
    <w:rsid w:val="3E6551BE"/>
    <w:rsid w:val="3E6671E3"/>
    <w:rsid w:val="3E691DE9"/>
    <w:rsid w:val="3E6F05FE"/>
    <w:rsid w:val="3E746959"/>
    <w:rsid w:val="3E7762B4"/>
    <w:rsid w:val="3E7E5894"/>
    <w:rsid w:val="3E8F7AA2"/>
    <w:rsid w:val="3E9448B5"/>
    <w:rsid w:val="3E9F580B"/>
    <w:rsid w:val="3EA03A5D"/>
    <w:rsid w:val="3EA03BF2"/>
    <w:rsid w:val="3EA23AC2"/>
    <w:rsid w:val="3EAE2505"/>
    <w:rsid w:val="3EB017C6"/>
    <w:rsid w:val="3EC05EAD"/>
    <w:rsid w:val="3EC66817"/>
    <w:rsid w:val="3ED022A8"/>
    <w:rsid w:val="3EDA0523"/>
    <w:rsid w:val="3EDA2A1E"/>
    <w:rsid w:val="3EE85404"/>
    <w:rsid w:val="3EF24AD6"/>
    <w:rsid w:val="3EF67B21"/>
    <w:rsid w:val="3F0C10F2"/>
    <w:rsid w:val="3F0F346C"/>
    <w:rsid w:val="3F0F473E"/>
    <w:rsid w:val="3F19736B"/>
    <w:rsid w:val="3F1C5008"/>
    <w:rsid w:val="3F2521B4"/>
    <w:rsid w:val="3F275F2C"/>
    <w:rsid w:val="3F3E6DD2"/>
    <w:rsid w:val="3F4A1C1A"/>
    <w:rsid w:val="3F4E50D7"/>
    <w:rsid w:val="3F512FA9"/>
    <w:rsid w:val="3F5A120F"/>
    <w:rsid w:val="3F5A2E5F"/>
    <w:rsid w:val="3F5C4CF7"/>
    <w:rsid w:val="3F7614BA"/>
    <w:rsid w:val="3F88629F"/>
    <w:rsid w:val="3F896B4D"/>
    <w:rsid w:val="3F93711E"/>
    <w:rsid w:val="3F9B06C8"/>
    <w:rsid w:val="3FA0183A"/>
    <w:rsid w:val="3FAE35E8"/>
    <w:rsid w:val="3FC07034"/>
    <w:rsid w:val="3FC27A03"/>
    <w:rsid w:val="3FC4233D"/>
    <w:rsid w:val="3FC7326B"/>
    <w:rsid w:val="3FCA4B09"/>
    <w:rsid w:val="3FD61700"/>
    <w:rsid w:val="3FE0432D"/>
    <w:rsid w:val="3FE45BCB"/>
    <w:rsid w:val="3FE82CCE"/>
    <w:rsid w:val="3FEF631E"/>
    <w:rsid w:val="3FFB1940"/>
    <w:rsid w:val="400022D9"/>
    <w:rsid w:val="400242A3"/>
    <w:rsid w:val="4004001B"/>
    <w:rsid w:val="400B13AA"/>
    <w:rsid w:val="40133775"/>
    <w:rsid w:val="401364B0"/>
    <w:rsid w:val="4019602A"/>
    <w:rsid w:val="401A17C1"/>
    <w:rsid w:val="4024421A"/>
    <w:rsid w:val="40300E10"/>
    <w:rsid w:val="4031025F"/>
    <w:rsid w:val="404B3AB5"/>
    <w:rsid w:val="404E1296"/>
    <w:rsid w:val="40526FD9"/>
    <w:rsid w:val="4062458F"/>
    <w:rsid w:val="406A1F50"/>
    <w:rsid w:val="4070745F"/>
    <w:rsid w:val="40750A2A"/>
    <w:rsid w:val="407A6407"/>
    <w:rsid w:val="40833431"/>
    <w:rsid w:val="408E3D89"/>
    <w:rsid w:val="408F1FDB"/>
    <w:rsid w:val="409475F1"/>
    <w:rsid w:val="40970E8F"/>
    <w:rsid w:val="409C4863"/>
    <w:rsid w:val="409E221E"/>
    <w:rsid w:val="40AA5894"/>
    <w:rsid w:val="40AB0497"/>
    <w:rsid w:val="40B011E1"/>
    <w:rsid w:val="40B8723F"/>
    <w:rsid w:val="40B95721"/>
    <w:rsid w:val="40BE466E"/>
    <w:rsid w:val="40D55514"/>
    <w:rsid w:val="40DB5220"/>
    <w:rsid w:val="40E57E52"/>
    <w:rsid w:val="40E65973"/>
    <w:rsid w:val="40F167F2"/>
    <w:rsid w:val="40F417C2"/>
    <w:rsid w:val="41036525"/>
    <w:rsid w:val="4110479E"/>
    <w:rsid w:val="411244E3"/>
    <w:rsid w:val="41200E9D"/>
    <w:rsid w:val="41214BFD"/>
    <w:rsid w:val="41232723"/>
    <w:rsid w:val="414032D5"/>
    <w:rsid w:val="414F3518"/>
    <w:rsid w:val="4150343B"/>
    <w:rsid w:val="41533D5B"/>
    <w:rsid w:val="415428DD"/>
    <w:rsid w:val="415D5C35"/>
    <w:rsid w:val="41650F8E"/>
    <w:rsid w:val="41656898"/>
    <w:rsid w:val="41765F5A"/>
    <w:rsid w:val="41774FF8"/>
    <w:rsid w:val="417B7B31"/>
    <w:rsid w:val="419324D3"/>
    <w:rsid w:val="419378A9"/>
    <w:rsid w:val="41970A1B"/>
    <w:rsid w:val="419A2BF8"/>
    <w:rsid w:val="41AF3FB7"/>
    <w:rsid w:val="41B82E6B"/>
    <w:rsid w:val="41BA3087"/>
    <w:rsid w:val="41CA2B9F"/>
    <w:rsid w:val="41CE37B6"/>
    <w:rsid w:val="41CF4659"/>
    <w:rsid w:val="41D42A5E"/>
    <w:rsid w:val="41D774D7"/>
    <w:rsid w:val="41E12A6F"/>
    <w:rsid w:val="41E40104"/>
    <w:rsid w:val="41FC44EB"/>
    <w:rsid w:val="41FF6CEC"/>
    <w:rsid w:val="4200449D"/>
    <w:rsid w:val="42036DC7"/>
    <w:rsid w:val="4208730F"/>
    <w:rsid w:val="420B0DEA"/>
    <w:rsid w:val="420D71AC"/>
    <w:rsid w:val="421502BE"/>
    <w:rsid w:val="42191BC4"/>
    <w:rsid w:val="422229DB"/>
    <w:rsid w:val="42277FF1"/>
    <w:rsid w:val="422A6283"/>
    <w:rsid w:val="423544BC"/>
    <w:rsid w:val="423A3BCC"/>
    <w:rsid w:val="423B584A"/>
    <w:rsid w:val="423D15C3"/>
    <w:rsid w:val="423F533B"/>
    <w:rsid w:val="42442951"/>
    <w:rsid w:val="424566C9"/>
    <w:rsid w:val="424741EF"/>
    <w:rsid w:val="42497F67"/>
    <w:rsid w:val="424E57D2"/>
    <w:rsid w:val="42507548"/>
    <w:rsid w:val="4251586A"/>
    <w:rsid w:val="42521F95"/>
    <w:rsid w:val="42554B5E"/>
    <w:rsid w:val="425A03C6"/>
    <w:rsid w:val="42723962"/>
    <w:rsid w:val="4278084D"/>
    <w:rsid w:val="42813BA5"/>
    <w:rsid w:val="42934D49"/>
    <w:rsid w:val="429872AD"/>
    <w:rsid w:val="42A72EE0"/>
    <w:rsid w:val="42AC04F6"/>
    <w:rsid w:val="42B26C49"/>
    <w:rsid w:val="42BF193F"/>
    <w:rsid w:val="42C1413B"/>
    <w:rsid w:val="42C35F6C"/>
    <w:rsid w:val="42CB3862"/>
    <w:rsid w:val="42CC32C1"/>
    <w:rsid w:val="42D26717"/>
    <w:rsid w:val="42D31F27"/>
    <w:rsid w:val="42D33CD5"/>
    <w:rsid w:val="42DF267A"/>
    <w:rsid w:val="42E7140A"/>
    <w:rsid w:val="42E83C24"/>
    <w:rsid w:val="42F247CE"/>
    <w:rsid w:val="42F27ED7"/>
    <w:rsid w:val="42F36125"/>
    <w:rsid w:val="42F425C9"/>
    <w:rsid w:val="43087E22"/>
    <w:rsid w:val="431762B8"/>
    <w:rsid w:val="431B6011"/>
    <w:rsid w:val="43257338"/>
    <w:rsid w:val="432F53AF"/>
    <w:rsid w:val="433204B8"/>
    <w:rsid w:val="4334069B"/>
    <w:rsid w:val="433665E9"/>
    <w:rsid w:val="433A6FE6"/>
    <w:rsid w:val="434075BC"/>
    <w:rsid w:val="4346094B"/>
    <w:rsid w:val="4347073B"/>
    <w:rsid w:val="43480868"/>
    <w:rsid w:val="434D7F2B"/>
    <w:rsid w:val="434F77FF"/>
    <w:rsid w:val="43500121"/>
    <w:rsid w:val="4350713C"/>
    <w:rsid w:val="4351056B"/>
    <w:rsid w:val="43574906"/>
    <w:rsid w:val="4364061E"/>
    <w:rsid w:val="436653E0"/>
    <w:rsid w:val="436A288B"/>
    <w:rsid w:val="436F1C50"/>
    <w:rsid w:val="437454B8"/>
    <w:rsid w:val="43757C40"/>
    <w:rsid w:val="437F701C"/>
    <w:rsid w:val="43880F63"/>
    <w:rsid w:val="43884ABF"/>
    <w:rsid w:val="43912E12"/>
    <w:rsid w:val="43992C20"/>
    <w:rsid w:val="43A41F82"/>
    <w:rsid w:val="43B12268"/>
    <w:rsid w:val="43B35FE0"/>
    <w:rsid w:val="43B81849"/>
    <w:rsid w:val="43B96191"/>
    <w:rsid w:val="43BC4AF1"/>
    <w:rsid w:val="43C4431A"/>
    <w:rsid w:val="43CC2556"/>
    <w:rsid w:val="43D67F21"/>
    <w:rsid w:val="43E20674"/>
    <w:rsid w:val="43E837B0"/>
    <w:rsid w:val="43EA7528"/>
    <w:rsid w:val="44020D16"/>
    <w:rsid w:val="44112439"/>
    <w:rsid w:val="441D16AC"/>
    <w:rsid w:val="442073EE"/>
    <w:rsid w:val="442A5B77"/>
    <w:rsid w:val="443F6F60"/>
    <w:rsid w:val="44472BCC"/>
    <w:rsid w:val="44481F86"/>
    <w:rsid w:val="444C1F91"/>
    <w:rsid w:val="444E0151"/>
    <w:rsid w:val="44511DC0"/>
    <w:rsid w:val="445157F9"/>
    <w:rsid w:val="44627A06"/>
    <w:rsid w:val="4478283B"/>
    <w:rsid w:val="447A6BAC"/>
    <w:rsid w:val="44802891"/>
    <w:rsid w:val="448156A1"/>
    <w:rsid w:val="4482359F"/>
    <w:rsid w:val="448323DE"/>
    <w:rsid w:val="448C05DF"/>
    <w:rsid w:val="449D0DBC"/>
    <w:rsid w:val="449D27EC"/>
    <w:rsid w:val="44AE3E8A"/>
    <w:rsid w:val="44B951CC"/>
    <w:rsid w:val="44CD14E0"/>
    <w:rsid w:val="44CD30D2"/>
    <w:rsid w:val="44D15D88"/>
    <w:rsid w:val="44DA2E3E"/>
    <w:rsid w:val="44EA3EAB"/>
    <w:rsid w:val="44EE3048"/>
    <w:rsid w:val="44F20B0B"/>
    <w:rsid w:val="44F20D8A"/>
    <w:rsid w:val="44F3065E"/>
    <w:rsid w:val="45120C7A"/>
    <w:rsid w:val="451E1B7F"/>
    <w:rsid w:val="452847AC"/>
    <w:rsid w:val="4529115C"/>
    <w:rsid w:val="452E5F4C"/>
    <w:rsid w:val="452F5D1D"/>
    <w:rsid w:val="45357B6A"/>
    <w:rsid w:val="4537575E"/>
    <w:rsid w:val="4545043F"/>
    <w:rsid w:val="45516873"/>
    <w:rsid w:val="45570BED"/>
    <w:rsid w:val="456017C3"/>
    <w:rsid w:val="45612018"/>
    <w:rsid w:val="456A0921"/>
    <w:rsid w:val="457071DC"/>
    <w:rsid w:val="457176F9"/>
    <w:rsid w:val="45725A27"/>
    <w:rsid w:val="45790B64"/>
    <w:rsid w:val="4585575A"/>
    <w:rsid w:val="458946E9"/>
    <w:rsid w:val="458A4B1F"/>
    <w:rsid w:val="458D4F3F"/>
    <w:rsid w:val="45941E41"/>
    <w:rsid w:val="4597548E"/>
    <w:rsid w:val="45A2556D"/>
    <w:rsid w:val="45A47C0E"/>
    <w:rsid w:val="45A831F7"/>
    <w:rsid w:val="45AF0A29"/>
    <w:rsid w:val="45B45A7E"/>
    <w:rsid w:val="45BB5620"/>
    <w:rsid w:val="45C02C36"/>
    <w:rsid w:val="45C5024D"/>
    <w:rsid w:val="45D14107"/>
    <w:rsid w:val="45D71D2E"/>
    <w:rsid w:val="45E32481"/>
    <w:rsid w:val="45E561F9"/>
    <w:rsid w:val="45FD3ED3"/>
    <w:rsid w:val="46041A36"/>
    <w:rsid w:val="46160AA8"/>
    <w:rsid w:val="461C549B"/>
    <w:rsid w:val="46207231"/>
    <w:rsid w:val="46210ED7"/>
    <w:rsid w:val="462128E4"/>
    <w:rsid w:val="462521AF"/>
    <w:rsid w:val="46254095"/>
    <w:rsid w:val="462A7B82"/>
    <w:rsid w:val="462C207A"/>
    <w:rsid w:val="46511AE0"/>
    <w:rsid w:val="46572CEA"/>
    <w:rsid w:val="46577FD6"/>
    <w:rsid w:val="46601D24"/>
    <w:rsid w:val="46606014"/>
    <w:rsid w:val="466F12F2"/>
    <w:rsid w:val="4694586B"/>
    <w:rsid w:val="46974F15"/>
    <w:rsid w:val="46AA5392"/>
    <w:rsid w:val="46AF13F6"/>
    <w:rsid w:val="46B07DB0"/>
    <w:rsid w:val="46B207D1"/>
    <w:rsid w:val="46BC1650"/>
    <w:rsid w:val="46BF5DAF"/>
    <w:rsid w:val="46BF6A4A"/>
    <w:rsid w:val="46C2653A"/>
    <w:rsid w:val="46C500F1"/>
    <w:rsid w:val="46CB1893"/>
    <w:rsid w:val="46CE3131"/>
    <w:rsid w:val="46D324F5"/>
    <w:rsid w:val="46D955A7"/>
    <w:rsid w:val="46DB0BF8"/>
    <w:rsid w:val="46DE65CA"/>
    <w:rsid w:val="46ED7A5B"/>
    <w:rsid w:val="46EE37D3"/>
    <w:rsid w:val="46FC0B29"/>
    <w:rsid w:val="46FF5662"/>
    <w:rsid w:val="470628CB"/>
    <w:rsid w:val="471248E0"/>
    <w:rsid w:val="47133957"/>
    <w:rsid w:val="471532B9"/>
    <w:rsid w:val="474D2516"/>
    <w:rsid w:val="474D7E36"/>
    <w:rsid w:val="47513188"/>
    <w:rsid w:val="47727BCE"/>
    <w:rsid w:val="4773430F"/>
    <w:rsid w:val="477C493B"/>
    <w:rsid w:val="47827CE8"/>
    <w:rsid w:val="47887784"/>
    <w:rsid w:val="47916BB5"/>
    <w:rsid w:val="47A07E0C"/>
    <w:rsid w:val="47B05DCD"/>
    <w:rsid w:val="47B9605E"/>
    <w:rsid w:val="47CD33E9"/>
    <w:rsid w:val="47EF15B1"/>
    <w:rsid w:val="47EF604E"/>
    <w:rsid w:val="48041E98"/>
    <w:rsid w:val="48082673"/>
    <w:rsid w:val="48183D4F"/>
    <w:rsid w:val="481A7FFC"/>
    <w:rsid w:val="481E59F2"/>
    <w:rsid w:val="48254FD3"/>
    <w:rsid w:val="48306D21"/>
    <w:rsid w:val="48376AB4"/>
    <w:rsid w:val="483B0352"/>
    <w:rsid w:val="48495DDC"/>
    <w:rsid w:val="484A60EE"/>
    <w:rsid w:val="484F022F"/>
    <w:rsid w:val="48540955"/>
    <w:rsid w:val="4855680D"/>
    <w:rsid w:val="4856518C"/>
    <w:rsid w:val="48627FF5"/>
    <w:rsid w:val="4870272E"/>
    <w:rsid w:val="48711813"/>
    <w:rsid w:val="48737BBA"/>
    <w:rsid w:val="488D3187"/>
    <w:rsid w:val="4891509B"/>
    <w:rsid w:val="48945CB4"/>
    <w:rsid w:val="48975D3A"/>
    <w:rsid w:val="48981C49"/>
    <w:rsid w:val="489B5295"/>
    <w:rsid w:val="489E30D7"/>
    <w:rsid w:val="48A03CA5"/>
    <w:rsid w:val="48A24875"/>
    <w:rsid w:val="48B85E47"/>
    <w:rsid w:val="48BC5937"/>
    <w:rsid w:val="48D5496B"/>
    <w:rsid w:val="48D55147"/>
    <w:rsid w:val="48D569F9"/>
    <w:rsid w:val="48E43EAF"/>
    <w:rsid w:val="48EF6BDC"/>
    <w:rsid w:val="48F36E7F"/>
    <w:rsid w:val="48F77C20"/>
    <w:rsid w:val="48F86243"/>
    <w:rsid w:val="48FC3F85"/>
    <w:rsid w:val="490A0962"/>
    <w:rsid w:val="491325C4"/>
    <w:rsid w:val="49153299"/>
    <w:rsid w:val="491868E5"/>
    <w:rsid w:val="491C540C"/>
    <w:rsid w:val="49261002"/>
    <w:rsid w:val="4944592C"/>
    <w:rsid w:val="494B6CBB"/>
    <w:rsid w:val="494D2A33"/>
    <w:rsid w:val="495E6CE5"/>
    <w:rsid w:val="4960632B"/>
    <w:rsid w:val="4962490E"/>
    <w:rsid w:val="4963040A"/>
    <w:rsid w:val="496B2EB9"/>
    <w:rsid w:val="49703B8A"/>
    <w:rsid w:val="497225DC"/>
    <w:rsid w:val="49823EC1"/>
    <w:rsid w:val="498A77E3"/>
    <w:rsid w:val="498E6BA8"/>
    <w:rsid w:val="49950546"/>
    <w:rsid w:val="49975A5C"/>
    <w:rsid w:val="499E6DEB"/>
    <w:rsid w:val="49AD3738"/>
    <w:rsid w:val="49B10406"/>
    <w:rsid w:val="49B93CA0"/>
    <w:rsid w:val="49C1138B"/>
    <w:rsid w:val="49C167BA"/>
    <w:rsid w:val="49CC7DFC"/>
    <w:rsid w:val="49DC7715"/>
    <w:rsid w:val="49E14F29"/>
    <w:rsid w:val="49E27234"/>
    <w:rsid w:val="49EC3FFA"/>
    <w:rsid w:val="49EF1838"/>
    <w:rsid w:val="49F45E21"/>
    <w:rsid w:val="49F7299F"/>
    <w:rsid w:val="4A023139"/>
    <w:rsid w:val="4A094FB0"/>
    <w:rsid w:val="4A190B67"/>
    <w:rsid w:val="4A196B3F"/>
    <w:rsid w:val="4A1D5D99"/>
    <w:rsid w:val="4A203CA4"/>
    <w:rsid w:val="4A251880"/>
    <w:rsid w:val="4A253068"/>
    <w:rsid w:val="4A336902"/>
    <w:rsid w:val="4A404346"/>
    <w:rsid w:val="4A4831FA"/>
    <w:rsid w:val="4A4A2ACF"/>
    <w:rsid w:val="4A4D4F45"/>
    <w:rsid w:val="4A510301"/>
    <w:rsid w:val="4A537D07"/>
    <w:rsid w:val="4A565917"/>
    <w:rsid w:val="4A606796"/>
    <w:rsid w:val="4A7A0727"/>
    <w:rsid w:val="4A7B576F"/>
    <w:rsid w:val="4A82495E"/>
    <w:rsid w:val="4A8A18B1"/>
    <w:rsid w:val="4A8E50B1"/>
    <w:rsid w:val="4A8E68B7"/>
    <w:rsid w:val="4A8F4985"/>
    <w:rsid w:val="4AA77F21"/>
    <w:rsid w:val="4AB04149"/>
    <w:rsid w:val="4AB10DA0"/>
    <w:rsid w:val="4AB63AFD"/>
    <w:rsid w:val="4ADD32B8"/>
    <w:rsid w:val="4AED3283"/>
    <w:rsid w:val="4AEE54D1"/>
    <w:rsid w:val="4AEE78FE"/>
    <w:rsid w:val="4AF15640"/>
    <w:rsid w:val="4AF3760A"/>
    <w:rsid w:val="4AF561A9"/>
    <w:rsid w:val="4AFE621C"/>
    <w:rsid w:val="4B005785"/>
    <w:rsid w:val="4B056243"/>
    <w:rsid w:val="4B06733D"/>
    <w:rsid w:val="4B0D06CC"/>
    <w:rsid w:val="4B11183E"/>
    <w:rsid w:val="4B1355B6"/>
    <w:rsid w:val="4B1F2091"/>
    <w:rsid w:val="4B1F5D09"/>
    <w:rsid w:val="4B2A63DE"/>
    <w:rsid w:val="4B2B0B52"/>
    <w:rsid w:val="4B2F6E1C"/>
    <w:rsid w:val="4B335C59"/>
    <w:rsid w:val="4B38326F"/>
    <w:rsid w:val="4B38467E"/>
    <w:rsid w:val="4B3C0652"/>
    <w:rsid w:val="4B3D2633"/>
    <w:rsid w:val="4B471525"/>
    <w:rsid w:val="4B493CD4"/>
    <w:rsid w:val="4B4F364C"/>
    <w:rsid w:val="4B6127C6"/>
    <w:rsid w:val="4B6912BA"/>
    <w:rsid w:val="4B6C4CC7"/>
    <w:rsid w:val="4B793796"/>
    <w:rsid w:val="4B865D88"/>
    <w:rsid w:val="4B896073"/>
    <w:rsid w:val="4BA803F5"/>
    <w:rsid w:val="4BA91A77"/>
    <w:rsid w:val="4BAA21AE"/>
    <w:rsid w:val="4BB17561"/>
    <w:rsid w:val="4BB943B0"/>
    <w:rsid w:val="4BBE19C6"/>
    <w:rsid w:val="4BD34593"/>
    <w:rsid w:val="4BEA1930"/>
    <w:rsid w:val="4BF47196"/>
    <w:rsid w:val="4BF76C86"/>
    <w:rsid w:val="4BFE1DC3"/>
    <w:rsid w:val="4C080E93"/>
    <w:rsid w:val="4C123AC0"/>
    <w:rsid w:val="4C15074C"/>
    <w:rsid w:val="4C152E18"/>
    <w:rsid w:val="4C251A45"/>
    <w:rsid w:val="4C272DFE"/>
    <w:rsid w:val="4C273DC9"/>
    <w:rsid w:val="4C2F6590"/>
    <w:rsid w:val="4C313FE3"/>
    <w:rsid w:val="4C3E2B07"/>
    <w:rsid w:val="4C4A0649"/>
    <w:rsid w:val="4C522DBA"/>
    <w:rsid w:val="4C591BB0"/>
    <w:rsid w:val="4C59349D"/>
    <w:rsid w:val="4C5E0AB3"/>
    <w:rsid w:val="4C660EA6"/>
    <w:rsid w:val="4C6B2A0D"/>
    <w:rsid w:val="4C7E5ECA"/>
    <w:rsid w:val="4C83051A"/>
    <w:rsid w:val="4C872721"/>
    <w:rsid w:val="4C876AA5"/>
    <w:rsid w:val="4C8B4D21"/>
    <w:rsid w:val="4C997A18"/>
    <w:rsid w:val="4CA82799"/>
    <w:rsid w:val="4CA95865"/>
    <w:rsid w:val="4CAB10A5"/>
    <w:rsid w:val="4CAF1A5D"/>
    <w:rsid w:val="4CC1157E"/>
    <w:rsid w:val="4CC823D1"/>
    <w:rsid w:val="4CCE5C39"/>
    <w:rsid w:val="4CD1070F"/>
    <w:rsid w:val="4CD62D3F"/>
    <w:rsid w:val="4CD945DE"/>
    <w:rsid w:val="4CE27936"/>
    <w:rsid w:val="4CF907DC"/>
    <w:rsid w:val="4D007DBC"/>
    <w:rsid w:val="4D0E00FB"/>
    <w:rsid w:val="4D144ECF"/>
    <w:rsid w:val="4D151ABA"/>
    <w:rsid w:val="4D155616"/>
    <w:rsid w:val="4D176606"/>
    <w:rsid w:val="4D1A10FE"/>
    <w:rsid w:val="4D1A70D0"/>
    <w:rsid w:val="4D221C4E"/>
    <w:rsid w:val="4D294E8D"/>
    <w:rsid w:val="4D2B3A0A"/>
    <w:rsid w:val="4D381304"/>
    <w:rsid w:val="4D3F1B90"/>
    <w:rsid w:val="4D4203D5"/>
    <w:rsid w:val="4D477799"/>
    <w:rsid w:val="4D4A1C5C"/>
    <w:rsid w:val="4D4B54DB"/>
    <w:rsid w:val="4D4E6D7A"/>
    <w:rsid w:val="4D534390"/>
    <w:rsid w:val="4D562B41"/>
    <w:rsid w:val="4D583170"/>
    <w:rsid w:val="4D583FFD"/>
    <w:rsid w:val="4D5A571F"/>
    <w:rsid w:val="4D6552A8"/>
    <w:rsid w:val="4D7218AC"/>
    <w:rsid w:val="4D752558"/>
    <w:rsid w:val="4D77007F"/>
    <w:rsid w:val="4D946928"/>
    <w:rsid w:val="4D950505"/>
    <w:rsid w:val="4D981DA3"/>
    <w:rsid w:val="4DA41222"/>
    <w:rsid w:val="4DAD168E"/>
    <w:rsid w:val="4DB34E2F"/>
    <w:rsid w:val="4DB50BA7"/>
    <w:rsid w:val="4DC10516"/>
    <w:rsid w:val="4DC25072"/>
    <w:rsid w:val="4DCA6127"/>
    <w:rsid w:val="4DCB3509"/>
    <w:rsid w:val="4DEC4FB0"/>
    <w:rsid w:val="4DEC66A6"/>
    <w:rsid w:val="4DF23BA9"/>
    <w:rsid w:val="4DF3347D"/>
    <w:rsid w:val="4DF55447"/>
    <w:rsid w:val="4DF5709E"/>
    <w:rsid w:val="4DF571F5"/>
    <w:rsid w:val="4DF711BF"/>
    <w:rsid w:val="4DFA0B51"/>
    <w:rsid w:val="4E075D8A"/>
    <w:rsid w:val="4E0833CC"/>
    <w:rsid w:val="4E141D71"/>
    <w:rsid w:val="4E1A4EAE"/>
    <w:rsid w:val="4E1C0D33"/>
    <w:rsid w:val="4E21448E"/>
    <w:rsid w:val="4E2875CB"/>
    <w:rsid w:val="4E296E9F"/>
    <w:rsid w:val="4E30671B"/>
    <w:rsid w:val="4E3441A8"/>
    <w:rsid w:val="4E3821CF"/>
    <w:rsid w:val="4E3C6BD2"/>
    <w:rsid w:val="4E41068C"/>
    <w:rsid w:val="4E465CA3"/>
    <w:rsid w:val="4E4769A2"/>
    <w:rsid w:val="4E4A2A5E"/>
    <w:rsid w:val="4E4D0DDF"/>
    <w:rsid w:val="4E4D2943"/>
    <w:rsid w:val="4E5403C0"/>
    <w:rsid w:val="4E592DDE"/>
    <w:rsid w:val="4E5C3732"/>
    <w:rsid w:val="4E5E123E"/>
    <w:rsid w:val="4E5E2FEC"/>
    <w:rsid w:val="4E710150"/>
    <w:rsid w:val="4E727140"/>
    <w:rsid w:val="4E7E7B15"/>
    <w:rsid w:val="4E816CDB"/>
    <w:rsid w:val="4E8C15C7"/>
    <w:rsid w:val="4E8F13F8"/>
    <w:rsid w:val="4E905FD5"/>
    <w:rsid w:val="4E944C60"/>
    <w:rsid w:val="4E984774"/>
    <w:rsid w:val="4EA03605"/>
    <w:rsid w:val="4EA10132"/>
    <w:rsid w:val="4EA968C8"/>
    <w:rsid w:val="4EAA6232"/>
    <w:rsid w:val="4EB25E7F"/>
    <w:rsid w:val="4EB51578"/>
    <w:rsid w:val="4EB640B4"/>
    <w:rsid w:val="4EB8094F"/>
    <w:rsid w:val="4EB86BA1"/>
    <w:rsid w:val="4EBD41B7"/>
    <w:rsid w:val="4EC00FAD"/>
    <w:rsid w:val="4ED125AE"/>
    <w:rsid w:val="4ED376D9"/>
    <w:rsid w:val="4ED908C5"/>
    <w:rsid w:val="4EE51018"/>
    <w:rsid w:val="4EE74D90"/>
    <w:rsid w:val="4EE96D5A"/>
    <w:rsid w:val="4EEF1E97"/>
    <w:rsid w:val="4EF4550F"/>
    <w:rsid w:val="4F0516BA"/>
    <w:rsid w:val="4F082F58"/>
    <w:rsid w:val="4F103408"/>
    <w:rsid w:val="4F2064F4"/>
    <w:rsid w:val="4F257D84"/>
    <w:rsid w:val="4F44293C"/>
    <w:rsid w:val="4F457D82"/>
    <w:rsid w:val="4F5E521A"/>
    <w:rsid w:val="4F6C1739"/>
    <w:rsid w:val="4F6C34E7"/>
    <w:rsid w:val="4F6F6BEC"/>
    <w:rsid w:val="4F734876"/>
    <w:rsid w:val="4F7D3946"/>
    <w:rsid w:val="4F7F76BE"/>
    <w:rsid w:val="4F870321"/>
    <w:rsid w:val="4F936CC6"/>
    <w:rsid w:val="4F9843DC"/>
    <w:rsid w:val="4FA808AA"/>
    <w:rsid w:val="4FAA5F43"/>
    <w:rsid w:val="4FAE1D52"/>
    <w:rsid w:val="4FBC0DBE"/>
    <w:rsid w:val="4FBE01E7"/>
    <w:rsid w:val="4FC155E1"/>
    <w:rsid w:val="4FC235E9"/>
    <w:rsid w:val="4FC23D2E"/>
    <w:rsid w:val="4FC3374D"/>
    <w:rsid w:val="4FC62A8C"/>
    <w:rsid w:val="4FD55530"/>
    <w:rsid w:val="4FD81D51"/>
    <w:rsid w:val="4FE02171"/>
    <w:rsid w:val="4FE20F0D"/>
    <w:rsid w:val="4FE51552"/>
    <w:rsid w:val="4FEF4DCC"/>
    <w:rsid w:val="4FFF6BAD"/>
    <w:rsid w:val="500C4CE2"/>
    <w:rsid w:val="50131BB5"/>
    <w:rsid w:val="501473B3"/>
    <w:rsid w:val="50180974"/>
    <w:rsid w:val="501E0C85"/>
    <w:rsid w:val="501F1A47"/>
    <w:rsid w:val="50210776"/>
    <w:rsid w:val="50245B70"/>
    <w:rsid w:val="50342624"/>
    <w:rsid w:val="503C14CC"/>
    <w:rsid w:val="5043249A"/>
    <w:rsid w:val="50496D46"/>
    <w:rsid w:val="50504C4B"/>
    <w:rsid w:val="50522160"/>
    <w:rsid w:val="505634DB"/>
    <w:rsid w:val="506B379F"/>
    <w:rsid w:val="50713A33"/>
    <w:rsid w:val="5076676F"/>
    <w:rsid w:val="507C1E50"/>
    <w:rsid w:val="507E7976"/>
    <w:rsid w:val="50827466"/>
    <w:rsid w:val="50836D3A"/>
    <w:rsid w:val="508A00C9"/>
    <w:rsid w:val="509531FC"/>
    <w:rsid w:val="509C6E7C"/>
    <w:rsid w:val="50A967F6"/>
    <w:rsid w:val="50B12FCB"/>
    <w:rsid w:val="50BE4216"/>
    <w:rsid w:val="50C3247B"/>
    <w:rsid w:val="50C332A5"/>
    <w:rsid w:val="50C86E43"/>
    <w:rsid w:val="50E61077"/>
    <w:rsid w:val="50E7376D"/>
    <w:rsid w:val="50E83041"/>
    <w:rsid w:val="50EF2622"/>
    <w:rsid w:val="50FB4B23"/>
    <w:rsid w:val="50FC089B"/>
    <w:rsid w:val="50FD0400"/>
    <w:rsid w:val="50FD4D3F"/>
    <w:rsid w:val="510E0CFA"/>
    <w:rsid w:val="511C6DB6"/>
    <w:rsid w:val="51246D02"/>
    <w:rsid w:val="5129714B"/>
    <w:rsid w:val="5138355F"/>
    <w:rsid w:val="5144471C"/>
    <w:rsid w:val="514B3CFC"/>
    <w:rsid w:val="515C0CDE"/>
    <w:rsid w:val="5162104E"/>
    <w:rsid w:val="51622DF4"/>
    <w:rsid w:val="5165723B"/>
    <w:rsid w:val="51673238"/>
    <w:rsid w:val="516E79EA"/>
    <w:rsid w:val="518A3E51"/>
    <w:rsid w:val="5194178A"/>
    <w:rsid w:val="51976F41"/>
    <w:rsid w:val="51A0638B"/>
    <w:rsid w:val="51A64A84"/>
    <w:rsid w:val="51B750E9"/>
    <w:rsid w:val="51BD44CE"/>
    <w:rsid w:val="51C13FBE"/>
    <w:rsid w:val="51D6733E"/>
    <w:rsid w:val="51E657D3"/>
    <w:rsid w:val="51FE11CD"/>
    <w:rsid w:val="52067C23"/>
    <w:rsid w:val="520B5239"/>
    <w:rsid w:val="520D679E"/>
    <w:rsid w:val="520F496B"/>
    <w:rsid w:val="521D6D1B"/>
    <w:rsid w:val="522307D5"/>
    <w:rsid w:val="52287B99"/>
    <w:rsid w:val="522916A8"/>
    <w:rsid w:val="523D1B1A"/>
    <w:rsid w:val="523D6212"/>
    <w:rsid w:val="523F4EE3"/>
    <w:rsid w:val="52410C5B"/>
    <w:rsid w:val="524B4509"/>
    <w:rsid w:val="52521412"/>
    <w:rsid w:val="525A142D"/>
    <w:rsid w:val="525A2CC3"/>
    <w:rsid w:val="525E35BB"/>
    <w:rsid w:val="526B231B"/>
    <w:rsid w:val="526F3A1A"/>
    <w:rsid w:val="52701540"/>
    <w:rsid w:val="5274723F"/>
    <w:rsid w:val="527F1783"/>
    <w:rsid w:val="52860D64"/>
    <w:rsid w:val="528648C0"/>
    <w:rsid w:val="528F1931"/>
    <w:rsid w:val="529671F9"/>
    <w:rsid w:val="52A07B61"/>
    <w:rsid w:val="52AD52B2"/>
    <w:rsid w:val="52AE4D91"/>
    <w:rsid w:val="52B76009"/>
    <w:rsid w:val="52B7716F"/>
    <w:rsid w:val="52BC29D7"/>
    <w:rsid w:val="52CA50F4"/>
    <w:rsid w:val="52D10652"/>
    <w:rsid w:val="52D47D21"/>
    <w:rsid w:val="52DB4AB5"/>
    <w:rsid w:val="52EF06B7"/>
    <w:rsid w:val="52FF314E"/>
    <w:rsid w:val="53073C53"/>
    <w:rsid w:val="531613D5"/>
    <w:rsid w:val="53236A4A"/>
    <w:rsid w:val="532A5554"/>
    <w:rsid w:val="532C190B"/>
    <w:rsid w:val="53346A12"/>
    <w:rsid w:val="53446C55"/>
    <w:rsid w:val="534704F3"/>
    <w:rsid w:val="534E5B0B"/>
    <w:rsid w:val="53560736"/>
    <w:rsid w:val="535E75EB"/>
    <w:rsid w:val="53937294"/>
    <w:rsid w:val="53981898"/>
    <w:rsid w:val="53A039CC"/>
    <w:rsid w:val="53A1505A"/>
    <w:rsid w:val="53B10062"/>
    <w:rsid w:val="53B35B89"/>
    <w:rsid w:val="53BC2B2A"/>
    <w:rsid w:val="53C725AE"/>
    <w:rsid w:val="53CA1459"/>
    <w:rsid w:val="53CB2ED2"/>
    <w:rsid w:val="53CE790C"/>
    <w:rsid w:val="53D8739D"/>
    <w:rsid w:val="53E41BCB"/>
    <w:rsid w:val="53E421E6"/>
    <w:rsid w:val="53ED03DE"/>
    <w:rsid w:val="53F103E9"/>
    <w:rsid w:val="53F35AE4"/>
    <w:rsid w:val="53F71F19"/>
    <w:rsid w:val="53F8777C"/>
    <w:rsid w:val="53FF4481"/>
    <w:rsid w:val="54063E08"/>
    <w:rsid w:val="54173688"/>
    <w:rsid w:val="542645AC"/>
    <w:rsid w:val="543437E8"/>
    <w:rsid w:val="543640C4"/>
    <w:rsid w:val="543C5B7E"/>
    <w:rsid w:val="54442C85"/>
    <w:rsid w:val="54476BEA"/>
    <w:rsid w:val="544E765F"/>
    <w:rsid w:val="54501629"/>
    <w:rsid w:val="545F7ABE"/>
    <w:rsid w:val="547C241E"/>
    <w:rsid w:val="547F5A6B"/>
    <w:rsid w:val="54817A35"/>
    <w:rsid w:val="54A63265"/>
    <w:rsid w:val="54B27BEE"/>
    <w:rsid w:val="54BE6593"/>
    <w:rsid w:val="54C53DC5"/>
    <w:rsid w:val="54C67D59"/>
    <w:rsid w:val="54CD67D6"/>
    <w:rsid w:val="54F24B37"/>
    <w:rsid w:val="54F40207"/>
    <w:rsid w:val="54F46459"/>
    <w:rsid w:val="54F73313"/>
    <w:rsid w:val="54F80955"/>
    <w:rsid w:val="54FB5286"/>
    <w:rsid w:val="54FC355F"/>
    <w:rsid w:val="54FE1085"/>
    <w:rsid w:val="550A7A2A"/>
    <w:rsid w:val="550C5017"/>
    <w:rsid w:val="552B0501"/>
    <w:rsid w:val="552C251C"/>
    <w:rsid w:val="55326F81"/>
    <w:rsid w:val="553C395C"/>
    <w:rsid w:val="55407618"/>
    <w:rsid w:val="55434CEA"/>
    <w:rsid w:val="55450A62"/>
    <w:rsid w:val="554705F6"/>
    <w:rsid w:val="55482300"/>
    <w:rsid w:val="554973CD"/>
    <w:rsid w:val="554A42CB"/>
    <w:rsid w:val="554C3600"/>
    <w:rsid w:val="555170A7"/>
    <w:rsid w:val="5553606B"/>
    <w:rsid w:val="55591C29"/>
    <w:rsid w:val="55713605"/>
    <w:rsid w:val="5572523E"/>
    <w:rsid w:val="5579070C"/>
    <w:rsid w:val="557B0928"/>
    <w:rsid w:val="557D12D8"/>
    <w:rsid w:val="5585116B"/>
    <w:rsid w:val="55855303"/>
    <w:rsid w:val="5587536D"/>
    <w:rsid w:val="559612BE"/>
    <w:rsid w:val="559B174B"/>
    <w:rsid w:val="559B4B26"/>
    <w:rsid w:val="559E63C4"/>
    <w:rsid w:val="55A41C2D"/>
    <w:rsid w:val="55A82D9F"/>
    <w:rsid w:val="55AB12E9"/>
    <w:rsid w:val="55AE1142"/>
    <w:rsid w:val="55B1009A"/>
    <w:rsid w:val="55BD502A"/>
    <w:rsid w:val="55CE0CF4"/>
    <w:rsid w:val="55D331EC"/>
    <w:rsid w:val="55DC70FE"/>
    <w:rsid w:val="55DF2C65"/>
    <w:rsid w:val="55E16B3B"/>
    <w:rsid w:val="55EE4C56"/>
    <w:rsid w:val="55FE5A3B"/>
    <w:rsid w:val="56026953"/>
    <w:rsid w:val="560A1A66"/>
    <w:rsid w:val="56151E85"/>
    <w:rsid w:val="561548D9"/>
    <w:rsid w:val="56290384"/>
    <w:rsid w:val="562A2E0B"/>
    <w:rsid w:val="562C598F"/>
    <w:rsid w:val="562E7A43"/>
    <w:rsid w:val="56303E12"/>
    <w:rsid w:val="56321D83"/>
    <w:rsid w:val="56386BDE"/>
    <w:rsid w:val="56496330"/>
    <w:rsid w:val="564E7DEA"/>
    <w:rsid w:val="565B0911"/>
    <w:rsid w:val="565C6063"/>
    <w:rsid w:val="565D1FD4"/>
    <w:rsid w:val="565F354D"/>
    <w:rsid w:val="567535C9"/>
    <w:rsid w:val="567A298E"/>
    <w:rsid w:val="56926D37"/>
    <w:rsid w:val="569A45DF"/>
    <w:rsid w:val="569E48CE"/>
    <w:rsid w:val="56B22A9C"/>
    <w:rsid w:val="56B57E6A"/>
    <w:rsid w:val="56BA722E"/>
    <w:rsid w:val="56C56129"/>
    <w:rsid w:val="56CB4879"/>
    <w:rsid w:val="56D007FF"/>
    <w:rsid w:val="56D025AE"/>
    <w:rsid w:val="56D63107"/>
    <w:rsid w:val="56D71B8E"/>
    <w:rsid w:val="56D8576A"/>
    <w:rsid w:val="56D91888"/>
    <w:rsid w:val="56E878F7"/>
    <w:rsid w:val="56FE4422"/>
    <w:rsid w:val="56FE6A8B"/>
    <w:rsid w:val="570109B9"/>
    <w:rsid w:val="5702376B"/>
    <w:rsid w:val="5714319B"/>
    <w:rsid w:val="57174680"/>
    <w:rsid w:val="572D17AE"/>
    <w:rsid w:val="572E6C86"/>
    <w:rsid w:val="57511940"/>
    <w:rsid w:val="575925A3"/>
    <w:rsid w:val="575B27BF"/>
    <w:rsid w:val="575C02E5"/>
    <w:rsid w:val="575F10F7"/>
    <w:rsid w:val="576378C6"/>
    <w:rsid w:val="57781C71"/>
    <w:rsid w:val="577F6516"/>
    <w:rsid w:val="578F4B5D"/>
    <w:rsid w:val="579161E1"/>
    <w:rsid w:val="57923D07"/>
    <w:rsid w:val="57925AB5"/>
    <w:rsid w:val="5794182D"/>
    <w:rsid w:val="57947A7F"/>
    <w:rsid w:val="57A10DE9"/>
    <w:rsid w:val="57AF5E8D"/>
    <w:rsid w:val="57B27F05"/>
    <w:rsid w:val="57B72A76"/>
    <w:rsid w:val="57C3426C"/>
    <w:rsid w:val="57CC4BC2"/>
    <w:rsid w:val="57CE1F93"/>
    <w:rsid w:val="57CF6D09"/>
    <w:rsid w:val="57D83E10"/>
    <w:rsid w:val="57DA16B0"/>
    <w:rsid w:val="57DA7C2C"/>
    <w:rsid w:val="57DB3B78"/>
    <w:rsid w:val="57E502DB"/>
    <w:rsid w:val="57E9261F"/>
    <w:rsid w:val="57EC2C65"/>
    <w:rsid w:val="57EC78BB"/>
    <w:rsid w:val="57F64296"/>
    <w:rsid w:val="57F646C7"/>
    <w:rsid w:val="57FB365A"/>
    <w:rsid w:val="58024FAF"/>
    <w:rsid w:val="580B61E2"/>
    <w:rsid w:val="581F1A3E"/>
    <w:rsid w:val="581F4B46"/>
    <w:rsid w:val="58214C09"/>
    <w:rsid w:val="582B4142"/>
    <w:rsid w:val="58347300"/>
    <w:rsid w:val="58395CD8"/>
    <w:rsid w:val="585711D8"/>
    <w:rsid w:val="585A2A77"/>
    <w:rsid w:val="58613E05"/>
    <w:rsid w:val="58636BCC"/>
    <w:rsid w:val="586C0B52"/>
    <w:rsid w:val="58783407"/>
    <w:rsid w:val="587A4EC7"/>
    <w:rsid w:val="58801DB1"/>
    <w:rsid w:val="58847AF3"/>
    <w:rsid w:val="588743D1"/>
    <w:rsid w:val="5887701A"/>
    <w:rsid w:val="588C4D06"/>
    <w:rsid w:val="5897206E"/>
    <w:rsid w:val="5898359F"/>
    <w:rsid w:val="5898534D"/>
    <w:rsid w:val="589D1393"/>
    <w:rsid w:val="58A837E2"/>
    <w:rsid w:val="58AE1D7D"/>
    <w:rsid w:val="58B101BD"/>
    <w:rsid w:val="58B56A3F"/>
    <w:rsid w:val="58C168E5"/>
    <w:rsid w:val="58D60B50"/>
    <w:rsid w:val="58DA3BB7"/>
    <w:rsid w:val="58F20F01"/>
    <w:rsid w:val="58F5279F"/>
    <w:rsid w:val="58F5454D"/>
    <w:rsid w:val="59011144"/>
    <w:rsid w:val="59201FD4"/>
    <w:rsid w:val="592F6BA5"/>
    <w:rsid w:val="59301A29"/>
    <w:rsid w:val="593545D7"/>
    <w:rsid w:val="593C217C"/>
    <w:rsid w:val="59406867"/>
    <w:rsid w:val="594A3D10"/>
    <w:rsid w:val="594B039A"/>
    <w:rsid w:val="594F0CF3"/>
    <w:rsid w:val="594F26DF"/>
    <w:rsid w:val="59516618"/>
    <w:rsid w:val="5956560A"/>
    <w:rsid w:val="595F7466"/>
    <w:rsid w:val="596863C7"/>
    <w:rsid w:val="597D3A4E"/>
    <w:rsid w:val="598A738C"/>
    <w:rsid w:val="5991500E"/>
    <w:rsid w:val="59934492"/>
    <w:rsid w:val="59934B76"/>
    <w:rsid w:val="599E4BE5"/>
    <w:rsid w:val="599E69E5"/>
    <w:rsid w:val="59A3044D"/>
    <w:rsid w:val="59B0100B"/>
    <w:rsid w:val="59B77A55"/>
    <w:rsid w:val="59C0439F"/>
    <w:rsid w:val="59CA7788"/>
    <w:rsid w:val="59CE647D"/>
    <w:rsid w:val="59D5279A"/>
    <w:rsid w:val="59D6612D"/>
    <w:rsid w:val="59EA7E2A"/>
    <w:rsid w:val="59EE791A"/>
    <w:rsid w:val="59EF71EF"/>
    <w:rsid w:val="59F12F67"/>
    <w:rsid w:val="59F362D1"/>
    <w:rsid w:val="59F97A99"/>
    <w:rsid w:val="5A0031AA"/>
    <w:rsid w:val="5A026F22"/>
    <w:rsid w:val="5A04081D"/>
    <w:rsid w:val="5A0709DC"/>
    <w:rsid w:val="5A0740B4"/>
    <w:rsid w:val="5A0A227A"/>
    <w:rsid w:val="5A2275C4"/>
    <w:rsid w:val="5A2E712E"/>
    <w:rsid w:val="5A346A52"/>
    <w:rsid w:val="5A3B0686"/>
    <w:rsid w:val="5A5502A0"/>
    <w:rsid w:val="5A5534F6"/>
    <w:rsid w:val="5A567EF9"/>
    <w:rsid w:val="5A5E771E"/>
    <w:rsid w:val="5A60038C"/>
    <w:rsid w:val="5A601E9A"/>
    <w:rsid w:val="5A690D4F"/>
    <w:rsid w:val="5A697B44"/>
    <w:rsid w:val="5A6A4AC7"/>
    <w:rsid w:val="5A6B64E6"/>
    <w:rsid w:val="5A731BCE"/>
    <w:rsid w:val="5A81078E"/>
    <w:rsid w:val="5A821E11"/>
    <w:rsid w:val="5A854F44"/>
    <w:rsid w:val="5A8B6F17"/>
    <w:rsid w:val="5A8C2C8F"/>
    <w:rsid w:val="5A9851CF"/>
    <w:rsid w:val="5AA125D5"/>
    <w:rsid w:val="5AAC3501"/>
    <w:rsid w:val="5AB630E2"/>
    <w:rsid w:val="5AB94FD6"/>
    <w:rsid w:val="5ABD72ED"/>
    <w:rsid w:val="5ABE2233"/>
    <w:rsid w:val="5AC03E2B"/>
    <w:rsid w:val="5ADA1C4D"/>
    <w:rsid w:val="5AE91E90"/>
    <w:rsid w:val="5AF20E4A"/>
    <w:rsid w:val="5AF50835"/>
    <w:rsid w:val="5AFF7905"/>
    <w:rsid w:val="5B2630E4"/>
    <w:rsid w:val="5B3D4DE9"/>
    <w:rsid w:val="5B440B4D"/>
    <w:rsid w:val="5B48305A"/>
    <w:rsid w:val="5B526733"/>
    <w:rsid w:val="5B635D44"/>
    <w:rsid w:val="5B687259"/>
    <w:rsid w:val="5B7531AB"/>
    <w:rsid w:val="5B8A73CA"/>
    <w:rsid w:val="5B8C5087"/>
    <w:rsid w:val="5B8F6EDB"/>
    <w:rsid w:val="5B955B74"/>
    <w:rsid w:val="5B975D90"/>
    <w:rsid w:val="5B991165"/>
    <w:rsid w:val="5BA30291"/>
    <w:rsid w:val="5BA65FD3"/>
    <w:rsid w:val="5BB52A7F"/>
    <w:rsid w:val="5BBD57F6"/>
    <w:rsid w:val="5BBE3647"/>
    <w:rsid w:val="5BC64949"/>
    <w:rsid w:val="5BC85F49"/>
    <w:rsid w:val="5BCD2AF5"/>
    <w:rsid w:val="5BD32BB9"/>
    <w:rsid w:val="5BD652E7"/>
    <w:rsid w:val="5BDF040F"/>
    <w:rsid w:val="5BDF5D95"/>
    <w:rsid w:val="5BE14DCE"/>
    <w:rsid w:val="5BE663CF"/>
    <w:rsid w:val="5BE72873"/>
    <w:rsid w:val="5BE74621"/>
    <w:rsid w:val="5BEA4111"/>
    <w:rsid w:val="5BEC60DC"/>
    <w:rsid w:val="5BF37913"/>
    <w:rsid w:val="5BFE7528"/>
    <w:rsid w:val="5C2238AB"/>
    <w:rsid w:val="5C254D64"/>
    <w:rsid w:val="5C2B7DD8"/>
    <w:rsid w:val="5C321615"/>
    <w:rsid w:val="5C407366"/>
    <w:rsid w:val="5C4342CB"/>
    <w:rsid w:val="5C473312"/>
    <w:rsid w:val="5C4C6B7A"/>
    <w:rsid w:val="5C5412B3"/>
    <w:rsid w:val="5C5477DD"/>
    <w:rsid w:val="5C58551F"/>
    <w:rsid w:val="5C741C2D"/>
    <w:rsid w:val="5C78796F"/>
    <w:rsid w:val="5C79623E"/>
    <w:rsid w:val="5C7F509B"/>
    <w:rsid w:val="5C805DFE"/>
    <w:rsid w:val="5C961809"/>
    <w:rsid w:val="5C9E5452"/>
    <w:rsid w:val="5CB00B41"/>
    <w:rsid w:val="5CC15BA8"/>
    <w:rsid w:val="5CC26E3C"/>
    <w:rsid w:val="5CC93D27"/>
    <w:rsid w:val="5CD81A28"/>
    <w:rsid w:val="5CDB424F"/>
    <w:rsid w:val="5CDC327D"/>
    <w:rsid w:val="5CDF179C"/>
    <w:rsid w:val="5CE24DE9"/>
    <w:rsid w:val="5CED210B"/>
    <w:rsid w:val="5CFD5C23"/>
    <w:rsid w:val="5D075E4B"/>
    <w:rsid w:val="5D0A22B2"/>
    <w:rsid w:val="5D0E5BDE"/>
    <w:rsid w:val="5D0F42A3"/>
    <w:rsid w:val="5D136726"/>
    <w:rsid w:val="5D3715D8"/>
    <w:rsid w:val="5D3F048D"/>
    <w:rsid w:val="5D502A26"/>
    <w:rsid w:val="5D570AB1"/>
    <w:rsid w:val="5D59154F"/>
    <w:rsid w:val="5D5B6EE1"/>
    <w:rsid w:val="5D601065"/>
    <w:rsid w:val="5D746952"/>
    <w:rsid w:val="5D7A3273"/>
    <w:rsid w:val="5D7C0F2F"/>
    <w:rsid w:val="5D8365CC"/>
    <w:rsid w:val="5D8660BC"/>
    <w:rsid w:val="5D8B5480"/>
    <w:rsid w:val="5D8E1F52"/>
    <w:rsid w:val="5D8F6D1E"/>
    <w:rsid w:val="5D916F3A"/>
    <w:rsid w:val="5D9702C9"/>
    <w:rsid w:val="5DA100D9"/>
    <w:rsid w:val="5DA25EA1"/>
    <w:rsid w:val="5DA469A9"/>
    <w:rsid w:val="5DA532CF"/>
    <w:rsid w:val="5DA56542"/>
    <w:rsid w:val="5DB00FE8"/>
    <w:rsid w:val="5DB6074F"/>
    <w:rsid w:val="5DC82230"/>
    <w:rsid w:val="5DD21301"/>
    <w:rsid w:val="5DD5494D"/>
    <w:rsid w:val="5DD65B3C"/>
    <w:rsid w:val="5DDA67B2"/>
    <w:rsid w:val="5DDB5188"/>
    <w:rsid w:val="5DEF3C61"/>
    <w:rsid w:val="5DF179D9"/>
    <w:rsid w:val="5DF50B4C"/>
    <w:rsid w:val="5DF83D94"/>
    <w:rsid w:val="5DFB36D0"/>
    <w:rsid w:val="5DFB43B4"/>
    <w:rsid w:val="5E0A598D"/>
    <w:rsid w:val="5E14191A"/>
    <w:rsid w:val="5E17190F"/>
    <w:rsid w:val="5E196F30"/>
    <w:rsid w:val="5E1B4A56"/>
    <w:rsid w:val="5E1D07CE"/>
    <w:rsid w:val="5E227B93"/>
    <w:rsid w:val="5E2467F1"/>
    <w:rsid w:val="5E2A1262"/>
    <w:rsid w:val="5E323B4E"/>
    <w:rsid w:val="5E33213F"/>
    <w:rsid w:val="5E36741C"/>
    <w:rsid w:val="5E371164"/>
    <w:rsid w:val="5E394EDC"/>
    <w:rsid w:val="5E3E0745"/>
    <w:rsid w:val="5E3F0130"/>
    <w:rsid w:val="5E3F72F7"/>
    <w:rsid w:val="5E451AD3"/>
    <w:rsid w:val="5E453881"/>
    <w:rsid w:val="5E4C006B"/>
    <w:rsid w:val="5E5F2BE4"/>
    <w:rsid w:val="5E6D4B86"/>
    <w:rsid w:val="5E7062EB"/>
    <w:rsid w:val="5E7B3747"/>
    <w:rsid w:val="5E7C3B11"/>
    <w:rsid w:val="5E7E4392"/>
    <w:rsid w:val="5E8E5228"/>
    <w:rsid w:val="5E9075A5"/>
    <w:rsid w:val="5E912C90"/>
    <w:rsid w:val="5E954808"/>
    <w:rsid w:val="5EB01642"/>
    <w:rsid w:val="5EB153BA"/>
    <w:rsid w:val="5EB32EE1"/>
    <w:rsid w:val="5EB8251C"/>
    <w:rsid w:val="5EB915BA"/>
    <w:rsid w:val="5EC21603"/>
    <w:rsid w:val="5EC73BE1"/>
    <w:rsid w:val="5ED05841"/>
    <w:rsid w:val="5EF332DD"/>
    <w:rsid w:val="5F033926"/>
    <w:rsid w:val="5F0545C8"/>
    <w:rsid w:val="5F060EBB"/>
    <w:rsid w:val="5F0A577B"/>
    <w:rsid w:val="5F0F108C"/>
    <w:rsid w:val="5F164E84"/>
    <w:rsid w:val="5F1A2B43"/>
    <w:rsid w:val="5F2B0CC9"/>
    <w:rsid w:val="5F3759A0"/>
    <w:rsid w:val="5F3833E6"/>
    <w:rsid w:val="5F426012"/>
    <w:rsid w:val="5F4D5DDA"/>
    <w:rsid w:val="5F523471"/>
    <w:rsid w:val="5F5D51DC"/>
    <w:rsid w:val="5F5E7878"/>
    <w:rsid w:val="5F60752D"/>
    <w:rsid w:val="5F6F101A"/>
    <w:rsid w:val="5F7408C2"/>
    <w:rsid w:val="5F7A1712"/>
    <w:rsid w:val="5F7A39FE"/>
    <w:rsid w:val="5F8A1E93"/>
    <w:rsid w:val="5F97635E"/>
    <w:rsid w:val="5F993DAF"/>
    <w:rsid w:val="5F9C3975"/>
    <w:rsid w:val="5F9D4F94"/>
    <w:rsid w:val="5FA034CD"/>
    <w:rsid w:val="5FA04B6E"/>
    <w:rsid w:val="5FA4497F"/>
    <w:rsid w:val="5FA45185"/>
    <w:rsid w:val="5FAD3EA6"/>
    <w:rsid w:val="5FB837BB"/>
    <w:rsid w:val="5FC30F01"/>
    <w:rsid w:val="5FC677EA"/>
    <w:rsid w:val="5FCE3D95"/>
    <w:rsid w:val="5FCE4357"/>
    <w:rsid w:val="5FD924D3"/>
    <w:rsid w:val="5FDA449D"/>
    <w:rsid w:val="5FDB26EF"/>
    <w:rsid w:val="5FE570CA"/>
    <w:rsid w:val="5FFB4B3F"/>
    <w:rsid w:val="6005776C"/>
    <w:rsid w:val="600A4D82"/>
    <w:rsid w:val="60116111"/>
    <w:rsid w:val="601259E5"/>
    <w:rsid w:val="60192D6C"/>
    <w:rsid w:val="60200102"/>
    <w:rsid w:val="6022031E"/>
    <w:rsid w:val="60363DC9"/>
    <w:rsid w:val="604605B9"/>
    <w:rsid w:val="605F3F2D"/>
    <w:rsid w:val="606C1599"/>
    <w:rsid w:val="606D6C2A"/>
    <w:rsid w:val="607246D5"/>
    <w:rsid w:val="60742A22"/>
    <w:rsid w:val="607D0810"/>
    <w:rsid w:val="60806E07"/>
    <w:rsid w:val="6085265B"/>
    <w:rsid w:val="60917251"/>
    <w:rsid w:val="609603C4"/>
    <w:rsid w:val="6098459E"/>
    <w:rsid w:val="60A46F85"/>
    <w:rsid w:val="60A76A75"/>
    <w:rsid w:val="60B46A9C"/>
    <w:rsid w:val="60B56102"/>
    <w:rsid w:val="60BD0047"/>
    <w:rsid w:val="60C97884"/>
    <w:rsid w:val="60CA5055"/>
    <w:rsid w:val="60CC405A"/>
    <w:rsid w:val="60CE7B5E"/>
    <w:rsid w:val="60E92BEA"/>
    <w:rsid w:val="60EF54A6"/>
    <w:rsid w:val="60F11A9E"/>
    <w:rsid w:val="610139B4"/>
    <w:rsid w:val="610A2B60"/>
    <w:rsid w:val="61105D4E"/>
    <w:rsid w:val="61137C66"/>
    <w:rsid w:val="611E6232"/>
    <w:rsid w:val="612A5035"/>
    <w:rsid w:val="613A02BC"/>
    <w:rsid w:val="613C540F"/>
    <w:rsid w:val="613C71BD"/>
    <w:rsid w:val="614147D4"/>
    <w:rsid w:val="6142679E"/>
    <w:rsid w:val="61475B62"/>
    <w:rsid w:val="615A7643"/>
    <w:rsid w:val="615D0EE2"/>
    <w:rsid w:val="61655CDB"/>
    <w:rsid w:val="61693D2A"/>
    <w:rsid w:val="616B1851"/>
    <w:rsid w:val="61750921"/>
    <w:rsid w:val="617F354E"/>
    <w:rsid w:val="61826B9A"/>
    <w:rsid w:val="618A388C"/>
    <w:rsid w:val="61921DE0"/>
    <w:rsid w:val="61A16AD5"/>
    <w:rsid w:val="61A82AA5"/>
    <w:rsid w:val="61C1704A"/>
    <w:rsid w:val="61C45474"/>
    <w:rsid w:val="61C564E0"/>
    <w:rsid w:val="61C62327"/>
    <w:rsid w:val="61CB62CF"/>
    <w:rsid w:val="61CB73F0"/>
    <w:rsid w:val="61D7370C"/>
    <w:rsid w:val="61D91182"/>
    <w:rsid w:val="61E17D65"/>
    <w:rsid w:val="61E20C34"/>
    <w:rsid w:val="61E215D8"/>
    <w:rsid w:val="61E65553"/>
    <w:rsid w:val="62053A53"/>
    <w:rsid w:val="620A33F2"/>
    <w:rsid w:val="620C3034"/>
    <w:rsid w:val="620D0B5A"/>
    <w:rsid w:val="620E0632"/>
    <w:rsid w:val="620F495A"/>
    <w:rsid w:val="62122D35"/>
    <w:rsid w:val="621B3277"/>
    <w:rsid w:val="621B3775"/>
    <w:rsid w:val="621C42EA"/>
    <w:rsid w:val="62223BC5"/>
    <w:rsid w:val="62287742"/>
    <w:rsid w:val="62364782"/>
    <w:rsid w:val="62377985"/>
    <w:rsid w:val="623A637B"/>
    <w:rsid w:val="623B7475"/>
    <w:rsid w:val="62465E1A"/>
    <w:rsid w:val="624D71A8"/>
    <w:rsid w:val="62514EEA"/>
    <w:rsid w:val="6252656D"/>
    <w:rsid w:val="62581FEF"/>
    <w:rsid w:val="62593D9F"/>
    <w:rsid w:val="625D50F7"/>
    <w:rsid w:val="626B762E"/>
    <w:rsid w:val="626E0D7A"/>
    <w:rsid w:val="627B4140"/>
    <w:rsid w:val="628801E0"/>
    <w:rsid w:val="628A3F58"/>
    <w:rsid w:val="629F5E36"/>
    <w:rsid w:val="62A31A64"/>
    <w:rsid w:val="62C03E1E"/>
    <w:rsid w:val="62CF5E0F"/>
    <w:rsid w:val="62D64E2C"/>
    <w:rsid w:val="62DA4EE0"/>
    <w:rsid w:val="62DD677E"/>
    <w:rsid w:val="62E775FD"/>
    <w:rsid w:val="62EC076F"/>
    <w:rsid w:val="62ED53A3"/>
    <w:rsid w:val="62F977F1"/>
    <w:rsid w:val="62FA7E57"/>
    <w:rsid w:val="62FF4946"/>
    <w:rsid w:val="630C2BBF"/>
    <w:rsid w:val="631127C2"/>
    <w:rsid w:val="63164010"/>
    <w:rsid w:val="63247F09"/>
    <w:rsid w:val="63326E83"/>
    <w:rsid w:val="63355430"/>
    <w:rsid w:val="63452CAD"/>
    <w:rsid w:val="634F4F16"/>
    <w:rsid w:val="63524ADE"/>
    <w:rsid w:val="63532446"/>
    <w:rsid w:val="635B76A3"/>
    <w:rsid w:val="637025E6"/>
    <w:rsid w:val="63754B4B"/>
    <w:rsid w:val="637864A7"/>
    <w:rsid w:val="638906B4"/>
    <w:rsid w:val="638E7A78"/>
    <w:rsid w:val="6394356A"/>
    <w:rsid w:val="63A16818"/>
    <w:rsid w:val="63A61A51"/>
    <w:rsid w:val="63AD6150"/>
    <w:rsid w:val="63AE011A"/>
    <w:rsid w:val="63B219B9"/>
    <w:rsid w:val="63BF2C7A"/>
    <w:rsid w:val="63BF7C32"/>
    <w:rsid w:val="63C53537"/>
    <w:rsid w:val="63C61B2C"/>
    <w:rsid w:val="63CC234F"/>
    <w:rsid w:val="63CE77B7"/>
    <w:rsid w:val="63D40BE9"/>
    <w:rsid w:val="63D52A24"/>
    <w:rsid w:val="63DC6A36"/>
    <w:rsid w:val="63E2236B"/>
    <w:rsid w:val="63F7386F"/>
    <w:rsid w:val="64011AE5"/>
    <w:rsid w:val="64041AE8"/>
    <w:rsid w:val="64047D3A"/>
    <w:rsid w:val="64063AB3"/>
    <w:rsid w:val="64102431"/>
    <w:rsid w:val="64111803"/>
    <w:rsid w:val="64144421"/>
    <w:rsid w:val="641A5FA9"/>
    <w:rsid w:val="641E704E"/>
    <w:rsid w:val="641F5EA8"/>
    <w:rsid w:val="642119FE"/>
    <w:rsid w:val="6434429A"/>
    <w:rsid w:val="64361EE4"/>
    <w:rsid w:val="643903FB"/>
    <w:rsid w:val="643B7C00"/>
    <w:rsid w:val="643F0B9D"/>
    <w:rsid w:val="64432586"/>
    <w:rsid w:val="64485E79"/>
    <w:rsid w:val="64515AA2"/>
    <w:rsid w:val="64524F4A"/>
    <w:rsid w:val="64540CC2"/>
    <w:rsid w:val="645C36D2"/>
    <w:rsid w:val="64630F05"/>
    <w:rsid w:val="64721148"/>
    <w:rsid w:val="64755E5B"/>
    <w:rsid w:val="647B56A8"/>
    <w:rsid w:val="647C54E3"/>
    <w:rsid w:val="6480021A"/>
    <w:rsid w:val="6492301D"/>
    <w:rsid w:val="64A22188"/>
    <w:rsid w:val="64A31301"/>
    <w:rsid w:val="64A5243A"/>
    <w:rsid w:val="64BE438D"/>
    <w:rsid w:val="64C64A7D"/>
    <w:rsid w:val="64CF659A"/>
    <w:rsid w:val="64D378D5"/>
    <w:rsid w:val="64D43BB1"/>
    <w:rsid w:val="64D911C7"/>
    <w:rsid w:val="64DE2339"/>
    <w:rsid w:val="64E04304"/>
    <w:rsid w:val="64E22405"/>
    <w:rsid w:val="64E421D7"/>
    <w:rsid w:val="64E85052"/>
    <w:rsid w:val="64ED1CC6"/>
    <w:rsid w:val="64F531DE"/>
    <w:rsid w:val="65073007"/>
    <w:rsid w:val="650A312E"/>
    <w:rsid w:val="65183A9D"/>
    <w:rsid w:val="651D2E62"/>
    <w:rsid w:val="65222B6E"/>
    <w:rsid w:val="652D7AB2"/>
    <w:rsid w:val="65341F48"/>
    <w:rsid w:val="65373578"/>
    <w:rsid w:val="65421A37"/>
    <w:rsid w:val="65433422"/>
    <w:rsid w:val="65551F4D"/>
    <w:rsid w:val="65562818"/>
    <w:rsid w:val="655B398A"/>
    <w:rsid w:val="65637788"/>
    <w:rsid w:val="656E5DB3"/>
    <w:rsid w:val="65730E20"/>
    <w:rsid w:val="657C5654"/>
    <w:rsid w:val="657F40AF"/>
    <w:rsid w:val="6585261B"/>
    <w:rsid w:val="659155FE"/>
    <w:rsid w:val="65965509"/>
    <w:rsid w:val="659A6BA8"/>
    <w:rsid w:val="65A43583"/>
    <w:rsid w:val="65A450DE"/>
    <w:rsid w:val="65A65E76"/>
    <w:rsid w:val="65A76BCF"/>
    <w:rsid w:val="65AE7F5E"/>
    <w:rsid w:val="65C71020"/>
    <w:rsid w:val="65D97D54"/>
    <w:rsid w:val="65DF280D"/>
    <w:rsid w:val="65E25712"/>
    <w:rsid w:val="65EF654B"/>
    <w:rsid w:val="65FF4C5D"/>
    <w:rsid w:val="660A5ADC"/>
    <w:rsid w:val="660E6C4E"/>
    <w:rsid w:val="66165350"/>
    <w:rsid w:val="661C0B77"/>
    <w:rsid w:val="661C73DE"/>
    <w:rsid w:val="661E3335"/>
    <w:rsid w:val="66252916"/>
    <w:rsid w:val="66256220"/>
    <w:rsid w:val="664720D7"/>
    <w:rsid w:val="664967D6"/>
    <w:rsid w:val="665F74AA"/>
    <w:rsid w:val="666351EC"/>
    <w:rsid w:val="6667795A"/>
    <w:rsid w:val="666A0329"/>
    <w:rsid w:val="666A6994"/>
    <w:rsid w:val="666C5915"/>
    <w:rsid w:val="668D4017"/>
    <w:rsid w:val="6693550B"/>
    <w:rsid w:val="669D15CE"/>
    <w:rsid w:val="66A741FB"/>
    <w:rsid w:val="66AA4BC9"/>
    <w:rsid w:val="66AE597A"/>
    <w:rsid w:val="66C57C55"/>
    <w:rsid w:val="66D165FA"/>
    <w:rsid w:val="66DB4D83"/>
    <w:rsid w:val="66E14363"/>
    <w:rsid w:val="66E71979"/>
    <w:rsid w:val="670047E9"/>
    <w:rsid w:val="67112E9A"/>
    <w:rsid w:val="671F124A"/>
    <w:rsid w:val="672C55DE"/>
    <w:rsid w:val="673A2CF8"/>
    <w:rsid w:val="673D77EB"/>
    <w:rsid w:val="673E2BAE"/>
    <w:rsid w:val="67497F49"/>
    <w:rsid w:val="675114E9"/>
    <w:rsid w:val="675608AD"/>
    <w:rsid w:val="6759039D"/>
    <w:rsid w:val="675A65EF"/>
    <w:rsid w:val="675E7762"/>
    <w:rsid w:val="67662E8B"/>
    <w:rsid w:val="676905E0"/>
    <w:rsid w:val="67695A94"/>
    <w:rsid w:val="67747617"/>
    <w:rsid w:val="67782732"/>
    <w:rsid w:val="677834A1"/>
    <w:rsid w:val="677A33C6"/>
    <w:rsid w:val="678169CB"/>
    <w:rsid w:val="679C2ADC"/>
    <w:rsid w:val="67AB0BF9"/>
    <w:rsid w:val="67B30A1E"/>
    <w:rsid w:val="67B657F0"/>
    <w:rsid w:val="67C24194"/>
    <w:rsid w:val="67C26CC2"/>
    <w:rsid w:val="67CC59E3"/>
    <w:rsid w:val="67D20E03"/>
    <w:rsid w:val="67D61813"/>
    <w:rsid w:val="67D853EE"/>
    <w:rsid w:val="67DE2B76"/>
    <w:rsid w:val="67FD341E"/>
    <w:rsid w:val="68096EE4"/>
    <w:rsid w:val="680C5410"/>
    <w:rsid w:val="68103152"/>
    <w:rsid w:val="68120C78"/>
    <w:rsid w:val="68175212"/>
    <w:rsid w:val="681F6961"/>
    <w:rsid w:val="68227E19"/>
    <w:rsid w:val="682335E1"/>
    <w:rsid w:val="6828049B"/>
    <w:rsid w:val="682B37F2"/>
    <w:rsid w:val="68322BB5"/>
    <w:rsid w:val="6841155D"/>
    <w:rsid w:val="68444BA9"/>
    <w:rsid w:val="684F1471"/>
    <w:rsid w:val="685F19E3"/>
    <w:rsid w:val="68610A2F"/>
    <w:rsid w:val="68622ACF"/>
    <w:rsid w:val="68664B20"/>
    <w:rsid w:val="68727990"/>
    <w:rsid w:val="68791CA0"/>
    <w:rsid w:val="68805514"/>
    <w:rsid w:val="68906041"/>
    <w:rsid w:val="68A044D6"/>
    <w:rsid w:val="68A32A1B"/>
    <w:rsid w:val="68A348CD"/>
    <w:rsid w:val="68AF296B"/>
    <w:rsid w:val="68B47F81"/>
    <w:rsid w:val="68B57855"/>
    <w:rsid w:val="68C161FA"/>
    <w:rsid w:val="68C63810"/>
    <w:rsid w:val="68C835DF"/>
    <w:rsid w:val="68E1689C"/>
    <w:rsid w:val="68ED5241"/>
    <w:rsid w:val="68F002EC"/>
    <w:rsid w:val="68F75D97"/>
    <w:rsid w:val="68F91E38"/>
    <w:rsid w:val="68FB170C"/>
    <w:rsid w:val="68FC6CDB"/>
    <w:rsid w:val="68FC7232"/>
    <w:rsid w:val="6902539D"/>
    <w:rsid w:val="69286279"/>
    <w:rsid w:val="692C1A5B"/>
    <w:rsid w:val="69316E2F"/>
    <w:rsid w:val="693A0274"/>
    <w:rsid w:val="694035C3"/>
    <w:rsid w:val="69472BA3"/>
    <w:rsid w:val="694E2071"/>
    <w:rsid w:val="694E2BF2"/>
    <w:rsid w:val="695452C0"/>
    <w:rsid w:val="69766163"/>
    <w:rsid w:val="69796166"/>
    <w:rsid w:val="697A3B33"/>
    <w:rsid w:val="698A6F34"/>
    <w:rsid w:val="69915D62"/>
    <w:rsid w:val="69931944"/>
    <w:rsid w:val="699851AD"/>
    <w:rsid w:val="69B55904"/>
    <w:rsid w:val="69BA1180"/>
    <w:rsid w:val="69C064B2"/>
    <w:rsid w:val="69C60E3C"/>
    <w:rsid w:val="69CE5517"/>
    <w:rsid w:val="69D02B99"/>
    <w:rsid w:val="69D44760"/>
    <w:rsid w:val="69D72179"/>
    <w:rsid w:val="69DD786A"/>
    <w:rsid w:val="69E95A08"/>
    <w:rsid w:val="69EE301F"/>
    <w:rsid w:val="69F85C4B"/>
    <w:rsid w:val="69FD7706"/>
    <w:rsid w:val="69FD7ECC"/>
    <w:rsid w:val="6A0665BA"/>
    <w:rsid w:val="6A072332"/>
    <w:rsid w:val="6A1A02B8"/>
    <w:rsid w:val="6A1D29A9"/>
    <w:rsid w:val="6A1F142A"/>
    <w:rsid w:val="6A2B6021"/>
    <w:rsid w:val="6A3A698D"/>
    <w:rsid w:val="6A3B0848"/>
    <w:rsid w:val="6A3E279B"/>
    <w:rsid w:val="6A4315BC"/>
    <w:rsid w:val="6A445335"/>
    <w:rsid w:val="6A484E25"/>
    <w:rsid w:val="6A4C120B"/>
    <w:rsid w:val="6A4D243B"/>
    <w:rsid w:val="6A520EC7"/>
    <w:rsid w:val="6A554E4C"/>
    <w:rsid w:val="6A891E7B"/>
    <w:rsid w:val="6A8A4544"/>
    <w:rsid w:val="6A902328"/>
    <w:rsid w:val="6A955B90"/>
    <w:rsid w:val="6A9F1CE8"/>
    <w:rsid w:val="6AA54025"/>
    <w:rsid w:val="6AA61B4B"/>
    <w:rsid w:val="6AAE4DFC"/>
    <w:rsid w:val="6ABE0C43"/>
    <w:rsid w:val="6ABE6E95"/>
    <w:rsid w:val="6AD62431"/>
    <w:rsid w:val="6ADD5144"/>
    <w:rsid w:val="6ADF21B5"/>
    <w:rsid w:val="6AE10DD5"/>
    <w:rsid w:val="6AEF02D0"/>
    <w:rsid w:val="6AF87E20"/>
    <w:rsid w:val="6AF97ECD"/>
    <w:rsid w:val="6AFE3735"/>
    <w:rsid w:val="6B0A1475"/>
    <w:rsid w:val="6B0C21C8"/>
    <w:rsid w:val="6B110FC7"/>
    <w:rsid w:val="6B162075"/>
    <w:rsid w:val="6B1B579A"/>
    <w:rsid w:val="6B1E5B86"/>
    <w:rsid w:val="6B1F2492"/>
    <w:rsid w:val="6B1F2CAB"/>
    <w:rsid w:val="6B1F7E37"/>
    <w:rsid w:val="6B2667E8"/>
    <w:rsid w:val="6B291C2C"/>
    <w:rsid w:val="6B322639"/>
    <w:rsid w:val="6B3B2294"/>
    <w:rsid w:val="6B451364"/>
    <w:rsid w:val="6B453112"/>
    <w:rsid w:val="6B513865"/>
    <w:rsid w:val="6B5477F9"/>
    <w:rsid w:val="6B5C220A"/>
    <w:rsid w:val="6B69597E"/>
    <w:rsid w:val="6B6D2669"/>
    <w:rsid w:val="6B6F63FC"/>
    <w:rsid w:val="6B7E5E0A"/>
    <w:rsid w:val="6B87197D"/>
    <w:rsid w:val="6B882FFF"/>
    <w:rsid w:val="6B8E4AB9"/>
    <w:rsid w:val="6B9320D0"/>
    <w:rsid w:val="6B99345E"/>
    <w:rsid w:val="6B9F679B"/>
    <w:rsid w:val="6BAD30F8"/>
    <w:rsid w:val="6BB87D88"/>
    <w:rsid w:val="6BBA6682"/>
    <w:rsid w:val="6BC15417"/>
    <w:rsid w:val="6BC26511"/>
    <w:rsid w:val="6BC4672D"/>
    <w:rsid w:val="6BC524A5"/>
    <w:rsid w:val="6BC73521"/>
    <w:rsid w:val="6BCB4D1B"/>
    <w:rsid w:val="6BCD4E2B"/>
    <w:rsid w:val="6BD10E4A"/>
    <w:rsid w:val="6BD36970"/>
    <w:rsid w:val="6BE26BB3"/>
    <w:rsid w:val="6BEC5C84"/>
    <w:rsid w:val="6BFF5A02"/>
    <w:rsid w:val="6C07661A"/>
    <w:rsid w:val="6C0C3C30"/>
    <w:rsid w:val="6C1140F0"/>
    <w:rsid w:val="6C1A00FB"/>
    <w:rsid w:val="6C3D203B"/>
    <w:rsid w:val="6C4F5118"/>
    <w:rsid w:val="6C5C4BB7"/>
    <w:rsid w:val="6C5C5A57"/>
    <w:rsid w:val="6C625DD2"/>
    <w:rsid w:val="6C636971"/>
    <w:rsid w:val="6C636C38"/>
    <w:rsid w:val="6C6802A9"/>
    <w:rsid w:val="6C6B6BA9"/>
    <w:rsid w:val="6C7041BF"/>
    <w:rsid w:val="6C711CE5"/>
    <w:rsid w:val="6C753A1F"/>
    <w:rsid w:val="6C783E95"/>
    <w:rsid w:val="6C7F4402"/>
    <w:rsid w:val="6C891725"/>
    <w:rsid w:val="6C8C4AAA"/>
    <w:rsid w:val="6CAB169B"/>
    <w:rsid w:val="6CAF619F"/>
    <w:rsid w:val="6CB26F15"/>
    <w:rsid w:val="6CB71DEE"/>
    <w:rsid w:val="6CBF0CA2"/>
    <w:rsid w:val="6CC401FC"/>
    <w:rsid w:val="6CC462B9"/>
    <w:rsid w:val="6CC664D5"/>
    <w:rsid w:val="6CD26C28"/>
    <w:rsid w:val="6CDB1F80"/>
    <w:rsid w:val="6CDF1345"/>
    <w:rsid w:val="6CE556DE"/>
    <w:rsid w:val="6CEB1A97"/>
    <w:rsid w:val="6D033285"/>
    <w:rsid w:val="6D0D1D19"/>
    <w:rsid w:val="6D196605"/>
    <w:rsid w:val="6D2531FB"/>
    <w:rsid w:val="6D325918"/>
    <w:rsid w:val="6D372F2F"/>
    <w:rsid w:val="6D3C64DB"/>
    <w:rsid w:val="6D5E495F"/>
    <w:rsid w:val="6D5E670D"/>
    <w:rsid w:val="6D6261FE"/>
    <w:rsid w:val="6D654216"/>
    <w:rsid w:val="6D6655C2"/>
    <w:rsid w:val="6D686429"/>
    <w:rsid w:val="6D6C2BD8"/>
    <w:rsid w:val="6D745F31"/>
    <w:rsid w:val="6D763A57"/>
    <w:rsid w:val="6D90095A"/>
    <w:rsid w:val="6D9263B7"/>
    <w:rsid w:val="6D94212F"/>
    <w:rsid w:val="6D975DB6"/>
    <w:rsid w:val="6D9914F3"/>
    <w:rsid w:val="6DA560EA"/>
    <w:rsid w:val="6DB34098"/>
    <w:rsid w:val="6DB545B6"/>
    <w:rsid w:val="6DD24A05"/>
    <w:rsid w:val="6DDC5565"/>
    <w:rsid w:val="6DDE15FC"/>
    <w:rsid w:val="6DE02FB4"/>
    <w:rsid w:val="6DE61053"/>
    <w:rsid w:val="6DE61111"/>
    <w:rsid w:val="6DEC3D19"/>
    <w:rsid w:val="6DEF3809"/>
    <w:rsid w:val="6DF42BCE"/>
    <w:rsid w:val="6DF46D05"/>
    <w:rsid w:val="6DF8446C"/>
    <w:rsid w:val="6E054DDB"/>
    <w:rsid w:val="6E070B53"/>
    <w:rsid w:val="6E0A419F"/>
    <w:rsid w:val="6E0B6B0F"/>
    <w:rsid w:val="6E0E0133"/>
    <w:rsid w:val="6E0E1EE1"/>
    <w:rsid w:val="6E10219F"/>
    <w:rsid w:val="6E1119D2"/>
    <w:rsid w:val="6E1B45FE"/>
    <w:rsid w:val="6E272FA3"/>
    <w:rsid w:val="6E281CAF"/>
    <w:rsid w:val="6E2C05BA"/>
    <w:rsid w:val="6E445903"/>
    <w:rsid w:val="6E4678CD"/>
    <w:rsid w:val="6E4F148C"/>
    <w:rsid w:val="6E514CED"/>
    <w:rsid w:val="6E5A6DD8"/>
    <w:rsid w:val="6E5D0773"/>
    <w:rsid w:val="6E624F04"/>
    <w:rsid w:val="6E6371A6"/>
    <w:rsid w:val="6E66587A"/>
    <w:rsid w:val="6E6B4DAF"/>
    <w:rsid w:val="6E777A87"/>
    <w:rsid w:val="6E810905"/>
    <w:rsid w:val="6E8977BA"/>
    <w:rsid w:val="6E900BC6"/>
    <w:rsid w:val="6E963C85"/>
    <w:rsid w:val="6E9F0D8B"/>
    <w:rsid w:val="6E9F2B3A"/>
    <w:rsid w:val="6EA958FC"/>
    <w:rsid w:val="6EAB4077"/>
    <w:rsid w:val="6EB33540"/>
    <w:rsid w:val="6EB563D5"/>
    <w:rsid w:val="6EB74327"/>
    <w:rsid w:val="6EBE2657"/>
    <w:rsid w:val="6EBF142E"/>
    <w:rsid w:val="6EC802E2"/>
    <w:rsid w:val="6ECB3E6A"/>
    <w:rsid w:val="6ECC09FD"/>
    <w:rsid w:val="6ECE341F"/>
    <w:rsid w:val="6ECE34BE"/>
    <w:rsid w:val="6ED24CBD"/>
    <w:rsid w:val="6ED30EAE"/>
    <w:rsid w:val="6ED92677"/>
    <w:rsid w:val="6EDA6400"/>
    <w:rsid w:val="6EE314B3"/>
    <w:rsid w:val="6EE638E7"/>
    <w:rsid w:val="6EED5F9B"/>
    <w:rsid w:val="6EF128F2"/>
    <w:rsid w:val="6EF13547"/>
    <w:rsid w:val="6EF8049C"/>
    <w:rsid w:val="6EFC1D3A"/>
    <w:rsid w:val="6F101C89"/>
    <w:rsid w:val="6F103A37"/>
    <w:rsid w:val="6F125A01"/>
    <w:rsid w:val="6F15104E"/>
    <w:rsid w:val="6F16554D"/>
    <w:rsid w:val="6F173018"/>
    <w:rsid w:val="6F1C64A2"/>
    <w:rsid w:val="6F1F65C5"/>
    <w:rsid w:val="6F2179F2"/>
    <w:rsid w:val="6F225983"/>
    <w:rsid w:val="6F2D45E9"/>
    <w:rsid w:val="6F375468"/>
    <w:rsid w:val="6F421580"/>
    <w:rsid w:val="6F484F7F"/>
    <w:rsid w:val="6F4A2B2D"/>
    <w:rsid w:val="6F4D07E7"/>
    <w:rsid w:val="6F5778B8"/>
    <w:rsid w:val="6F71097A"/>
    <w:rsid w:val="6F737370"/>
    <w:rsid w:val="6F7C589A"/>
    <w:rsid w:val="6F7E3097"/>
    <w:rsid w:val="6F891957"/>
    <w:rsid w:val="6F896726"/>
    <w:rsid w:val="6F912DCA"/>
    <w:rsid w:val="6F992AA6"/>
    <w:rsid w:val="6FA80114"/>
    <w:rsid w:val="6FB47687"/>
    <w:rsid w:val="6FB6638D"/>
    <w:rsid w:val="6FDE58E3"/>
    <w:rsid w:val="6FE07923"/>
    <w:rsid w:val="6FE74546"/>
    <w:rsid w:val="6FEC122C"/>
    <w:rsid w:val="6FED5F77"/>
    <w:rsid w:val="6FEF5D43"/>
    <w:rsid w:val="6FF17ED0"/>
    <w:rsid w:val="6FF957E3"/>
    <w:rsid w:val="6FFC5590"/>
    <w:rsid w:val="6FFD045F"/>
    <w:rsid w:val="700D088C"/>
    <w:rsid w:val="7012558D"/>
    <w:rsid w:val="701D28B0"/>
    <w:rsid w:val="70291255"/>
    <w:rsid w:val="702A28D7"/>
    <w:rsid w:val="702C48A1"/>
    <w:rsid w:val="702D5518"/>
    <w:rsid w:val="70355FEC"/>
    <w:rsid w:val="703E5658"/>
    <w:rsid w:val="703F2826"/>
    <w:rsid w:val="704F4ED6"/>
    <w:rsid w:val="70577DED"/>
    <w:rsid w:val="705B6F34"/>
    <w:rsid w:val="70652935"/>
    <w:rsid w:val="706D1DD0"/>
    <w:rsid w:val="70744DA7"/>
    <w:rsid w:val="70856B87"/>
    <w:rsid w:val="70871AD7"/>
    <w:rsid w:val="70877D29"/>
    <w:rsid w:val="708E730A"/>
    <w:rsid w:val="709366CE"/>
    <w:rsid w:val="70A24B63"/>
    <w:rsid w:val="70A266CF"/>
    <w:rsid w:val="70AC019F"/>
    <w:rsid w:val="70AD69B0"/>
    <w:rsid w:val="70B80242"/>
    <w:rsid w:val="70C76378"/>
    <w:rsid w:val="70D527EE"/>
    <w:rsid w:val="70E1568B"/>
    <w:rsid w:val="70E228A3"/>
    <w:rsid w:val="70E46D74"/>
    <w:rsid w:val="70EE1B56"/>
    <w:rsid w:val="70EE7B55"/>
    <w:rsid w:val="70F01D72"/>
    <w:rsid w:val="70F03B20"/>
    <w:rsid w:val="710B2708"/>
    <w:rsid w:val="7123505E"/>
    <w:rsid w:val="71290DE0"/>
    <w:rsid w:val="712D267F"/>
    <w:rsid w:val="71347EB1"/>
    <w:rsid w:val="713C0E48"/>
    <w:rsid w:val="71433839"/>
    <w:rsid w:val="71445C1A"/>
    <w:rsid w:val="71491244"/>
    <w:rsid w:val="71500E9C"/>
    <w:rsid w:val="715776FB"/>
    <w:rsid w:val="715B5300"/>
    <w:rsid w:val="716233A4"/>
    <w:rsid w:val="71626B03"/>
    <w:rsid w:val="716B13F9"/>
    <w:rsid w:val="716D5171"/>
    <w:rsid w:val="716F7682"/>
    <w:rsid w:val="717604C9"/>
    <w:rsid w:val="717F6C52"/>
    <w:rsid w:val="718030F6"/>
    <w:rsid w:val="71902C0D"/>
    <w:rsid w:val="71956476"/>
    <w:rsid w:val="719C7804"/>
    <w:rsid w:val="71A1306D"/>
    <w:rsid w:val="71A768D5"/>
    <w:rsid w:val="71AB7A47"/>
    <w:rsid w:val="71B52674"/>
    <w:rsid w:val="71BB603B"/>
    <w:rsid w:val="71BC7EA6"/>
    <w:rsid w:val="71C21FDA"/>
    <w:rsid w:val="71C650B7"/>
    <w:rsid w:val="71C9610D"/>
    <w:rsid w:val="71CE696B"/>
    <w:rsid w:val="71D27F8A"/>
    <w:rsid w:val="71D376CA"/>
    <w:rsid w:val="71D554CE"/>
    <w:rsid w:val="71D92FD5"/>
    <w:rsid w:val="71E82A49"/>
    <w:rsid w:val="71F65166"/>
    <w:rsid w:val="71F9675B"/>
    <w:rsid w:val="71FC2E92"/>
    <w:rsid w:val="720A6A97"/>
    <w:rsid w:val="720F6672"/>
    <w:rsid w:val="721D0945"/>
    <w:rsid w:val="72286F2B"/>
    <w:rsid w:val="722E7785"/>
    <w:rsid w:val="723512A2"/>
    <w:rsid w:val="72367C59"/>
    <w:rsid w:val="723D078B"/>
    <w:rsid w:val="72492588"/>
    <w:rsid w:val="7249798C"/>
    <w:rsid w:val="724F114D"/>
    <w:rsid w:val="72553024"/>
    <w:rsid w:val="72567431"/>
    <w:rsid w:val="725D6D65"/>
    <w:rsid w:val="72695938"/>
    <w:rsid w:val="7275252F"/>
    <w:rsid w:val="727C77F9"/>
    <w:rsid w:val="72850298"/>
    <w:rsid w:val="72907369"/>
    <w:rsid w:val="72A72905"/>
    <w:rsid w:val="72AD7197"/>
    <w:rsid w:val="72B5390F"/>
    <w:rsid w:val="72C82BA2"/>
    <w:rsid w:val="72C83F3E"/>
    <w:rsid w:val="72C97A08"/>
    <w:rsid w:val="72CC4119"/>
    <w:rsid w:val="72D74CD3"/>
    <w:rsid w:val="72D76045"/>
    <w:rsid w:val="72DB2C6A"/>
    <w:rsid w:val="72DF377A"/>
    <w:rsid w:val="72E510AE"/>
    <w:rsid w:val="72E742FD"/>
    <w:rsid w:val="72F80E64"/>
    <w:rsid w:val="72F86CBC"/>
    <w:rsid w:val="72FA591B"/>
    <w:rsid w:val="72FD0776"/>
    <w:rsid w:val="72FD08B8"/>
    <w:rsid w:val="73122968"/>
    <w:rsid w:val="73131D48"/>
    <w:rsid w:val="7318110C"/>
    <w:rsid w:val="731E2CB7"/>
    <w:rsid w:val="731F1990"/>
    <w:rsid w:val="731F20C0"/>
    <w:rsid w:val="731F5D5E"/>
    <w:rsid w:val="7320390F"/>
    <w:rsid w:val="73245D03"/>
    <w:rsid w:val="732A068D"/>
    <w:rsid w:val="732F1165"/>
    <w:rsid w:val="732F29F0"/>
    <w:rsid w:val="73487C44"/>
    <w:rsid w:val="734C0DB6"/>
    <w:rsid w:val="73584DE1"/>
    <w:rsid w:val="73595538"/>
    <w:rsid w:val="735A60D6"/>
    <w:rsid w:val="735C36EF"/>
    <w:rsid w:val="73634A7D"/>
    <w:rsid w:val="736833A7"/>
    <w:rsid w:val="73691BC5"/>
    <w:rsid w:val="736B1B84"/>
    <w:rsid w:val="73797DFD"/>
    <w:rsid w:val="737A3B75"/>
    <w:rsid w:val="737C64D7"/>
    <w:rsid w:val="737E5413"/>
    <w:rsid w:val="7380460B"/>
    <w:rsid w:val="73830C7C"/>
    <w:rsid w:val="73886292"/>
    <w:rsid w:val="738B18DE"/>
    <w:rsid w:val="738C30F5"/>
    <w:rsid w:val="739840F2"/>
    <w:rsid w:val="739F538A"/>
    <w:rsid w:val="73A75865"/>
    <w:rsid w:val="73BA435C"/>
    <w:rsid w:val="73BC23E0"/>
    <w:rsid w:val="73C51AD5"/>
    <w:rsid w:val="73CC2623"/>
    <w:rsid w:val="73D21451"/>
    <w:rsid w:val="73D813D5"/>
    <w:rsid w:val="73E9269D"/>
    <w:rsid w:val="73EF6311"/>
    <w:rsid w:val="73FB09A7"/>
    <w:rsid w:val="74072A10"/>
    <w:rsid w:val="74081181"/>
    <w:rsid w:val="74097195"/>
    <w:rsid w:val="74163E96"/>
    <w:rsid w:val="7419513C"/>
    <w:rsid w:val="741C69DA"/>
    <w:rsid w:val="741E793C"/>
    <w:rsid w:val="74277859"/>
    <w:rsid w:val="743A2B40"/>
    <w:rsid w:val="7452064E"/>
    <w:rsid w:val="74570A73"/>
    <w:rsid w:val="745B39A7"/>
    <w:rsid w:val="745E3944"/>
    <w:rsid w:val="745E5840"/>
    <w:rsid w:val="745F5557"/>
    <w:rsid w:val="745F5A78"/>
    <w:rsid w:val="7461643C"/>
    <w:rsid w:val="74640AAD"/>
    <w:rsid w:val="746B1A43"/>
    <w:rsid w:val="746C5BB4"/>
    <w:rsid w:val="74730CF0"/>
    <w:rsid w:val="7476258E"/>
    <w:rsid w:val="74776CB5"/>
    <w:rsid w:val="747C235C"/>
    <w:rsid w:val="74827185"/>
    <w:rsid w:val="74933140"/>
    <w:rsid w:val="74B530B7"/>
    <w:rsid w:val="74B93B9E"/>
    <w:rsid w:val="74C257D4"/>
    <w:rsid w:val="74C57072"/>
    <w:rsid w:val="74D00547"/>
    <w:rsid w:val="74D12CB3"/>
    <w:rsid w:val="74DD5034"/>
    <w:rsid w:val="74E25E76"/>
    <w:rsid w:val="74E4399C"/>
    <w:rsid w:val="74F04C0C"/>
    <w:rsid w:val="74FA4F6E"/>
    <w:rsid w:val="74FD0501"/>
    <w:rsid w:val="74FE6101"/>
    <w:rsid w:val="74FF2584"/>
    <w:rsid w:val="75026D05"/>
    <w:rsid w:val="75041948"/>
    <w:rsid w:val="75155DE5"/>
    <w:rsid w:val="75236DCA"/>
    <w:rsid w:val="7524023C"/>
    <w:rsid w:val="75295853"/>
    <w:rsid w:val="753328B9"/>
    <w:rsid w:val="75342D58"/>
    <w:rsid w:val="75470E99"/>
    <w:rsid w:val="75497CA3"/>
    <w:rsid w:val="754B27E4"/>
    <w:rsid w:val="754D7793"/>
    <w:rsid w:val="755D72AA"/>
    <w:rsid w:val="75630D65"/>
    <w:rsid w:val="756D3991"/>
    <w:rsid w:val="756D7683"/>
    <w:rsid w:val="7577036C"/>
    <w:rsid w:val="757E794D"/>
    <w:rsid w:val="75803D3C"/>
    <w:rsid w:val="75930F1E"/>
    <w:rsid w:val="75956A44"/>
    <w:rsid w:val="7599347C"/>
    <w:rsid w:val="759C4277"/>
    <w:rsid w:val="759E421B"/>
    <w:rsid w:val="75A734D1"/>
    <w:rsid w:val="75A82C1C"/>
    <w:rsid w:val="75A849CA"/>
    <w:rsid w:val="75AC07FE"/>
    <w:rsid w:val="75B710B1"/>
    <w:rsid w:val="75B84C22"/>
    <w:rsid w:val="75BF12C2"/>
    <w:rsid w:val="75C23793"/>
    <w:rsid w:val="75C64E50"/>
    <w:rsid w:val="75D27E21"/>
    <w:rsid w:val="75D649A3"/>
    <w:rsid w:val="75E672A0"/>
    <w:rsid w:val="75FD7A77"/>
    <w:rsid w:val="760A3124"/>
    <w:rsid w:val="760C31AA"/>
    <w:rsid w:val="76251218"/>
    <w:rsid w:val="76261D92"/>
    <w:rsid w:val="76264037"/>
    <w:rsid w:val="76283D5C"/>
    <w:rsid w:val="76291BD2"/>
    <w:rsid w:val="762A3631"/>
    <w:rsid w:val="762F50EB"/>
    <w:rsid w:val="7635099D"/>
    <w:rsid w:val="763C3364"/>
    <w:rsid w:val="764861AD"/>
    <w:rsid w:val="764C0E19"/>
    <w:rsid w:val="765B5EE0"/>
    <w:rsid w:val="766034F6"/>
    <w:rsid w:val="766268B4"/>
    <w:rsid w:val="76692017"/>
    <w:rsid w:val="766A1C7F"/>
    <w:rsid w:val="76705649"/>
    <w:rsid w:val="76727B5C"/>
    <w:rsid w:val="76796366"/>
    <w:rsid w:val="768369C1"/>
    <w:rsid w:val="76867187"/>
    <w:rsid w:val="76880357"/>
    <w:rsid w:val="768F16E6"/>
    <w:rsid w:val="768F7791"/>
    <w:rsid w:val="76937210"/>
    <w:rsid w:val="76950A02"/>
    <w:rsid w:val="76992564"/>
    <w:rsid w:val="76A333E3"/>
    <w:rsid w:val="76AE0F04"/>
    <w:rsid w:val="76CC293A"/>
    <w:rsid w:val="76E47C83"/>
    <w:rsid w:val="76EA1012"/>
    <w:rsid w:val="76F1414E"/>
    <w:rsid w:val="76F71DC1"/>
    <w:rsid w:val="76FB321F"/>
    <w:rsid w:val="77026A79"/>
    <w:rsid w:val="7709405E"/>
    <w:rsid w:val="770B16B4"/>
    <w:rsid w:val="770B26BA"/>
    <w:rsid w:val="771816DB"/>
    <w:rsid w:val="77204A34"/>
    <w:rsid w:val="772701EB"/>
    <w:rsid w:val="77272794"/>
    <w:rsid w:val="77272DBC"/>
    <w:rsid w:val="77274014"/>
    <w:rsid w:val="772E53A2"/>
    <w:rsid w:val="773C7ABF"/>
    <w:rsid w:val="774B5945"/>
    <w:rsid w:val="774B712C"/>
    <w:rsid w:val="77536AA1"/>
    <w:rsid w:val="77565351"/>
    <w:rsid w:val="775C3CBE"/>
    <w:rsid w:val="775D17E4"/>
    <w:rsid w:val="776112D4"/>
    <w:rsid w:val="77630DEE"/>
    <w:rsid w:val="77712302"/>
    <w:rsid w:val="7774220A"/>
    <w:rsid w:val="77762421"/>
    <w:rsid w:val="777803CC"/>
    <w:rsid w:val="777D6AC4"/>
    <w:rsid w:val="7789082B"/>
    <w:rsid w:val="779D05C6"/>
    <w:rsid w:val="779D7E32"/>
    <w:rsid w:val="779F004E"/>
    <w:rsid w:val="77A613DD"/>
    <w:rsid w:val="77B56B1F"/>
    <w:rsid w:val="77B75398"/>
    <w:rsid w:val="77D01FB6"/>
    <w:rsid w:val="77D54ABC"/>
    <w:rsid w:val="77DC095A"/>
    <w:rsid w:val="77DF669D"/>
    <w:rsid w:val="77E141C3"/>
    <w:rsid w:val="77EB2E35"/>
    <w:rsid w:val="77EE068E"/>
    <w:rsid w:val="77F57C6E"/>
    <w:rsid w:val="77F7266A"/>
    <w:rsid w:val="77F83C6D"/>
    <w:rsid w:val="780236F1"/>
    <w:rsid w:val="780D320A"/>
    <w:rsid w:val="780F09F4"/>
    <w:rsid w:val="78174088"/>
    <w:rsid w:val="7819395D"/>
    <w:rsid w:val="78210A63"/>
    <w:rsid w:val="78411105"/>
    <w:rsid w:val="784129DA"/>
    <w:rsid w:val="78416059"/>
    <w:rsid w:val="78491FE5"/>
    <w:rsid w:val="784A620C"/>
    <w:rsid w:val="78522218"/>
    <w:rsid w:val="78544995"/>
    <w:rsid w:val="7858261A"/>
    <w:rsid w:val="785B3F75"/>
    <w:rsid w:val="786120E9"/>
    <w:rsid w:val="78634425"/>
    <w:rsid w:val="786C6182"/>
    <w:rsid w:val="786F38B1"/>
    <w:rsid w:val="78782D79"/>
    <w:rsid w:val="787B0EF3"/>
    <w:rsid w:val="787E7C64"/>
    <w:rsid w:val="78850E0A"/>
    <w:rsid w:val="788F00C3"/>
    <w:rsid w:val="788F1E71"/>
    <w:rsid w:val="78913205"/>
    <w:rsid w:val="78922CE5"/>
    <w:rsid w:val="78957A98"/>
    <w:rsid w:val="78A7540C"/>
    <w:rsid w:val="78A771BA"/>
    <w:rsid w:val="78A90480"/>
    <w:rsid w:val="78B2790D"/>
    <w:rsid w:val="78B813C8"/>
    <w:rsid w:val="78B96EEE"/>
    <w:rsid w:val="78C1012D"/>
    <w:rsid w:val="78CC09CF"/>
    <w:rsid w:val="78CC6C21"/>
    <w:rsid w:val="78CE23CE"/>
    <w:rsid w:val="78CF226D"/>
    <w:rsid w:val="78D02DFD"/>
    <w:rsid w:val="78D36201"/>
    <w:rsid w:val="78D41D59"/>
    <w:rsid w:val="78D82668"/>
    <w:rsid w:val="78D855C6"/>
    <w:rsid w:val="78E124D5"/>
    <w:rsid w:val="78E33F6B"/>
    <w:rsid w:val="78ED1F41"/>
    <w:rsid w:val="78EE24F1"/>
    <w:rsid w:val="78F65A4C"/>
    <w:rsid w:val="79241281"/>
    <w:rsid w:val="79254583"/>
    <w:rsid w:val="792A3D41"/>
    <w:rsid w:val="79383607"/>
    <w:rsid w:val="79475E50"/>
    <w:rsid w:val="794762A8"/>
    <w:rsid w:val="79492020"/>
    <w:rsid w:val="794F7F7D"/>
    <w:rsid w:val="795445DD"/>
    <w:rsid w:val="79553815"/>
    <w:rsid w:val="795870CE"/>
    <w:rsid w:val="796674DE"/>
    <w:rsid w:val="79680FA5"/>
    <w:rsid w:val="79697E19"/>
    <w:rsid w:val="797A042B"/>
    <w:rsid w:val="79843F9B"/>
    <w:rsid w:val="79905EA0"/>
    <w:rsid w:val="799C2A97"/>
    <w:rsid w:val="79A71777"/>
    <w:rsid w:val="79AD5238"/>
    <w:rsid w:val="79BC0A44"/>
    <w:rsid w:val="79C35EDA"/>
    <w:rsid w:val="79CE4C1B"/>
    <w:rsid w:val="79DD09BA"/>
    <w:rsid w:val="79E104AA"/>
    <w:rsid w:val="79E1494E"/>
    <w:rsid w:val="79E77869"/>
    <w:rsid w:val="79FA156C"/>
    <w:rsid w:val="79FF03B2"/>
    <w:rsid w:val="7A010B4C"/>
    <w:rsid w:val="7A021A1C"/>
    <w:rsid w:val="7A083C89"/>
    <w:rsid w:val="7A0D129F"/>
    <w:rsid w:val="7A122D59"/>
    <w:rsid w:val="7A1A1C0E"/>
    <w:rsid w:val="7A2465E9"/>
    <w:rsid w:val="7A2B60B2"/>
    <w:rsid w:val="7A364017"/>
    <w:rsid w:val="7A401D4D"/>
    <w:rsid w:val="7A432F13"/>
    <w:rsid w:val="7A5769BE"/>
    <w:rsid w:val="7A585579"/>
    <w:rsid w:val="7A644C9E"/>
    <w:rsid w:val="7A770E0E"/>
    <w:rsid w:val="7A8265E1"/>
    <w:rsid w:val="7A8C2B0C"/>
    <w:rsid w:val="7A91692B"/>
    <w:rsid w:val="7A9E62BF"/>
    <w:rsid w:val="7AA31C03"/>
    <w:rsid w:val="7AAA4D40"/>
    <w:rsid w:val="7AAC3494"/>
    <w:rsid w:val="7AC10A3B"/>
    <w:rsid w:val="7AC202DC"/>
    <w:rsid w:val="7AC51B7A"/>
    <w:rsid w:val="7AC70907"/>
    <w:rsid w:val="7AD324E9"/>
    <w:rsid w:val="7AD65B35"/>
    <w:rsid w:val="7ADB75EF"/>
    <w:rsid w:val="7AE127DC"/>
    <w:rsid w:val="7AE446F6"/>
    <w:rsid w:val="7AE71AF0"/>
    <w:rsid w:val="7AFB559C"/>
    <w:rsid w:val="7AFE3D7E"/>
    <w:rsid w:val="7B0D2FAA"/>
    <w:rsid w:val="7B0E1773"/>
    <w:rsid w:val="7B0F54EB"/>
    <w:rsid w:val="7B203D0C"/>
    <w:rsid w:val="7B240194"/>
    <w:rsid w:val="7B2C245B"/>
    <w:rsid w:val="7B32621C"/>
    <w:rsid w:val="7B38234C"/>
    <w:rsid w:val="7B542EFE"/>
    <w:rsid w:val="7B583286"/>
    <w:rsid w:val="7B6273C9"/>
    <w:rsid w:val="7B6770D5"/>
    <w:rsid w:val="7B68086A"/>
    <w:rsid w:val="7B686D42"/>
    <w:rsid w:val="7B7A6E08"/>
    <w:rsid w:val="7B827A6B"/>
    <w:rsid w:val="7B841746"/>
    <w:rsid w:val="7B870239"/>
    <w:rsid w:val="7B8E6410"/>
    <w:rsid w:val="7B95779E"/>
    <w:rsid w:val="7B9B1144"/>
    <w:rsid w:val="7BAC7174"/>
    <w:rsid w:val="7BB155A5"/>
    <w:rsid w:val="7BB857F2"/>
    <w:rsid w:val="7BCA50D4"/>
    <w:rsid w:val="7BD152CC"/>
    <w:rsid w:val="7BD44CF2"/>
    <w:rsid w:val="7BDE750D"/>
    <w:rsid w:val="7BE129E3"/>
    <w:rsid w:val="7BEF1B2C"/>
    <w:rsid w:val="7BEF2474"/>
    <w:rsid w:val="7BF256D2"/>
    <w:rsid w:val="7BF347CB"/>
    <w:rsid w:val="7BFD3E6C"/>
    <w:rsid w:val="7BFD460C"/>
    <w:rsid w:val="7C105077"/>
    <w:rsid w:val="7C1E3C37"/>
    <w:rsid w:val="7C305719"/>
    <w:rsid w:val="7C3D07C3"/>
    <w:rsid w:val="7C4316D6"/>
    <w:rsid w:val="7C4D1A2E"/>
    <w:rsid w:val="7C501917"/>
    <w:rsid w:val="7C5F37EC"/>
    <w:rsid w:val="7C6C5AC7"/>
    <w:rsid w:val="7C855A65"/>
    <w:rsid w:val="7C892FBA"/>
    <w:rsid w:val="7C8B573A"/>
    <w:rsid w:val="7C8D47EE"/>
    <w:rsid w:val="7C8D4A9C"/>
    <w:rsid w:val="7C8E3CEE"/>
    <w:rsid w:val="7C9537CE"/>
    <w:rsid w:val="7C975798"/>
    <w:rsid w:val="7C9C44FE"/>
    <w:rsid w:val="7C9E08D4"/>
    <w:rsid w:val="7CA11E26"/>
    <w:rsid w:val="7CA35EEB"/>
    <w:rsid w:val="7CAD1240"/>
    <w:rsid w:val="7CB01790"/>
    <w:rsid w:val="7CB93960"/>
    <w:rsid w:val="7CC11C19"/>
    <w:rsid w:val="7CC6544B"/>
    <w:rsid w:val="7CC83BA3"/>
    <w:rsid w:val="7CC869E7"/>
    <w:rsid w:val="7CCA791B"/>
    <w:rsid w:val="7CDE6F23"/>
    <w:rsid w:val="7CE7227B"/>
    <w:rsid w:val="7CE75426"/>
    <w:rsid w:val="7CE87DA1"/>
    <w:rsid w:val="7CEA15BA"/>
    <w:rsid w:val="7D0239FF"/>
    <w:rsid w:val="7D0E4A27"/>
    <w:rsid w:val="7D162B61"/>
    <w:rsid w:val="7D1D3EEF"/>
    <w:rsid w:val="7D2667F7"/>
    <w:rsid w:val="7D384885"/>
    <w:rsid w:val="7D39684F"/>
    <w:rsid w:val="7D3C5597"/>
    <w:rsid w:val="7D3E5C51"/>
    <w:rsid w:val="7D3F20B7"/>
    <w:rsid w:val="7D4071CA"/>
    <w:rsid w:val="7D425704"/>
    <w:rsid w:val="7D537911"/>
    <w:rsid w:val="7D5B0573"/>
    <w:rsid w:val="7D5E40CD"/>
    <w:rsid w:val="7D6A6A08"/>
    <w:rsid w:val="7D6F030F"/>
    <w:rsid w:val="7D812156"/>
    <w:rsid w:val="7D8908F9"/>
    <w:rsid w:val="7D966B1E"/>
    <w:rsid w:val="7D972EFD"/>
    <w:rsid w:val="7DA056F0"/>
    <w:rsid w:val="7DA4016C"/>
    <w:rsid w:val="7DA57A41"/>
    <w:rsid w:val="7DB119FE"/>
    <w:rsid w:val="7DB62063"/>
    <w:rsid w:val="7DBD692C"/>
    <w:rsid w:val="7DC205F3"/>
    <w:rsid w:val="7DC460C0"/>
    <w:rsid w:val="7DC97BD3"/>
    <w:rsid w:val="7DCD56F2"/>
    <w:rsid w:val="7DD021D2"/>
    <w:rsid w:val="7DD520D4"/>
    <w:rsid w:val="7DEA3E93"/>
    <w:rsid w:val="7DEF60A9"/>
    <w:rsid w:val="7DF74740"/>
    <w:rsid w:val="7DF808E7"/>
    <w:rsid w:val="7E0155BF"/>
    <w:rsid w:val="7E040C0B"/>
    <w:rsid w:val="7E192908"/>
    <w:rsid w:val="7E1B0636"/>
    <w:rsid w:val="7E1E7F1F"/>
    <w:rsid w:val="7E275317"/>
    <w:rsid w:val="7E3D0C7E"/>
    <w:rsid w:val="7E4159BB"/>
    <w:rsid w:val="7E4574DE"/>
    <w:rsid w:val="7E45761D"/>
    <w:rsid w:val="7E4B7A64"/>
    <w:rsid w:val="7E4D4AB6"/>
    <w:rsid w:val="7E4E1E86"/>
    <w:rsid w:val="7E5512D0"/>
    <w:rsid w:val="7E5E47BF"/>
    <w:rsid w:val="7E70004F"/>
    <w:rsid w:val="7E773953"/>
    <w:rsid w:val="7E7933A7"/>
    <w:rsid w:val="7E7C4375"/>
    <w:rsid w:val="7E881DDB"/>
    <w:rsid w:val="7E945AEE"/>
    <w:rsid w:val="7E992541"/>
    <w:rsid w:val="7E9E6352"/>
    <w:rsid w:val="7E9F624D"/>
    <w:rsid w:val="7EA131CA"/>
    <w:rsid w:val="7EA321D2"/>
    <w:rsid w:val="7EA7229D"/>
    <w:rsid w:val="7EA810CD"/>
    <w:rsid w:val="7EAA17B2"/>
    <w:rsid w:val="7EB937A4"/>
    <w:rsid w:val="7EB9719B"/>
    <w:rsid w:val="7EBE4488"/>
    <w:rsid w:val="7EC42148"/>
    <w:rsid w:val="7EC64112"/>
    <w:rsid w:val="7EC94FAA"/>
    <w:rsid w:val="7ECA696E"/>
    <w:rsid w:val="7ED764DC"/>
    <w:rsid w:val="7EE2286E"/>
    <w:rsid w:val="7EE54599"/>
    <w:rsid w:val="7EE97F06"/>
    <w:rsid w:val="7EEC1DCB"/>
    <w:rsid w:val="7EEE6ED6"/>
    <w:rsid w:val="7EF20255"/>
    <w:rsid w:val="7EF46ED2"/>
    <w:rsid w:val="7EF90044"/>
    <w:rsid w:val="7EF96296"/>
    <w:rsid w:val="7EFC5948"/>
    <w:rsid w:val="7EFE0269"/>
    <w:rsid w:val="7F001CE7"/>
    <w:rsid w:val="7F062761"/>
    <w:rsid w:val="7F076C05"/>
    <w:rsid w:val="7F1716D0"/>
    <w:rsid w:val="7F2E23E3"/>
    <w:rsid w:val="7F313C82"/>
    <w:rsid w:val="7F381952"/>
    <w:rsid w:val="7F39083A"/>
    <w:rsid w:val="7F470740"/>
    <w:rsid w:val="7F5775B6"/>
    <w:rsid w:val="7F662281"/>
    <w:rsid w:val="7F6C2F0C"/>
    <w:rsid w:val="7F6F6558"/>
    <w:rsid w:val="7F71407E"/>
    <w:rsid w:val="7F73429A"/>
    <w:rsid w:val="7F791185"/>
    <w:rsid w:val="7F815141"/>
    <w:rsid w:val="7F841C19"/>
    <w:rsid w:val="7F8457DC"/>
    <w:rsid w:val="7FA206DC"/>
    <w:rsid w:val="7FA2692E"/>
    <w:rsid w:val="7FA81D53"/>
    <w:rsid w:val="7FB623D9"/>
    <w:rsid w:val="7FBB5A79"/>
    <w:rsid w:val="7FCF641B"/>
    <w:rsid w:val="7FDB19B8"/>
    <w:rsid w:val="7FE26D2A"/>
    <w:rsid w:val="7FE40CF4"/>
    <w:rsid w:val="7FE47E50"/>
    <w:rsid w:val="7FE66564"/>
    <w:rsid w:val="7FE67F5B"/>
    <w:rsid w:val="7FEC35BC"/>
    <w:rsid w:val="95AFBF4A"/>
    <w:rsid w:val="ED577767"/>
    <w:rsid w:val="FBAF2A23"/>
    <w:rsid w:val="FD7F8D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overflowPunct w:val="0"/>
      <w:autoSpaceDE w:val="0"/>
      <w:autoSpaceDN w:val="0"/>
      <w:adjustRightInd w:val="0"/>
      <w:snapToGrid w:val="0"/>
      <w:spacing w:line="360" w:lineRule="auto"/>
      <w:ind w:left="0" w:firstLine="720" w:firstLineChars="200"/>
      <w:outlineLvl w:val="0"/>
    </w:pPr>
    <w:rPr>
      <w:rFonts w:ascii="Times New Roman" w:hAnsi="Times New Roman" w:eastAsia="宋体"/>
      <w:b/>
      <w:bCs/>
      <w:color w:val="000000"/>
      <w:kern w:val="44"/>
      <w:sz w:val="24"/>
      <w:szCs w:val="30"/>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567"/>
    </w:pPr>
    <w:rPr>
      <w:rFonts w:eastAsia="仿宋_GB2312"/>
      <w:spacing w:val="0"/>
      <w:sz w:val="24"/>
    </w:rPr>
  </w:style>
  <w:style w:type="paragraph" w:styleId="6">
    <w:name w:val="index 5"/>
    <w:basedOn w:val="1"/>
    <w:next w:val="1"/>
    <w:qFormat/>
    <w:uiPriority w:val="99"/>
    <w:pPr>
      <w:ind w:left="1680"/>
    </w:pPr>
  </w:style>
  <w:style w:type="paragraph" w:styleId="7">
    <w:name w:val="annotation text"/>
    <w:basedOn w:val="1"/>
    <w:link w:val="40"/>
    <w:semiHidden/>
    <w:qFormat/>
    <w:uiPriority w:val="0"/>
    <w:pPr>
      <w:jc w:val="left"/>
    </w:pPr>
    <w:rPr>
      <w:kern w:val="0"/>
      <w:sz w:val="24"/>
      <w:szCs w:val="20"/>
    </w:rPr>
  </w:style>
  <w:style w:type="paragraph" w:styleId="8">
    <w:name w:val="Body Text"/>
    <w:basedOn w:val="1"/>
    <w:next w:val="9"/>
    <w:link w:val="41"/>
    <w:qFormat/>
    <w:uiPriority w:val="0"/>
    <w:pPr>
      <w:widowControl/>
      <w:snapToGrid w:val="0"/>
      <w:spacing w:before="60" w:after="160" w:line="259" w:lineRule="auto"/>
      <w:ind w:right="113"/>
    </w:pPr>
    <w:rPr>
      <w:kern w:val="0"/>
      <w:sz w:val="18"/>
      <w:szCs w:val="20"/>
    </w:rPr>
  </w:style>
  <w:style w:type="paragraph" w:styleId="9">
    <w:name w:val="List Bullet 5"/>
    <w:basedOn w:val="1"/>
    <w:qFormat/>
    <w:uiPriority w:val="0"/>
    <w:pPr>
      <w:numPr>
        <w:ilvl w:val="0"/>
        <w:numId w:val="1"/>
      </w:numPr>
    </w:pPr>
  </w:style>
  <w:style w:type="paragraph" w:styleId="10">
    <w:name w:val="Body Text Indent"/>
    <w:basedOn w:val="1"/>
    <w:next w:val="11"/>
    <w:link w:val="37"/>
    <w:qFormat/>
    <w:uiPriority w:val="0"/>
    <w:pPr>
      <w:spacing w:after="120"/>
      <w:ind w:left="420" w:leftChars="200"/>
    </w:pPr>
    <w:rPr>
      <w:kern w:val="0"/>
      <w:sz w:val="24"/>
      <w:szCs w:val="20"/>
    </w:rPr>
  </w:style>
  <w:style w:type="paragraph" w:styleId="11">
    <w:name w:val="Body Text First Indent 2"/>
    <w:basedOn w:val="10"/>
    <w:next w:val="1"/>
    <w:link w:val="38"/>
    <w:qFormat/>
    <w:uiPriority w:val="0"/>
    <w:pPr>
      <w:ind w:firstLine="420" w:firstLineChars="200"/>
    </w:pPr>
    <w:rPr>
      <w:kern w:val="2"/>
      <w:sz w:val="21"/>
      <w:szCs w:val="24"/>
    </w:rPr>
  </w:style>
  <w:style w:type="paragraph" w:styleId="12">
    <w:name w:val="List Bullet 2"/>
    <w:basedOn w:val="1"/>
    <w:next w:val="13"/>
    <w:qFormat/>
    <w:uiPriority w:val="0"/>
    <w:pPr>
      <w:numPr>
        <w:ilvl w:val="0"/>
        <w:numId w:val="2"/>
      </w:numPr>
    </w:pPr>
  </w:style>
  <w:style w:type="paragraph" w:customStyle="1" w:styleId="13">
    <w:name w:val="xl70"/>
    <w:basedOn w:val="1"/>
    <w:next w:val="14"/>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left"/>
    </w:pPr>
    <w:rPr>
      <w:rFonts w:ascii="宋体" w:hAnsi="宋体" w:cs="宋体"/>
      <w:snapToGrid/>
      <w:sz w:val="20"/>
      <w:szCs w:val="20"/>
    </w:rPr>
  </w:style>
  <w:style w:type="paragraph" w:customStyle="1" w:styleId="14">
    <w:name w:val="正文缩进1"/>
    <w:basedOn w:val="1"/>
    <w:next w:val="15"/>
    <w:qFormat/>
    <w:uiPriority w:val="0"/>
    <w:pPr>
      <w:adjustRightInd/>
      <w:snapToGrid/>
      <w:spacing w:before="156" w:beforeLines="50" w:after="156" w:afterLines="50"/>
      <w:ind w:firstLine="1048" w:firstLineChars="435"/>
      <w:jc w:val="center"/>
    </w:pPr>
    <w:rPr>
      <w:rFonts w:ascii="宋体" w:hAnsi="宋体"/>
      <w:b/>
      <w:bCs/>
      <w:color w:val="000000"/>
      <w:kern w:val="24"/>
      <w:sz w:val="24"/>
    </w:rPr>
  </w:style>
  <w:style w:type="paragraph" w:customStyle="1" w:styleId="15">
    <w:name w:val="td1"/>
    <w:basedOn w:val="1"/>
    <w:next w:val="1"/>
    <w:qFormat/>
    <w:uiPriority w:val="0"/>
    <w:pPr>
      <w:widowControl/>
      <w:spacing w:before="280" w:after="280" w:line="300" w:lineRule="atLeast"/>
      <w:ind w:firstLine="200"/>
    </w:pPr>
    <w:rPr>
      <w:color w:val="000000"/>
      <w:sz w:val="18"/>
    </w:rPr>
  </w:style>
  <w:style w:type="paragraph" w:styleId="16">
    <w:name w:val="Plain Text"/>
    <w:basedOn w:val="1"/>
    <w:link w:val="42"/>
    <w:qFormat/>
    <w:uiPriority w:val="0"/>
    <w:rPr>
      <w:rFonts w:ascii="宋体" w:hAnsi="Courier New"/>
      <w:szCs w:val="20"/>
    </w:rPr>
  </w:style>
  <w:style w:type="paragraph" w:styleId="17">
    <w:name w:val="Date"/>
    <w:basedOn w:val="1"/>
    <w:next w:val="1"/>
    <w:link w:val="43"/>
    <w:qFormat/>
    <w:uiPriority w:val="0"/>
    <w:pPr>
      <w:ind w:left="100" w:leftChars="2500"/>
    </w:pPr>
    <w:rPr>
      <w:kern w:val="0"/>
      <w:sz w:val="24"/>
      <w:szCs w:val="20"/>
    </w:rPr>
  </w:style>
  <w:style w:type="paragraph" w:styleId="18">
    <w:name w:val="Body Text Indent 2"/>
    <w:basedOn w:val="1"/>
    <w:link w:val="44"/>
    <w:qFormat/>
    <w:uiPriority w:val="0"/>
    <w:pPr>
      <w:spacing w:after="120" w:line="480" w:lineRule="auto"/>
      <w:ind w:left="420" w:leftChars="200"/>
    </w:pPr>
  </w:style>
  <w:style w:type="paragraph" w:styleId="19">
    <w:name w:val="Balloon Text"/>
    <w:basedOn w:val="1"/>
    <w:link w:val="45"/>
    <w:semiHidden/>
    <w:qFormat/>
    <w:uiPriority w:val="0"/>
    <w:rPr>
      <w:kern w:val="0"/>
      <w:sz w:val="18"/>
      <w:szCs w:val="20"/>
    </w:rPr>
  </w:style>
  <w:style w:type="paragraph" w:styleId="20">
    <w:name w:val="footer"/>
    <w:basedOn w:val="1"/>
    <w:next w:val="1"/>
    <w:link w:val="46"/>
    <w:qFormat/>
    <w:uiPriority w:val="99"/>
    <w:pPr>
      <w:tabs>
        <w:tab w:val="center" w:pos="4153"/>
        <w:tab w:val="right" w:pos="8306"/>
      </w:tabs>
      <w:snapToGrid w:val="0"/>
      <w:jc w:val="left"/>
    </w:pPr>
    <w:rPr>
      <w:kern w:val="0"/>
      <w:sz w:val="18"/>
      <w:szCs w:val="20"/>
    </w:rPr>
  </w:style>
  <w:style w:type="paragraph" w:styleId="21">
    <w:name w:val="header"/>
    <w:basedOn w:val="1"/>
    <w:link w:val="47"/>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index heading"/>
    <w:basedOn w:val="1"/>
    <w:next w:val="23"/>
    <w:qFormat/>
    <w:uiPriority w:val="0"/>
    <w:pPr>
      <w:jc w:val="both"/>
    </w:pPr>
    <w:rPr>
      <w:rFonts w:ascii="Arial" w:hAnsi="Arial"/>
      <w:b/>
      <w:kern w:val="2"/>
      <w:sz w:val="21"/>
      <w:lang w:val="en-US" w:bidi="ar-SA"/>
    </w:rPr>
  </w:style>
  <w:style w:type="paragraph" w:styleId="23">
    <w:name w:val="index 1"/>
    <w:basedOn w:val="1"/>
    <w:next w:val="1"/>
    <w:qFormat/>
    <w:uiPriority w:val="0"/>
    <w:pPr>
      <w:adjustRightInd w:val="0"/>
      <w:spacing w:line="240" w:lineRule="atLeast"/>
      <w:jc w:val="center"/>
      <w:textAlignment w:val="baseline"/>
    </w:pPr>
  </w:style>
  <w:style w:type="paragraph" w:styleId="24">
    <w:name w:val="List"/>
    <w:basedOn w:val="1"/>
    <w:next w:val="12"/>
    <w:qFormat/>
    <w:uiPriority w:val="99"/>
    <w:pPr>
      <w:spacing w:line="320" w:lineRule="exact"/>
      <w:jc w:val="center"/>
    </w:pPr>
    <w:rPr>
      <w:sz w:val="20"/>
    </w:rPr>
  </w:style>
  <w:style w:type="paragraph" w:styleId="25">
    <w:name w:val="Body Text Indent 3"/>
    <w:basedOn w:val="1"/>
    <w:next w:val="1"/>
    <w:qFormat/>
    <w:uiPriority w:val="0"/>
    <w:pPr>
      <w:spacing w:beforeLines="50"/>
      <w:ind w:firstLine="480" w:firstLineChars="200"/>
    </w:pPr>
    <w:rPr>
      <w:color w:val="000000"/>
      <w:sz w:val="24"/>
    </w:rPr>
  </w:style>
  <w:style w:type="paragraph" w:styleId="26">
    <w:name w:val="Body Text 2"/>
    <w:basedOn w:val="1"/>
    <w:qFormat/>
    <w:uiPriority w:val="0"/>
    <w:pPr>
      <w:snapToGrid w:val="0"/>
      <w:jc w:val="center"/>
    </w:pPr>
    <w:rPr>
      <w:sz w:val="28"/>
      <w:szCs w:val="20"/>
    </w:rPr>
  </w:style>
  <w:style w:type="paragraph" w:styleId="27">
    <w:name w:val="Normal (Web)"/>
    <w:basedOn w:val="1"/>
    <w:link w:val="48"/>
    <w:qFormat/>
    <w:uiPriority w:val="99"/>
    <w:pPr>
      <w:widowControl/>
      <w:spacing w:before="100" w:beforeAutospacing="1" w:after="100" w:afterAutospacing="1"/>
      <w:jc w:val="left"/>
    </w:pPr>
    <w:rPr>
      <w:rFonts w:ascii="宋体" w:hAnsi="宋体"/>
      <w:kern w:val="0"/>
      <w:sz w:val="24"/>
      <w:szCs w:val="20"/>
    </w:rPr>
  </w:style>
  <w:style w:type="paragraph" w:styleId="28">
    <w:name w:val="annotation subject"/>
    <w:basedOn w:val="7"/>
    <w:next w:val="7"/>
    <w:link w:val="49"/>
    <w:semiHidden/>
    <w:qFormat/>
    <w:uiPriority w:val="0"/>
    <w:rPr>
      <w:b/>
      <w:sz w:val="24"/>
      <w:szCs w:val="20"/>
    </w:rPr>
  </w:style>
  <w:style w:type="paragraph" w:styleId="29">
    <w:name w:val="Body Text First Indent"/>
    <w:basedOn w:val="8"/>
    <w:next w:val="1"/>
    <w:link w:val="50"/>
    <w:qFormat/>
    <w:uiPriority w:val="0"/>
    <w:pPr>
      <w:widowControl w:val="0"/>
      <w:snapToGrid/>
      <w:spacing w:before="0" w:after="120" w:line="240" w:lineRule="auto"/>
      <w:ind w:right="0" w:firstLine="420" w:firstLineChars="100"/>
    </w:pPr>
    <w:rPr>
      <w:kern w:val="2"/>
      <w:sz w:val="21"/>
      <w:szCs w:val="24"/>
    </w:rPr>
  </w:style>
  <w:style w:type="table" w:styleId="31">
    <w:name w:val="Table Grid"/>
    <w:basedOn w:val="3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qFormat/>
    <w:uiPriority w:val="0"/>
  </w:style>
  <w:style w:type="character" w:styleId="35">
    <w:name w:val="Hyperlink"/>
    <w:qFormat/>
    <w:uiPriority w:val="0"/>
    <w:rPr>
      <w:color w:val="0000FF"/>
      <w:u w:val="single"/>
    </w:rPr>
  </w:style>
  <w:style w:type="character" w:styleId="36">
    <w:name w:val="annotation reference"/>
    <w:qFormat/>
    <w:uiPriority w:val="0"/>
    <w:rPr>
      <w:sz w:val="21"/>
    </w:rPr>
  </w:style>
  <w:style w:type="character" w:customStyle="1" w:styleId="37">
    <w:name w:val="正文文本缩进 字符"/>
    <w:link w:val="10"/>
    <w:semiHidden/>
    <w:qFormat/>
    <w:uiPriority w:val="0"/>
    <w:rPr>
      <w:rFonts w:ascii="Times New Roman" w:hAnsi="Times New Roman" w:eastAsia="宋体"/>
      <w:sz w:val="24"/>
    </w:rPr>
  </w:style>
  <w:style w:type="character" w:customStyle="1" w:styleId="38">
    <w:name w:val="正文文本首行缩进 2 字符"/>
    <w:link w:val="11"/>
    <w:qFormat/>
    <w:uiPriority w:val="0"/>
    <w:rPr>
      <w:rFonts w:ascii="Times New Roman" w:hAnsi="Times New Roman" w:eastAsia="宋体"/>
      <w:kern w:val="2"/>
      <w:sz w:val="21"/>
      <w:szCs w:val="24"/>
    </w:rPr>
  </w:style>
  <w:style w:type="character" w:customStyle="1" w:styleId="39">
    <w:name w:val="标题 3 字符"/>
    <w:link w:val="4"/>
    <w:semiHidden/>
    <w:qFormat/>
    <w:uiPriority w:val="0"/>
    <w:rPr>
      <w:b/>
      <w:bCs/>
      <w:kern w:val="2"/>
      <w:sz w:val="32"/>
      <w:szCs w:val="32"/>
    </w:rPr>
  </w:style>
  <w:style w:type="character" w:customStyle="1" w:styleId="40">
    <w:name w:val="批注文字 字符"/>
    <w:link w:val="7"/>
    <w:qFormat/>
    <w:uiPriority w:val="0"/>
    <w:rPr>
      <w:rFonts w:ascii="Times New Roman" w:hAnsi="Times New Roman" w:eastAsia="宋体"/>
      <w:sz w:val="24"/>
    </w:rPr>
  </w:style>
  <w:style w:type="character" w:customStyle="1" w:styleId="41">
    <w:name w:val="正文文本 字符"/>
    <w:link w:val="8"/>
    <w:qFormat/>
    <w:uiPriority w:val="0"/>
    <w:rPr>
      <w:sz w:val="18"/>
    </w:rPr>
  </w:style>
  <w:style w:type="character" w:customStyle="1" w:styleId="42">
    <w:name w:val="纯文本 字符"/>
    <w:link w:val="16"/>
    <w:qFormat/>
    <w:uiPriority w:val="0"/>
    <w:rPr>
      <w:rFonts w:ascii="宋体" w:hAnsi="Courier New"/>
      <w:kern w:val="2"/>
      <w:sz w:val="21"/>
    </w:rPr>
  </w:style>
  <w:style w:type="character" w:customStyle="1" w:styleId="43">
    <w:name w:val="日期 字符1"/>
    <w:link w:val="17"/>
    <w:qFormat/>
    <w:uiPriority w:val="0"/>
    <w:rPr>
      <w:rFonts w:ascii="Times New Roman" w:hAnsi="Times New Roman" w:eastAsia="宋体"/>
      <w:sz w:val="24"/>
    </w:rPr>
  </w:style>
  <w:style w:type="character" w:customStyle="1" w:styleId="44">
    <w:name w:val="正文文本缩进 2 字符"/>
    <w:link w:val="18"/>
    <w:qFormat/>
    <w:uiPriority w:val="0"/>
    <w:rPr>
      <w:kern w:val="2"/>
      <w:sz w:val="21"/>
      <w:szCs w:val="24"/>
    </w:rPr>
  </w:style>
  <w:style w:type="character" w:customStyle="1" w:styleId="45">
    <w:name w:val="批注框文本 字符"/>
    <w:link w:val="19"/>
    <w:semiHidden/>
    <w:qFormat/>
    <w:uiPriority w:val="0"/>
    <w:rPr>
      <w:rFonts w:ascii="Times New Roman" w:hAnsi="Times New Roman" w:eastAsia="宋体"/>
      <w:sz w:val="18"/>
    </w:rPr>
  </w:style>
  <w:style w:type="character" w:customStyle="1" w:styleId="46">
    <w:name w:val="页脚 字符1"/>
    <w:link w:val="20"/>
    <w:qFormat/>
    <w:uiPriority w:val="99"/>
    <w:rPr>
      <w:sz w:val="18"/>
    </w:rPr>
  </w:style>
  <w:style w:type="character" w:customStyle="1" w:styleId="47">
    <w:name w:val="页眉 字符"/>
    <w:link w:val="21"/>
    <w:qFormat/>
    <w:uiPriority w:val="0"/>
    <w:rPr>
      <w:sz w:val="18"/>
    </w:rPr>
  </w:style>
  <w:style w:type="character" w:customStyle="1" w:styleId="48">
    <w:name w:val="普通(网站) 字符"/>
    <w:link w:val="27"/>
    <w:qFormat/>
    <w:uiPriority w:val="0"/>
    <w:rPr>
      <w:rFonts w:ascii="宋体" w:hAnsi="宋体" w:eastAsia="宋体"/>
      <w:sz w:val="24"/>
    </w:rPr>
  </w:style>
  <w:style w:type="character" w:customStyle="1" w:styleId="49">
    <w:name w:val="批注主题 字符"/>
    <w:link w:val="28"/>
    <w:semiHidden/>
    <w:qFormat/>
    <w:uiPriority w:val="0"/>
    <w:rPr>
      <w:rFonts w:ascii="Times New Roman" w:hAnsi="Times New Roman" w:eastAsia="宋体"/>
      <w:b/>
      <w:kern w:val="2"/>
      <w:sz w:val="24"/>
    </w:rPr>
  </w:style>
  <w:style w:type="character" w:customStyle="1" w:styleId="50">
    <w:name w:val="正文文本首行缩进 字符"/>
    <w:link w:val="29"/>
    <w:qFormat/>
    <w:uiPriority w:val="0"/>
    <w:rPr>
      <w:kern w:val="2"/>
      <w:sz w:val="21"/>
      <w:szCs w:val="24"/>
    </w:rPr>
  </w:style>
  <w:style w:type="paragraph" w:customStyle="1" w:styleId="51">
    <w:name w:val="正文（缩进）"/>
    <w:basedOn w:val="52"/>
    <w:qFormat/>
    <w:uiPriority w:val="99"/>
    <w:pPr>
      <w:spacing w:line="360" w:lineRule="auto"/>
      <w:ind w:firstLine="480" w:firstLineChars="200"/>
    </w:pPr>
    <w:rPr>
      <w:rFonts w:ascii="宋体" w:hAnsi="宋体"/>
      <w:snapToGrid w:val="0"/>
      <w:color w:val="000000"/>
      <w:kern w:val="0"/>
      <w:sz w:val="24"/>
      <w:szCs w:val="20"/>
    </w:rPr>
  </w:style>
  <w:style w:type="paragraph" w:customStyle="1" w:styleId="52">
    <w:name w:val="正文(首行缩进)"/>
    <w:basedOn w:val="1"/>
    <w:qFormat/>
    <w:uiPriority w:val="0"/>
    <w:pPr>
      <w:widowControl/>
      <w:adjustRightInd w:val="0"/>
      <w:snapToGrid w:val="0"/>
      <w:spacing w:line="360" w:lineRule="auto"/>
      <w:ind w:firstLine="200" w:firstLineChars="200"/>
      <w:jc w:val="left"/>
    </w:pPr>
    <w:rPr>
      <w:rFonts w:ascii="Calibri" w:hAnsi="Calibri"/>
      <w:snapToGrid w:val="0"/>
      <w:kern w:val="0"/>
      <w:lang w:eastAsia="en-US" w:bidi="en-US"/>
    </w:rPr>
  </w:style>
  <w:style w:type="paragraph" w:customStyle="1" w:styleId="53">
    <w:name w:val="Date1"/>
    <w:basedOn w:val="1"/>
    <w:next w:val="1"/>
    <w:qFormat/>
    <w:uiPriority w:val="0"/>
    <w:pPr>
      <w:adjustRightInd w:val="0"/>
      <w:textAlignment w:val="baseline"/>
    </w:pPr>
    <w:rPr>
      <w:rFonts w:ascii="Times New Roman" w:hAnsi="Times New Roman" w:eastAsia="宋体" w:cs="Times New Roman"/>
      <w:szCs w:val="20"/>
    </w:rPr>
  </w:style>
  <w:style w:type="paragraph" w:customStyle="1" w:styleId="54">
    <w:name w:val="正文首行缩进 21"/>
    <w:basedOn w:val="10"/>
    <w:next w:val="1"/>
    <w:qFormat/>
    <w:uiPriority w:val="0"/>
    <w:pPr>
      <w:spacing w:before="100" w:beforeAutospacing="1"/>
      <w:ind w:firstLine="420"/>
    </w:pPr>
    <w:rPr>
      <w:rFonts w:cs="宋体"/>
      <w:sz w:val="28"/>
      <w:szCs w:val="28"/>
    </w:rPr>
  </w:style>
  <w:style w:type="paragraph" w:customStyle="1" w:styleId="55">
    <w:name w:val="样式 正文文本缩进 + 行距: 1.5 倍行距"/>
    <w:basedOn w:val="1"/>
    <w:qFormat/>
    <w:uiPriority w:val="0"/>
    <w:pPr>
      <w:spacing w:after="120" w:line="360" w:lineRule="auto"/>
      <w:ind w:left="90" w:leftChars="32" w:firstLine="560" w:firstLineChars="200"/>
    </w:pPr>
    <w:rPr>
      <w:rFonts w:cs="宋体"/>
    </w:rPr>
  </w:style>
  <w:style w:type="paragraph" w:customStyle="1" w:styleId="56">
    <w:name w:val="正文首行缩进1"/>
    <w:basedOn w:val="8"/>
    <w:qFormat/>
    <w:uiPriority w:val="0"/>
    <w:pPr>
      <w:ind w:firstLine="420" w:firstLineChars="100"/>
    </w:pPr>
  </w:style>
  <w:style w:type="paragraph" w:customStyle="1" w:styleId="5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58">
    <w:name w:val="正文文本 字符1"/>
    <w:semiHidden/>
    <w:qFormat/>
    <w:uiPriority w:val="0"/>
    <w:rPr>
      <w:rFonts w:ascii="Times New Roman" w:hAnsi="Times New Roman" w:eastAsia="宋体"/>
      <w:sz w:val="24"/>
    </w:rPr>
  </w:style>
  <w:style w:type="character" w:customStyle="1" w:styleId="59">
    <w:name w:val="表一级标题 Char Char"/>
    <w:link w:val="60"/>
    <w:qFormat/>
    <w:uiPriority w:val="0"/>
    <w:rPr>
      <w:rFonts w:eastAsia="黑体"/>
      <w:kern w:val="44"/>
      <w:sz w:val="24"/>
      <w:szCs w:val="24"/>
    </w:rPr>
  </w:style>
  <w:style w:type="paragraph" w:customStyle="1" w:styleId="60">
    <w:name w:val="表一级标题"/>
    <w:basedOn w:val="1"/>
    <w:link w:val="59"/>
    <w:qFormat/>
    <w:uiPriority w:val="0"/>
    <w:pPr>
      <w:snapToGrid w:val="0"/>
      <w:spacing w:line="360" w:lineRule="auto"/>
      <w:jc w:val="left"/>
    </w:pPr>
    <w:rPr>
      <w:rFonts w:eastAsia="黑体"/>
      <w:kern w:val="44"/>
      <w:sz w:val="24"/>
    </w:rPr>
  </w:style>
  <w:style w:type="character" w:customStyle="1" w:styleId="61">
    <w:name w:val="正文文本 + 10 pt"/>
    <w:qFormat/>
    <w:uiPriority w:val="0"/>
    <w:rPr>
      <w:rFonts w:hint="eastAsia" w:ascii="MingLiU" w:hAnsi="MingLiU" w:eastAsia="MingLiU"/>
      <w:sz w:val="20"/>
    </w:rPr>
  </w:style>
  <w:style w:type="character" w:customStyle="1" w:styleId="62">
    <w:name w:val="日期 字符"/>
    <w:semiHidden/>
    <w:qFormat/>
    <w:uiPriority w:val="0"/>
    <w:rPr>
      <w:rFonts w:ascii="Times New Roman" w:hAnsi="Times New Roman" w:eastAsia="宋体"/>
      <w:sz w:val="24"/>
    </w:rPr>
  </w:style>
  <w:style w:type="character" w:customStyle="1" w:styleId="63">
    <w:name w:val="环评正文 Char"/>
    <w:link w:val="64"/>
    <w:qFormat/>
    <w:uiPriority w:val="0"/>
  </w:style>
  <w:style w:type="paragraph" w:customStyle="1" w:styleId="64">
    <w:name w:val="环评正文"/>
    <w:basedOn w:val="1"/>
    <w:next w:val="1"/>
    <w:link w:val="63"/>
    <w:qFormat/>
    <w:uiPriority w:val="0"/>
    <w:pPr>
      <w:spacing w:line="360" w:lineRule="auto"/>
      <w:ind w:firstLine="480" w:firstLineChars="200"/>
    </w:pPr>
    <w:rPr>
      <w:kern w:val="0"/>
      <w:sz w:val="20"/>
      <w:szCs w:val="20"/>
    </w:rPr>
  </w:style>
  <w:style w:type="character" w:customStyle="1" w:styleId="65">
    <w:name w:val="书 正文 Char Char"/>
    <w:link w:val="66"/>
    <w:qFormat/>
    <w:uiPriority w:val="0"/>
    <w:rPr>
      <w:rFonts w:cs="·..."/>
      <w:sz w:val="24"/>
      <w:szCs w:val="24"/>
    </w:rPr>
  </w:style>
  <w:style w:type="paragraph" w:customStyle="1" w:styleId="66">
    <w:name w:val="书 正文"/>
    <w:basedOn w:val="1"/>
    <w:link w:val="65"/>
    <w:qFormat/>
    <w:uiPriority w:val="0"/>
    <w:pPr>
      <w:ind w:firstLine="200" w:firstLineChars="200"/>
    </w:pPr>
    <w:rPr>
      <w:rFonts w:cs="·..."/>
      <w:kern w:val="0"/>
      <w:sz w:val="24"/>
    </w:rPr>
  </w:style>
  <w:style w:type="character" w:customStyle="1" w:styleId="67">
    <w:name w:val="样式 表格 + 黑色 Char"/>
    <w:link w:val="68"/>
    <w:qFormat/>
    <w:uiPriority w:val="0"/>
    <w:rPr>
      <w:rFonts w:ascii="Calibri" w:hAnsi="Calibri"/>
      <w:snapToGrid/>
      <w:color w:val="000000"/>
      <w:spacing w:val="-4"/>
      <w:sz w:val="21"/>
      <w:szCs w:val="21"/>
    </w:rPr>
  </w:style>
  <w:style w:type="paragraph" w:customStyle="1" w:styleId="68">
    <w:name w:val="样式 表格 + 黑色"/>
    <w:basedOn w:val="1"/>
    <w:link w:val="67"/>
    <w:qFormat/>
    <w:uiPriority w:val="0"/>
    <w:pPr>
      <w:widowControl/>
      <w:adjustRightInd w:val="0"/>
      <w:snapToGrid w:val="0"/>
      <w:jc w:val="center"/>
    </w:pPr>
    <w:rPr>
      <w:rFonts w:ascii="Calibri" w:hAnsi="Calibri"/>
      <w:snapToGrid w:val="0"/>
      <w:color w:val="000000"/>
      <w:spacing w:val="-4"/>
      <w:kern w:val="0"/>
      <w:szCs w:val="21"/>
    </w:rPr>
  </w:style>
  <w:style w:type="character" w:customStyle="1" w:styleId="69">
    <w:name w:val="批注文字 字符1"/>
    <w:semiHidden/>
    <w:qFormat/>
    <w:uiPriority w:val="0"/>
    <w:rPr>
      <w:rFonts w:ascii="Times New Roman" w:hAnsi="Times New Roman" w:eastAsia="宋体"/>
      <w:sz w:val="24"/>
    </w:rPr>
  </w:style>
  <w:style w:type="character" w:customStyle="1" w:styleId="70">
    <w:name w:val="页脚 字符"/>
    <w:qFormat/>
    <w:uiPriority w:val="99"/>
  </w:style>
  <w:style w:type="character" w:customStyle="1" w:styleId="71">
    <w:name w:val="表格 Char"/>
    <w:link w:val="72"/>
    <w:qFormat/>
    <w:uiPriority w:val="0"/>
    <w:rPr>
      <w:rFonts w:ascii="宋体"/>
      <w:sz w:val="21"/>
    </w:rPr>
  </w:style>
  <w:style w:type="paragraph" w:customStyle="1" w:styleId="72">
    <w:name w:val="表格"/>
    <w:basedOn w:val="5"/>
    <w:next w:val="1"/>
    <w:link w:val="71"/>
    <w:qFormat/>
    <w:uiPriority w:val="0"/>
    <w:pPr>
      <w:adjustRightInd w:val="0"/>
      <w:snapToGrid w:val="0"/>
      <w:spacing w:beforeLines="10" w:afterLines="10" w:line="259" w:lineRule="auto"/>
      <w:jc w:val="center"/>
    </w:pPr>
    <w:rPr>
      <w:rFonts w:ascii="宋体"/>
      <w:kern w:val="0"/>
      <w:szCs w:val="20"/>
    </w:rPr>
  </w:style>
  <w:style w:type="character" w:customStyle="1" w:styleId="73">
    <w:name w:val="纯文本 Char1"/>
    <w:qFormat/>
    <w:uiPriority w:val="0"/>
    <w:rPr>
      <w:rFonts w:ascii="宋体" w:hAnsi="Courier New" w:cs="Courier New"/>
      <w:kern w:val="2"/>
      <w:sz w:val="21"/>
      <w:szCs w:val="21"/>
    </w:rPr>
  </w:style>
  <w:style w:type="character" w:customStyle="1" w:styleId="74">
    <w:name w:val="表头 Char"/>
    <w:link w:val="75"/>
    <w:qFormat/>
    <w:uiPriority w:val="0"/>
    <w:rPr>
      <w:rFonts w:hAnsi="宋体" w:eastAsia="仿宋_GB2312"/>
      <w:b/>
      <w:sz w:val="28"/>
      <w:szCs w:val="28"/>
    </w:rPr>
  </w:style>
  <w:style w:type="paragraph" w:customStyle="1" w:styleId="75">
    <w:name w:val="表头"/>
    <w:basedOn w:val="24"/>
    <w:next w:val="1"/>
    <w:link w:val="74"/>
    <w:qFormat/>
    <w:uiPriority w:val="0"/>
    <w:pPr>
      <w:adjustRightInd w:val="0"/>
      <w:snapToGrid w:val="0"/>
      <w:spacing w:beforeLines="25"/>
      <w:jc w:val="center"/>
      <w:textAlignment w:val="baseline"/>
    </w:pPr>
    <w:rPr>
      <w:rFonts w:hAnsi="宋体" w:eastAsia="仿宋_GB2312"/>
      <w:b/>
      <w:kern w:val="0"/>
      <w:sz w:val="28"/>
      <w:szCs w:val="28"/>
    </w:rPr>
  </w:style>
  <w:style w:type="character" w:customStyle="1" w:styleId="76">
    <w:name w:val="正文文本 + Arial Unicode MS"/>
    <w:qFormat/>
    <w:uiPriority w:val="0"/>
    <w:rPr>
      <w:rFonts w:hint="default" w:ascii="Arial Unicode MS" w:hAnsi="Arial Unicode MS" w:eastAsia="Arial Unicode MS"/>
      <w:sz w:val="19"/>
      <w:lang w:val="en-US" w:eastAsia="en-US"/>
    </w:rPr>
  </w:style>
  <w:style w:type="character" w:customStyle="1" w:styleId="77">
    <w:name w:val="正文文本_"/>
    <w:link w:val="78"/>
    <w:qFormat/>
    <w:uiPriority w:val="0"/>
    <w:rPr>
      <w:rFonts w:ascii="MingLiU" w:hAnsi="MingLiU" w:eastAsia="MingLiU" w:cs="MingLiU"/>
      <w:spacing w:val="11"/>
      <w:sz w:val="21"/>
      <w:szCs w:val="21"/>
      <w:shd w:val="clear" w:color="auto" w:fill="FFFFFF"/>
    </w:rPr>
  </w:style>
  <w:style w:type="paragraph" w:customStyle="1" w:styleId="78">
    <w:name w:val="正文文本1"/>
    <w:basedOn w:val="1"/>
    <w:link w:val="77"/>
    <w:qFormat/>
    <w:uiPriority w:val="0"/>
    <w:pPr>
      <w:shd w:val="clear" w:color="auto" w:fill="FFFFFF"/>
      <w:spacing w:before="600" w:line="500" w:lineRule="exact"/>
      <w:jc w:val="center"/>
    </w:pPr>
    <w:rPr>
      <w:rFonts w:ascii="MingLiU" w:hAnsi="MingLiU" w:eastAsia="MingLiU" w:cs="MingLiU"/>
      <w:spacing w:val="11"/>
      <w:kern w:val="0"/>
      <w:szCs w:val="21"/>
    </w:rPr>
  </w:style>
  <w:style w:type="character" w:customStyle="1" w:styleId="79">
    <w:name w:val="环评正文 Char Char"/>
    <w:qFormat/>
    <w:uiPriority w:val="0"/>
    <w:rPr>
      <w:rFonts w:ascii="仿宋_GB2312" w:hAnsi="Times New Roman" w:eastAsia="仿宋_GB2312" w:cs="Times New Roman"/>
      <w:sz w:val="28"/>
      <w:lang w:bidi="ar-SA"/>
    </w:rPr>
  </w:style>
  <w:style w:type="paragraph" w:customStyle="1" w:styleId="80">
    <w:name w:val="正文文本缩进1"/>
    <w:basedOn w:val="1"/>
    <w:qFormat/>
    <w:uiPriority w:val="0"/>
    <w:pPr>
      <w:autoSpaceDE w:val="0"/>
      <w:autoSpaceDN w:val="0"/>
      <w:adjustRightInd w:val="0"/>
      <w:spacing w:line="360" w:lineRule="auto"/>
      <w:ind w:firstLine="480" w:firstLineChars="200"/>
    </w:pPr>
    <w:rPr>
      <w:rFonts w:ascii="宋体" w:hAnsi="宋体"/>
      <w:kern w:val="0"/>
      <w:sz w:val="24"/>
    </w:rPr>
  </w:style>
  <w:style w:type="paragraph" w:customStyle="1" w:styleId="81">
    <w:name w:val="图表"/>
    <w:basedOn w:val="1"/>
    <w:qFormat/>
    <w:uiPriority w:val="0"/>
    <w:pPr>
      <w:jc w:val="center"/>
    </w:pPr>
  </w:style>
  <w:style w:type="paragraph" w:styleId="82">
    <w:name w:val="No Spacing"/>
    <w:basedOn w:val="1"/>
    <w:qFormat/>
    <w:uiPriority w:val="0"/>
    <w:pPr>
      <w:widowControl w:val="0"/>
      <w:jc w:val="both"/>
    </w:pPr>
    <w:rPr>
      <w:kern w:val="2"/>
      <w:sz w:val="21"/>
      <w:szCs w:val="24"/>
      <w:lang w:val="en-US" w:eastAsia="zh-CN" w:bidi="ar-SA"/>
    </w:rPr>
  </w:style>
  <w:style w:type="paragraph" w:customStyle="1" w:styleId="83">
    <w:name w:val="Table Paragraph"/>
    <w:basedOn w:val="1"/>
    <w:qFormat/>
    <w:uiPriority w:val="1"/>
    <w:pPr>
      <w:autoSpaceDE w:val="0"/>
      <w:autoSpaceDN w:val="0"/>
      <w:jc w:val="center"/>
    </w:pPr>
    <w:rPr>
      <w:rFonts w:ascii="宋体" w:hAnsi="宋体" w:cs="宋体"/>
      <w:sz w:val="22"/>
    </w:rPr>
  </w:style>
  <w:style w:type="paragraph" w:customStyle="1" w:styleId="84">
    <w:name w:val="T表格"/>
    <w:qFormat/>
    <w:uiPriority w:val="0"/>
    <w:pPr>
      <w:adjustRightInd w:val="0"/>
      <w:snapToGrid w:val="0"/>
      <w:spacing w:line="360" w:lineRule="auto"/>
      <w:jc w:val="center"/>
    </w:pPr>
    <w:rPr>
      <w:rFonts w:ascii="Times New Roman" w:hAnsi="Times New Roman" w:eastAsia="宋体" w:cs="Times New Roman"/>
      <w:color w:val="000000"/>
      <w:sz w:val="21"/>
      <w:szCs w:val="21"/>
      <w:lang w:val="en-US" w:eastAsia="zh-CN" w:bidi="ar-SA"/>
    </w:rPr>
  </w:style>
  <w:style w:type="paragraph" w:customStyle="1" w:styleId="85">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86">
    <w:name w:val="本文正文"/>
    <w:basedOn w:val="3"/>
    <w:next w:val="1"/>
    <w:qFormat/>
    <w:uiPriority w:val="0"/>
    <w:pPr>
      <w:keepNext w:val="0"/>
      <w:keepLines w:val="0"/>
      <w:spacing w:before="156" w:beforeLines="50" w:after="0" w:afterLines="0" w:line="360" w:lineRule="auto"/>
      <w:ind w:firstLine="200" w:firstLineChars="200"/>
      <w:outlineLvl w:val="9"/>
    </w:pPr>
    <w:rPr>
      <w:rFonts w:ascii="宋体" w:hAnsi="宋体" w:cs="宋体"/>
      <w:b w:val="0"/>
      <w:bCs w:val="0"/>
      <w:kern w:val="0"/>
      <w:sz w:val="24"/>
      <w:szCs w:val="21"/>
    </w:rPr>
  </w:style>
  <w:style w:type="paragraph" w:customStyle="1" w:styleId="87">
    <w:name w:val="表格内容"/>
    <w:qFormat/>
    <w:uiPriority w:val="0"/>
    <w:pPr>
      <w:snapToGrid w:val="0"/>
      <w:spacing w:line="400" w:lineRule="exact"/>
      <w:jc w:val="center"/>
    </w:pPr>
    <w:rPr>
      <w:rFonts w:ascii="Calibri" w:hAnsi="Calibri" w:eastAsia="宋体" w:cs="Arial"/>
      <w:iCs/>
      <w:spacing w:val="10"/>
      <w:sz w:val="24"/>
      <w:szCs w:val="21"/>
      <w:lang w:val="en-US" w:eastAsia="zh-CN" w:bidi="ar-SA"/>
    </w:rPr>
  </w:style>
  <w:style w:type="paragraph" w:customStyle="1" w:styleId="88">
    <w:name w:val="Default"/>
    <w:basedOn w:val="89"/>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89">
    <w:name w:val="纯文本1"/>
    <w:basedOn w:val="1"/>
    <w:qFormat/>
    <w:uiPriority w:val="0"/>
    <w:rPr>
      <w:rFonts w:hint="eastAsia" w:ascii="宋体" w:hAnsi="Courier New"/>
      <w:szCs w:val="22"/>
    </w:rPr>
  </w:style>
  <w:style w:type="paragraph" w:customStyle="1" w:styleId="90">
    <w:name w:val="表格2"/>
    <w:basedOn w:val="1"/>
    <w:next w:val="26"/>
    <w:qFormat/>
    <w:uiPriority w:val="0"/>
    <w:pPr>
      <w:widowControl/>
      <w:jc w:val="center"/>
    </w:pPr>
    <w:rPr>
      <w:rFonts w:ascii="Times New Roman"/>
    </w:rPr>
  </w:style>
  <w:style w:type="paragraph" w:customStyle="1" w:styleId="91">
    <w:name w:val="表格正文"/>
    <w:basedOn w:val="1"/>
    <w:qFormat/>
    <w:uiPriority w:val="0"/>
    <w:pPr>
      <w:spacing w:line="360" w:lineRule="exact"/>
      <w:jc w:val="center"/>
    </w:pPr>
    <w:rPr>
      <w:kern w:val="2"/>
      <w:sz w:val="21"/>
      <w:szCs w:val="24"/>
    </w:rPr>
  </w:style>
  <w:style w:type="paragraph" w:customStyle="1" w:styleId="9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94">
    <w:name w:val="表中文字"/>
    <w:basedOn w:val="1"/>
    <w:qFormat/>
    <w:uiPriority w:val="0"/>
    <w:pPr>
      <w:jc w:val="center"/>
    </w:pPr>
  </w:style>
  <w:style w:type="paragraph" w:customStyle="1" w:styleId="95">
    <w:name w:val="表文字"/>
    <w:basedOn w:val="1"/>
    <w:qFormat/>
    <w:uiPriority w:val="0"/>
    <w:pPr>
      <w:overflowPunct w:val="0"/>
      <w:autoSpaceDE w:val="0"/>
      <w:autoSpaceDN w:val="0"/>
      <w:adjustRightInd w:val="0"/>
      <w:spacing w:line="240" w:lineRule="atLeast"/>
      <w:jc w:val="center"/>
      <w:textAlignment w:val="baseline"/>
    </w:pPr>
    <w:rPr>
      <w:kern w:val="0"/>
      <w:sz w:val="24"/>
    </w:rPr>
  </w:style>
  <w:style w:type="paragraph" w:customStyle="1" w:styleId="96">
    <w:name w:val="Char"/>
    <w:basedOn w:val="1"/>
    <w:qFormat/>
    <w:uiPriority w:val="0"/>
  </w:style>
  <w:style w:type="table" w:customStyle="1" w:styleId="97">
    <w:name w:val="网格型22"/>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正文格式"/>
    <w:basedOn w:val="1"/>
    <w:qFormat/>
    <w:uiPriority w:val="0"/>
    <w:pPr>
      <w:adjustRightInd w:val="0"/>
      <w:snapToGrid w:val="0"/>
      <w:spacing w:line="360" w:lineRule="auto"/>
      <w:ind w:firstLine="881" w:firstLineChars="200"/>
    </w:pPr>
    <w:rPr>
      <w:sz w:val="24"/>
    </w:rPr>
  </w:style>
  <w:style w:type="paragraph" w:customStyle="1" w:styleId="99">
    <w:name w:val="表注"/>
    <w:basedOn w:val="1"/>
    <w:next w:val="1"/>
    <w:qFormat/>
    <w:uiPriority w:val="0"/>
    <w:pPr>
      <w:autoSpaceDE w:val="0"/>
      <w:autoSpaceDN w:val="0"/>
      <w:adjustRightInd w:val="0"/>
      <w:snapToGrid w:val="0"/>
      <w:spacing w:line="240" w:lineRule="auto"/>
      <w:ind w:firstLine="720" w:firstLineChars="200"/>
    </w:pPr>
    <w:rPr>
      <w:rFonts w:hint="eastAsia" w:eastAsia="楷体" w:cs="Times New Roman"/>
      <w:b/>
      <w:bCs/>
      <w:kern w:val="0"/>
      <w:szCs w:val="21"/>
    </w:rPr>
  </w:style>
  <w:style w:type="paragraph" w:customStyle="1" w:styleId="100">
    <w:name w:val="表内容"/>
    <w:basedOn w:val="5"/>
    <w:qFormat/>
    <w:uiPriority w:val="0"/>
    <w:pPr>
      <w:autoSpaceDE w:val="0"/>
      <w:autoSpaceDN w:val="0"/>
      <w:adjustRightInd w:val="0"/>
      <w:snapToGrid w:val="0"/>
      <w:spacing w:line="240" w:lineRule="auto"/>
      <w:ind w:firstLine="0" w:firstLineChars="0"/>
    </w:pPr>
    <w:rPr>
      <w:rFonts w:cs="Times New Roman"/>
      <w:kern w:val="0"/>
      <w:sz w:val="21"/>
      <w:szCs w:val="21"/>
    </w:rPr>
  </w:style>
  <w:style w:type="paragraph" w:customStyle="1" w:styleId="101">
    <w:name w:val="表内文字"/>
    <w:basedOn w:val="1"/>
    <w:next w:val="1"/>
    <w:qFormat/>
    <w:uiPriority w:val="0"/>
    <w:pPr>
      <w:adjustRightInd w:val="0"/>
      <w:snapToGrid w:val="0"/>
    </w:pPr>
    <w:rPr>
      <w:rFonts w:cs="宋体"/>
      <w:snapToGrid w:val="0"/>
      <w:color w:val="000000"/>
      <w:kern w:val="0"/>
      <w:szCs w:val="20"/>
    </w:rPr>
  </w:style>
  <w:style w:type="paragraph" w:customStyle="1" w:styleId="102">
    <w:name w:val="环评表格正文"/>
    <w:basedOn w:val="1"/>
    <w:qFormat/>
    <w:uiPriority w:val="0"/>
    <w:pPr>
      <w:topLinePunct/>
      <w:spacing w:line="240" w:lineRule="auto"/>
      <w:ind w:firstLine="0" w:firstLineChars="0"/>
      <w:jc w:val="center"/>
    </w:pPr>
    <w:rPr>
      <w:sz w:val="21"/>
    </w:rPr>
  </w:style>
  <w:style w:type="paragraph" w:customStyle="1" w:styleId="103">
    <w:name w:val="正文-环评新格式"/>
    <w:qFormat/>
    <w:uiPriority w:val="0"/>
    <w:pPr>
      <w:widowControl w:val="0"/>
      <w:spacing w:line="360" w:lineRule="auto"/>
      <w:ind w:firstLine="770" w:firstLineChars="200"/>
      <w:jc w:val="both"/>
    </w:pPr>
    <w:rPr>
      <w:rFonts w:ascii="Times New Roman" w:hAnsi="Times New Roman" w:eastAsia="宋体" w:cs="Times New Roman"/>
      <w:kern w:val="2"/>
      <w:sz w:val="24"/>
      <w:szCs w:val="22"/>
      <w:lang w:val="en-US" w:eastAsia="zh-CN" w:bidi="ar-SA"/>
    </w:rPr>
  </w:style>
  <w:style w:type="paragraph" w:customStyle="1" w:styleId="104">
    <w:name w:val="p0"/>
    <w:basedOn w:val="1"/>
    <w:qFormat/>
    <w:uiPriority w:val="0"/>
    <w:pPr>
      <w:widowControl/>
    </w:pPr>
    <w:rPr>
      <w:rFonts w:ascii="Calibri" w:hAnsi="Calibri" w:cs="宋体"/>
      <w:kern w:val="0"/>
      <w:szCs w:val="21"/>
    </w:rPr>
  </w:style>
  <w:style w:type="paragraph" w:customStyle="1" w:styleId="105">
    <w:name w:val="报告表表头"/>
    <w:basedOn w:val="1"/>
    <w:next w:val="72"/>
    <w:qFormat/>
    <w:uiPriority w:val="0"/>
    <w:pPr>
      <w:autoSpaceDE w:val="0"/>
      <w:autoSpaceDN w:val="0"/>
      <w:adjustRightInd w:val="0"/>
      <w:snapToGrid w:val="0"/>
      <w:jc w:val="center"/>
      <w:textAlignment w:val="baseline"/>
    </w:pPr>
    <w:rPr>
      <w:rFonts w:eastAsia="黑体"/>
      <w:kern w:val="0"/>
      <w:szCs w:val="28"/>
    </w:rPr>
  </w:style>
  <w:style w:type="character" w:customStyle="1" w:styleId="106">
    <w:name w:val="font31"/>
    <w:qFormat/>
    <w:uiPriority w:val="0"/>
    <w:rPr>
      <w:rFonts w:hint="eastAsia" w:ascii="宋体" w:hAnsi="宋体" w:eastAsia="宋体" w:cs="宋体"/>
      <w:color w:val="0000E1"/>
      <w:sz w:val="21"/>
      <w:szCs w:val="21"/>
      <w:u w:val="none"/>
    </w:rPr>
  </w:style>
  <w:style w:type="character" w:customStyle="1" w:styleId="107">
    <w:name w:val="font41"/>
    <w:qFormat/>
    <w:uiPriority w:val="0"/>
    <w:rPr>
      <w:rFonts w:hint="default" w:ascii="Times New Roman" w:hAnsi="Times New Roman" w:cs="Times New Roman"/>
      <w:color w:val="0000E1"/>
      <w:sz w:val="21"/>
      <w:szCs w:val="21"/>
      <w:u w:val="none"/>
      <w:vertAlign w:val="superscript"/>
    </w:rPr>
  </w:style>
  <w:style w:type="paragraph" w:customStyle="1" w:styleId="108">
    <w:name w:val="表格字"/>
    <w:basedOn w:val="24"/>
    <w:qFormat/>
    <w:uiPriority w:val="0"/>
    <w:pPr>
      <w:adjustRightInd w:val="0"/>
      <w:ind w:left="0" w:firstLine="0" w:firstLineChars="0"/>
      <w:jc w:val="center"/>
    </w:pPr>
    <w:rPr>
      <w:rFonts w:ascii="Times New Roman" w:hAnsi="Times New Roman"/>
    </w:rPr>
  </w:style>
  <w:style w:type="table" w:customStyle="1" w:styleId="10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123</Words>
  <Characters>149</Characters>
  <Lines>378</Lines>
  <Paragraphs>106</Paragraphs>
  <TotalTime>33</TotalTime>
  <ScaleCrop>false</ScaleCrop>
  <LinksUpToDate>false</LinksUpToDate>
  <CharactersWithSpaces>177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2020-12-25T01:29:00Z</dcterms:created>
  <dc:creator>lhj</dc:creator>
  <cp:lastModifiedBy>greatwall</cp:lastModifiedBy>
  <cp:lastPrinted>2021-04-14T08:59:00Z</cp:lastPrinted>
  <dcterms:modified xsi:type="dcterms:W3CDTF">2026-05-15T17:10:57Z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825DD44FCF8EB24663E2066AF5CCF726_43</vt:lpwstr>
  </property>
  <property fmtid="{D5CDD505-2E9C-101B-9397-08002B2CF9AE}" pid="4" name="KSOTemplateDocerSaveRecord">
    <vt:lpwstr>eyJoZGlkIjoiMzg2MjIxZjc3ODAzNzM3MDk4YjkxMTE4YzE0NmRkMzgiLCJ1c2VySWQiOiI2NTkzMzgyMjEifQ==</vt:lpwstr>
  </property>
</Properties>
</file>