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34F29C">
      <w:pPr>
        <w:pageBreakBefore w:val="0"/>
        <w:widowControl w:val="0"/>
        <w:kinsoku/>
        <w:wordWrap/>
        <w:overflowPunct/>
        <w:topLinePunct w:val="0"/>
        <w:autoSpaceDE/>
        <w:autoSpaceDN/>
        <w:bidi w:val="0"/>
        <w:adjustRightInd/>
        <w:snapToGrid/>
        <w:spacing w:line="360" w:lineRule="auto"/>
        <w:ind w:left="0" w:leftChars="0"/>
        <w:jc w:val="center"/>
        <w:textAlignment w:val="auto"/>
        <w:rPr>
          <w:rFonts w:eastAsia="华文宋体" w:cs="Times New Roman"/>
          <w:b/>
          <w:bCs/>
          <w:color w:val="auto"/>
          <w:sz w:val="40"/>
          <w:szCs w:val="40"/>
        </w:rPr>
      </w:pPr>
    </w:p>
    <w:p w14:paraId="4B646C13">
      <w:pPr>
        <w:pageBreakBefore w:val="0"/>
        <w:widowControl w:val="0"/>
        <w:kinsoku/>
        <w:wordWrap/>
        <w:overflowPunct/>
        <w:topLinePunct w:val="0"/>
        <w:autoSpaceDE/>
        <w:autoSpaceDN/>
        <w:bidi w:val="0"/>
        <w:adjustRightInd/>
        <w:snapToGrid/>
        <w:spacing w:line="360" w:lineRule="auto"/>
        <w:ind w:left="0" w:leftChars="0"/>
        <w:jc w:val="center"/>
        <w:textAlignment w:val="auto"/>
        <w:rPr>
          <w:rFonts w:eastAsia="华文宋体" w:cs="Times New Roman"/>
          <w:b/>
          <w:bCs/>
          <w:color w:val="auto"/>
          <w:sz w:val="40"/>
          <w:szCs w:val="40"/>
        </w:rPr>
      </w:pPr>
    </w:p>
    <w:p w14:paraId="5E2B3715">
      <w:pPr>
        <w:pStyle w:val="18"/>
        <w:pageBreakBefore w:val="0"/>
        <w:widowControl w:val="0"/>
        <w:kinsoku/>
        <w:wordWrap/>
        <w:overflowPunct/>
        <w:topLinePunct w:val="0"/>
        <w:autoSpaceDE/>
        <w:autoSpaceDN/>
        <w:bidi w:val="0"/>
        <w:adjustRightInd/>
        <w:snapToGrid/>
        <w:spacing w:line="360" w:lineRule="auto"/>
        <w:ind w:left="0" w:leftChars="0" w:firstLine="360"/>
        <w:textAlignment w:val="auto"/>
        <w:rPr>
          <w:color w:val="auto"/>
        </w:rPr>
      </w:pPr>
    </w:p>
    <w:p w14:paraId="6F6CF489">
      <w:pPr>
        <w:pageBreakBefore w:val="0"/>
        <w:widowControl w:val="0"/>
        <w:kinsoku/>
        <w:wordWrap/>
        <w:overflowPunct/>
        <w:topLinePunct w:val="0"/>
        <w:autoSpaceDE/>
        <w:autoSpaceDN/>
        <w:bidi w:val="0"/>
        <w:adjustRightInd/>
        <w:snapToGrid/>
        <w:spacing w:line="360" w:lineRule="auto"/>
        <w:ind w:left="0" w:leftChars="0"/>
        <w:jc w:val="center"/>
        <w:textAlignment w:val="auto"/>
        <w:rPr>
          <w:rFonts w:eastAsia="华文宋体" w:cs="Times New Roman"/>
          <w:b/>
          <w:bCs/>
          <w:color w:val="auto"/>
          <w:sz w:val="40"/>
          <w:szCs w:val="40"/>
        </w:rPr>
      </w:pPr>
    </w:p>
    <w:p w14:paraId="4241722F">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eastAsia="华文宋体" w:cs="Times New Roman"/>
          <w:b/>
          <w:bCs/>
          <w:color w:val="auto"/>
          <w:sz w:val="36"/>
          <w:szCs w:val="36"/>
        </w:rPr>
      </w:pPr>
      <w:r>
        <w:rPr>
          <w:rFonts w:hint="eastAsia" w:ascii="华文中宋" w:hAnsi="华文中宋" w:eastAsia="华文中宋" w:cs="Times New Roman"/>
          <w:b/>
          <w:spacing w:val="20"/>
          <w:sz w:val="32"/>
          <w:szCs w:val="32"/>
        </w:rPr>
        <w:t>固原市科财牛羊屠宰精深加工项目</w:t>
      </w:r>
    </w:p>
    <w:p w14:paraId="19B227C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bCs/>
          <w:shadow/>
          <w:spacing w:val="30"/>
          <w:w w:val="95"/>
          <w:sz w:val="90"/>
          <w:szCs w:val="90"/>
        </w:rPr>
      </w:pPr>
      <w:r>
        <w:rPr>
          <w:rFonts w:hint="eastAsia" w:ascii="宋体" w:hAnsi="宋体" w:eastAsia="宋体" w:cs="宋体"/>
          <w:b/>
          <w:bCs/>
          <w:shadow/>
          <w:spacing w:val="30"/>
          <w:w w:val="95"/>
          <w:sz w:val="90"/>
          <w:szCs w:val="90"/>
        </w:rPr>
        <w:t>环境影响报告书</w:t>
      </w:r>
    </w:p>
    <w:p w14:paraId="0A11AC88">
      <w:pPr>
        <w:pageBreakBefore w:val="0"/>
        <w:widowControl w:val="0"/>
        <w:kinsoku/>
        <w:wordWrap/>
        <w:overflowPunct/>
        <w:topLinePunct w:val="0"/>
        <w:autoSpaceDE/>
        <w:autoSpaceDN/>
        <w:bidi w:val="0"/>
        <w:adjustRightInd/>
        <w:snapToGrid/>
        <w:spacing w:line="360" w:lineRule="auto"/>
        <w:ind w:left="0" w:leftChars="0"/>
        <w:jc w:val="center"/>
        <w:textAlignment w:val="auto"/>
        <w:rPr>
          <w:rFonts w:eastAsia="华文宋体" w:cs="Times New Roman"/>
          <w:b/>
          <w:bCs/>
          <w:color w:val="auto"/>
          <w:sz w:val="40"/>
          <w:szCs w:val="40"/>
        </w:rPr>
      </w:pPr>
    </w:p>
    <w:p w14:paraId="6C328EE6">
      <w:pPr>
        <w:pageBreakBefore w:val="0"/>
        <w:widowControl w:val="0"/>
        <w:kinsoku/>
        <w:wordWrap/>
        <w:overflowPunct/>
        <w:topLinePunct w:val="0"/>
        <w:autoSpaceDE/>
        <w:autoSpaceDN/>
        <w:bidi w:val="0"/>
        <w:adjustRightInd/>
        <w:snapToGrid/>
        <w:spacing w:line="360" w:lineRule="auto"/>
        <w:ind w:left="0" w:leftChars="0"/>
        <w:jc w:val="center"/>
        <w:textAlignment w:val="auto"/>
        <w:rPr>
          <w:rFonts w:eastAsia="华文宋体" w:cs="Times New Roman"/>
          <w:b/>
          <w:bCs/>
          <w:color w:val="auto"/>
          <w:sz w:val="40"/>
          <w:szCs w:val="40"/>
        </w:rPr>
      </w:pPr>
    </w:p>
    <w:p w14:paraId="54B6A79E">
      <w:pPr>
        <w:pageBreakBefore w:val="0"/>
        <w:widowControl w:val="0"/>
        <w:kinsoku/>
        <w:wordWrap/>
        <w:overflowPunct/>
        <w:topLinePunct w:val="0"/>
        <w:autoSpaceDE/>
        <w:autoSpaceDN/>
        <w:bidi w:val="0"/>
        <w:adjustRightInd/>
        <w:snapToGrid/>
        <w:spacing w:line="360" w:lineRule="auto"/>
        <w:ind w:left="0" w:leftChars="0"/>
        <w:jc w:val="center"/>
        <w:textAlignment w:val="auto"/>
        <w:rPr>
          <w:rFonts w:eastAsia="华文宋体" w:cs="Times New Roman"/>
          <w:b/>
          <w:bCs/>
          <w:color w:val="auto"/>
          <w:sz w:val="40"/>
          <w:szCs w:val="40"/>
        </w:rPr>
      </w:pPr>
    </w:p>
    <w:p w14:paraId="1EBC2A55">
      <w:pPr>
        <w:pageBreakBefore w:val="0"/>
        <w:widowControl w:val="0"/>
        <w:kinsoku/>
        <w:wordWrap/>
        <w:overflowPunct/>
        <w:topLinePunct w:val="0"/>
        <w:autoSpaceDE/>
        <w:autoSpaceDN/>
        <w:bidi w:val="0"/>
        <w:adjustRightInd/>
        <w:snapToGrid/>
        <w:spacing w:line="360" w:lineRule="auto"/>
        <w:ind w:left="0" w:leftChars="0"/>
        <w:jc w:val="center"/>
        <w:textAlignment w:val="auto"/>
        <w:rPr>
          <w:rFonts w:eastAsia="华文宋体" w:cs="Times New Roman"/>
          <w:b/>
          <w:bCs/>
          <w:color w:val="auto"/>
          <w:sz w:val="40"/>
          <w:szCs w:val="40"/>
        </w:rPr>
      </w:pPr>
    </w:p>
    <w:p w14:paraId="04E656CE">
      <w:pPr>
        <w:pStyle w:val="18"/>
        <w:pageBreakBefore w:val="0"/>
        <w:widowControl w:val="0"/>
        <w:kinsoku/>
        <w:wordWrap/>
        <w:overflowPunct/>
        <w:topLinePunct w:val="0"/>
        <w:autoSpaceDE/>
        <w:autoSpaceDN/>
        <w:bidi w:val="0"/>
        <w:adjustRightInd/>
        <w:snapToGrid/>
        <w:spacing w:line="360" w:lineRule="auto"/>
        <w:ind w:left="0" w:leftChars="0"/>
        <w:textAlignment w:val="auto"/>
        <w:rPr>
          <w:rFonts w:eastAsia="华文宋体" w:cs="Times New Roman"/>
          <w:b/>
          <w:bCs/>
          <w:color w:val="auto"/>
          <w:sz w:val="40"/>
          <w:szCs w:val="40"/>
        </w:rPr>
      </w:pPr>
    </w:p>
    <w:p w14:paraId="7155AC29">
      <w:pPr>
        <w:pageBreakBefore w:val="0"/>
        <w:widowControl w:val="0"/>
        <w:kinsoku/>
        <w:wordWrap/>
        <w:overflowPunct/>
        <w:topLinePunct w:val="0"/>
        <w:autoSpaceDE/>
        <w:autoSpaceDN/>
        <w:bidi w:val="0"/>
        <w:adjustRightInd/>
        <w:snapToGrid/>
        <w:spacing w:line="360" w:lineRule="auto"/>
        <w:ind w:left="0" w:leftChars="0"/>
        <w:textAlignment w:val="auto"/>
        <w:rPr>
          <w:rFonts w:eastAsia="华文宋体" w:cs="Times New Roman"/>
          <w:b/>
          <w:bCs/>
          <w:color w:val="auto"/>
          <w:sz w:val="40"/>
          <w:szCs w:val="40"/>
        </w:rPr>
      </w:pPr>
    </w:p>
    <w:p w14:paraId="606B0173">
      <w:pPr>
        <w:pStyle w:val="18"/>
        <w:pageBreakBefore w:val="0"/>
        <w:widowControl w:val="0"/>
        <w:kinsoku/>
        <w:wordWrap/>
        <w:overflowPunct/>
        <w:topLinePunct w:val="0"/>
        <w:autoSpaceDE/>
        <w:autoSpaceDN/>
        <w:bidi w:val="0"/>
        <w:adjustRightInd/>
        <w:snapToGrid/>
        <w:spacing w:line="360" w:lineRule="auto"/>
        <w:ind w:left="0" w:leftChars="0"/>
        <w:textAlignment w:val="auto"/>
        <w:rPr>
          <w:rFonts w:eastAsia="华文宋体" w:cs="Times New Roman"/>
          <w:b/>
          <w:bCs/>
          <w:color w:val="auto"/>
          <w:sz w:val="40"/>
          <w:szCs w:val="40"/>
        </w:rPr>
      </w:pPr>
    </w:p>
    <w:p w14:paraId="6A813A70">
      <w:pPr>
        <w:pStyle w:val="18"/>
        <w:pageBreakBefore w:val="0"/>
        <w:widowControl w:val="0"/>
        <w:kinsoku/>
        <w:wordWrap/>
        <w:overflowPunct/>
        <w:topLinePunct w:val="0"/>
        <w:autoSpaceDE/>
        <w:autoSpaceDN/>
        <w:bidi w:val="0"/>
        <w:adjustRightInd/>
        <w:snapToGrid/>
        <w:spacing w:line="360" w:lineRule="auto"/>
        <w:ind w:left="0" w:leftChars="0" w:firstLine="0" w:firstLineChars="0"/>
        <w:textAlignment w:val="auto"/>
        <w:rPr>
          <w:color w:val="auto"/>
        </w:rPr>
      </w:pPr>
    </w:p>
    <w:tbl>
      <w:tblPr>
        <w:tblStyle w:val="28"/>
        <w:tblW w:w="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99"/>
      </w:tblGrid>
      <w:tr w14:paraId="1BCAD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999" w:type="dxa"/>
            <w:vAlign w:val="center"/>
          </w:tcPr>
          <w:p w14:paraId="45B1B4EA">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cs="Times New Roman"/>
                <w:color w:val="auto"/>
                <w:spacing w:val="17"/>
                <w:kern w:val="10"/>
                <w:sz w:val="32"/>
                <w:szCs w:val="32"/>
              </w:rPr>
            </w:pPr>
            <w:r>
              <w:rPr>
                <w:rFonts w:hint="eastAsia" w:cs="Times New Roman"/>
                <w:color w:val="auto"/>
                <w:spacing w:val="17"/>
                <w:kern w:val="10"/>
                <w:sz w:val="32"/>
                <w:szCs w:val="32"/>
              </w:rPr>
              <w:t>建设单位</w:t>
            </w:r>
            <w:r>
              <w:rPr>
                <w:rFonts w:hint="eastAsia" w:cs="Times New Roman"/>
                <w:color w:val="auto"/>
                <w:spacing w:val="17"/>
                <w:kern w:val="10"/>
                <w:sz w:val="32"/>
                <w:szCs w:val="32"/>
                <w:lang w:eastAsia="zh-CN"/>
              </w:rPr>
              <w:t>：</w:t>
            </w:r>
            <w:r>
              <w:rPr>
                <w:rFonts w:hint="eastAsia" w:cs="Times New Roman"/>
                <w:color w:val="auto"/>
                <w:spacing w:val="17"/>
                <w:kern w:val="10"/>
                <w:sz w:val="32"/>
                <w:szCs w:val="32"/>
              </w:rPr>
              <w:t>固原市科财肉制品加工有限公司</w:t>
            </w:r>
          </w:p>
        </w:tc>
      </w:tr>
      <w:tr w14:paraId="1CBBE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999" w:type="dxa"/>
            <w:vAlign w:val="center"/>
          </w:tcPr>
          <w:p w14:paraId="70BA2094">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cs="Times New Roman"/>
                <w:color w:val="auto"/>
                <w:spacing w:val="17"/>
                <w:kern w:val="10"/>
                <w:sz w:val="32"/>
                <w:szCs w:val="32"/>
              </w:rPr>
            </w:pPr>
            <w:r>
              <w:rPr>
                <w:rFonts w:hint="eastAsia" w:cs="Times New Roman"/>
                <w:color w:val="auto"/>
                <w:spacing w:val="17"/>
                <w:kern w:val="10"/>
                <w:sz w:val="32"/>
                <w:szCs w:val="32"/>
              </w:rPr>
              <w:t>编制单位</w:t>
            </w:r>
            <w:r>
              <w:rPr>
                <w:rFonts w:hint="eastAsia" w:cs="Times New Roman"/>
                <w:color w:val="auto"/>
                <w:spacing w:val="17"/>
                <w:kern w:val="10"/>
                <w:sz w:val="32"/>
                <w:szCs w:val="32"/>
                <w:lang w:eastAsia="zh-CN"/>
              </w:rPr>
              <w:t>：</w:t>
            </w:r>
            <w:r>
              <w:rPr>
                <w:rFonts w:hint="eastAsia" w:cs="Times New Roman"/>
                <w:color w:val="auto"/>
                <w:spacing w:val="17"/>
                <w:kern w:val="10"/>
                <w:sz w:val="32"/>
                <w:szCs w:val="32"/>
                <w:lang w:val="en-US" w:eastAsia="zh-CN"/>
              </w:rPr>
              <w:t>环创（宁夏）生态环境设计院</w:t>
            </w:r>
            <w:r>
              <w:rPr>
                <w:rFonts w:hint="eastAsia" w:cs="Times New Roman"/>
                <w:color w:val="auto"/>
                <w:spacing w:val="17"/>
                <w:kern w:val="10"/>
                <w:sz w:val="32"/>
                <w:szCs w:val="32"/>
              </w:rPr>
              <w:t>有限公司</w:t>
            </w:r>
          </w:p>
        </w:tc>
      </w:tr>
    </w:tbl>
    <w:p w14:paraId="2219D666">
      <w:pPr>
        <w:keepNext w:val="0"/>
        <w:keepLines w:val="0"/>
        <w:pageBreakBefore w:val="0"/>
        <w:widowControl w:val="0"/>
        <w:kinsoku/>
        <w:wordWrap/>
        <w:overflowPunct/>
        <w:topLinePunct w:val="0"/>
        <w:autoSpaceDE/>
        <w:autoSpaceDN/>
        <w:bidi w:val="0"/>
        <w:adjustRightInd/>
        <w:snapToGrid/>
        <w:spacing w:line="360" w:lineRule="auto"/>
        <w:ind w:left="0" w:leftChars="0" w:firstLine="400" w:firstLineChars="100"/>
        <w:jc w:val="center"/>
        <w:textAlignment w:val="auto"/>
        <w:rPr>
          <w:rFonts w:eastAsia="华文宋体" w:cs="Times New Roman"/>
          <w:b/>
          <w:bCs/>
          <w:color w:val="auto"/>
          <w:sz w:val="40"/>
          <w:szCs w:val="40"/>
        </w:rPr>
      </w:pPr>
    </w:p>
    <w:p w14:paraId="7BE532F0">
      <w:pPr>
        <w:keepNext w:val="0"/>
        <w:keepLines w:val="0"/>
        <w:pageBreakBefore w:val="0"/>
        <w:widowControl w:val="0"/>
        <w:tabs>
          <w:tab w:val="left" w:pos="7875"/>
        </w:tabs>
        <w:kinsoku/>
        <w:wordWrap/>
        <w:overflowPunct/>
        <w:topLinePunct w:val="0"/>
        <w:autoSpaceDE/>
        <w:autoSpaceDN/>
        <w:bidi w:val="0"/>
        <w:adjustRightInd/>
        <w:snapToGrid/>
        <w:spacing w:line="360" w:lineRule="auto"/>
        <w:ind w:left="0" w:leftChars="0" w:firstLine="1280" w:firstLineChars="400"/>
        <w:jc w:val="left"/>
        <w:textAlignment w:val="auto"/>
        <w:rPr>
          <w:rFonts w:cs="Times New Roman"/>
          <w:color w:val="auto"/>
          <w:sz w:val="32"/>
          <w:szCs w:val="20"/>
        </w:rPr>
      </w:pPr>
    </w:p>
    <w:p w14:paraId="71B54AD6">
      <w:pPr>
        <w:pageBreakBefore w:val="0"/>
        <w:tabs>
          <w:tab w:val="left" w:pos="7875"/>
        </w:tabs>
        <w:kinsoku/>
        <w:wordWrap/>
        <w:topLinePunct w:val="0"/>
        <w:bidi w:val="0"/>
        <w:adjustRightInd/>
        <w:snapToGrid/>
        <w:ind w:left="0" w:leftChars="0" w:firstLine="0" w:firstLineChars="0"/>
        <w:jc w:val="center"/>
        <w:rPr>
          <w:rFonts w:hint="eastAsia" w:cs="Times New Roman"/>
          <w:color w:val="auto"/>
          <w:spacing w:val="20"/>
          <w:sz w:val="32"/>
          <w:szCs w:val="20"/>
          <w:lang w:val="en-US" w:eastAsia="zh-CN"/>
        </w:rPr>
        <w:sectPr>
          <w:headerReference r:id="rId5" w:type="default"/>
          <w:footerReference r:id="rId7" w:type="default"/>
          <w:headerReference r:id="rId6" w:type="even"/>
          <w:pgSz w:w="11906" w:h="16838"/>
          <w:pgMar w:top="1417" w:right="1701" w:bottom="1417" w:left="1701"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eastAsia" w:cs="Times New Roman"/>
          <w:color w:val="auto"/>
          <w:spacing w:val="20"/>
          <w:sz w:val="32"/>
          <w:szCs w:val="20"/>
          <w:lang w:val="en-US" w:eastAsia="zh-CN"/>
        </w:rPr>
        <w:t>二〇二六年五月</w:t>
      </w:r>
    </w:p>
    <w:p w14:paraId="0294A9B8">
      <w:pPr>
        <w:pStyle w:val="4"/>
        <w:keepNext/>
        <w:keepLines/>
        <w:pageBreakBefore w:val="0"/>
        <w:widowControl w:val="0"/>
        <w:kinsoku/>
        <w:wordWrap/>
        <w:overflowPunct/>
        <w:topLinePunct w:val="0"/>
        <w:autoSpaceDE/>
        <w:autoSpaceDN/>
        <w:bidi w:val="0"/>
        <w:adjustRightInd/>
        <w:snapToGrid/>
        <w:spacing w:before="0" w:line="360" w:lineRule="auto"/>
        <w:ind w:left="0" w:leftChars="0"/>
        <w:jc w:val="center"/>
        <w:textAlignment w:val="auto"/>
        <w:rPr>
          <w:rFonts w:hint="eastAsia"/>
          <w:color w:val="auto"/>
          <w:sz w:val="32"/>
          <w:szCs w:val="32"/>
        </w:rPr>
      </w:pPr>
      <w:bookmarkStart w:id="0" w:name="_Toc12534"/>
      <w:bookmarkStart w:id="1" w:name="_Toc3130"/>
      <w:bookmarkStart w:id="2" w:name="_Toc25463"/>
      <w:bookmarkStart w:id="3" w:name="_Toc29460"/>
      <w:bookmarkStart w:id="4" w:name="_Toc17068"/>
      <w:bookmarkStart w:id="5" w:name="_Toc29853"/>
      <w:bookmarkStart w:id="6" w:name="_Toc14382"/>
      <w:bookmarkStart w:id="7" w:name="_Toc14762"/>
      <w:bookmarkStart w:id="8" w:name="_Toc7277"/>
      <w:bookmarkStart w:id="9" w:name="_Toc19096"/>
      <w:bookmarkStart w:id="10" w:name="_Toc554"/>
      <w:r>
        <w:rPr>
          <w:rFonts w:hint="eastAsia"/>
          <w:color w:val="auto"/>
          <w:sz w:val="32"/>
          <w:szCs w:val="32"/>
        </w:rPr>
        <w:t>概 述</w:t>
      </w:r>
      <w:bookmarkEnd w:id="0"/>
      <w:bookmarkEnd w:id="1"/>
      <w:bookmarkEnd w:id="2"/>
      <w:bookmarkEnd w:id="3"/>
      <w:bookmarkEnd w:id="4"/>
      <w:bookmarkEnd w:id="5"/>
      <w:bookmarkEnd w:id="6"/>
      <w:bookmarkEnd w:id="7"/>
      <w:bookmarkEnd w:id="8"/>
      <w:bookmarkEnd w:id="9"/>
      <w:bookmarkEnd w:id="10"/>
    </w:p>
    <w:p w14:paraId="21D99856">
      <w:pPr>
        <w:pStyle w:val="5"/>
        <w:keepNext/>
        <w:keepLines/>
        <w:pageBreakBefore w:val="0"/>
        <w:widowControl w:val="0"/>
        <w:kinsoku/>
        <w:wordWrap/>
        <w:overflowPunct/>
        <w:topLinePunct w:val="0"/>
        <w:autoSpaceDE/>
        <w:autoSpaceDN/>
        <w:bidi w:val="0"/>
        <w:adjustRightInd/>
        <w:snapToGrid/>
        <w:spacing w:before="0" w:after="0" w:afterLines="0" w:line="360" w:lineRule="auto"/>
        <w:ind w:left="0" w:leftChars="0"/>
        <w:textAlignment w:val="auto"/>
        <w:outlineLvl w:val="0"/>
        <w:rPr>
          <w:rFonts w:hint="default"/>
          <w:color w:val="auto"/>
        </w:rPr>
      </w:pPr>
      <w:bookmarkStart w:id="11" w:name="_Toc4502"/>
      <w:bookmarkStart w:id="12" w:name="_Toc23516"/>
      <w:bookmarkStart w:id="13" w:name="_Toc1668"/>
      <w:bookmarkStart w:id="14" w:name="_Toc10068"/>
      <w:bookmarkStart w:id="15" w:name="_Toc30817"/>
      <w:bookmarkStart w:id="16" w:name="_Toc23912"/>
      <w:bookmarkStart w:id="17" w:name="_Toc32502"/>
      <w:bookmarkStart w:id="18" w:name="_Toc10601"/>
      <w:bookmarkStart w:id="19" w:name="_Toc32619"/>
      <w:bookmarkStart w:id="20" w:name="_Toc31214"/>
      <w:bookmarkStart w:id="21" w:name="_Toc14875"/>
      <w:r>
        <w:rPr>
          <w:rFonts w:hint="default"/>
          <w:color w:val="auto"/>
        </w:rPr>
        <w:t>1.项目实施背景</w:t>
      </w:r>
      <w:bookmarkEnd w:id="11"/>
      <w:bookmarkEnd w:id="12"/>
      <w:bookmarkEnd w:id="13"/>
      <w:bookmarkEnd w:id="14"/>
      <w:bookmarkEnd w:id="15"/>
      <w:bookmarkEnd w:id="16"/>
      <w:bookmarkEnd w:id="17"/>
      <w:bookmarkEnd w:id="18"/>
      <w:bookmarkEnd w:id="19"/>
      <w:bookmarkEnd w:id="20"/>
      <w:bookmarkEnd w:id="21"/>
    </w:p>
    <w:p w14:paraId="02DBC5FC">
      <w:pPr>
        <w:pStyle w:val="25"/>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lang w:eastAsia="zh-CN"/>
        </w:rPr>
      </w:pPr>
      <w:r>
        <w:rPr>
          <w:rFonts w:hint="eastAsia"/>
          <w:lang w:val="en-US" w:eastAsia="zh-CN"/>
        </w:rPr>
        <w:t>近年来，随着畜牧养殖业步入新的发展阶段，积极推动其向“高质、精细、强效”转型升级，加速实现从“规模大”向“实力强”的跨越，旨在促进固原市畜牧养殖业的结构调整。通过不断提升畜牧产品的附加值，逐步构建起涵盖畜牧繁育、养殖、屠宰及深加工的全产业链体系。</w:t>
      </w:r>
    </w:p>
    <w:p w14:paraId="5555A974">
      <w:pPr>
        <w:pStyle w:val="25"/>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lang w:eastAsia="zh-CN"/>
        </w:rPr>
      </w:pPr>
      <w:r>
        <w:rPr>
          <w:rFonts w:hint="eastAsia"/>
          <w:lang w:eastAsia="zh-CN"/>
        </w:rPr>
        <w:t>当前，随着人们生活水平的持续提升，肉类食品的消费需求稳中有增，有效拉动了畜牧生产的发展。畜牧产业作为劳动密集型产业，在中国农村人口众多的背景下，发展畜牧产品加工不仅能显著提升农产品的附加值，还能有效解决广大农业地区农民的就业问题。此外，畜牧产业的发展还将带动偏远地区的产业规范与转型，创造更多经济价值，助力缩小东西部经济差距，实现全国经济协调共进的和谐发展目标。</w:t>
      </w:r>
    </w:p>
    <w:p w14:paraId="3D648285">
      <w:pPr>
        <w:pStyle w:val="25"/>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rPr>
      </w:pPr>
      <w:r>
        <w:rPr>
          <w:rFonts w:hint="eastAsia"/>
        </w:rPr>
        <w:t>因此，固原市科财肉制品加工有限公司决定投资</w:t>
      </w:r>
      <w:r>
        <w:rPr>
          <w:rFonts w:hint="eastAsia"/>
          <w:lang w:val="en-US" w:eastAsia="zh-CN"/>
        </w:rPr>
        <w:t>25</w:t>
      </w:r>
      <w:r>
        <w:rPr>
          <w:rFonts w:hint="eastAsia"/>
        </w:rPr>
        <w:t>00万元在固原经济开发区轻工产业园（中河乡）建设“固原市科财牛羊屠宰精深加工项目”，计划建设年屠宰牛</w:t>
      </w:r>
      <w:r>
        <w:rPr>
          <w:rFonts w:hint="eastAsia"/>
          <w:lang w:val="en-US" w:eastAsia="zh-CN"/>
        </w:rPr>
        <w:t>10000</w:t>
      </w:r>
      <w:r>
        <w:rPr>
          <w:rFonts w:hint="eastAsia"/>
        </w:rPr>
        <w:t>头、屠宰羊</w:t>
      </w:r>
      <w:r>
        <w:rPr>
          <w:rFonts w:hint="eastAsia"/>
          <w:lang w:val="en-US" w:eastAsia="zh-CN"/>
        </w:rPr>
        <w:t>15</w:t>
      </w:r>
      <w:r>
        <w:rPr>
          <w:rFonts w:hint="eastAsia"/>
        </w:rPr>
        <w:t>万只的屠宰加工车间，同时配套必要的基础设施。固原经济开发区轻工产业园总体重点发展纺织、食品、轻工等产业，辅助发展装备制造、建材产业，主要安排特色农产品精深加工和新型建材项目。屠宰加工车间建成后，预计每年将向市场供</w:t>
      </w:r>
      <w:r>
        <w:rPr>
          <w:rFonts w:hint="eastAsia"/>
          <w:color w:val="000000" w:themeColor="text1"/>
          <w14:textFill>
            <w14:solidFill>
              <w14:schemeClr w14:val="tx1"/>
            </w14:solidFill>
          </w14:textFill>
        </w:rPr>
        <w:t>应</w:t>
      </w:r>
      <w:r>
        <w:rPr>
          <w:rFonts w:hint="eastAsia"/>
          <w:color w:val="000000" w:themeColor="text1"/>
          <w:lang w:val="en-US" w:eastAsia="zh-CN"/>
          <w14:textFill>
            <w14:solidFill>
              <w14:schemeClr w14:val="tx1"/>
            </w14:solidFill>
          </w14:textFill>
        </w:rPr>
        <w:t>4750</w:t>
      </w:r>
      <w:r>
        <w:rPr>
          <w:rFonts w:hint="eastAsia"/>
          <w:color w:val="000000" w:themeColor="text1"/>
          <w14:textFill>
            <w14:solidFill>
              <w14:schemeClr w14:val="tx1"/>
            </w14:solidFill>
          </w14:textFill>
        </w:rPr>
        <w:t>吨优质牛肉和羊肉。</w:t>
      </w:r>
      <w:r>
        <w:rPr>
          <w:rFonts w:hint="eastAsia"/>
        </w:rPr>
        <w:t>此外，项目还将加快固原市畜牧业实现较快发展，推进当地优质肉牛产业化的经营水平，提高农产品的科技含量；进一步提高畜牧产品的商</w:t>
      </w:r>
      <w:r>
        <w:rPr>
          <w:rFonts w:hint="eastAsia"/>
          <w:lang w:eastAsia="zh-CN"/>
        </w:rPr>
        <w:t>品化</w:t>
      </w:r>
      <w:r>
        <w:rPr>
          <w:rFonts w:hint="eastAsia"/>
        </w:rPr>
        <w:t>率，增强固原市肉牛产品的市场竞争力，提高农业生产的综合效益</w:t>
      </w:r>
      <w:r>
        <w:rPr>
          <w:rFonts w:hint="eastAsia"/>
          <w:lang w:eastAsia="zh-CN"/>
        </w:rPr>
        <w:t>，</w:t>
      </w:r>
      <w:r>
        <w:rPr>
          <w:rFonts w:hint="eastAsia"/>
        </w:rPr>
        <w:t>可带动当地养殖户发展种草养殖产业。项目已于202</w:t>
      </w:r>
      <w:r>
        <w:rPr>
          <w:rFonts w:hint="eastAsia"/>
          <w:lang w:val="en-US" w:eastAsia="zh-CN"/>
        </w:rPr>
        <w:t>6</w:t>
      </w:r>
      <w:r>
        <w:rPr>
          <w:rFonts w:hint="eastAsia"/>
        </w:rPr>
        <w:t>年</w:t>
      </w:r>
      <w:r>
        <w:rPr>
          <w:rFonts w:hint="eastAsia"/>
          <w:lang w:val="en-US" w:eastAsia="zh-CN"/>
        </w:rPr>
        <w:t>4</w:t>
      </w:r>
      <w:r>
        <w:rPr>
          <w:rFonts w:hint="eastAsia"/>
        </w:rPr>
        <w:t>月</w:t>
      </w:r>
      <w:r>
        <w:rPr>
          <w:rFonts w:hint="eastAsia"/>
          <w:lang w:val="en-US" w:eastAsia="zh-CN"/>
        </w:rPr>
        <w:t>2</w:t>
      </w:r>
      <w:r>
        <w:rPr>
          <w:rFonts w:hint="eastAsia"/>
        </w:rPr>
        <w:t>日获得宁夏固原经济开发区管理委员会颁发的《宁夏回族自治区企业投资项目备案证》（项目代码：2507-640940-04-01-416427）。</w:t>
      </w:r>
    </w:p>
    <w:p w14:paraId="76A0A4E9">
      <w:pPr>
        <w:pStyle w:val="25"/>
        <w:pageBreakBefore w:val="0"/>
        <w:widowControl w:val="0"/>
        <w:kinsoku/>
        <w:wordWrap/>
        <w:overflowPunct/>
        <w:topLinePunct w:val="0"/>
        <w:autoSpaceDE/>
        <w:autoSpaceDN/>
        <w:bidi w:val="0"/>
        <w:adjustRightInd/>
        <w:snapToGrid/>
        <w:spacing w:after="0" w:line="360" w:lineRule="auto"/>
        <w:ind w:left="0" w:leftChars="0"/>
        <w:textAlignment w:val="auto"/>
      </w:pPr>
      <w:r>
        <w:rPr>
          <w:rFonts w:hint="eastAsia"/>
        </w:rPr>
        <w:t>根据《中华人民共和国环境保护法》《中华人民共和国环境影响评价法》及《建设项目环境保护管理条例》等文件的有关规定，在项目建设前必须对项目进行环境影响评价。根据《建设项目环境影响评价分类管理名录（2021年版）》，本项目属于“十、农副食品加工业”中“18、屠宰及肉类加工135”的“屠宰生猪10万头、肉牛1万头、肉羊15万只、禽类1000万只及以上的”类别，应编制环境影响报告书。固原市科财肉制品加工有限公司（以下简称“建设单位”）委托我公司对“固原市科财牛羊屠宰精深加工项目”（以下简称“本项目”）进行环境影响评价工作，并编制环境影响报告书。我公司在接受委托后，对该项目的建设地进行了现场踏勘、调查、收集了有关该项目的资料，并在此基础上编制了《固原市科财牛羊屠宰精深加工项目环境影响报告书》供审查。</w:t>
      </w:r>
    </w:p>
    <w:p w14:paraId="3A5B8876">
      <w:pPr>
        <w:pStyle w:val="5"/>
        <w:keepNext/>
        <w:keepLines/>
        <w:pageBreakBefore w:val="0"/>
        <w:widowControl w:val="0"/>
        <w:kinsoku/>
        <w:wordWrap/>
        <w:overflowPunct/>
        <w:topLinePunct w:val="0"/>
        <w:autoSpaceDE/>
        <w:autoSpaceDN/>
        <w:bidi w:val="0"/>
        <w:adjustRightInd/>
        <w:snapToGrid/>
        <w:spacing w:before="0" w:after="0" w:afterLines="0" w:line="360" w:lineRule="auto"/>
        <w:ind w:left="0" w:leftChars="0"/>
        <w:textAlignment w:val="auto"/>
        <w:outlineLvl w:val="0"/>
        <w:rPr>
          <w:rFonts w:hint="default" w:ascii="Times New Roman" w:hAnsi="Times New Roman" w:cs="Times New Roman" w:eastAsiaTheme="minorEastAsia"/>
          <w:color w:val="auto"/>
          <w:lang w:val="en-US" w:eastAsia="zh-CN"/>
        </w:rPr>
      </w:pPr>
      <w:bookmarkStart w:id="22" w:name="_Toc13496"/>
      <w:bookmarkStart w:id="23" w:name="_Toc8573"/>
      <w:bookmarkStart w:id="24" w:name="_Toc3386"/>
      <w:bookmarkStart w:id="25" w:name="_Toc22452"/>
      <w:bookmarkStart w:id="26" w:name="_Toc8852"/>
      <w:bookmarkStart w:id="27" w:name="_Toc16324"/>
      <w:bookmarkStart w:id="28" w:name="_Toc28993"/>
      <w:bookmarkStart w:id="29" w:name="_Toc15936"/>
      <w:bookmarkStart w:id="30" w:name="_Toc21414"/>
      <w:bookmarkStart w:id="31" w:name="_Toc26488"/>
      <w:bookmarkStart w:id="32" w:name="_Toc13055"/>
      <w:bookmarkStart w:id="33" w:name="_Toc26674"/>
      <w:bookmarkStart w:id="34" w:name="_Toc14012"/>
      <w:bookmarkStart w:id="35" w:name="_Toc4388"/>
      <w:bookmarkStart w:id="36" w:name="_Toc24240"/>
      <w:bookmarkStart w:id="37" w:name="_Toc25419"/>
      <w:bookmarkStart w:id="38" w:name="_Toc24968"/>
      <w:bookmarkStart w:id="39" w:name="_Toc18334"/>
      <w:bookmarkStart w:id="40" w:name="_Toc2128"/>
      <w:bookmarkStart w:id="41" w:name="_Toc21922"/>
      <w:r>
        <w:rPr>
          <w:rFonts w:hint="default" w:ascii="Times New Roman" w:hAnsi="Times New Roman" w:cs="Times New Roman" w:eastAsiaTheme="minorEastAsia"/>
          <w:color w:val="auto"/>
          <w:lang w:val="en-US" w:eastAsia="zh-CN"/>
        </w:rPr>
        <w:t>2.建设项目的特点</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51E1E83">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r>
        <w:rPr>
          <w:rFonts w:hint="eastAsia"/>
          <w:color w:val="auto"/>
        </w:rPr>
        <w:t>本项目建设特点如下：</w:t>
      </w:r>
    </w:p>
    <w:p w14:paraId="627DEB6F">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bookmarkStart w:id="42" w:name="_Toc18140"/>
      <w:bookmarkStart w:id="43" w:name="_Toc25934"/>
      <w:bookmarkStart w:id="44" w:name="_Toc29579"/>
      <w:bookmarkStart w:id="45" w:name="_Toc32548"/>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选址特点</w:t>
      </w:r>
      <w:bookmarkEnd w:id="42"/>
      <w:bookmarkEnd w:id="43"/>
      <w:bookmarkEnd w:id="44"/>
      <w:bookmarkEnd w:id="45"/>
    </w:p>
    <w:p w14:paraId="449418B1">
      <w:pPr>
        <w:pageBreakBefore w:val="0"/>
        <w:widowControl w:val="0"/>
        <w:kinsoku/>
        <w:wordWrap/>
        <w:overflowPunct/>
        <w:topLinePunct w:val="0"/>
        <w:autoSpaceDE/>
        <w:autoSpaceDN/>
        <w:bidi w:val="0"/>
        <w:adjustRightInd/>
        <w:snapToGrid/>
        <w:spacing w:line="360" w:lineRule="auto"/>
        <w:ind w:left="0" w:leftChars="0"/>
        <w:textAlignment w:val="auto"/>
        <w:rPr>
          <w:rFonts w:hint="default"/>
          <w:color w:val="auto"/>
          <w:lang w:val="en-US"/>
        </w:rPr>
      </w:pPr>
      <w:r>
        <w:rPr>
          <w:rFonts w:hint="eastAsia"/>
          <w:color w:val="auto"/>
        </w:rPr>
        <w:t>本项目位于固原经济开发区轻工产业园</w:t>
      </w:r>
      <w:r>
        <w:rPr>
          <w:rFonts w:hint="eastAsia" w:cs="Times New Roman"/>
          <w:color w:val="auto"/>
          <w:kern w:val="2"/>
          <w:sz w:val="24"/>
          <w:szCs w:val="24"/>
          <w:lang w:val="en-US" w:eastAsia="zh-CN" w:bidi="ar-SA"/>
        </w:rPr>
        <w:t>（中河乡）</w:t>
      </w:r>
      <w:r>
        <w:rPr>
          <w:rFonts w:hint="eastAsia"/>
          <w:color w:val="auto"/>
        </w:rPr>
        <w:t>，轻工产业园重点发展纺织、食品、轻工等产业</w:t>
      </w:r>
      <w:r>
        <w:rPr>
          <w:rFonts w:hint="eastAsia"/>
          <w:color w:val="auto"/>
          <w:lang w:eastAsia="zh-CN"/>
        </w:rPr>
        <w:t>，</w:t>
      </w:r>
      <w:r>
        <w:rPr>
          <w:rFonts w:hint="eastAsia"/>
          <w:color w:val="auto"/>
          <w:lang w:val="en-US" w:eastAsia="zh-CN"/>
        </w:rPr>
        <w:t>项目</w:t>
      </w:r>
      <w:r>
        <w:rPr>
          <w:rFonts w:hint="eastAsia"/>
          <w:color w:val="auto"/>
        </w:rPr>
        <w:t>属于</w:t>
      </w:r>
      <w:r>
        <w:rPr>
          <w:rFonts w:hint="eastAsia"/>
          <w:color w:val="auto"/>
          <w:lang w:val="en-US" w:eastAsia="zh-CN"/>
        </w:rPr>
        <w:t>牛羊肉加工生产</w:t>
      </w:r>
      <w:r>
        <w:rPr>
          <w:rFonts w:hint="eastAsia"/>
          <w:color w:val="auto"/>
        </w:rPr>
        <w:t>项目，</w:t>
      </w:r>
      <w:r>
        <w:rPr>
          <w:rFonts w:hint="eastAsia"/>
          <w:color w:val="auto"/>
          <w:lang w:val="en-US" w:eastAsia="zh-CN"/>
        </w:rPr>
        <w:t>项目符合园区规划。</w:t>
      </w:r>
    </w:p>
    <w:p w14:paraId="59349BC3">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bookmarkStart w:id="46" w:name="_Toc25817"/>
      <w:bookmarkStart w:id="47" w:name="_Toc15624"/>
      <w:bookmarkStart w:id="48" w:name="_Toc16785"/>
      <w:bookmarkStart w:id="49" w:name="_Toc30427"/>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生产工艺特点</w:t>
      </w:r>
      <w:bookmarkEnd w:id="46"/>
      <w:bookmarkEnd w:id="47"/>
      <w:bookmarkEnd w:id="48"/>
      <w:bookmarkEnd w:id="49"/>
    </w:p>
    <w:p w14:paraId="4E14F70C">
      <w:pPr>
        <w:rPr>
          <w:rFonts w:hint="eastAsia" w:eastAsia="仿宋_GB2312"/>
          <w:lang w:eastAsia="zh-CN"/>
        </w:rPr>
      </w:pPr>
      <w:r>
        <w:rPr>
          <w:rFonts w:hint="eastAsia"/>
          <w:lang w:val="en-US" w:eastAsia="zh-CN"/>
        </w:rPr>
        <w:t>本项目为牛羊屠宰精深加工项目，</w:t>
      </w:r>
      <w:r>
        <w:rPr>
          <w:rFonts w:hint="eastAsia"/>
          <w:color w:val="auto"/>
          <w:lang w:val="en-US" w:eastAsia="zh-CN"/>
        </w:rPr>
        <w:t>牛、羊屠宰生产线均选用国内先进的带同步卫检功能的悬挂式成套全自动流水生产线，</w:t>
      </w:r>
      <w:r>
        <w:rPr>
          <w:rFonts w:hint="eastAsia"/>
          <w:lang w:val="en-US" w:eastAsia="zh-CN"/>
        </w:rPr>
        <w:t>主要生产工序涵盖待宰静养、放血褪毛、去蹄去皮、开膛取内脏、胴体修整、分割检验、预冷包装及速冻仓储，全程严格落实质量管控要求。项目生产过程中，屠宰产生的各类副产物将分类收集外售；同时生产环节布局紧凑，有效缩短物料转运距离，提升生产效率。</w:t>
      </w:r>
    </w:p>
    <w:p w14:paraId="6309E6AA">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bookmarkStart w:id="50" w:name="_Toc5160"/>
      <w:bookmarkStart w:id="51" w:name="_Toc29407"/>
      <w:bookmarkStart w:id="52" w:name="_Toc31697"/>
      <w:bookmarkStart w:id="53" w:name="_Toc17303"/>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环境影响特点</w:t>
      </w:r>
      <w:bookmarkEnd w:id="50"/>
      <w:bookmarkEnd w:id="51"/>
      <w:bookmarkEnd w:id="52"/>
      <w:bookmarkEnd w:id="53"/>
    </w:p>
    <w:p w14:paraId="3DDD549B">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r>
        <w:rPr>
          <w:rFonts w:hint="eastAsia"/>
          <w:color w:val="auto"/>
          <w:lang w:val="en-US" w:eastAsia="zh-CN"/>
        </w:rPr>
        <w:t>本</w:t>
      </w:r>
      <w:r>
        <w:rPr>
          <w:rFonts w:hint="eastAsia"/>
          <w:color w:val="auto"/>
        </w:rPr>
        <w:t>项目运营期产生的污染物主要为</w:t>
      </w:r>
      <w:r>
        <w:rPr>
          <w:rFonts w:hint="eastAsia"/>
          <w:color w:val="auto"/>
          <w:lang w:val="en-US" w:eastAsia="zh-CN"/>
        </w:rPr>
        <w:t>废气、</w:t>
      </w:r>
      <w:r>
        <w:rPr>
          <w:rFonts w:hint="eastAsia"/>
          <w:color w:val="auto"/>
        </w:rPr>
        <w:t>废水</w:t>
      </w:r>
      <w:r>
        <w:rPr>
          <w:rFonts w:hint="eastAsia"/>
          <w:color w:val="auto"/>
          <w:lang w:eastAsia="zh-CN"/>
        </w:rPr>
        <w:t>、</w:t>
      </w:r>
      <w:r>
        <w:rPr>
          <w:rFonts w:hint="eastAsia"/>
          <w:color w:val="auto"/>
          <w:lang w:val="en-US" w:eastAsia="zh-CN"/>
        </w:rPr>
        <w:t>噪声及</w:t>
      </w:r>
      <w:r>
        <w:rPr>
          <w:rFonts w:hint="eastAsia"/>
          <w:color w:val="auto"/>
        </w:rPr>
        <w:t>固体废物。</w:t>
      </w:r>
    </w:p>
    <w:p w14:paraId="57595C5D">
      <w:pPr>
        <w:pageBreakBefore w:val="0"/>
        <w:widowControl w:val="0"/>
        <w:kinsoku/>
        <w:wordWrap/>
        <w:overflowPunct/>
        <w:topLinePunct w:val="0"/>
        <w:autoSpaceDE/>
        <w:autoSpaceDN/>
        <w:bidi w:val="0"/>
        <w:adjustRightInd/>
        <w:snapToGrid/>
        <w:spacing w:line="360" w:lineRule="auto"/>
        <w:ind w:left="0" w:leftChars="0"/>
        <w:textAlignment w:val="auto"/>
        <w:rPr>
          <w:rFonts w:hint="eastAsia" w:eastAsia="仿宋_GB2312"/>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本项目待宰圈产生的废气经车间负压收集，由风机引入二级活性炭吸附装置处理后经20m高排气筒（DA001）排放；项目</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建设</w:t>
      </w:r>
      <w:r>
        <w:rPr>
          <w:rFonts w:hint="eastAsia" w:cs="Times New Roman"/>
          <w:snapToGrid/>
          <w:color w:val="000000" w:themeColor="text1"/>
          <w:kern w:val="2"/>
          <w:sz w:val="24"/>
          <w:szCs w:val="24"/>
          <w:highlight w:val="none"/>
          <w:lang w:val="en-US" w:eastAsia="zh-CN" w:bidi="ar-SA"/>
          <w14:textFill>
            <w14:solidFill>
              <w14:schemeClr w14:val="tx1"/>
            </w14:solidFill>
          </w14:textFill>
        </w:rPr>
        <w:t>地下式</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污水处理站，</w:t>
      </w:r>
      <w:r>
        <w:rPr>
          <w:rFonts w:hint="eastAsia" w:ascii="Times New Roman" w:hAnsi="Times New Roman" w:cs="Times New Roman"/>
          <w:snapToGrid/>
          <w:color w:val="000000" w:themeColor="text1"/>
          <w:kern w:val="2"/>
          <w:sz w:val="24"/>
          <w:szCs w:val="24"/>
          <w:highlight w:val="none"/>
          <w:lang w:val="en-US" w:eastAsia="zh-CN" w:bidi="ar-SA"/>
          <w14:textFill>
            <w14:solidFill>
              <w14:schemeClr w14:val="tx1"/>
            </w14:solidFill>
          </w14:textFill>
        </w:rPr>
        <w:t>并</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对污水处理</w:t>
      </w:r>
      <w:r>
        <w:rPr>
          <w:rFonts w:hint="eastAsia" w:cs="Times New Roman"/>
          <w:snapToGrid/>
          <w:color w:val="000000" w:themeColor="text1"/>
          <w:kern w:val="2"/>
          <w:sz w:val="24"/>
          <w:szCs w:val="24"/>
          <w:highlight w:val="none"/>
          <w:lang w:val="en-US" w:eastAsia="zh-CN" w:bidi="ar-SA"/>
          <w14:textFill>
            <w14:solidFill>
              <w14:schemeClr w14:val="tx1"/>
            </w14:solidFill>
          </w14:textFill>
        </w:rPr>
        <w:t>站各池体</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加盖封闭，产生的恶臭</w:t>
      </w:r>
      <w:r>
        <w:rPr>
          <w:rFonts w:hint="eastAsia" w:ascii="Times New Roman" w:hAnsi="Times New Roman" w:cs="Times New Roman"/>
          <w:snapToGrid/>
          <w:color w:val="000000" w:themeColor="text1"/>
          <w:kern w:val="2"/>
          <w:sz w:val="24"/>
          <w:szCs w:val="24"/>
          <w:highlight w:val="none"/>
          <w:lang w:val="en-US" w:eastAsia="zh-CN" w:bidi="ar-SA"/>
          <w14:textFill>
            <w14:solidFill>
              <w14:schemeClr w14:val="tx1"/>
            </w14:solidFill>
          </w14:textFill>
        </w:rPr>
        <w:t>气体</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经“集气</w:t>
      </w:r>
      <w:r>
        <w:rPr>
          <w:rFonts w:hint="eastAsia" w:cs="Times New Roman"/>
          <w:snapToGrid/>
          <w:color w:val="000000" w:themeColor="text1"/>
          <w:kern w:val="2"/>
          <w:sz w:val="24"/>
          <w:szCs w:val="24"/>
          <w:highlight w:val="none"/>
          <w:lang w:val="en-US" w:eastAsia="zh-CN" w:bidi="ar-SA"/>
          <w14:textFill>
            <w14:solidFill>
              <w14:schemeClr w14:val="tx1"/>
            </w14:solidFill>
          </w14:textFill>
        </w:rPr>
        <w:t>罩</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snapToGrid/>
          <w:color w:val="000000" w:themeColor="text1"/>
          <w:kern w:val="2"/>
          <w:sz w:val="24"/>
          <w:szCs w:val="24"/>
          <w:highlight w:val="none"/>
          <w:lang w:val="en-US" w:eastAsia="zh-CN" w:bidi="ar-SA"/>
          <w14:textFill>
            <w14:solidFill>
              <w14:schemeClr w14:val="tx1"/>
            </w14:solidFill>
          </w14:textFill>
        </w:rPr>
        <w:t>二级活性炭吸附装置</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snapToGrid/>
          <w:color w:val="000000" w:themeColor="text1"/>
          <w:kern w:val="2"/>
          <w:sz w:val="24"/>
          <w:szCs w:val="24"/>
          <w:highlight w:val="none"/>
          <w:lang w:val="en-US" w:eastAsia="zh-CN" w:bidi="ar-SA"/>
          <w14:textFill>
            <w14:solidFill>
              <w14:schemeClr w14:val="tx1"/>
            </w14:solidFill>
          </w14:textFill>
        </w:rPr>
        <w:t>处理后由</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cs="Times New Roman"/>
          <w:snapToGrid/>
          <w:color w:val="000000" w:themeColor="text1"/>
          <w:kern w:val="2"/>
          <w:sz w:val="24"/>
          <w:szCs w:val="24"/>
          <w:highlight w:val="none"/>
          <w:lang w:val="en-US" w:eastAsia="zh-CN" w:bidi="ar-SA"/>
          <w14:textFill>
            <w14:solidFill>
              <w14:schemeClr w14:val="tx1"/>
            </w14:solidFill>
          </w14:textFill>
        </w:rPr>
        <w:t>根</w:t>
      </w:r>
      <w:r>
        <w:rPr>
          <w:rFonts w:hint="eastAsia" w:cs="Times New Roman"/>
          <w:snapToGrid/>
          <w:color w:val="000000" w:themeColor="text1"/>
          <w:kern w:val="2"/>
          <w:sz w:val="24"/>
          <w:szCs w:val="24"/>
          <w:highlight w:val="none"/>
          <w:lang w:val="en-US" w:eastAsia="zh-CN" w:bidi="ar-SA"/>
          <w14:textFill>
            <w14:solidFill>
              <w14:schemeClr w14:val="tx1"/>
            </w14:solidFill>
          </w14:textFill>
        </w:rPr>
        <w:t>20</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m高排气筒</w:t>
      </w:r>
      <w:r>
        <w:rPr>
          <w:rFonts w:hint="eastAsia" w:ascii="Times New Roman" w:hAnsi="Times New Roman" w:cs="Times New Roman"/>
          <w:snapToGrid/>
          <w:color w:val="000000" w:themeColor="text1"/>
          <w:kern w:val="2"/>
          <w:sz w:val="24"/>
          <w:szCs w:val="24"/>
          <w:highlight w:val="none"/>
          <w:lang w:val="en-US" w:eastAsia="zh-CN" w:bidi="ar-SA"/>
          <w14:textFill>
            <w14:solidFill>
              <w14:schemeClr w14:val="tx1"/>
            </w14:solidFill>
          </w14:textFill>
        </w:rPr>
        <w:t>（DA002）</w:t>
      </w:r>
      <w:r>
        <w:rPr>
          <w:rFonts w:hint="default" w:ascii="Times New Roman" w:hAnsi="Times New Roman" w:eastAsia="仿宋_GB2312" w:cs="Times New Roman"/>
          <w:snapToGrid/>
          <w:color w:val="000000" w:themeColor="text1"/>
          <w:kern w:val="2"/>
          <w:sz w:val="24"/>
          <w:szCs w:val="24"/>
          <w:highlight w:val="none"/>
          <w:lang w:val="en-US" w:eastAsia="zh-CN" w:bidi="ar-SA"/>
          <w14:textFill>
            <w14:solidFill>
              <w14:schemeClr w14:val="tx1"/>
            </w14:solidFill>
          </w14:textFill>
        </w:rPr>
        <w:t>排放</w:t>
      </w:r>
      <w:r>
        <w:rPr>
          <w:rFonts w:hint="eastAsia" w:cs="Times New Roman"/>
          <w:snapToGrid/>
          <w:color w:val="000000" w:themeColor="text1"/>
          <w:kern w:val="2"/>
          <w:sz w:val="24"/>
          <w:szCs w:val="24"/>
          <w:highlight w:val="none"/>
          <w:lang w:val="en-US" w:eastAsia="zh-CN" w:bidi="ar-SA"/>
          <w14:textFill>
            <w14:solidFill>
              <w14:schemeClr w14:val="tx1"/>
            </w14:solidFill>
          </w14:textFill>
        </w:rPr>
        <w:t>；</w:t>
      </w:r>
      <w:r>
        <w:rPr>
          <w:rFonts w:hint="eastAsia"/>
          <w:color w:val="000000" w:themeColor="text1"/>
          <w:lang w:val="en-US" w:eastAsia="zh-CN"/>
          <w14:textFill>
            <w14:solidFill>
              <w14:schemeClr w14:val="tx1"/>
            </w14:solidFill>
          </w14:textFill>
        </w:rPr>
        <w:t>屠宰加工车间设置机械通风系统，每小时通风换气不少于4次，待宰圈定期喷洒除臭剂、消毒，以</w:t>
      </w:r>
      <w:r>
        <w:rPr>
          <w:rFonts w:hint="eastAsia"/>
          <w:color w:val="000000" w:themeColor="text1"/>
          <w14:textFill>
            <w14:solidFill>
              <w14:schemeClr w14:val="tx1"/>
            </w14:solidFill>
          </w14:textFill>
        </w:rPr>
        <w:t>减少恶臭</w:t>
      </w:r>
      <w:r>
        <w:rPr>
          <w:rFonts w:hint="eastAsia"/>
          <w:color w:val="000000" w:themeColor="text1"/>
          <w:lang w:val="en-US" w:eastAsia="zh-CN"/>
          <w14:textFill>
            <w14:solidFill>
              <w14:schemeClr w14:val="tx1"/>
            </w14:solidFill>
          </w14:textFill>
        </w:rPr>
        <w:t>气体</w:t>
      </w:r>
      <w:r>
        <w:rPr>
          <w:rFonts w:hint="eastAsia"/>
          <w:color w:val="000000" w:themeColor="text1"/>
          <w14:textFill>
            <w14:solidFill>
              <w14:schemeClr w14:val="tx1"/>
            </w14:solidFill>
          </w14:textFill>
        </w:rPr>
        <w:t>对环境空气质量</w:t>
      </w:r>
      <w:r>
        <w:rPr>
          <w:rFonts w:hint="eastAsia"/>
          <w:color w:val="000000" w:themeColor="text1"/>
          <w:lang w:val="en-US" w:eastAsia="zh-CN"/>
          <w14:textFill>
            <w14:solidFill>
              <w14:schemeClr w14:val="tx1"/>
            </w14:solidFill>
          </w14:textFill>
        </w:rPr>
        <w:t>的</w:t>
      </w:r>
      <w:r>
        <w:rPr>
          <w:rFonts w:hint="eastAsia"/>
          <w:color w:val="000000" w:themeColor="text1"/>
          <w14:textFill>
            <w14:solidFill>
              <w14:schemeClr w14:val="tx1"/>
            </w14:solidFill>
          </w14:textFill>
        </w:rPr>
        <w:t>影响。</w:t>
      </w:r>
    </w:p>
    <w:p w14:paraId="54595B14">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产生的屠宰废水及车辆冲洗废水排入厂区污水处理站处理，达到《屠宰及肉类加工工业水污染物排放标准》（GB13457-2025）表1间接排放标准；生活污水经化粪池收集，均达到《污水综合排放标准》（GB8978-1996）三级排放标准及城区污水处理厂接管标准《污水排入城镇下水道水质标准》（GB/T31962-2015）A级排放标准后一起排至城区污水处理厂处理。</w:t>
      </w:r>
    </w:p>
    <w:p w14:paraId="1C06438D">
      <w:pPr>
        <w:pageBreakBefore w:val="0"/>
        <w:widowControl w:val="0"/>
        <w:kinsoku/>
        <w:wordWrap/>
        <w:overflowPunct/>
        <w:topLinePunct w:val="0"/>
        <w:autoSpaceDE/>
        <w:autoSpaceDN/>
        <w:bidi w:val="0"/>
        <w:adjustRightInd/>
        <w:snapToGrid/>
        <w:spacing w:line="360" w:lineRule="auto"/>
        <w:ind w:left="0" w:leftChars="0"/>
        <w:textAlignment w:val="auto"/>
        <w:rPr>
          <w:rFonts w:hint="default" w:eastAsia="仿宋_GB2312"/>
          <w:color w:val="000000" w:themeColor="text1"/>
          <w:lang w:val="en-US" w:eastAsia="zh-CN"/>
          <w14:textFill>
            <w14:solidFill>
              <w14:schemeClr w14:val="tx1"/>
            </w14:solidFill>
          </w14:textFill>
        </w:rPr>
      </w:pPr>
      <w:r>
        <w:rPr>
          <w:rFonts w:hint="eastAsia" w:ascii="Times New Roman" w:hAnsi="Times New Roman"/>
          <w:color w:val="auto"/>
          <w:lang w:eastAsia="zh-CN"/>
        </w:rPr>
        <w:t>本项目噪声来源主要为屠宰车间</w:t>
      </w:r>
      <w:r>
        <w:rPr>
          <w:rFonts w:hint="eastAsia"/>
          <w:color w:val="auto"/>
          <w:lang w:val="en-US" w:eastAsia="zh-CN"/>
        </w:rPr>
        <w:t>牛羊叫声及</w:t>
      </w:r>
      <w:r>
        <w:rPr>
          <w:rFonts w:hint="eastAsia" w:ascii="Times New Roman" w:hAnsi="Times New Roman"/>
          <w:color w:val="auto"/>
          <w:lang w:eastAsia="zh-CN"/>
        </w:rPr>
        <w:t>各类机械噪声，</w:t>
      </w:r>
      <w:r>
        <w:rPr>
          <w:rFonts w:hint="default" w:ascii="Times New Roman" w:hAnsi="Times New Roman" w:eastAsia="仿宋_GB2312" w:cs="Times New Roman"/>
          <w:color w:val="auto"/>
          <w:sz w:val="24"/>
          <w:szCs w:val="15"/>
          <w:highlight w:val="none"/>
          <w:lang w:val="zh-CN"/>
        </w:rPr>
        <w:t>各个机械</w:t>
      </w:r>
      <w:r>
        <w:rPr>
          <w:rFonts w:hint="default" w:ascii="Times New Roman" w:hAnsi="Times New Roman" w:eastAsia="仿宋_GB2312" w:cs="Times New Roman"/>
          <w:color w:val="auto"/>
          <w:sz w:val="24"/>
          <w:szCs w:val="15"/>
          <w:highlight w:val="none"/>
        </w:rPr>
        <w:t>设备均置于厂房内，并采取基础减振等措施，</w:t>
      </w:r>
      <w:r>
        <w:rPr>
          <w:rFonts w:hint="eastAsia" w:cs="Times New Roman"/>
          <w:color w:val="auto"/>
          <w:sz w:val="24"/>
          <w:szCs w:val="15"/>
          <w:highlight w:val="none"/>
          <w:lang w:val="en-US" w:eastAsia="zh-CN"/>
        </w:rPr>
        <w:t>厂界噪声</w:t>
      </w:r>
      <w:r>
        <w:rPr>
          <w:rFonts w:hint="eastAsia" w:ascii="Times New Roman" w:hAnsi="Times New Roman"/>
          <w:color w:val="auto"/>
          <w:lang w:eastAsia="zh-CN"/>
        </w:rPr>
        <w:t>满足《工业企业厂界环境噪声排放标准》（GB12348-2008）</w:t>
      </w:r>
      <w:r>
        <w:rPr>
          <w:rFonts w:hint="eastAsia" w:ascii="Times New Roman" w:hAnsi="Times New Roman"/>
          <w:color w:val="auto"/>
          <w:lang w:val="en-US" w:eastAsia="zh-CN"/>
        </w:rPr>
        <w:t>3</w:t>
      </w:r>
      <w:r>
        <w:rPr>
          <w:rFonts w:hint="eastAsia" w:ascii="Times New Roman" w:hAnsi="Times New Roman"/>
          <w:color w:val="auto"/>
          <w:lang w:eastAsia="zh-CN"/>
        </w:rPr>
        <w:t>类标准要求</w:t>
      </w:r>
      <w:r>
        <w:rPr>
          <w:rFonts w:hint="eastAsia"/>
          <w:color w:val="auto"/>
          <w:lang w:eastAsia="zh-CN"/>
        </w:rPr>
        <w:t>。</w:t>
      </w:r>
    </w:p>
    <w:p w14:paraId="58346CF5">
      <w:pPr>
        <w:pageBreakBefore w:val="0"/>
        <w:widowControl w:val="0"/>
        <w:kinsoku/>
        <w:wordWrap/>
        <w:overflowPunct/>
        <w:topLinePunct w:val="0"/>
        <w:autoSpaceDE/>
        <w:autoSpaceDN/>
        <w:bidi w:val="0"/>
        <w:adjustRightInd/>
        <w:snapToGrid/>
        <w:spacing w:line="360" w:lineRule="auto"/>
        <w:ind w:left="0" w:left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本项目屠宰过程中产生的分割边角料、胃内容物</w:t>
      </w:r>
      <w:r>
        <w:rPr>
          <w:rFonts w:hint="eastAsia"/>
          <w:color w:val="000000" w:themeColor="text1"/>
          <w:lang w:val="en-US" w:eastAsia="zh-CN"/>
          <w14:textFill>
            <w14:solidFill>
              <w14:schemeClr w14:val="tx1"/>
            </w14:solidFill>
          </w14:textFill>
        </w:rPr>
        <w:t>暂存于内脏处理间粪便池内</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由吸污车拉运至</w:t>
      </w:r>
      <w:r>
        <w:rPr>
          <w:rFonts w:hint="default"/>
          <w:color w:val="000000" w:themeColor="text1"/>
          <w:lang w:val="en-US" w:eastAsia="zh-CN"/>
          <w14:textFill>
            <w14:solidFill>
              <w14:schemeClr w14:val="tx1"/>
            </w14:solidFill>
          </w14:textFill>
        </w:rPr>
        <w:t>固原富田有机肥有限公司生产</w:t>
      </w:r>
      <w:r>
        <w:rPr>
          <w:rFonts w:hint="eastAsia"/>
          <w:color w:val="000000" w:themeColor="text1"/>
          <w:lang w:val="en-US" w:eastAsia="zh-CN"/>
          <w14:textFill>
            <w14:solidFill>
              <w14:schemeClr w14:val="tx1"/>
            </w14:solidFill>
          </w14:textFill>
        </w:rPr>
        <w:t>肥料，不在厂区储存；</w:t>
      </w:r>
      <w:r>
        <w:rPr>
          <w:rFonts w:hint="default"/>
          <w:color w:val="000000" w:themeColor="text1"/>
          <w:lang w:val="en-US" w:eastAsia="zh-CN"/>
          <w14:textFill>
            <w14:solidFill>
              <w14:schemeClr w14:val="tx1"/>
            </w14:solidFill>
          </w14:textFill>
        </w:rPr>
        <w:t>牛粪便（含牛尿）</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羊粪便（含羊尿）运至固原富田有机肥有限公司生产</w:t>
      </w:r>
      <w:r>
        <w:rPr>
          <w:rFonts w:hint="eastAsia"/>
          <w:color w:val="000000" w:themeColor="text1"/>
          <w:lang w:val="en-US" w:eastAsia="zh-CN"/>
          <w14:textFill>
            <w14:solidFill>
              <w14:schemeClr w14:val="tx1"/>
            </w14:solidFill>
          </w14:textFill>
        </w:rPr>
        <w:t>肥料</w:t>
      </w:r>
      <w:r>
        <w:rPr>
          <w:rFonts w:hint="default"/>
          <w:color w:val="000000" w:themeColor="text1"/>
          <w:lang w:val="en-US" w:eastAsia="zh-CN"/>
          <w14:textFill>
            <w14:solidFill>
              <w14:schemeClr w14:val="tx1"/>
            </w14:solidFill>
          </w14:textFill>
        </w:rPr>
        <w:t>；病变内脏、不合格胴体、病死牛</w:t>
      </w:r>
      <w:r>
        <w:rPr>
          <w:rFonts w:hint="eastAsia"/>
          <w:color w:val="000000" w:themeColor="text1"/>
          <w:lang w:val="en-US" w:eastAsia="zh-CN"/>
          <w14:textFill>
            <w14:solidFill>
              <w14:schemeClr w14:val="tx1"/>
            </w14:solidFill>
          </w14:textFill>
        </w:rPr>
        <w:t>、病死羊集中收集后暂存于危废贮存库内的冰柜中，</w:t>
      </w:r>
      <w:r>
        <w:rPr>
          <w:rFonts w:hint="default"/>
          <w:color w:val="000000" w:themeColor="text1"/>
          <w:lang w:val="en-US" w:eastAsia="zh-CN"/>
          <w14:textFill>
            <w14:solidFill>
              <w14:schemeClr w14:val="tx1"/>
            </w14:solidFill>
          </w14:textFill>
        </w:rPr>
        <w:t>定期拉运至原州区动物疾病预防控制中心（动物卫生监督）</w:t>
      </w:r>
      <w:r>
        <w:rPr>
          <w:rFonts w:hint="eastAsia"/>
          <w:color w:val="000000" w:themeColor="text1"/>
          <w:lang w:val="en-US" w:eastAsia="zh-CN"/>
          <w14:textFill>
            <w14:solidFill>
              <w14:schemeClr w14:val="tx1"/>
            </w14:solidFill>
          </w14:textFill>
        </w:rPr>
        <w:t>指定场所进行</w:t>
      </w:r>
      <w:r>
        <w:rPr>
          <w:rFonts w:hint="default"/>
          <w:color w:val="000000" w:themeColor="text1"/>
          <w:lang w:val="en-US" w:eastAsia="zh-CN"/>
          <w14:textFill>
            <w14:solidFill>
              <w14:schemeClr w14:val="tx1"/>
            </w14:solidFill>
          </w14:textFill>
        </w:rPr>
        <w:t>无害化处置；生活垃圾收集后由环卫部门统一处置；污水处理站污泥</w:t>
      </w:r>
      <w:r>
        <w:rPr>
          <w:rFonts w:hint="eastAsia"/>
          <w:color w:val="000000" w:themeColor="text1"/>
          <w:lang w:val="en-US" w:eastAsia="zh-CN"/>
          <w14:textFill>
            <w14:solidFill>
              <w14:schemeClr w14:val="tx1"/>
            </w14:solidFill>
          </w14:textFill>
        </w:rPr>
        <w:t>脱水</w:t>
      </w:r>
      <w:r>
        <w:rPr>
          <w:rFonts w:hint="default"/>
          <w:color w:val="000000" w:themeColor="text1"/>
          <w:lang w:val="en-US" w:eastAsia="zh-CN"/>
          <w14:textFill>
            <w14:solidFill>
              <w14:schemeClr w14:val="tx1"/>
            </w14:solidFill>
          </w14:textFill>
        </w:rPr>
        <w:t>后拉运至固原富田有机肥有限公司生产</w:t>
      </w:r>
      <w:r>
        <w:rPr>
          <w:rFonts w:hint="eastAsia"/>
          <w:color w:val="000000" w:themeColor="text1"/>
          <w:lang w:val="en-US" w:eastAsia="zh-CN"/>
          <w14:textFill>
            <w14:solidFill>
              <w14:schemeClr w14:val="tx1"/>
            </w14:solidFill>
          </w14:textFill>
        </w:rPr>
        <w:t>肥料</w:t>
      </w:r>
      <w:r>
        <w:rPr>
          <w:rFonts w:hint="default"/>
          <w:color w:val="000000" w:themeColor="text1"/>
          <w:lang w:val="en-US" w:eastAsia="zh-CN"/>
          <w14:textFill>
            <w14:solidFill>
              <w14:schemeClr w14:val="tx1"/>
            </w14:solidFill>
          </w14:textFill>
        </w:rPr>
        <w:t>；废活性炭</w:t>
      </w:r>
      <w:r>
        <w:rPr>
          <w:rFonts w:hint="eastAsia"/>
          <w:color w:val="000000" w:themeColor="text1"/>
          <w:lang w:val="en-US" w:eastAsia="zh-CN"/>
          <w14:textFill>
            <w14:solidFill>
              <w14:schemeClr w14:val="tx1"/>
            </w14:solidFill>
          </w14:textFill>
        </w:rPr>
        <w:t>更换后交有资质单位处置，不在厂区内储存；</w:t>
      </w:r>
      <w:r>
        <w:rPr>
          <w:rFonts w:hint="default"/>
          <w:color w:val="000000" w:themeColor="text1"/>
          <w:lang w:val="en-US" w:eastAsia="zh-CN"/>
          <w14:textFill>
            <w14:solidFill>
              <w14:schemeClr w14:val="tx1"/>
            </w14:solidFill>
          </w14:textFill>
        </w:rPr>
        <w:t>废机油、废机油桶、检疫废物暂存于</w:t>
      </w:r>
      <w:r>
        <w:rPr>
          <w:rFonts w:hint="eastAsia"/>
          <w:color w:val="000000" w:themeColor="text1"/>
          <w:lang w:val="en-US" w:eastAsia="zh-CN"/>
          <w14:textFill>
            <w14:solidFill>
              <w14:schemeClr w14:val="tx1"/>
            </w14:solidFill>
          </w14:textFill>
        </w:rPr>
        <w:t>危废贮存库</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定期</w:t>
      </w:r>
      <w:r>
        <w:rPr>
          <w:rFonts w:hint="default"/>
          <w:color w:val="000000" w:themeColor="text1"/>
          <w:lang w:val="en-US" w:eastAsia="zh-CN"/>
          <w14:textFill>
            <w14:solidFill>
              <w14:schemeClr w14:val="tx1"/>
            </w14:solidFill>
          </w14:textFill>
        </w:rPr>
        <w:t>交有资质的单位处置</w:t>
      </w:r>
      <w:r>
        <w:rPr>
          <w:rFonts w:hint="eastAsia"/>
          <w:color w:val="000000" w:themeColor="text1"/>
          <w:lang w:val="en-US" w:eastAsia="zh-CN"/>
          <w14:textFill>
            <w14:solidFill>
              <w14:schemeClr w14:val="tx1"/>
            </w14:solidFill>
          </w14:textFill>
        </w:rPr>
        <w:t>，危废贮存库贮存期限不得超过一年，最大贮存量不得超过3吨</w:t>
      </w:r>
      <w:r>
        <w:rPr>
          <w:rFonts w:hint="default"/>
          <w:color w:val="000000" w:themeColor="text1"/>
          <w:lang w:val="en-US" w:eastAsia="zh-CN"/>
          <w14:textFill>
            <w14:solidFill>
              <w14:schemeClr w14:val="tx1"/>
            </w14:solidFill>
          </w14:textFill>
        </w:rPr>
        <w:t>。</w:t>
      </w:r>
    </w:p>
    <w:p w14:paraId="1C09A56B">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bookmarkStart w:id="54" w:name="_Toc20846"/>
      <w:bookmarkStart w:id="55" w:name="_Toc3500"/>
      <w:bookmarkStart w:id="56" w:name="_Toc2399"/>
      <w:bookmarkStart w:id="57" w:name="_Toc28621"/>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污水治理工艺特点</w:t>
      </w:r>
      <w:bookmarkEnd w:id="54"/>
      <w:bookmarkEnd w:id="55"/>
      <w:bookmarkEnd w:id="56"/>
      <w:bookmarkEnd w:id="57"/>
    </w:p>
    <w:p w14:paraId="00FE23C2">
      <w:pPr>
        <w:pStyle w:val="25"/>
        <w:pageBreakBefore w:val="0"/>
        <w:widowControl w:val="0"/>
        <w:kinsoku/>
        <w:wordWrap/>
        <w:overflowPunct/>
        <w:topLinePunct w:val="0"/>
        <w:autoSpaceDE/>
        <w:autoSpaceDN/>
        <w:bidi w:val="0"/>
        <w:adjustRightInd/>
        <w:snapToGrid/>
        <w:spacing w:after="0" w:line="360" w:lineRule="auto"/>
        <w:ind w:left="0" w:leftChars="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本项目污水处理站采用“格栅+调节池+隔油池+气浮+水解酸化+缺氧+生物接触氧化+二沉+消毒池（次氯酸钠消毒）”工艺，符合《屠宰与肉类加工废水治理工程技术规范》（HJ2004-2010）要求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根据《宁夏固原经济开发区“一区三园”总体规划修编（2022-2035年）》：轻工产业园地块国道309北侧区域及长城梁地块的污水经由长城梁地块北侧的污水提升泵站，沿兴业路接入固原市污水管网，排入城市污水处理厂进行处理。轻工产业园地块国道309南侧的污水经由地块北侧的污水提升泵站，沿国道309接入固原市污水管网，由城区污水处理厂进行处理。经处理后的废水达到《屠</w:t>
      </w:r>
      <w:r>
        <w:rPr>
          <w:rFonts w:hint="eastAsia"/>
          <w:color w:val="auto"/>
          <w:lang w:val="en-US" w:eastAsia="zh-CN"/>
        </w:rPr>
        <w:t>宰及肉类加工工业水污染物排放标准》（GB13457-2025）</w:t>
      </w:r>
      <w:r>
        <w:rPr>
          <w:rFonts w:hint="eastAsia" w:ascii="Times New Roman" w:hAnsi="Times New Roman"/>
          <w:color w:val="auto"/>
          <w:lang w:val="en-US" w:eastAsia="zh-CN"/>
        </w:rPr>
        <w:t>表</w:t>
      </w:r>
      <w:r>
        <w:rPr>
          <w:rFonts w:hint="eastAsia"/>
          <w:color w:val="auto"/>
          <w:lang w:val="en-US" w:eastAsia="zh-CN"/>
        </w:rPr>
        <w:t>1间接排放</w:t>
      </w:r>
      <w:r>
        <w:rPr>
          <w:rFonts w:hint="eastAsia" w:ascii="Times New Roman" w:hAnsi="Times New Roman"/>
          <w:color w:val="auto"/>
          <w:lang w:val="en-US" w:eastAsia="zh-CN"/>
        </w:rPr>
        <w:t>标</w:t>
      </w:r>
      <w:r>
        <w:rPr>
          <w:rFonts w:hint="eastAsia" w:ascii="Times New Roman" w:hAnsi="Times New Roman"/>
          <w:color w:val="000000" w:themeColor="text1"/>
          <w:lang w:val="en-US" w:eastAsia="zh-CN"/>
          <w14:textFill>
            <w14:solidFill>
              <w14:schemeClr w14:val="tx1"/>
            </w14:solidFill>
          </w14:textFill>
        </w:rPr>
        <w:t>准</w:t>
      </w:r>
      <w:r>
        <w:rPr>
          <w:rFonts w:hint="eastAsia"/>
          <w:color w:val="000000" w:themeColor="text1"/>
          <w:lang w:val="en-US" w:eastAsia="zh-CN"/>
          <w14:textFill>
            <w14:solidFill>
              <w14:schemeClr w14:val="tx1"/>
            </w14:solidFill>
          </w14:textFill>
        </w:rPr>
        <w:t>、《污水综合排放标准》（GB8978-1996）三级排放标准及城区污水处理厂接管标准《污水排入城镇下水道水质标准》（GB/T31962-2015）A级排放标准后排至城区污水处理厂处理。项目废水去向符合《宁夏固原经济开发区“一区三园”总体规划修编（2022-2035年）》相关要求。</w:t>
      </w:r>
    </w:p>
    <w:p w14:paraId="4D6DEBCE">
      <w:pPr>
        <w:pStyle w:val="5"/>
        <w:keepNext/>
        <w:keepLines/>
        <w:pageBreakBefore w:val="0"/>
        <w:widowControl w:val="0"/>
        <w:kinsoku/>
        <w:wordWrap/>
        <w:overflowPunct/>
        <w:topLinePunct w:val="0"/>
        <w:autoSpaceDE/>
        <w:autoSpaceDN/>
        <w:bidi w:val="0"/>
        <w:adjustRightInd/>
        <w:snapToGrid/>
        <w:spacing w:before="0" w:after="0" w:afterLines="0" w:line="360" w:lineRule="auto"/>
        <w:ind w:left="0" w:leftChars="0"/>
        <w:textAlignment w:val="auto"/>
        <w:outlineLvl w:val="0"/>
        <w:rPr>
          <w:rFonts w:hint="default" w:ascii="Times New Roman" w:hAnsi="Times New Roman" w:cs="Times New Roman" w:eastAsiaTheme="minorEastAsia"/>
          <w:color w:val="auto"/>
          <w:lang w:val="en-US" w:eastAsia="zh-CN"/>
        </w:rPr>
      </w:pPr>
      <w:bookmarkStart w:id="58" w:name="_Toc10218"/>
      <w:bookmarkStart w:id="59" w:name="_Toc31067"/>
      <w:bookmarkStart w:id="60" w:name="_Toc10027"/>
      <w:bookmarkStart w:id="61" w:name="_Toc15520"/>
      <w:bookmarkStart w:id="62" w:name="_Toc16705"/>
      <w:bookmarkStart w:id="63" w:name="_Toc13924"/>
      <w:bookmarkStart w:id="64" w:name="_Toc29024"/>
      <w:bookmarkStart w:id="65" w:name="_Toc15705"/>
      <w:bookmarkStart w:id="66" w:name="_Toc14018"/>
      <w:bookmarkStart w:id="67" w:name="_Toc9508"/>
      <w:bookmarkStart w:id="68" w:name="_Toc18961"/>
      <w:bookmarkStart w:id="69" w:name="_Toc1569"/>
      <w:bookmarkStart w:id="70" w:name="_Toc23366"/>
      <w:bookmarkStart w:id="71" w:name="_Toc319"/>
      <w:bookmarkStart w:id="72" w:name="_Toc10649"/>
      <w:bookmarkStart w:id="73" w:name="_Toc9394"/>
      <w:bookmarkStart w:id="74" w:name="_Toc24967"/>
      <w:bookmarkStart w:id="75" w:name="_Toc21044"/>
      <w:bookmarkStart w:id="76" w:name="_Toc12485"/>
      <w:bookmarkStart w:id="77" w:name="_Toc15286"/>
      <w:bookmarkStart w:id="78" w:name="_Toc10235"/>
      <w:bookmarkStart w:id="79" w:name="_Toc23279"/>
      <w:bookmarkStart w:id="80" w:name="_Toc4900"/>
      <w:bookmarkStart w:id="81" w:name="_Toc20263"/>
      <w:r>
        <w:rPr>
          <w:rFonts w:hint="default" w:ascii="Times New Roman" w:hAnsi="Times New Roman" w:cs="Times New Roman" w:eastAsiaTheme="minorEastAsia"/>
          <w:color w:val="auto"/>
          <w:lang w:val="en-US" w:eastAsia="zh-CN"/>
        </w:rPr>
        <w:t>3.环境影响评价工作过程</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9590D43">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r>
        <w:rPr>
          <w:rFonts w:hint="eastAsia"/>
          <w:color w:val="auto"/>
        </w:rPr>
        <w:t>项目已于202</w:t>
      </w:r>
      <w:r>
        <w:rPr>
          <w:rFonts w:hint="eastAsia"/>
          <w:color w:val="auto"/>
          <w:lang w:val="en-US" w:eastAsia="zh-CN"/>
        </w:rPr>
        <w:t>6</w:t>
      </w:r>
      <w:r>
        <w:rPr>
          <w:rFonts w:hint="eastAsia"/>
          <w:color w:val="auto"/>
        </w:rPr>
        <w:t>年</w:t>
      </w:r>
      <w:r>
        <w:rPr>
          <w:rFonts w:hint="eastAsia"/>
          <w:color w:val="auto"/>
          <w:lang w:val="en-US" w:eastAsia="zh-CN"/>
        </w:rPr>
        <w:t>4</w:t>
      </w:r>
      <w:r>
        <w:rPr>
          <w:rFonts w:hint="eastAsia"/>
          <w:color w:val="auto"/>
        </w:rPr>
        <w:t>月</w:t>
      </w:r>
      <w:r>
        <w:rPr>
          <w:rFonts w:hint="eastAsia"/>
          <w:color w:val="auto"/>
          <w:lang w:val="en-US" w:eastAsia="zh-CN"/>
        </w:rPr>
        <w:t>2</w:t>
      </w:r>
      <w:r>
        <w:rPr>
          <w:rFonts w:hint="eastAsia"/>
          <w:color w:val="auto"/>
        </w:rPr>
        <w:t>日取得宁夏固原经济开发区管理委员会下发的《宁夏回族自治区企业投资项目备案证》（项目代码：</w:t>
      </w:r>
      <w:r>
        <w:rPr>
          <w:rFonts w:hint="eastAsia"/>
        </w:rPr>
        <w:t>2507-640940-04-01-416427</w:t>
      </w:r>
      <w:r>
        <w:rPr>
          <w:rFonts w:hint="eastAsia"/>
          <w:color w:val="auto"/>
        </w:rPr>
        <w:t>）</w:t>
      </w:r>
      <w:r>
        <w:rPr>
          <w:rFonts w:hint="eastAsia"/>
          <w:color w:val="auto"/>
          <w:lang w:eastAsia="zh-CN"/>
        </w:rPr>
        <w:t>。</w:t>
      </w:r>
      <w:r>
        <w:rPr>
          <w:rFonts w:hint="eastAsia"/>
          <w:color w:val="auto"/>
        </w:rPr>
        <w:t>建设单位</w:t>
      </w:r>
      <w:r>
        <w:rPr>
          <w:rFonts w:hint="eastAsia"/>
          <w:color w:val="000000" w:themeColor="text1"/>
          <w14:textFill>
            <w14:solidFill>
              <w14:schemeClr w14:val="tx1"/>
            </w14:solidFill>
          </w14:textFill>
        </w:rPr>
        <w:t>于202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日委</w:t>
      </w:r>
      <w:r>
        <w:rPr>
          <w:rFonts w:hint="eastAsia"/>
          <w:color w:val="auto"/>
        </w:rPr>
        <w:t>托</w:t>
      </w:r>
      <w:r>
        <w:rPr>
          <w:rFonts w:hint="eastAsia"/>
          <w:color w:val="auto"/>
          <w:lang w:val="en-US" w:eastAsia="zh-CN"/>
        </w:rPr>
        <w:t>环创</w:t>
      </w:r>
      <w:r>
        <w:rPr>
          <w:rFonts w:hint="eastAsia"/>
          <w:color w:val="auto"/>
        </w:rPr>
        <w:t>（宁夏）</w:t>
      </w:r>
      <w:r>
        <w:rPr>
          <w:rFonts w:hint="eastAsia"/>
          <w:color w:val="auto"/>
          <w:lang w:val="en-US" w:eastAsia="zh-CN"/>
        </w:rPr>
        <w:t>生态环境设计院</w:t>
      </w:r>
      <w:r>
        <w:rPr>
          <w:rFonts w:hint="eastAsia"/>
          <w:color w:val="auto"/>
        </w:rPr>
        <w:t>有限公司承担</w:t>
      </w:r>
      <w:r>
        <w:rPr>
          <w:rFonts w:hint="eastAsia"/>
          <w:color w:val="auto"/>
          <w:lang w:eastAsia="zh-CN"/>
        </w:rPr>
        <w:t>《固原市科财牛羊屠宰精深加工项目</w:t>
      </w:r>
      <w:r>
        <w:rPr>
          <w:rFonts w:hint="eastAsia"/>
          <w:color w:val="auto"/>
        </w:rPr>
        <w:t>环境影响报告书</w:t>
      </w:r>
      <w:r>
        <w:rPr>
          <w:rFonts w:hint="eastAsia"/>
          <w:color w:val="auto"/>
          <w:lang w:eastAsia="zh-CN"/>
        </w:rPr>
        <w:t>》</w:t>
      </w:r>
      <w:r>
        <w:rPr>
          <w:rFonts w:hint="eastAsia"/>
          <w:color w:val="auto"/>
        </w:rPr>
        <w:t>的评价工作。我单位在接受委托后，根据《建设项目环境影响评价技术导则 总纲》（HJ2.1-2016）中环境影响评价工作程序开展评价工作：</w:t>
      </w:r>
    </w:p>
    <w:p w14:paraId="3087116F">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r>
        <w:rPr>
          <w:rFonts w:hint="eastAsia"/>
          <w:color w:val="auto"/>
        </w:rPr>
        <w:t>第一阶段：在接受委托后，组织有关专业人员赴现场进行踏勘、收集资料，听取了建设单位对项目的具体情况介绍，并踏勘了本工程周围环境现状及周边的环境保护目标，收集了评价区域内的基础资料等；进行初步的工程分析，开展初步的环境现状调查；结合上述进行环境影响识别和评价因子筛选、明确评价重点和保护目标、确定工作等级、评价范围和评价标准。</w:t>
      </w:r>
    </w:p>
    <w:p w14:paraId="359C2E64">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r>
        <w:rPr>
          <w:rFonts w:hint="eastAsia"/>
          <w:color w:val="auto"/>
        </w:rPr>
        <w:t>第二阶段：进行评价范围内的环境状况调查、监测与评价，了解环境现状情况；根据对项目工程分析成果，确定各污染因子的污染源强，然后进行各环境要素影响预测与评价。</w:t>
      </w:r>
    </w:p>
    <w:p w14:paraId="7D999896">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r>
        <w:rPr>
          <w:rFonts w:hint="eastAsia"/>
          <w:color w:val="auto"/>
        </w:rPr>
        <w:t>第三阶段：对项目采取环保措施进行调查和技术经济论证，给出项目污染物排放清单、根据一、二阶段的工作成果，最终给出项目环境影响评价结论。</w:t>
      </w:r>
    </w:p>
    <w:p w14:paraId="716986DE">
      <w:pPr>
        <w:pStyle w:val="25"/>
        <w:pageBreakBefore w:val="0"/>
        <w:widowControl w:val="0"/>
        <w:kinsoku/>
        <w:wordWrap/>
        <w:overflowPunct/>
        <w:topLinePunct w:val="0"/>
        <w:autoSpaceDE/>
        <w:autoSpaceDN/>
        <w:bidi w:val="0"/>
        <w:adjustRightInd/>
        <w:snapToGrid/>
        <w:spacing w:after="0" w:line="360" w:lineRule="auto"/>
        <w:ind w:left="0" w:leftChars="0"/>
        <w:textAlignment w:val="auto"/>
      </w:pPr>
      <w:r>
        <w:rPr>
          <w:rFonts w:hint="eastAsia"/>
          <w:color w:val="auto"/>
        </w:rPr>
        <w:t>具体开展环评工作的程序见</w:t>
      </w:r>
      <w:r>
        <w:rPr>
          <w:rFonts w:hint="eastAsia"/>
          <w:color w:val="auto"/>
          <w:lang w:val="en-US" w:eastAsia="zh-CN"/>
        </w:rPr>
        <w:t>图1。</w:t>
      </w:r>
    </w:p>
    <w:p w14:paraId="6820A8FC">
      <w:pPr>
        <w:pStyle w:val="25"/>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pPr>
      <w:r>
        <w:rPr>
          <w:rFonts w:hint="default" w:ascii="Times New Roman" w:hAnsi="Times New Roman" w:cs="Times New Roman"/>
          <w:color w:val="auto"/>
          <w:highlight w:val="none"/>
        </w:rPr>
        <w:object>
          <v:shape id="_x0000_i1025" o:spt="75" type="#_x0000_t75" style="height:633.95pt;width:439.75pt;" o:ole="t" filled="f" o:preferrelative="t" stroked="f" coordsize="21600,21600">
            <v:path/>
            <v:fill on="f" focussize="0,0"/>
            <v:stroke on="f"/>
            <v:imagedata r:id="rId43" o:title=""/>
            <o:lock v:ext="edit" aspectratio="t"/>
            <w10:wrap type="none"/>
            <w10:anchorlock/>
          </v:shape>
          <o:OLEObject Type="Embed" ProgID="Visio.Drawing.11" ShapeID="_x0000_i1025" DrawAspect="Content" ObjectID="_1468075725" r:id="rId42">
            <o:LockedField>false</o:LockedField>
          </o:OLEObject>
        </w:object>
      </w:r>
      <w:r>
        <w:rPr>
          <w:rFonts w:hint="default" w:ascii="Times New Roman" w:hAnsi="Times New Roman" w:eastAsia="宋体" w:cs="Times New Roman"/>
          <w:b/>
          <w:bCs w:val="0"/>
          <w:color w:val="auto"/>
          <w:sz w:val="24"/>
          <w:highlight w:val="none"/>
        </w:rPr>
        <w:t xml:space="preserve">图1  </w:t>
      </w:r>
      <w:r>
        <w:rPr>
          <w:rFonts w:hint="eastAsia" w:ascii="Times New Roman" w:hAnsi="Times New Roman" w:eastAsia="宋体" w:cs="Times New Roman"/>
          <w:b/>
          <w:bCs w:val="0"/>
          <w:color w:val="auto"/>
          <w:sz w:val="24"/>
          <w:highlight w:val="none"/>
          <w:lang w:val="en-US" w:eastAsia="zh-CN"/>
        </w:rPr>
        <w:t xml:space="preserve"> </w:t>
      </w:r>
      <w:r>
        <w:rPr>
          <w:rFonts w:hint="default" w:ascii="Times New Roman" w:hAnsi="Times New Roman" w:eastAsia="宋体" w:cs="Times New Roman"/>
          <w:b/>
          <w:bCs w:val="0"/>
          <w:color w:val="auto"/>
          <w:sz w:val="24"/>
          <w:highlight w:val="none"/>
        </w:rPr>
        <w:t>环境影响</w:t>
      </w:r>
      <w:r>
        <w:rPr>
          <w:rFonts w:hint="default" w:ascii="Times New Roman" w:hAnsi="Times New Roman" w:eastAsia="宋体" w:cs="Times New Roman"/>
          <w:b/>
          <w:color w:val="auto"/>
          <w:sz w:val="24"/>
          <w:highlight w:val="none"/>
        </w:rPr>
        <w:t>评价工作程序图</w:t>
      </w:r>
    </w:p>
    <w:p w14:paraId="56119E32">
      <w:pPr>
        <w:pStyle w:val="5"/>
        <w:keepNext/>
        <w:keepLines/>
        <w:pageBreakBefore w:val="0"/>
        <w:widowControl w:val="0"/>
        <w:kinsoku/>
        <w:wordWrap/>
        <w:overflowPunct/>
        <w:topLinePunct w:val="0"/>
        <w:autoSpaceDE/>
        <w:autoSpaceDN/>
        <w:bidi w:val="0"/>
        <w:adjustRightInd/>
        <w:snapToGrid/>
        <w:spacing w:before="0" w:after="0" w:afterLines="0" w:line="360" w:lineRule="auto"/>
        <w:ind w:left="0" w:leftChars="0"/>
        <w:textAlignment w:val="auto"/>
        <w:outlineLvl w:val="0"/>
        <w:rPr>
          <w:rFonts w:hint="default" w:ascii="Times New Roman" w:hAnsi="Times New Roman"/>
          <w:color w:val="auto"/>
          <w:lang w:val="en-US" w:eastAsia="zh-CN"/>
        </w:rPr>
      </w:pPr>
      <w:bookmarkStart w:id="82" w:name="_Toc13237"/>
      <w:bookmarkStart w:id="83" w:name="_Toc24119"/>
      <w:bookmarkStart w:id="84" w:name="_Toc18676"/>
      <w:bookmarkStart w:id="85" w:name="_Toc12568"/>
      <w:bookmarkStart w:id="86" w:name="_Toc3045"/>
      <w:bookmarkStart w:id="87" w:name="_Toc19157"/>
      <w:bookmarkStart w:id="88" w:name="_Toc1879"/>
      <w:bookmarkStart w:id="89" w:name="_Toc11804"/>
      <w:bookmarkStart w:id="90" w:name="_Toc11083"/>
      <w:bookmarkStart w:id="91" w:name="_Toc21882"/>
      <w:r>
        <w:rPr>
          <w:rFonts w:hint="default" w:ascii="Times New Roman" w:hAnsi="Times New Roman"/>
          <w:color w:val="auto"/>
          <w:lang w:val="en-US" w:eastAsia="zh-CN"/>
        </w:rPr>
        <w:t>4</w:t>
      </w:r>
      <w:r>
        <w:rPr>
          <w:rFonts w:hint="eastAsia" w:ascii="Times New Roman" w:hAnsi="Times New Roman"/>
          <w:color w:val="auto"/>
          <w:lang w:val="en-US" w:eastAsia="zh-CN"/>
        </w:rPr>
        <w:t>.</w:t>
      </w:r>
      <w:r>
        <w:rPr>
          <w:rFonts w:hint="default" w:ascii="Times New Roman" w:hAnsi="Times New Roman"/>
          <w:color w:val="auto"/>
          <w:lang w:val="en-US" w:eastAsia="zh-CN"/>
        </w:rPr>
        <w:t>分析判定相关情况</w:t>
      </w:r>
      <w:bookmarkEnd w:id="82"/>
      <w:bookmarkEnd w:id="83"/>
      <w:bookmarkEnd w:id="84"/>
      <w:bookmarkEnd w:id="85"/>
      <w:bookmarkEnd w:id="86"/>
      <w:bookmarkEnd w:id="87"/>
      <w:bookmarkEnd w:id="88"/>
      <w:bookmarkEnd w:id="89"/>
      <w:bookmarkEnd w:id="90"/>
      <w:bookmarkEnd w:id="91"/>
    </w:p>
    <w:p w14:paraId="37578770">
      <w:pPr>
        <w:pageBreakBefore w:val="0"/>
        <w:widowControl w:val="0"/>
        <w:kinsoku/>
        <w:wordWrap/>
        <w:overflowPunct/>
        <w:topLinePunct w:val="0"/>
        <w:autoSpaceDE/>
        <w:autoSpaceDN/>
        <w:bidi w:val="0"/>
        <w:adjustRightInd/>
        <w:snapToGrid/>
        <w:spacing w:line="360" w:lineRule="auto"/>
        <w:ind w:left="0" w:leftChars="0"/>
        <w:textAlignment w:val="auto"/>
        <w:rPr>
          <w:rFonts w:hint="eastAsia" w:eastAsia="仿宋_GB2312"/>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本项目属于屠宰及肉类加工项目，</w:t>
      </w:r>
      <w:r>
        <w:rPr>
          <w:rFonts w:hint="eastAsia"/>
          <w:color w:val="auto"/>
          <w:lang w:val="en-US" w:eastAsia="zh-CN"/>
        </w:rPr>
        <w:t>根据中华人民共和国国家发展和改革委员会第7号令《产业结构调整指导目录（2024年本）》，本项目不属于“鼓励类”“限制类”和“淘汰类”，因此，本项目属于允许类，符合国家现行的产业政策。</w:t>
      </w:r>
    </w:p>
    <w:p w14:paraId="115C8AD0">
      <w:pPr>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根据《宁夏回族自治区现代农业“十四五”发展规划》中提出“提升农产品精深加工水平重点围绕粮油、牛羊肉、蔬菜、葡萄等农产品，开发一批即食性、功能性精深加工产品，加快推进食品加工产业化和现代化进程”。固原市科财肉制品加工有限公司以“高标准、高水平、高要求”规划、建设牛羊肉加工生产项目</w:t>
      </w:r>
      <w:r>
        <w:rPr>
          <w:rFonts w:hint="eastAsia" w:ascii="Times New Roman" w:hAnsi="Times New Roman"/>
          <w:color w:val="auto"/>
          <w:lang w:eastAsia="zh-CN"/>
        </w:rPr>
        <w:t>，有利于推进固原市原州区食品加工产业化和现代化进程，带动并促进地方经济的发展。项目的实施与《宁夏回族自治区现代农业“十四五”发展规划》相符。</w:t>
      </w:r>
    </w:p>
    <w:p w14:paraId="60083960">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bidi="ar-SA"/>
        </w:rPr>
        <w:t>（3）</w:t>
      </w:r>
      <w:r>
        <w:rPr>
          <w:rFonts w:hint="eastAsia" w:cs="Times New Roman"/>
          <w:color w:val="auto"/>
          <w:kern w:val="2"/>
          <w:sz w:val="24"/>
          <w:szCs w:val="24"/>
          <w:lang w:val="en-US" w:eastAsia="zh-CN" w:bidi="ar-SA"/>
        </w:rPr>
        <w:t>本项目为牛羊屠宰加工项目，位于固原市固原经济开发区轻工产业园（中河乡），占地属于工业用地。固原经济开发区轻工产业园总体重点发展纺织、食品、轻工等产业，辅助发展装备制造、建材产业，主要安排特色农产品精深加工和新型建材项目。综上所述，本项目符合固原经济开发区轻工产业园发展定位。</w:t>
      </w:r>
    </w:p>
    <w:p w14:paraId="28C5B46C">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eastAsia="仿宋_GB2312" w:cs="Times New Roman"/>
          <w:color w:val="auto"/>
          <w:kern w:val="2"/>
          <w:sz w:val="24"/>
          <w:szCs w:val="24"/>
          <w:lang w:bidi="ar-SA"/>
        </w:rPr>
      </w:pPr>
      <w:r>
        <w:rPr>
          <w:rFonts w:ascii="Times New Roman" w:hAnsi="Times New Roman" w:eastAsia="仿宋_GB2312" w:cs="Times New Roman"/>
          <w:color w:val="auto"/>
          <w:kern w:val="2"/>
          <w:sz w:val="24"/>
          <w:szCs w:val="24"/>
          <w:lang w:bidi="ar-SA"/>
        </w:rPr>
        <w:t>项目选址严格遵循</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食品安全国家标准 食品生产通用卫生规范</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（GB14881-2025）</w:t>
      </w:r>
      <w:r>
        <w:rPr>
          <w:rFonts w:ascii="Times New Roman" w:hAnsi="Times New Roman" w:eastAsia="仿宋_GB2312" w:cs="Times New Roman"/>
          <w:color w:val="auto"/>
          <w:kern w:val="2"/>
          <w:sz w:val="24"/>
          <w:szCs w:val="24"/>
          <w:lang w:bidi="ar-SA"/>
        </w:rPr>
        <w:t>对食品企业选址的相关规定。该选址满足生态保护红线、环境质量底线、资源利用上线以及国家和地方环境准入的负面清单要求，避免了森林、湿地、基本农田、基本草原等环境敏感区域。项目产生的污染物均达到标准排放限值，因此从环境保护的角度来看，项目选址是合理且适宜的。</w:t>
      </w:r>
    </w:p>
    <w:p w14:paraId="42E5FBC2">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color w:val="auto"/>
          <w:kern w:val="2"/>
          <w:sz w:val="24"/>
          <w:szCs w:val="24"/>
          <w:lang w:val="en-US" w:eastAsia="zh-CN" w:bidi="ar-SA"/>
        </w:rPr>
      </w:pPr>
      <w:r>
        <w:rPr>
          <w:rFonts w:hint="eastAsia" w:cs="Times New Roman"/>
          <w:color w:val="auto"/>
          <w:kern w:val="2"/>
          <w:sz w:val="24"/>
          <w:szCs w:val="24"/>
          <w:lang w:eastAsia="zh-CN" w:bidi="ar-SA"/>
        </w:rPr>
        <w:t>（</w:t>
      </w:r>
      <w:r>
        <w:rPr>
          <w:rFonts w:hint="eastAsia" w:cs="Times New Roman"/>
          <w:color w:val="auto"/>
          <w:kern w:val="2"/>
          <w:sz w:val="24"/>
          <w:szCs w:val="24"/>
          <w:lang w:val="en-US" w:eastAsia="zh-CN" w:bidi="ar-SA"/>
        </w:rPr>
        <w:t>4</w:t>
      </w:r>
      <w:r>
        <w:rPr>
          <w:rFonts w:hint="eastAsia" w:cs="Times New Roman"/>
          <w:color w:val="auto"/>
          <w:kern w:val="2"/>
          <w:sz w:val="24"/>
          <w:szCs w:val="24"/>
          <w:lang w:eastAsia="zh-CN" w:bidi="ar-SA"/>
        </w:rPr>
        <w:t>）根据《固原市生态环境分区管控实施方案》（固政发〔2024〕28号），本项目位于大气环境高排放重点管控区、水环境工业污染重点管控区、土壤环境一般管控区、原州区宁夏固原经济开发区重点管控单元，</w:t>
      </w:r>
      <w:r>
        <w:rPr>
          <w:rFonts w:hint="eastAsia" w:cs="Times New Roman"/>
          <w:color w:val="auto"/>
          <w:kern w:val="2"/>
          <w:sz w:val="24"/>
          <w:szCs w:val="24"/>
          <w:lang w:val="en-US" w:eastAsia="zh-CN" w:bidi="ar-SA"/>
        </w:rPr>
        <w:t>项目</w:t>
      </w:r>
      <w:r>
        <w:rPr>
          <w:rFonts w:hint="eastAsia" w:cs="Times New Roman"/>
          <w:color w:val="auto"/>
          <w:kern w:val="2"/>
          <w:sz w:val="24"/>
          <w:szCs w:val="24"/>
          <w:lang w:eastAsia="zh-CN" w:bidi="ar-SA"/>
        </w:rPr>
        <w:t>符合管控区的相关要求。</w:t>
      </w:r>
    </w:p>
    <w:p w14:paraId="3C711EDA">
      <w:pPr>
        <w:pStyle w:val="25"/>
        <w:pageBreakBefore w:val="0"/>
        <w:widowControl w:val="0"/>
        <w:kinsoku/>
        <w:wordWrap/>
        <w:overflowPunct/>
        <w:topLinePunct w:val="0"/>
        <w:autoSpaceDE/>
        <w:autoSpaceDN/>
        <w:bidi w:val="0"/>
        <w:adjustRightInd/>
        <w:snapToGrid/>
        <w:spacing w:after="0" w:line="360" w:lineRule="auto"/>
        <w:ind w:left="0" w:leftChars="0"/>
        <w:textAlignment w:val="auto"/>
      </w:pPr>
      <w:r>
        <w:rPr>
          <w:rFonts w:hint="eastAsia"/>
          <w:color w:val="auto"/>
          <w:lang w:val="en-US" w:eastAsia="zh-CN"/>
        </w:rPr>
        <w:t>综上所述，</w:t>
      </w:r>
      <w:r>
        <w:rPr>
          <w:rFonts w:hint="eastAsia" w:ascii="Times New Roman" w:hAnsi="Times New Roman"/>
          <w:color w:val="auto"/>
          <w:lang w:eastAsia="zh-CN"/>
        </w:rPr>
        <w:t>本项目建设属于国家允许类项目，符合国家的产业政策。同时项目符合</w:t>
      </w:r>
      <w:r>
        <w:rPr>
          <w:rFonts w:hint="eastAsia"/>
          <w:color w:val="auto"/>
          <w:lang w:val="en-US" w:eastAsia="zh-CN"/>
        </w:rPr>
        <w:t>固原市</w:t>
      </w:r>
      <w:r>
        <w:rPr>
          <w:rFonts w:hint="eastAsia"/>
          <w:lang w:val="en-US" w:eastAsia="zh-CN"/>
        </w:rPr>
        <w:t>生态环境分区管控</w:t>
      </w:r>
      <w:r>
        <w:rPr>
          <w:rFonts w:hint="eastAsia" w:ascii="Times New Roman" w:hAnsi="Times New Roman"/>
          <w:color w:val="auto"/>
          <w:lang w:eastAsia="zh-CN"/>
        </w:rPr>
        <w:t>相关要求。</w:t>
      </w:r>
    </w:p>
    <w:p w14:paraId="77766645">
      <w:pPr>
        <w:pStyle w:val="5"/>
        <w:keepNext/>
        <w:keepLines/>
        <w:pageBreakBefore w:val="0"/>
        <w:widowControl w:val="0"/>
        <w:kinsoku/>
        <w:wordWrap/>
        <w:overflowPunct/>
        <w:topLinePunct w:val="0"/>
        <w:autoSpaceDE/>
        <w:autoSpaceDN/>
        <w:bidi w:val="0"/>
        <w:adjustRightInd/>
        <w:snapToGrid/>
        <w:spacing w:before="0" w:after="0" w:afterLines="0" w:line="360" w:lineRule="auto"/>
        <w:ind w:left="0" w:leftChars="0"/>
        <w:textAlignment w:val="auto"/>
        <w:outlineLvl w:val="0"/>
        <w:rPr>
          <w:rFonts w:hint="eastAsia" w:ascii="Times New Roman" w:hAnsi="Times New Roman"/>
          <w:color w:val="auto"/>
          <w:lang w:val="en-US" w:eastAsia="zh-CN"/>
        </w:rPr>
      </w:pPr>
      <w:bookmarkStart w:id="92" w:name="_Toc698"/>
      <w:bookmarkStart w:id="93" w:name="_Toc13533"/>
      <w:bookmarkStart w:id="94" w:name="_Toc18854"/>
      <w:bookmarkStart w:id="95" w:name="_Toc24663"/>
      <w:bookmarkStart w:id="96" w:name="_Toc8366"/>
      <w:bookmarkStart w:id="97" w:name="_Toc13990"/>
      <w:bookmarkStart w:id="98" w:name="_Toc5224"/>
      <w:bookmarkStart w:id="99" w:name="_Toc32131"/>
      <w:bookmarkStart w:id="100" w:name="_Toc8097"/>
      <w:bookmarkStart w:id="101" w:name="_Toc13122"/>
      <w:r>
        <w:rPr>
          <w:rFonts w:hint="eastAsia" w:ascii="Times New Roman" w:hAnsi="Times New Roman"/>
          <w:color w:val="auto"/>
          <w:lang w:val="en-US" w:eastAsia="zh-CN"/>
        </w:rPr>
        <w:t>5关注的主要环境问题及影响</w:t>
      </w:r>
      <w:bookmarkEnd w:id="92"/>
      <w:bookmarkEnd w:id="93"/>
      <w:bookmarkEnd w:id="94"/>
      <w:bookmarkEnd w:id="95"/>
      <w:bookmarkEnd w:id="96"/>
      <w:bookmarkEnd w:id="97"/>
      <w:bookmarkEnd w:id="98"/>
      <w:bookmarkEnd w:id="99"/>
      <w:bookmarkEnd w:id="100"/>
      <w:bookmarkEnd w:id="101"/>
    </w:p>
    <w:p w14:paraId="1CBD938E">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r>
        <w:rPr>
          <w:rFonts w:hint="eastAsia"/>
          <w:color w:val="auto"/>
        </w:rPr>
        <w:t>根据项目特点及现场调查结果，项目关注的主要环境问题为：</w:t>
      </w:r>
    </w:p>
    <w:p w14:paraId="5BFEE29B">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bookmarkStart w:id="102" w:name="_Toc24862"/>
      <w:bookmarkStart w:id="103" w:name="_Toc19545"/>
      <w:bookmarkStart w:id="104" w:name="_Toc31291"/>
      <w:bookmarkStart w:id="105" w:name="_Toc24366"/>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项目建设期施工扬尘、</w:t>
      </w:r>
      <w:r>
        <w:rPr>
          <w:rFonts w:hint="eastAsia"/>
          <w:color w:val="auto"/>
          <w:lang w:val="en-US" w:eastAsia="zh-CN"/>
        </w:rPr>
        <w:t>废水、</w:t>
      </w:r>
      <w:r>
        <w:rPr>
          <w:rFonts w:hint="eastAsia"/>
          <w:color w:val="auto"/>
        </w:rPr>
        <w:t>噪声</w:t>
      </w:r>
      <w:r>
        <w:rPr>
          <w:rFonts w:hint="eastAsia"/>
          <w:color w:val="auto"/>
          <w:lang w:eastAsia="zh-CN"/>
        </w:rPr>
        <w:t>、</w:t>
      </w:r>
      <w:r>
        <w:rPr>
          <w:rFonts w:hint="eastAsia"/>
          <w:color w:val="auto"/>
          <w:lang w:val="en-US" w:eastAsia="zh-CN"/>
        </w:rPr>
        <w:t>固废</w:t>
      </w:r>
      <w:r>
        <w:rPr>
          <w:rFonts w:hint="eastAsia"/>
          <w:color w:val="auto"/>
        </w:rPr>
        <w:t>等对环境的影响；</w:t>
      </w:r>
      <w:bookmarkEnd w:id="102"/>
      <w:bookmarkEnd w:id="103"/>
      <w:bookmarkEnd w:id="104"/>
      <w:bookmarkEnd w:id="105"/>
    </w:p>
    <w:p w14:paraId="61BA6330">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）本项目运营期对周边环境的影响以大气污染为主，其污染因子包括</w:t>
      </w:r>
      <w:r>
        <w:rPr>
          <w:rFonts w:hint="eastAsia"/>
          <w:color w:val="auto"/>
          <w:lang w:val="en-US" w:eastAsia="zh-CN"/>
        </w:rPr>
        <w:t>氨和硫化氢</w:t>
      </w:r>
      <w:r>
        <w:rPr>
          <w:rFonts w:hint="eastAsia"/>
          <w:color w:val="auto"/>
          <w:lang w:eastAsia="zh-CN"/>
        </w:rPr>
        <w:t>等恶臭</w:t>
      </w:r>
      <w:r>
        <w:rPr>
          <w:rFonts w:hint="eastAsia"/>
          <w:color w:val="auto"/>
          <w:lang w:val="en-US" w:eastAsia="zh-CN"/>
        </w:rPr>
        <w:t>气体</w:t>
      </w:r>
      <w:r>
        <w:rPr>
          <w:rFonts w:hint="eastAsia"/>
          <w:color w:val="auto"/>
          <w:lang w:eastAsia="zh-CN"/>
        </w:rPr>
        <w:t>。项目评价范围内涉及环境空气保护目标，评价重点关注项目废气治理措施的技术合理性及达标排放可行性，通过模型计算判定污染影响范围和程度；</w:t>
      </w:r>
    </w:p>
    <w:p w14:paraId="3B23948F">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）根据工程技术方案，</w:t>
      </w:r>
      <w:r>
        <w:rPr>
          <w:rFonts w:hint="eastAsia"/>
          <w:color w:val="auto"/>
          <w:lang w:val="en-US" w:eastAsia="zh-CN"/>
        </w:rPr>
        <w:t>本</w:t>
      </w:r>
      <w:r>
        <w:rPr>
          <w:rFonts w:hint="eastAsia"/>
          <w:color w:val="000000" w:themeColor="text1"/>
          <w:lang w:val="en-US" w:eastAsia="zh-CN"/>
          <w14:textFill>
            <w14:solidFill>
              <w14:schemeClr w14:val="tx1"/>
            </w14:solidFill>
          </w14:textFill>
        </w:rPr>
        <w:t>项目产生的屠宰废水及车辆冲洗废水排入厂区污水处理站处理，生活污水经化粪池收集。屠宰废水、车辆冲洗废水及生活污水一起排至城区污水处理厂处理。</w:t>
      </w:r>
      <w:r>
        <w:rPr>
          <w:rFonts w:hint="eastAsia"/>
          <w:color w:val="auto"/>
          <w:lang w:eastAsia="zh-CN"/>
        </w:rPr>
        <w:t>因此重点关注废水治理措施的技术可行性以及</w:t>
      </w:r>
      <w:r>
        <w:rPr>
          <w:rFonts w:hint="eastAsia"/>
          <w:color w:val="auto"/>
          <w:lang w:val="en-US" w:eastAsia="zh-CN"/>
        </w:rPr>
        <w:t>废水</w:t>
      </w:r>
      <w:r>
        <w:rPr>
          <w:rFonts w:hint="eastAsia"/>
          <w:color w:val="auto"/>
          <w:lang w:eastAsia="zh-CN"/>
        </w:rPr>
        <w:t>外排的可行性；</w:t>
      </w:r>
    </w:p>
    <w:p w14:paraId="4671B180">
      <w:pPr>
        <w:pageBreakBefore w:val="0"/>
        <w:widowControl w:val="0"/>
        <w:kinsoku/>
        <w:wordWrap/>
        <w:overflowPunct/>
        <w:topLinePunct w:val="0"/>
        <w:autoSpaceDE/>
        <w:autoSpaceDN/>
        <w:bidi w:val="0"/>
        <w:adjustRightInd/>
        <w:snapToGrid/>
        <w:spacing w:line="360" w:lineRule="auto"/>
        <w:ind w:left="0" w:leftChars="0"/>
        <w:textAlignment w:val="auto"/>
        <w:rPr>
          <w:rFonts w:hint="default"/>
          <w:color w:val="auto"/>
          <w:lang w:val="en-US" w:eastAsia="zh-CN"/>
        </w:rPr>
      </w:pPr>
      <w:bookmarkStart w:id="106" w:name="_Toc29608"/>
      <w:bookmarkStart w:id="107" w:name="_Toc16354"/>
      <w:bookmarkStart w:id="108" w:name="_Toc7919"/>
      <w:bookmarkStart w:id="109" w:name="_Toc9487"/>
      <w:r>
        <w:rPr>
          <w:rFonts w:hint="eastAsia"/>
          <w:color w:val="auto"/>
          <w:lang w:eastAsia="zh-CN"/>
        </w:rPr>
        <w:t>（</w:t>
      </w:r>
      <w:r>
        <w:rPr>
          <w:rFonts w:hint="eastAsia"/>
          <w:color w:val="auto"/>
          <w:lang w:val="en-US" w:eastAsia="zh-CN"/>
        </w:rPr>
        <w:t>4</w:t>
      </w:r>
      <w:r>
        <w:rPr>
          <w:rFonts w:hint="eastAsia"/>
          <w:color w:val="auto"/>
          <w:lang w:eastAsia="zh-CN"/>
        </w:rPr>
        <w:t>）</w:t>
      </w:r>
      <w:r>
        <w:rPr>
          <w:rFonts w:hint="eastAsia" w:ascii="Times New Roman" w:hAnsi="Times New Roman" w:eastAsia="仿宋_GB2312" w:cs="Times New Roman"/>
          <w:color w:val="000000" w:themeColor="text1"/>
          <w:kern w:val="2"/>
          <w:sz w:val="24"/>
          <w:szCs w:val="24"/>
          <w:lang w:bidi="ar-SA"/>
          <w14:textFill>
            <w14:solidFill>
              <w14:schemeClr w14:val="tx1"/>
            </w14:solidFill>
          </w14:textFill>
        </w:rPr>
        <w:t>本次评价重点关注项目</w:t>
      </w:r>
      <w:r>
        <w:rPr>
          <w:rFonts w:hint="eastAsia" w:cs="Times New Roman"/>
          <w:color w:val="000000" w:themeColor="text1"/>
          <w:kern w:val="2"/>
          <w:sz w:val="24"/>
          <w:szCs w:val="24"/>
          <w:lang w:val="en-US" w:eastAsia="zh-CN" w:bidi="ar-SA"/>
          <w14:textFill>
            <w14:solidFill>
              <w14:schemeClr w14:val="tx1"/>
            </w14:solidFill>
          </w14:textFill>
        </w:rPr>
        <w:t>运营</w:t>
      </w:r>
      <w:r>
        <w:rPr>
          <w:rFonts w:hint="eastAsia" w:ascii="Times New Roman" w:hAnsi="Times New Roman" w:eastAsia="仿宋_GB2312" w:cs="Times New Roman"/>
          <w:color w:val="000000" w:themeColor="text1"/>
          <w:kern w:val="2"/>
          <w:sz w:val="24"/>
          <w:szCs w:val="24"/>
          <w:lang w:bidi="ar-SA"/>
          <w14:textFill>
            <w14:solidFill>
              <w14:schemeClr w14:val="tx1"/>
            </w14:solidFill>
          </w14:textFill>
        </w:rPr>
        <w:t>期危险废物的产生种类、产生量，采取的处置措施能否做到“减量化、资源化、无害化”，实现从产生、收集、贮存、转移、处置等全过程合理处置情况</w:t>
      </w:r>
      <w:r>
        <w:rPr>
          <w:rFonts w:hint="eastAsia" w:cs="Times New Roman"/>
          <w:color w:val="000000" w:themeColor="text1"/>
          <w:kern w:val="2"/>
          <w:sz w:val="24"/>
          <w:szCs w:val="24"/>
          <w:lang w:eastAsia="zh-CN" w:bidi="ar-SA"/>
          <w14:textFill>
            <w14:solidFill>
              <w14:schemeClr w14:val="tx1"/>
            </w14:solidFill>
          </w14:textFill>
        </w:rPr>
        <w:t>；</w:t>
      </w:r>
    </w:p>
    <w:p w14:paraId="6556FC8B">
      <w:pPr>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eastAsia="仿宋_GB2312" w:cs="Times New Roman"/>
          <w:color w:val="000000" w:themeColor="text1"/>
          <w:kern w:val="2"/>
          <w:sz w:val="24"/>
          <w:szCs w:val="24"/>
          <w:lang w:bidi="ar-SA"/>
          <w14:textFill>
            <w14:solidFill>
              <w14:schemeClr w14:val="tx1"/>
            </w14:solidFill>
          </w14:textFill>
        </w:rPr>
      </w:pPr>
      <w:r>
        <w:rPr>
          <w:rFonts w:hint="eastAsia"/>
          <w:color w:val="auto"/>
          <w:lang w:eastAsia="zh-CN"/>
        </w:rPr>
        <w:t>（</w:t>
      </w:r>
      <w:r>
        <w:rPr>
          <w:rFonts w:hint="eastAsia"/>
          <w:color w:val="auto"/>
          <w:lang w:val="en-US" w:eastAsia="zh-CN"/>
        </w:rPr>
        <w:t>5</w:t>
      </w:r>
      <w:r>
        <w:rPr>
          <w:rFonts w:hint="eastAsia"/>
          <w:color w:val="auto"/>
          <w:lang w:eastAsia="zh-CN"/>
        </w:rPr>
        <w:t>）</w:t>
      </w:r>
      <w:bookmarkEnd w:id="106"/>
      <w:bookmarkEnd w:id="107"/>
      <w:bookmarkEnd w:id="108"/>
      <w:bookmarkEnd w:id="109"/>
      <w:r>
        <w:rPr>
          <w:rFonts w:hint="eastAsia" w:ascii="Times New Roman" w:hAnsi="Times New Roman" w:eastAsia="仿宋_GB2312" w:cs="Times New Roman"/>
          <w:color w:val="000000" w:themeColor="text1"/>
          <w:kern w:val="2"/>
          <w:sz w:val="24"/>
          <w:szCs w:val="24"/>
          <w:lang w:bidi="ar-SA"/>
          <w14:textFill>
            <w14:solidFill>
              <w14:schemeClr w14:val="tx1"/>
            </w14:solidFill>
          </w14:textFill>
        </w:rPr>
        <w:t>项目</w:t>
      </w:r>
      <w:r>
        <w:rPr>
          <w:rFonts w:hint="eastAsia" w:cs="Times New Roman"/>
          <w:color w:val="000000" w:themeColor="text1"/>
          <w:kern w:val="2"/>
          <w:sz w:val="24"/>
          <w:szCs w:val="24"/>
          <w:lang w:val="en-US" w:eastAsia="zh-CN" w:bidi="ar-SA"/>
          <w14:textFill>
            <w14:solidFill>
              <w14:schemeClr w14:val="tx1"/>
            </w14:solidFill>
          </w14:textFill>
        </w:rPr>
        <w:t>运营期</w:t>
      </w:r>
      <w:r>
        <w:rPr>
          <w:rFonts w:hint="eastAsia" w:ascii="Times New Roman" w:hAnsi="Times New Roman" w:eastAsia="仿宋_GB2312" w:cs="Times New Roman"/>
          <w:color w:val="000000" w:themeColor="text1"/>
          <w:kern w:val="2"/>
          <w:sz w:val="24"/>
          <w:szCs w:val="24"/>
          <w:lang w:bidi="ar-SA"/>
          <w14:textFill>
            <w14:solidFill>
              <w14:schemeClr w14:val="tx1"/>
            </w14:solidFill>
          </w14:textFill>
        </w:rPr>
        <w:t>设备噪声对区域声环境质量的影响。建设单位通过优选设备、合理布局、加强管理等综合防治措施，确保生产噪声厂界达标排放。</w:t>
      </w:r>
    </w:p>
    <w:p w14:paraId="57742679">
      <w:pPr>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）对项目建设引起的环境污染提出可行的减缓或补偿措施，使项目建设带来的负面影响减少到最低程度。</w:t>
      </w:r>
    </w:p>
    <w:p w14:paraId="26D510AE">
      <w:pPr>
        <w:pageBreakBefore w:val="0"/>
        <w:widowControl w:val="0"/>
        <w:kinsoku/>
        <w:wordWrap/>
        <w:overflowPunct/>
        <w:topLinePunct w:val="0"/>
        <w:autoSpaceDE/>
        <w:autoSpaceDN/>
        <w:bidi w:val="0"/>
        <w:adjustRightInd/>
        <w:snapToGrid/>
        <w:spacing w:line="360" w:lineRule="auto"/>
        <w:ind w:left="0" w:leftChars="0"/>
        <w:textAlignment w:val="auto"/>
        <w:rPr>
          <w:color w:val="auto"/>
        </w:rPr>
      </w:pPr>
      <w:r>
        <w:rPr>
          <w:rFonts w:hint="eastAsia"/>
          <w:lang w:eastAsia="zh-CN"/>
        </w:rPr>
        <w:t>通过上述工作，论证项目在环境方面的可行性，提出环境影响评价结论，为管理部门决策、设计部门优化设计、建设单位环境管理提供科学依据。</w:t>
      </w:r>
    </w:p>
    <w:p w14:paraId="61F9C68B">
      <w:pPr>
        <w:pStyle w:val="5"/>
        <w:keepNext/>
        <w:keepLines/>
        <w:pageBreakBefore w:val="0"/>
        <w:widowControl w:val="0"/>
        <w:kinsoku/>
        <w:wordWrap/>
        <w:overflowPunct/>
        <w:topLinePunct w:val="0"/>
        <w:autoSpaceDE/>
        <w:autoSpaceDN/>
        <w:bidi w:val="0"/>
        <w:adjustRightInd/>
        <w:snapToGrid/>
        <w:spacing w:before="0" w:after="0" w:afterLines="0" w:line="360" w:lineRule="auto"/>
        <w:ind w:left="0" w:leftChars="0"/>
        <w:textAlignment w:val="auto"/>
        <w:outlineLvl w:val="0"/>
        <w:rPr>
          <w:rFonts w:hint="eastAsia" w:ascii="Times New Roman" w:hAnsi="Times New Roman"/>
          <w:color w:val="auto"/>
          <w:lang w:val="en-US" w:eastAsia="zh-CN"/>
        </w:rPr>
      </w:pPr>
      <w:bookmarkStart w:id="110" w:name="_Toc18256"/>
      <w:bookmarkStart w:id="111" w:name="_Toc23202"/>
      <w:bookmarkStart w:id="112" w:name="_Toc26526"/>
      <w:bookmarkStart w:id="113" w:name="_Toc26698"/>
      <w:bookmarkStart w:id="114" w:name="_Toc13811"/>
      <w:bookmarkStart w:id="115" w:name="_Toc25113"/>
      <w:bookmarkStart w:id="116" w:name="_Toc29190"/>
      <w:bookmarkStart w:id="117" w:name="_Toc4403"/>
      <w:bookmarkStart w:id="118" w:name="_Toc12621"/>
      <w:bookmarkStart w:id="119" w:name="_Toc8347"/>
      <w:r>
        <w:rPr>
          <w:rFonts w:hint="eastAsia" w:ascii="Times New Roman" w:hAnsi="Times New Roman"/>
          <w:color w:val="auto"/>
          <w:lang w:val="en-US" w:eastAsia="zh-CN"/>
        </w:rPr>
        <w:t>6报告的主要结论</w:t>
      </w:r>
      <w:bookmarkEnd w:id="110"/>
      <w:bookmarkEnd w:id="111"/>
      <w:bookmarkEnd w:id="112"/>
      <w:bookmarkEnd w:id="113"/>
      <w:bookmarkEnd w:id="114"/>
      <w:bookmarkEnd w:id="115"/>
      <w:bookmarkEnd w:id="116"/>
      <w:bookmarkEnd w:id="117"/>
      <w:bookmarkEnd w:id="118"/>
      <w:bookmarkEnd w:id="119"/>
    </w:p>
    <w:p w14:paraId="16591FF5">
      <w:pPr>
        <w:pageBreakBefore w:val="0"/>
        <w:widowControl w:val="0"/>
        <w:kinsoku/>
        <w:wordWrap/>
        <w:overflowPunct/>
        <w:topLinePunct w:val="0"/>
        <w:autoSpaceDE/>
        <w:autoSpaceDN/>
        <w:bidi w:val="0"/>
        <w:adjustRightInd/>
        <w:snapToGrid/>
        <w:spacing w:line="360" w:lineRule="auto"/>
        <w:ind w:left="0" w:leftChars="0"/>
        <w:textAlignment w:val="auto"/>
        <w:rPr>
          <w:rFonts w:ascii="Times New Roman" w:hAnsi="Times New Roman" w:eastAsia="仿宋_GB2312" w:cs="Times New Roman"/>
          <w:color w:val="auto"/>
          <w:kern w:val="2"/>
          <w:sz w:val="24"/>
          <w:szCs w:val="24"/>
          <w:lang w:bidi="ar-SA"/>
        </w:rPr>
      </w:pPr>
      <w:r>
        <w:rPr>
          <w:rFonts w:ascii="Times New Roman" w:hAnsi="Times New Roman" w:eastAsia="仿宋_GB2312" w:cs="Times New Roman"/>
          <w:color w:val="auto"/>
          <w:kern w:val="2"/>
          <w:sz w:val="24"/>
          <w:szCs w:val="24"/>
          <w:lang w:bidi="ar-SA"/>
        </w:rPr>
        <w:t>评价</w:t>
      </w:r>
      <w:r>
        <w:rPr>
          <w:rFonts w:hint="eastAsia" w:ascii="Times New Roman" w:hAnsi="Times New Roman" w:cs="Times New Roman"/>
          <w:color w:val="auto"/>
          <w:kern w:val="2"/>
          <w:sz w:val="24"/>
          <w:szCs w:val="24"/>
          <w:lang w:val="en-US" w:eastAsia="zh-CN" w:bidi="ar-SA"/>
        </w:rPr>
        <w:t>单位</w:t>
      </w:r>
      <w:r>
        <w:rPr>
          <w:rFonts w:ascii="Times New Roman" w:hAnsi="Times New Roman" w:eastAsia="仿宋_GB2312" w:cs="Times New Roman"/>
          <w:color w:val="auto"/>
          <w:kern w:val="2"/>
          <w:sz w:val="24"/>
          <w:szCs w:val="24"/>
          <w:lang w:bidi="ar-SA"/>
        </w:rPr>
        <w:t>依据环境影响评价流程，对建设项目的初步设计和建设方提供的资料进行了深入研究与分析，并对拟建项目进行了现场勘查。此外，对周边环境进行了详尽的现状调查和监测。结合国家及地方的环保政策和要求，完成了《</w:t>
      </w:r>
      <w:r>
        <w:rPr>
          <w:rFonts w:hint="eastAsia" w:ascii="Times New Roman" w:hAnsi="Times New Roman" w:eastAsia="仿宋_GB2312" w:cs="Times New Roman"/>
          <w:color w:val="auto"/>
          <w:kern w:val="2"/>
          <w:sz w:val="24"/>
          <w:szCs w:val="24"/>
          <w:lang w:bidi="ar-SA"/>
        </w:rPr>
        <w:t>固原市科财牛羊屠宰精深加工项目</w:t>
      </w:r>
      <w:r>
        <w:rPr>
          <w:rFonts w:ascii="Times New Roman" w:hAnsi="Times New Roman" w:eastAsia="仿宋_GB2312" w:cs="Times New Roman"/>
          <w:color w:val="auto"/>
          <w:kern w:val="2"/>
          <w:sz w:val="24"/>
          <w:szCs w:val="24"/>
          <w:lang w:bidi="ar-SA"/>
        </w:rPr>
        <w:t>环境影响报告书》的编写工作。</w:t>
      </w:r>
    </w:p>
    <w:p w14:paraId="23FA142A">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lang w:eastAsia="zh-CN"/>
        </w:rPr>
      </w:pPr>
      <w:r>
        <w:rPr>
          <w:rFonts w:hint="eastAsia"/>
          <w:color w:val="auto"/>
          <w:lang w:eastAsia="zh-CN"/>
        </w:rPr>
        <w:t>本项目的建设符合国家产业政策，与主体功能区划、产业发展规划、环境保护相关规划相容，项目选址可行，平面布局合理；通过对本项目施工期及运营期产生的污染源强及对环境的影响进行预测、分析，结果表明本项目所采用的生产工艺技术合理，拟采取的污染治理方案可行，技术经济上合理，在切实落实本报告中提出的各项污染物防治措施以及生产设施正常运行状况下，各污染物排放不会改变周围环境质量现状水平。</w:t>
      </w:r>
      <w:r>
        <w:rPr>
          <w:rFonts w:hint="eastAsia" w:cs="Times New Roman"/>
          <w:color w:val="auto"/>
          <w:kern w:val="2"/>
          <w:sz w:val="24"/>
          <w:szCs w:val="24"/>
          <w:lang w:val="en-US" w:eastAsia="zh-CN" w:bidi="ar-SA"/>
        </w:rPr>
        <w:t>环评公示期间，未接到公众的反对意见</w:t>
      </w:r>
      <w:r>
        <w:rPr>
          <w:rFonts w:ascii="Times New Roman" w:hAnsi="Times New Roman" w:eastAsia="仿宋_GB2312" w:cs="Times New Roman"/>
          <w:color w:val="auto"/>
          <w:kern w:val="2"/>
          <w:sz w:val="24"/>
          <w:szCs w:val="24"/>
          <w:lang w:bidi="ar-SA"/>
        </w:rPr>
        <w:t>。</w:t>
      </w:r>
    </w:p>
    <w:p w14:paraId="59E5987C">
      <w:pPr>
        <w:pStyle w:val="25"/>
        <w:pageBreakBefore w:val="0"/>
        <w:widowControl w:val="0"/>
        <w:kinsoku/>
        <w:wordWrap/>
        <w:overflowPunct/>
        <w:topLinePunct w:val="0"/>
        <w:autoSpaceDE/>
        <w:autoSpaceDN/>
        <w:bidi w:val="0"/>
        <w:adjustRightInd/>
        <w:snapToGrid/>
        <w:spacing w:after="0" w:line="360" w:lineRule="auto"/>
        <w:ind w:left="0" w:leftChars="0"/>
        <w:textAlignment w:val="auto"/>
      </w:pPr>
      <w:r>
        <w:rPr>
          <w:rFonts w:hint="eastAsia"/>
          <w:color w:val="auto"/>
          <w:lang w:eastAsia="zh-CN"/>
        </w:rPr>
        <w:t>从环境保护的角度来看，本项目在该区域内建设是可行的。</w:t>
      </w:r>
    </w:p>
    <w:sdt>
      <w:sdtPr>
        <w:rPr>
          <w:rFonts w:ascii="宋体" w:hAnsi="宋体" w:eastAsia="宋体" w:cstheme="minorBidi"/>
          <w:kern w:val="2"/>
          <w:sz w:val="21"/>
          <w:szCs w:val="24"/>
          <w:lang w:val="en-US" w:eastAsia="zh-CN" w:bidi="ar-SA"/>
        </w:rPr>
        <w:id w:val="147455422"/>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28565E88">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3A4EE5CD">
          <w:pPr>
            <w:spacing w:before="0" w:beforeLines="0" w:after="0" w:afterLines="0" w:line="240" w:lineRule="auto"/>
            <w:ind w:left="0" w:leftChars="0" w:right="0" w:rightChars="0" w:firstLine="0" w:firstLineChars="0"/>
            <w:jc w:val="center"/>
            <w:rPr>
              <w:rFonts w:ascii="宋体" w:hAnsi="宋体" w:eastAsia="宋体"/>
              <w:b/>
              <w:bCs/>
              <w:sz w:val="28"/>
              <w:szCs w:val="28"/>
            </w:rPr>
            <w:sectPr>
              <w:pgSz w:w="11906" w:h="16838"/>
              <w:pgMar w:top="1701" w:right="1587" w:bottom="1587" w:left="1587" w:header="1304" w:footer="1020" w:gutter="0"/>
              <w:pgBorders>
                <w:top w:val="none" w:sz="0" w:space="0"/>
                <w:left w:val="none" w:sz="0" w:space="0"/>
                <w:bottom w:val="none" w:sz="0" w:space="0"/>
                <w:right w:val="none" w:sz="0" w:space="0"/>
              </w:pgBorders>
              <w:cols w:space="425" w:num="1"/>
              <w:docGrid w:type="lines" w:linePitch="312" w:charSpace="0"/>
            </w:sectPr>
          </w:pPr>
        </w:p>
        <w:p w14:paraId="2443E5D6">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28"/>
              <w:szCs w:val="28"/>
            </w:rPr>
            <w:t>目录</w:t>
          </w:r>
        </w:p>
        <w:p w14:paraId="333BD80C">
          <w:pPr>
            <w:pStyle w:val="22"/>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fldChar w:fldCharType="begin"/>
          </w:r>
          <w:r>
            <w:instrText xml:space="preserve">TOC \o "1-2" \h \u </w:instrText>
          </w:r>
          <w:r>
            <w:fldChar w:fldCharType="separate"/>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_Toc5756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szCs w:val="28"/>
            </w:rPr>
            <w:t>1总则</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_Toc5756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1</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7D51BC6D">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_Toc567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rPr>
            <w:t>1.1编制依据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_Toc567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1BD3C583">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_Toc17071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rPr>
            <w:t>1.2评价因子与评价重点</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_Toc17071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0717A319">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_Toc13112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rPr>
            <w:t>1.3环境功能区划</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_Toc13112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53D2571E">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_Toc21755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rPr>
            <w:t>1.4评价因子与评价标准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_Toc21755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46953E66">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_Toc32404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rPr>
            <w:t>1.5评价工作等级及评价范围</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_Toc32404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2E3C52E2">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_Toc7628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szCs w:val="28"/>
              <w:highlight w:val="none"/>
            </w:rPr>
            <w:t>1.6环境保护目标</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_Toc7628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2AE3B4FF">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_Toc25023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szCs w:val="28"/>
              <w:highlight w:val="none"/>
            </w:rPr>
            <w:t>2.</w:t>
          </w:r>
          <w:r>
            <w:rPr>
              <w:rFonts w:hint="default" w:ascii="Times New Roman" w:hAnsi="Times New Roman" w:cs="Times New Roman" w:eastAsiaTheme="minorEastAsia"/>
              <w:b/>
              <w:bCs/>
              <w:szCs w:val="28"/>
              <w:highlight w:val="none"/>
              <w:lang w:val="en-US" w:eastAsia="zh-CN"/>
            </w:rPr>
            <w:t>1</w:t>
          </w:r>
          <w:r>
            <w:rPr>
              <w:rFonts w:hint="default" w:ascii="Times New Roman" w:hAnsi="Times New Roman" w:cs="Times New Roman" w:eastAsiaTheme="minorEastAsia"/>
              <w:b/>
              <w:bCs/>
              <w:szCs w:val="28"/>
              <w:highlight w:val="none"/>
            </w:rPr>
            <w:t>项目概况</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_Toc25023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26</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526D51D7">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_Toc14469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rPr>
            <w:t>2.</w:t>
          </w:r>
          <w:r>
            <w:rPr>
              <w:rFonts w:hint="default" w:ascii="Times New Roman" w:hAnsi="Times New Roman" w:cs="Times New Roman" w:eastAsiaTheme="minorEastAsia"/>
              <w:szCs w:val="28"/>
              <w:highlight w:val="none"/>
              <w:lang w:val="en-US" w:eastAsia="zh-CN"/>
            </w:rPr>
            <w:t>2</w:t>
          </w:r>
          <w:r>
            <w:rPr>
              <w:rFonts w:hint="default" w:ascii="Times New Roman" w:hAnsi="Times New Roman" w:cs="Times New Roman" w:eastAsiaTheme="minorEastAsia"/>
              <w:szCs w:val="28"/>
              <w:highlight w:val="none"/>
            </w:rPr>
            <w:t>工艺流程分析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_Toc14469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07CF18FD">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_Toc30215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2.3</w:t>
          </w:r>
          <w:r>
            <w:rPr>
              <w:rFonts w:hint="default" w:ascii="Times New Roman" w:hAnsi="Times New Roman" w:cs="Times New Roman" w:eastAsiaTheme="minorEastAsia"/>
              <w:szCs w:val="28"/>
              <w:highlight w:val="none"/>
            </w:rPr>
            <w:t>非正常工况分析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_Toc30215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68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757D5A0C">
          <w:pPr>
            <w:pStyle w:val="22"/>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_Toc15093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kern w:val="0"/>
              <w:szCs w:val="28"/>
              <w:highlight w:val="none"/>
            </w:rPr>
            <w:t>3区域环境概况及环境质量现状评价</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_Toc15093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70</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34AF3A39">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_Toc27389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3.1区域环境概况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_Toc27389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34479F6E">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_Toc14553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3.2环境质量现状监测与评价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_Toc14553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04591191">
          <w:pPr>
            <w:pStyle w:val="22"/>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_Toc26137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kern w:val="0"/>
              <w:szCs w:val="28"/>
              <w:highlight w:val="none"/>
              <w:lang w:val="en-US" w:eastAsia="zh-CN" w:bidi="ar-SA"/>
            </w:rPr>
            <w:t>4施工期环境影响预测与评价</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_Toc26137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81</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560CE17C">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_Toc18386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4.1施工期大气环境影响评价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_Toc18386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1DEE6B65">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_Toc7279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4.2施工期声环境影响评价与分析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_Toc7279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516F6980">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_Toc20142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4.3施工期水环境影响分析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_Toc20142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5D404F5C">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_Toc3933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4.4施工期固体废物处理处置影响分析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_Toc3933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4E4BD541">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_Toc20473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4.5施工期生态环境影响分析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_Toc20473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282236DF">
          <w:pPr>
            <w:pStyle w:val="22"/>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_Toc11102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kern w:val="0"/>
              <w:szCs w:val="28"/>
              <w:highlight w:val="none"/>
              <w:lang w:val="en-US" w:eastAsia="zh-CN" w:bidi="ar-SA"/>
            </w:rPr>
            <w:t>5运营期环境影响预测与评价</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_Toc11102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84</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2E3F863C">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_Toc4593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5.1环境空气影响预测与评价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_Toc4593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5A4C6C64">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_Toc17053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5.2地表水环境影响分析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_Toc17053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318F4537">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_Toc22366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5.3地下水环境影响分析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_Toc22366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1524D19C">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_Toc26881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5.4声环境影响分析与评价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_Toc26881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108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1BBBD246">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_Toc14294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5.5固体废弃物影响分析与评价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_Toc14294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32957824">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_Toc9676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5.6环境风险分析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_Toc9676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3D4F318B">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_Toc23415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5.7运营期生态环境影响分析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_Toc23415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63AE5029">
          <w:pPr>
            <w:pStyle w:val="22"/>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_Toc20229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kern w:val="0"/>
              <w:szCs w:val="28"/>
              <w:highlight w:val="none"/>
              <w:lang w:val="en-US" w:eastAsia="zh-CN" w:bidi="ar-SA"/>
            </w:rPr>
            <w:t>6环境保护措施及其可行性论证</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_Toc20229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133</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484A0D38">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_Toc15645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6.1施工期环境保护措施及其可行性论证</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_Toc15645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269AE66B">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_Toc17724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6.2运营期环境保护措施及其可行性论证</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_Toc17724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5739CF69">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_Toc28573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6.3项目投资及环保投资</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_Toc28573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24ECDD0B">
          <w:pPr>
            <w:pStyle w:val="22"/>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_Toc14957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kern w:val="0"/>
              <w:szCs w:val="28"/>
              <w:highlight w:val="none"/>
              <w:lang w:val="en-US" w:eastAsia="zh-CN" w:bidi="ar-SA"/>
            </w:rPr>
            <w:t>7环境影响经济损益分析</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_Toc14957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154</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223155AA">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_Toc1427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7.1环境保护措施投资</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_Toc1427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5EC8B5FA">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_Toc17681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7.2环境经济损失</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_Toc17681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769EFF1A">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_Toc30902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7.3社会效益</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_Toc30902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2AB47943">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_Toc18588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7.4环境经济效益综合评述</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_Toc18588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18F0ED06">
          <w:pPr>
            <w:pStyle w:val="22"/>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_Toc5339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kern w:val="0"/>
              <w:szCs w:val="28"/>
              <w:highlight w:val="none"/>
              <w:lang w:val="en-US" w:eastAsia="zh-CN" w:bidi="ar-SA"/>
            </w:rPr>
            <w:t>8环境管理与监测计划</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_Toc5339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158</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6F9957C6">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_Toc18166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8.1环境管理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_Toc18166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51D6187F">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_Toc19473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8.2监测计划</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_Toc19473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4E14B569">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_Toc2736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8.3总量控制</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_Toc2736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6EF10237">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_Toc17518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8.4排污口规范化管理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_Toc17518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1CE4B9AA">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_Toc22542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8.5环境保护措施竣工验收管理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_Toc22542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0B502174">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_Toc13713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8.6污染物排放清单及管理要求</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_Toc13713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3E97E063">
          <w:pPr>
            <w:pStyle w:val="22"/>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_Toc786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kern w:val="0"/>
              <w:szCs w:val="28"/>
              <w:highlight w:val="none"/>
              <w:lang w:val="en-US" w:eastAsia="zh-CN" w:bidi="ar-SA"/>
            </w:rPr>
            <w:t>9相关产业政策符合性分析</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_Toc786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174</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18999355">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_Toc6881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9.1主体功能区划符合性分析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_Toc6881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1E548535">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_Toc31533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9.2项目与产业政策的符合性分析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_Toc31533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2D40D840">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_Toc10510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9.3相关规划符合性分析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_Toc10510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153B578C">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_Toc8523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9.4</w:t>
          </w:r>
          <w:r>
            <w:rPr>
              <w:rFonts w:hint="default" w:ascii="Times New Roman" w:hAnsi="Times New Roman" w:cs="Times New Roman" w:eastAsiaTheme="minorEastAsia"/>
              <w:bCs/>
              <w:kern w:val="2"/>
              <w:szCs w:val="32"/>
              <w:highlight w:val="none"/>
              <w:lang w:val="en-US" w:eastAsia="zh-CN"/>
            </w:rPr>
            <w:t>项目与《固原市生态环境分区管控实施方案》管控要求符合性分析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_Toc8523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185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011B41AF">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_Toc10343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9.5选址合理性分析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_Toc10343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188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4FF88B82">
          <w:pPr>
            <w:pStyle w:val="22"/>
            <w:keepNext w:val="0"/>
            <w:keepLines w:val="0"/>
            <w:pageBreakBefore w:val="0"/>
            <w:widowControl w:val="0"/>
            <w:tabs>
              <w:tab w:val="right" w:leader="dot" w:pos="8732"/>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HYPERLINK \l _Toc9033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kern w:val="0"/>
              <w:szCs w:val="28"/>
              <w:highlight w:val="none"/>
              <w:lang w:val="en-US" w:eastAsia="zh-CN" w:bidi="ar-SA"/>
            </w:rPr>
            <w:t>10结论</w:t>
          </w:r>
          <w:r>
            <w:rPr>
              <w:rFonts w:hint="default" w:ascii="Times New Roman" w:hAnsi="Times New Roman" w:cs="Times New Roman" w:eastAsiaTheme="minorEastAsia"/>
              <w:b/>
              <w:bCs/>
            </w:rPr>
            <w:tab/>
          </w:r>
          <w:r>
            <w:rPr>
              <w:rFonts w:hint="default" w:ascii="Times New Roman" w:hAnsi="Times New Roman" w:cs="Times New Roman" w:eastAsiaTheme="minorEastAsia"/>
              <w:b/>
              <w:bCs/>
            </w:rPr>
            <w:fldChar w:fldCharType="begin"/>
          </w:r>
          <w:r>
            <w:rPr>
              <w:rFonts w:hint="default" w:ascii="Times New Roman" w:hAnsi="Times New Roman" w:cs="Times New Roman" w:eastAsiaTheme="minorEastAsia"/>
              <w:b/>
              <w:bCs/>
            </w:rPr>
            <w:instrText xml:space="preserve"> PAGEREF _Toc9033 \h </w:instrText>
          </w:r>
          <w:r>
            <w:rPr>
              <w:rFonts w:hint="default" w:ascii="Times New Roman" w:hAnsi="Times New Roman" w:cs="Times New Roman" w:eastAsiaTheme="minorEastAsia"/>
              <w:b/>
              <w:bCs/>
            </w:rPr>
            <w:fldChar w:fldCharType="separate"/>
          </w:r>
          <w:r>
            <w:rPr>
              <w:rFonts w:hint="default" w:ascii="Times New Roman" w:hAnsi="Times New Roman" w:cs="Times New Roman" w:eastAsiaTheme="minorEastAsia"/>
              <w:b/>
              <w:bCs/>
            </w:rPr>
            <w:t>192</w:t>
          </w:r>
          <w:r>
            <w:rPr>
              <w:rFonts w:hint="default" w:ascii="Times New Roman" w:hAnsi="Times New Roman" w:cs="Times New Roman" w:eastAsiaTheme="minorEastAsia"/>
              <w:b/>
              <w:bCs/>
            </w:rPr>
            <w:fldChar w:fldCharType="end"/>
          </w:r>
          <w:r>
            <w:rPr>
              <w:rFonts w:hint="default" w:ascii="Times New Roman" w:hAnsi="Times New Roman" w:cs="Times New Roman" w:eastAsiaTheme="minorEastAsia"/>
              <w:b/>
              <w:bCs/>
            </w:rPr>
            <w:fldChar w:fldCharType="end"/>
          </w:r>
        </w:p>
        <w:p w14:paraId="720E1898">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_Toc8952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10.1项目基本情况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_Toc8952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0EC6EBD1">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_Toc12314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10.2产业政策符合性分析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_Toc12314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08F92AFB">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_Toc3222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10.3选址合理性分析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_Toc3222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76C88C0A">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_Toc12843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10.4平面布置合理性分析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_Toc12843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2688B061">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_Toc31805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10.5环境质量现状评价结论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_Toc31805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7CB79F59">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_Toc27075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10.6污染防治与达标排放可行性</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_Toc27075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4256D5F0">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_Toc2414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10.7公众参与</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_Toc2414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7E2D53EC">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_Toc20330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10.8总结论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_Toc20330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5F2AC7A0">
          <w:pPr>
            <w:pStyle w:val="24"/>
            <w:keepNext w:val="0"/>
            <w:keepLines w:val="0"/>
            <w:pageBreakBefore w:val="0"/>
            <w:widowControl w:val="0"/>
            <w:tabs>
              <w:tab w:val="right" w:leader="dot" w:pos="8732"/>
            </w:tabs>
            <w:kinsoku/>
            <w:wordWrap/>
            <w:overflowPunct/>
            <w:topLinePunct w:val="0"/>
            <w:autoSpaceDE/>
            <w:autoSpaceDN/>
            <w:bidi w:val="0"/>
            <w:adjustRightInd/>
            <w:snapToGrid/>
            <w:ind w:left="0" w:leftChars="0"/>
            <w:textAlignment w:val="auto"/>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_Toc13677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8"/>
              <w:highlight w:val="none"/>
              <w:lang w:val="en-US" w:eastAsia="zh-CN"/>
            </w:rPr>
            <w:t>10.9建议及要求</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_Toc13677 \h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14:paraId="5704C352">
          <w:r>
            <w:fldChar w:fldCharType="end"/>
          </w:r>
        </w:p>
      </w:sdtContent>
    </w:sdt>
    <w:p w14:paraId="7AC252BA"/>
    <w:p w14:paraId="1D93D80F">
      <w:pPr>
        <w:pStyle w:val="4"/>
        <w:keepNext/>
        <w:keepLines/>
        <w:pageBreakBefore w:val="0"/>
        <w:widowControl w:val="0"/>
        <w:kinsoku/>
        <w:wordWrap/>
        <w:overflowPunct/>
        <w:topLinePunct w:val="0"/>
        <w:autoSpaceDE/>
        <w:autoSpaceDN/>
        <w:bidi w:val="0"/>
        <w:adjustRightInd/>
        <w:snapToGrid/>
        <w:spacing w:before="0" w:line="360" w:lineRule="auto"/>
        <w:ind w:left="0" w:leftChars="0"/>
        <w:jc w:val="left"/>
        <w:textAlignment w:val="auto"/>
        <w:rPr>
          <w:rFonts w:hint="default" w:asciiTheme="minorEastAsia" w:hAnsiTheme="minorEastAsia" w:eastAsiaTheme="minorEastAsia" w:cstheme="minorEastAsia"/>
          <w:color w:val="auto"/>
          <w:sz w:val="28"/>
          <w:szCs w:val="28"/>
        </w:rPr>
        <w:sectPr>
          <w:footerReference r:id="rId8" w:type="default"/>
          <w:pgSz w:w="11906" w:h="16838"/>
          <w:pgMar w:top="1701" w:right="1587" w:bottom="1587" w:left="1587" w:header="1304" w:footer="1020" w:gutter="0"/>
          <w:pgBorders>
            <w:top w:val="none" w:sz="0" w:space="0"/>
            <w:left w:val="none" w:sz="0" w:space="0"/>
            <w:bottom w:val="none" w:sz="0" w:space="0"/>
            <w:right w:val="none" w:sz="0" w:space="0"/>
          </w:pgBorders>
          <w:cols w:space="425" w:num="1"/>
          <w:docGrid w:type="lines" w:linePitch="312" w:charSpace="0"/>
        </w:sectPr>
      </w:pPr>
      <w:bookmarkStart w:id="120" w:name="_Toc5756"/>
      <w:bookmarkStart w:id="121" w:name="_Toc25474"/>
    </w:p>
    <w:p w14:paraId="3FA2986A">
      <w:pPr>
        <w:pStyle w:val="4"/>
        <w:keepNext/>
        <w:keepLines/>
        <w:pageBreakBefore w:val="0"/>
        <w:widowControl w:val="0"/>
        <w:kinsoku/>
        <w:wordWrap/>
        <w:overflowPunct/>
        <w:topLinePunct w:val="0"/>
        <w:autoSpaceDE/>
        <w:autoSpaceDN/>
        <w:bidi w:val="0"/>
        <w:adjustRightInd/>
        <w:snapToGrid/>
        <w:spacing w:before="0" w:line="360" w:lineRule="auto"/>
        <w:ind w:left="0" w:leftChars="0"/>
        <w:jc w:val="left"/>
        <w:textAlignment w:val="auto"/>
        <w:rPr>
          <w:rFonts w:hint="default" w:ascii="Times New Roman" w:hAnsi="Times New Roman" w:eastAsia="黑体" w:cs="Times New Roman"/>
          <w:b/>
          <w:color w:val="auto"/>
          <w:sz w:val="28"/>
          <w:szCs w:val="28"/>
          <w:highlight w:val="none"/>
        </w:rPr>
      </w:pPr>
      <w:r>
        <w:rPr>
          <w:rFonts w:hint="default" w:asciiTheme="minorEastAsia" w:hAnsiTheme="minorEastAsia" w:eastAsiaTheme="minorEastAsia" w:cstheme="minorEastAsia"/>
          <w:color w:val="auto"/>
          <w:sz w:val="28"/>
          <w:szCs w:val="28"/>
        </w:rPr>
        <w:t>1总则</w:t>
      </w:r>
      <w:bookmarkEnd w:id="120"/>
      <w:bookmarkEnd w:id="121"/>
    </w:p>
    <w:p w14:paraId="03E3C34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cs="Times New Roman" w:eastAsiaTheme="minorEastAsia"/>
          <w:b/>
          <w:color w:val="auto"/>
          <w:sz w:val="28"/>
          <w:szCs w:val="28"/>
          <w:highlight w:val="none"/>
        </w:rPr>
      </w:pPr>
      <w:bookmarkStart w:id="122" w:name="_Toc22493"/>
      <w:bookmarkStart w:id="123" w:name="_Toc21219"/>
      <w:bookmarkStart w:id="124" w:name="_Toc32662"/>
      <w:bookmarkStart w:id="125" w:name="_Toc3108"/>
      <w:bookmarkStart w:id="126" w:name="_Toc11465"/>
      <w:bookmarkStart w:id="127" w:name="_Toc8820"/>
      <w:bookmarkStart w:id="128" w:name="_Toc13441"/>
      <w:bookmarkStart w:id="129" w:name="_Toc567"/>
      <w:bookmarkStart w:id="130" w:name="_Toc1372"/>
      <w:r>
        <w:rPr>
          <w:rFonts w:hint="default" w:ascii="Times New Roman" w:hAnsi="Times New Roman" w:cs="Times New Roman" w:eastAsiaTheme="minorEastAsia"/>
          <w:b/>
          <w:color w:val="auto"/>
          <w:sz w:val="28"/>
          <w:szCs w:val="28"/>
          <w:highlight w:val="none"/>
        </w:rPr>
        <w:t>1.1</w:t>
      </w:r>
      <w:bookmarkEnd w:id="122"/>
      <w:bookmarkStart w:id="131" w:name="_Toc165260241"/>
      <w:bookmarkStart w:id="132" w:name="_Toc23101"/>
      <w:bookmarkStart w:id="133" w:name="_Toc195694743"/>
      <w:bookmarkStart w:id="134" w:name="_Toc231187029"/>
      <w:r>
        <w:rPr>
          <w:rFonts w:hint="default" w:ascii="Times New Roman" w:hAnsi="Times New Roman" w:cs="Times New Roman" w:eastAsiaTheme="minorEastAsia"/>
          <w:b/>
          <w:color w:val="auto"/>
          <w:sz w:val="28"/>
          <w:szCs w:val="28"/>
          <w:highlight w:val="none"/>
        </w:rPr>
        <w:t>编制依据</w:t>
      </w:r>
      <w:bookmarkEnd w:id="123"/>
      <w:bookmarkEnd w:id="124"/>
      <w:bookmarkEnd w:id="125"/>
      <w:bookmarkEnd w:id="126"/>
      <w:bookmarkEnd w:id="127"/>
      <w:bookmarkEnd w:id="128"/>
      <w:bookmarkEnd w:id="129"/>
      <w:bookmarkEnd w:id="130"/>
      <w:bookmarkEnd w:id="131"/>
      <w:bookmarkEnd w:id="132"/>
      <w:bookmarkEnd w:id="133"/>
      <w:bookmarkEnd w:id="134"/>
    </w:p>
    <w:p w14:paraId="467F386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zh-CN"/>
        </w:rPr>
      </w:pPr>
      <w:bookmarkStart w:id="135" w:name="_Toc31212"/>
      <w:bookmarkStart w:id="136" w:name="_Toc29834"/>
      <w:bookmarkStart w:id="137" w:name="_Toc18941"/>
      <w:bookmarkStart w:id="138" w:name="_Toc17728"/>
      <w:bookmarkStart w:id="139" w:name="_Toc17807"/>
      <w:bookmarkStart w:id="140" w:name="_Toc12032"/>
      <w:r>
        <w:rPr>
          <w:rFonts w:hint="default" w:ascii="Times New Roman" w:hAnsi="Times New Roman" w:cs="Times New Roman" w:eastAsiaTheme="minorEastAsia"/>
          <w:b/>
          <w:color w:val="auto"/>
          <w:sz w:val="28"/>
          <w:szCs w:val="28"/>
          <w:highlight w:val="none"/>
          <w:lang w:val="zh-CN"/>
        </w:rPr>
        <w:t>1.1.1相关法律法规</w:t>
      </w:r>
      <w:bookmarkEnd w:id="135"/>
      <w:bookmarkEnd w:id="136"/>
      <w:bookmarkEnd w:id="137"/>
      <w:bookmarkEnd w:id="138"/>
      <w:bookmarkEnd w:id="139"/>
      <w:bookmarkEnd w:id="140"/>
    </w:p>
    <w:p w14:paraId="35ED2F9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ascii="Times New Roman" w:hAnsi="Times New Roman"/>
          <w:color w:val="auto"/>
        </w:rPr>
        <w:t>《中华人民共和国环境保护法（修订）》</w:t>
      </w:r>
      <w:r>
        <w:rPr>
          <w:rFonts w:hint="eastAsia"/>
          <w:color w:val="auto"/>
          <w:lang w:eastAsia="zh-CN"/>
        </w:rPr>
        <w:t>（</w:t>
      </w:r>
      <w:r>
        <w:rPr>
          <w:rFonts w:hint="eastAsia" w:ascii="Times New Roman" w:hAnsi="Times New Roman"/>
          <w:color w:val="auto"/>
        </w:rPr>
        <w:t>2015年1月1日</w:t>
      </w:r>
      <w:r>
        <w:rPr>
          <w:rFonts w:hint="eastAsia"/>
          <w:color w:val="auto"/>
          <w:lang w:eastAsia="zh-CN"/>
        </w:rPr>
        <w:t>）</w:t>
      </w:r>
      <w:r>
        <w:rPr>
          <w:rFonts w:hint="eastAsia" w:ascii="Times New Roman" w:hAnsi="Times New Roman"/>
          <w:color w:val="auto"/>
        </w:rPr>
        <w:t>；</w:t>
      </w:r>
    </w:p>
    <w:p w14:paraId="2C7921C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ascii="Times New Roman" w:hAnsi="Times New Roman"/>
          <w:color w:val="auto"/>
        </w:rPr>
        <w:t>《中华人民共和国环境影响评价法（修订）》</w:t>
      </w:r>
      <w:r>
        <w:rPr>
          <w:rFonts w:hint="eastAsia"/>
          <w:color w:val="auto"/>
          <w:lang w:eastAsia="zh-CN"/>
        </w:rPr>
        <w:t>（</w:t>
      </w:r>
      <w:r>
        <w:rPr>
          <w:rFonts w:hint="eastAsia" w:ascii="Times New Roman" w:hAnsi="Times New Roman"/>
          <w:color w:val="auto"/>
        </w:rPr>
        <w:t>2018年12月29日</w:t>
      </w:r>
      <w:r>
        <w:rPr>
          <w:rFonts w:hint="eastAsia"/>
          <w:color w:val="auto"/>
          <w:lang w:eastAsia="zh-CN"/>
        </w:rPr>
        <w:t>）</w:t>
      </w:r>
      <w:r>
        <w:rPr>
          <w:rFonts w:hint="eastAsia" w:ascii="Times New Roman" w:hAnsi="Times New Roman"/>
          <w:color w:val="auto"/>
        </w:rPr>
        <w:t>；</w:t>
      </w:r>
    </w:p>
    <w:p w14:paraId="6D9CD3E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ascii="Times New Roman" w:hAnsi="Times New Roman"/>
          <w:color w:val="auto"/>
        </w:rPr>
        <w:t>《中华人民共和国水污染防治法（修订）》</w:t>
      </w:r>
      <w:r>
        <w:rPr>
          <w:rFonts w:hint="eastAsia"/>
          <w:color w:val="auto"/>
          <w:lang w:eastAsia="zh-CN"/>
        </w:rPr>
        <w:t>（</w:t>
      </w:r>
      <w:r>
        <w:rPr>
          <w:rFonts w:hint="eastAsia" w:ascii="Times New Roman" w:hAnsi="Times New Roman"/>
          <w:color w:val="auto"/>
        </w:rPr>
        <w:t>2018年1月1日</w:t>
      </w:r>
      <w:r>
        <w:rPr>
          <w:rFonts w:hint="eastAsia"/>
          <w:color w:val="auto"/>
          <w:lang w:eastAsia="zh-CN"/>
        </w:rPr>
        <w:t>）</w:t>
      </w:r>
      <w:r>
        <w:rPr>
          <w:rFonts w:hint="eastAsia" w:ascii="Times New Roman" w:hAnsi="Times New Roman"/>
          <w:color w:val="auto"/>
        </w:rPr>
        <w:t>；</w:t>
      </w:r>
    </w:p>
    <w:p w14:paraId="5680CBF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ascii="Times New Roman" w:hAnsi="Times New Roman"/>
          <w:color w:val="auto"/>
        </w:rPr>
        <w:t>《中华人民共和国大气污染防治法》</w:t>
      </w:r>
      <w:r>
        <w:rPr>
          <w:rFonts w:hint="eastAsia"/>
          <w:color w:val="auto"/>
          <w:lang w:eastAsia="zh-CN"/>
        </w:rPr>
        <w:t>（</w:t>
      </w:r>
      <w:r>
        <w:rPr>
          <w:rFonts w:hint="eastAsia" w:ascii="Times New Roman" w:hAnsi="Times New Roman"/>
          <w:color w:val="auto"/>
        </w:rPr>
        <w:t>2018年10月26日</w:t>
      </w:r>
      <w:r>
        <w:rPr>
          <w:rFonts w:hint="eastAsia"/>
          <w:color w:val="auto"/>
          <w:lang w:eastAsia="zh-CN"/>
        </w:rPr>
        <w:t>）</w:t>
      </w:r>
      <w:r>
        <w:rPr>
          <w:rFonts w:hint="eastAsia" w:ascii="Times New Roman" w:hAnsi="Times New Roman"/>
          <w:color w:val="auto"/>
        </w:rPr>
        <w:t>；</w:t>
      </w:r>
    </w:p>
    <w:p w14:paraId="03EA1CC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ascii="Times New Roman" w:hAnsi="Times New Roman"/>
          <w:color w:val="auto"/>
        </w:rPr>
        <w:t>《中华人民共和国噪声污染防治法》</w:t>
      </w:r>
      <w:r>
        <w:rPr>
          <w:rFonts w:hint="eastAsia"/>
          <w:color w:val="auto"/>
          <w:lang w:eastAsia="zh-CN"/>
        </w:rPr>
        <w:t>（</w:t>
      </w:r>
      <w:r>
        <w:rPr>
          <w:rFonts w:hint="eastAsia" w:ascii="Times New Roman" w:hAnsi="Times New Roman"/>
          <w:color w:val="auto"/>
        </w:rPr>
        <w:t>2022年6月5日</w:t>
      </w:r>
      <w:r>
        <w:rPr>
          <w:rFonts w:hint="eastAsia"/>
          <w:color w:val="auto"/>
          <w:lang w:eastAsia="zh-CN"/>
        </w:rPr>
        <w:t>）</w:t>
      </w:r>
      <w:r>
        <w:rPr>
          <w:rFonts w:hint="eastAsia" w:ascii="Times New Roman" w:hAnsi="Times New Roman"/>
          <w:color w:val="auto"/>
        </w:rPr>
        <w:t>；</w:t>
      </w:r>
    </w:p>
    <w:p w14:paraId="7D5A96D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ascii="Times New Roman" w:hAnsi="Times New Roman"/>
          <w:color w:val="auto"/>
        </w:rPr>
        <w:t>《中华人民共和国土壤污染防治法》</w:t>
      </w:r>
      <w:r>
        <w:rPr>
          <w:rFonts w:hint="eastAsia"/>
          <w:color w:val="auto"/>
          <w:lang w:eastAsia="zh-CN"/>
        </w:rPr>
        <w:t>（</w:t>
      </w:r>
      <w:r>
        <w:rPr>
          <w:rFonts w:hint="eastAsia" w:ascii="Times New Roman" w:hAnsi="Times New Roman"/>
          <w:color w:val="auto"/>
        </w:rPr>
        <w:t>2019年1月1日</w:t>
      </w:r>
      <w:r>
        <w:rPr>
          <w:rFonts w:hint="eastAsia"/>
          <w:color w:val="auto"/>
          <w:lang w:eastAsia="zh-CN"/>
        </w:rPr>
        <w:t>）</w:t>
      </w:r>
      <w:r>
        <w:rPr>
          <w:rFonts w:hint="eastAsia" w:ascii="Times New Roman" w:hAnsi="Times New Roman"/>
          <w:color w:val="auto"/>
        </w:rPr>
        <w:t>；</w:t>
      </w:r>
    </w:p>
    <w:p w14:paraId="01365AE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ascii="Times New Roman" w:hAnsi="Times New Roman"/>
          <w:color w:val="auto"/>
        </w:rPr>
        <w:t>《中华人民共和国固体废物污染环境防治法（修订）》</w:t>
      </w:r>
      <w:r>
        <w:rPr>
          <w:rFonts w:hint="eastAsia"/>
          <w:color w:val="auto"/>
          <w:lang w:eastAsia="zh-CN"/>
        </w:rPr>
        <w:t>（</w:t>
      </w:r>
      <w:r>
        <w:rPr>
          <w:rFonts w:hint="eastAsia" w:ascii="Times New Roman" w:hAnsi="Times New Roman"/>
          <w:color w:val="auto"/>
        </w:rPr>
        <w:t>2020年9月1日</w:t>
      </w:r>
      <w:r>
        <w:rPr>
          <w:rFonts w:hint="eastAsia"/>
          <w:color w:val="auto"/>
          <w:lang w:eastAsia="zh-CN"/>
        </w:rPr>
        <w:t>）</w:t>
      </w:r>
      <w:r>
        <w:rPr>
          <w:rFonts w:hint="eastAsia" w:ascii="Times New Roman" w:hAnsi="Times New Roman"/>
          <w:color w:val="auto"/>
        </w:rPr>
        <w:t>；</w:t>
      </w:r>
    </w:p>
    <w:p w14:paraId="0EBCAF4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rFonts w:hint="eastAsia" w:ascii="Times New Roman" w:hAnsi="Times New Roman"/>
          <w:color w:val="auto"/>
        </w:rPr>
        <w:t>《中华人民共和国水土保持法（修订）》（2011年3月1日）；</w:t>
      </w:r>
    </w:p>
    <w:p w14:paraId="37D0BED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9</w:t>
      </w:r>
      <w:r>
        <w:rPr>
          <w:rFonts w:hint="eastAsia"/>
          <w:color w:val="auto"/>
          <w:lang w:eastAsia="zh-CN"/>
        </w:rPr>
        <w:t>）</w:t>
      </w:r>
      <w:r>
        <w:rPr>
          <w:rFonts w:hint="eastAsia" w:ascii="Times New Roman" w:hAnsi="Times New Roman"/>
          <w:color w:val="auto"/>
        </w:rPr>
        <w:t>《中华人民共和国城乡规划法》</w:t>
      </w:r>
      <w:r>
        <w:rPr>
          <w:rFonts w:hint="eastAsia"/>
          <w:color w:val="auto"/>
          <w:lang w:eastAsia="zh-CN"/>
        </w:rPr>
        <w:t>（</w:t>
      </w:r>
      <w:r>
        <w:rPr>
          <w:rFonts w:hint="eastAsia" w:ascii="Times New Roman" w:hAnsi="Times New Roman"/>
          <w:color w:val="auto"/>
        </w:rPr>
        <w:t>2019年4月23日</w:t>
      </w:r>
      <w:r>
        <w:rPr>
          <w:rFonts w:hint="eastAsia"/>
          <w:color w:val="auto"/>
          <w:lang w:eastAsia="zh-CN"/>
        </w:rPr>
        <w:t>）</w:t>
      </w:r>
      <w:r>
        <w:rPr>
          <w:rFonts w:hint="eastAsia" w:ascii="Times New Roman" w:hAnsi="Times New Roman"/>
          <w:color w:val="auto"/>
        </w:rPr>
        <w:t>；</w:t>
      </w:r>
    </w:p>
    <w:p w14:paraId="4A0BE4F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10</w:t>
      </w:r>
      <w:r>
        <w:rPr>
          <w:rFonts w:hint="eastAsia"/>
          <w:color w:val="auto"/>
          <w:lang w:eastAsia="zh-CN"/>
        </w:rPr>
        <w:t>）</w:t>
      </w:r>
      <w:r>
        <w:rPr>
          <w:rFonts w:hint="eastAsia" w:ascii="Times New Roman" w:hAnsi="Times New Roman"/>
          <w:color w:val="auto"/>
        </w:rPr>
        <w:t>《中华人民共和国水法》</w:t>
      </w:r>
      <w:r>
        <w:rPr>
          <w:rFonts w:hint="eastAsia"/>
          <w:color w:val="auto"/>
          <w:lang w:eastAsia="zh-CN"/>
        </w:rPr>
        <w:t>（</w:t>
      </w:r>
      <w:r>
        <w:rPr>
          <w:rFonts w:hint="eastAsia" w:ascii="Times New Roman" w:hAnsi="Times New Roman"/>
          <w:color w:val="auto"/>
        </w:rPr>
        <w:t>2016年9月1日</w:t>
      </w:r>
      <w:r>
        <w:rPr>
          <w:rFonts w:hint="eastAsia"/>
          <w:color w:val="auto"/>
          <w:lang w:eastAsia="zh-CN"/>
        </w:rPr>
        <w:t>）</w:t>
      </w:r>
      <w:r>
        <w:rPr>
          <w:rFonts w:hint="eastAsia" w:ascii="Times New Roman" w:hAnsi="Times New Roman"/>
          <w:color w:val="auto"/>
        </w:rPr>
        <w:t>；</w:t>
      </w:r>
    </w:p>
    <w:p w14:paraId="3E44221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11</w:t>
      </w:r>
      <w:r>
        <w:rPr>
          <w:rFonts w:hint="eastAsia"/>
          <w:color w:val="auto"/>
          <w:lang w:eastAsia="zh-CN"/>
        </w:rPr>
        <w:t>）</w:t>
      </w:r>
      <w:r>
        <w:rPr>
          <w:rFonts w:hint="eastAsia" w:ascii="Times New Roman" w:hAnsi="Times New Roman"/>
          <w:color w:val="auto"/>
        </w:rPr>
        <w:t>《中华人民共和国节约能源法》</w:t>
      </w:r>
      <w:r>
        <w:rPr>
          <w:rFonts w:hint="eastAsia"/>
          <w:color w:val="auto"/>
          <w:lang w:eastAsia="zh-CN"/>
        </w:rPr>
        <w:t>（</w:t>
      </w:r>
      <w:r>
        <w:rPr>
          <w:rFonts w:hint="eastAsia" w:ascii="Times New Roman" w:hAnsi="Times New Roman"/>
          <w:color w:val="auto"/>
        </w:rPr>
        <w:t>修订</w:t>
      </w:r>
      <w:r>
        <w:rPr>
          <w:rFonts w:hint="eastAsia"/>
          <w:color w:val="auto"/>
          <w:lang w:eastAsia="zh-CN"/>
        </w:rPr>
        <w:t>）（</w:t>
      </w:r>
      <w:r>
        <w:rPr>
          <w:rFonts w:hint="eastAsia" w:ascii="Times New Roman" w:hAnsi="Times New Roman"/>
          <w:color w:val="auto"/>
        </w:rPr>
        <w:t>2018年10月26日</w:t>
      </w:r>
      <w:r>
        <w:rPr>
          <w:rFonts w:hint="eastAsia"/>
          <w:color w:val="auto"/>
          <w:lang w:eastAsia="zh-CN"/>
        </w:rPr>
        <w:t>）</w:t>
      </w:r>
      <w:r>
        <w:rPr>
          <w:rFonts w:hint="eastAsia" w:ascii="Times New Roman" w:hAnsi="Times New Roman"/>
          <w:color w:val="auto"/>
        </w:rPr>
        <w:t>；</w:t>
      </w:r>
    </w:p>
    <w:p w14:paraId="41A7617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12</w:t>
      </w:r>
      <w:r>
        <w:rPr>
          <w:rFonts w:hint="eastAsia"/>
          <w:color w:val="auto"/>
          <w:lang w:eastAsia="zh-CN"/>
        </w:rPr>
        <w:t>）</w:t>
      </w:r>
      <w:r>
        <w:rPr>
          <w:rFonts w:hint="eastAsia" w:ascii="Times New Roman" w:hAnsi="Times New Roman"/>
          <w:color w:val="auto"/>
        </w:rPr>
        <w:t>《中华人民共和国动物防疫法》（2021年1月22日）；</w:t>
      </w:r>
    </w:p>
    <w:p w14:paraId="1B3EE77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13</w:t>
      </w:r>
      <w:r>
        <w:rPr>
          <w:rFonts w:hint="eastAsia"/>
          <w:color w:val="auto"/>
          <w:lang w:eastAsia="zh-CN"/>
        </w:rPr>
        <w:t>）</w:t>
      </w:r>
      <w:r>
        <w:rPr>
          <w:rFonts w:hint="eastAsia" w:ascii="Times New Roman" w:hAnsi="Times New Roman"/>
          <w:color w:val="auto"/>
        </w:rPr>
        <w:t>《中华人民共和国食品安全法》（2021年4月29日）；</w:t>
      </w:r>
    </w:p>
    <w:p w14:paraId="3A1E935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14</w:t>
      </w:r>
      <w:r>
        <w:rPr>
          <w:rFonts w:hint="eastAsia"/>
          <w:color w:val="auto"/>
          <w:lang w:eastAsia="zh-CN"/>
        </w:rPr>
        <w:t>）</w:t>
      </w:r>
      <w:r>
        <w:rPr>
          <w:rFonts w:hint="eastAsia" w:ascii="Times New Roman" w:hAnsi="Times New Roman"/>
          <w:color w:val="auto"/>
        </w:rPr>
        <w:t>《中华人民共和国农产品质量安全法》（2023年1月1日）；</w:t>
      </w:r>
    </w:p>
    <w:p w14:paraId="6AE19AD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15</w:t>
      </w:r>
      <w:r>
        <w:rPr>
          <w:rFonts w:hint="eastAsia"/>
          <w:color w:val="auto"/>
          <w:lang w:eastAsia="zh-CN"/>
        </w:rPr>
        <w:t>）</w:t>
      </w:r>
      <w:r>
        <w:rPr>
          <w:rFonts w:hint="eastAsia" w:ascii="Times New Roman" w:hAnsi="Times New Roman"/>
          <w:color w:val="auto"/>
        </w:rPr>
        <w:t>《中华人民共和国土地管理法（修订）》</w:t>
      </w:r>
      <w:r>
        <w:rPr>
          <w:rFonts w:hint="eastAsia"/>
          <w:color w:val="auto"/>
          <w:lang w:eastAsia="zh-CN"/>
        </w:rPr>
        <w:t>（</w:t>
      </w:r>
      <w:r>
        <w:rPr>
          <w:rFonts w:hint="eastAsia" w:ascii="Times New Roman" w:hAnsi="Times New Roman"/>
          <w:color w:val="auto"/>
        </w:rPr>
        <w:t>2020年1月1日</w:t>
      </w:r>
      <w:r>
        <w:rPr>
          <w:rFonts w:hint="eastAsia"/>
          <w:color w:val="auto"/>
          <w:lang w:eastAsia="zh-CN"/>
        </w:rPr>
        <w:t>）</w:t>
      </w:r>
      <w:r>
        <w:rPr>
          <w:rFonts w:hint="eastAsia" w:ascii="Times New Roman" w:hAnsi="Times New Roman"/>
          <w:color w:val="auto"/>
        </w:rPr>
        <w:t>；</w:t>
      </w:r>
    </w:p>
    <w:p w14:paraId="7801E67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16</w:t>
      </w:r>
      <w:r>
        <w:rPr>
          <w:rFonts w:hint="eastAsia"/>
          <w:color w:val="auto"/>
          <w:lang w:eastAsia="zh-CN"/>
        </w:rPr>
        <w:t>）</w:t>
      </w:r>
      <w:r>
        <w:rPr>
          <w:rFonts w:hint="eastAsia" w:ascii="Times New Roman" w:hAnsi="Times New Roman"/>
          <w:color w:val="auto"/>
        </w:rPr>
        <w:t>《中华人民共和国黄河保护法》（2023年4月1日）；</w:t>
      </w:r>
    </w:p>
    <w:p w14:paraId="52B210F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17</w:t>
      </w:r>
      <w:r>
        <w:rPr>
          <w:rFonts w:hint="eastAsia"/>
          <w:color w:val="auto"/>
          <w:lang w:eastAsia="zh-CN"/>
        </w:rPr>
        <w:t>）</w:t>
      </w:r>
      <w:r>
        <w:rPr>
          <w:rFonts w:hint="eastAsia" w:ascii="Times New Roman" w:hAnsi="Times New Roman"/>
          <w:color w:val="auto"/>
        </w:rPr>
        <w:t>《病死畜禽和病害畜禽产品无害化处理管理办法》（2022年7月1日）。</w:t>
      </w:r>
    </w:p>
    <w:p w14:paraId="0112B6E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en-US" w:eastAsia="zh-CN"/>
        </w:rPr>
      </w:pPr>
      <w:r>
        <w:rPr>
          <w:rFonts w:hint="default" w:ascii="Times New Roman" w:hAnsi="Times New Roman" w:cs="Times New Roman" w:eastAsiaTheme="minorEastAsia"/>
          <w:b/>
          <w:color w:val="auto"/>
          <w:sz w:val="28"/>
          <w:szCs w:val="28"/>
          <w:highlight w:val="none"/>
          <w:lang w:val="en-US" w:eastAsia="zh-CN"/>
        </w:rPr>
        <w:t>1.1.2</w:t>
      </w:r>
      <w:r>
        <w:rPr>
          <w:rFonts w:hint="default" w:ascii="Times New Roman" w:hAnsi="Times New Roman" w:cs="Times New Roman" w:eastAsiaTheme="minorEastAsia"/>
          <w:b/>
          <w:color w:val="auto"/>
          <w:sz w:val="28"/>
          <w:szCs w:val="28"/>
          <w:highlight w:val="none"/>
          <w:lang w:val="zh-CN"/>
        </w:rPr>
        <w:t>国务院行政法规及规范性文件</w:t>
      </w:r>
    </w:p>
    <w:p w14:paraId="7E10D5C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w:t>
      </w:r>
      <w:r>
        <w:rPr>
          <w:rFonts w:hint="eastAsia" w:ascii="Times New Roman" w:hAnsi="Times New Roman"/>
          <w:color w:val="auto"/>
        </w:rPr>
        <w:t>国务院《建设项目环境保护管理条例》（国令第682号），2017</w:t>
      </w:r>
      <w:r>
        <w:rPr>
          <w:rFonts w:hint="eastAsia"/>
          <w:color w:val="auto"/>
          <w:lang w:val="en-US" w:eastAsia="zh-CN"/>
        </w:rPr>
        <w:t>年</w:t>
      </w:r>
      <w:r>
        <w:rPr>
          <w:rFonts w:hint="eastAsia" w:ascii="Times New Roman" w:hAnsi="Times New Roman"/>
          <w:color w:val="auto"/>
        </w:rPr>
        <w:t>10</w:t>
      </w:r>
      <w:r>
        <w:rPr>
          <w:rFonts w:hint="eastAsia"/>
          <w:color w:val="auto"/>
          <w:lang w:val="en-US" w:eastAsia="zh-CN"/>
        </w:rPr>
        <w:t>月</w:t>
      </w:r>
      <w:r>
        <w:rPr>
          <w:rFonts w:hint="eastAsia" w:ascii="Times New Roman" w:hAnsi="Times New Roman"/>
          <w:color w:val="auto"/>
        </w:rPr>
        <w:t>1</w:t>
      </w:r>
      <w:r>
        <w:rPr>
          <w:rFonts w:hint="eastAsia"/>
          <w:color w:val="auto"/>
          <w:lang w:val="en-US" w:eastAsia="zh-CN"/>
        </w:rPr>
        <w:t>日</w:t>
      </w:r>
      <w:r>
        <w:rPr>
          <w:rFonts w:hint="eastAsia" w:ascii="Times New Roman" w:hAnsi="Times New Roman"/>
          <w:color w:val="auto"/>
        </w:rPr>
        <w:t>；</w:t>
      </w:r>
    </w:p>
    <w:p w14:paraId="74528737">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w:t>
      </w:r>
      <w:r>
        <w:rPr>
          <w:rFonts w:hint="eastAsia" w:ascii="Times New Roman" w:hAnsi="Times New Roman"/>
          <w:color w:val="auto"/>
        </w:rPr>
        <w:t>国务院《中华人民共和国环境保护税法实施条例》（国令第693号），2018</w:t>
      </w:r>
      <w:r>
        <w:rPr>
          <w:rFonts w:hint="eastAsia"/>
          <w:color w:val="auto"/>
          <w:lang w:val="en-US" w:eastAsia="zh-CN"/>
        </w:rPr>
        <w:t>年</w:t>
      </w:r>
      <w:r>
        <w:rPr>
          <w:rFonts w:hint="eastAsia" w:ascii="Times New Roman" w:hAnsi="Times New Roman"/>
          <w:color w:val="auto"/>
        </w:rPr>
        <w:t>1月1</w:t>
      </w:r>
      <w:r>
        <w:rPr>
          <w:rFonts w:hint="eastAsia"/>
          <w:color w:val="auto"/>
          <w:lang w:val="en-US" w:eastAsia="zh-CN"/>
        </w:rPr>
        <w:t>日</w:t>
      </w:r>
      <w:r>
        <w:rPr>
          <w:rFonts w:hint="eastAsia" w:ascii="Times New Roman" w:hAnsi="Times New Roman"/>
          <w:color w:val="auto"/>
        </w:rPr>
        <w:t>；</w:t>
      </w:r>
    </w:p>
    <w:p w14:paraId="07E66F67">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ascii="Times New Roman" w:hAnsi="Times New Roman"/>
          <w:color w:val="auto"/>
        </w:rPr>
        <w:t>国务院《排污许可管理条例》（国令第736号），2021</w:t>
      </w:r>
      <w:r>
        <w:rPr>
          <w:rFonts w:hint="eastAsia"/>
          <w:color w:val="auto"/>
          <w:lang w:val="en-US" w:eastAsia="zh-CN"/>
        </w:rPr>
        <w:t>年</w:t>
      </w:r>
      <w:r>
        <w:rPr>
          <w:rFonts w:hint="eastAsia" w:ascii="Times New Roman" w:hAnsi="Times New Roman"/>
          <w:color w:val="auto"/>
        </w:rPr>
        <w:t>3月1</w:t>
      </w:r>
      <w:r>
        <w:rPr>
          <w:rFonts w:hint="eastAsia"/>
          <w:color w:val="auto"/>
          <w:lang w:val="en-US" w:eastAsia="zh-CN"/>
        </w:rPr>
        <w:t>日</w:t>
      </w:r>
      <w:r>
        <w:rPr>
          <w:rFonts w:hint="eastAsia" w:ascii="Times New Roman" w:hAnsi="Times New Roman"/>
          <w:color w:val="auto"/>
        </w:rPr>
        <w:t>；</w:t>
      </w:r>
    </w:p>
    <w:p w14:paraId="1E01FB0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4</w:t>
      </w:r>
      <w:r>
        <w:rPr>
          <w:rFonts w:hint="eastAsia" w:ascii="Times New Roman" w:hAnsi="Times New Roman"/>
          <w:color w:val="auto"/>
          <w:lang w:eastAsia="zh-CN"/>
        </w:rPr>
        <w:t>）</w:t>
      </w:r>
      <w:r>
        <w:rPr>
          <w:rFonts w:hint="eastAsia" w:ascii="Times New Roman" w:hAnsi="Times New Roman"/>
          <w:color w:val="auto"/>
        </w:rPr>
        <w:t>国务院《地下水管理条例》（国令第784号），2021</w:t>
      </w:r>
      <w:r>
        <w:rPr>
          <w:rFonts w:hint="eastAsia"/>
          <w:color w:val="auto"/>
          <w:lang w:val="en-US" w:eastAsia="zh-CN"/>
        </w:rPr>
        <w:t>年</w:t>
      </w:r>
      <w:r>
        <w:rPr>
          <w:rFonts w:hint="eastAsia" w:ascii="Times New Roman" w:hAnsi="Times New Roman"/>
          <w:color w:val="auto"/>
        </w:rPr>
        <w:t>12月1</w:t>
      </w:r>
      <w:r>
        <w:rPr>
          <w:rFonts w:hint="eastAsia"/>
          <w:color w:val="auto"/>
          <w:lang w:val="en-US" w:eastAsia="zh-CN"/>
        </w:rPr>
        <w:t>日</w:t>
      </w:r>
      <w:r>
        <w:rPr>
          <w:rFonts w:hint="eastAsia" w:ascii="Times New Roman" w:hAnsi="Times New Roman"/>
          <w:color w:val="auto"/>
        </w:rPr>
        <w:t>；</w:t>
      </w:r>
    </w:p>
    <w:p w14:paraId="5B05DC6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color w:val="auto"/>
          <w:lang w:val="en-US" w:eastAsia="zh-CN"/>
        </w:rPr>
        <w:t>5</w:t>
      </w:r>
      <w:r>
        <w:rPr>
          <w:rFonts w:hint="eastAsia" w:ascii="Times New Roman" w:hAnsi="Times New Roman"/>
          <w:color w:val="auto"/>
          <w:lang w:eastAsia="zh-CN"/>
        </w:rPr>
        <w:t>）</w:t>
      </w:r>
      <w:r>
        <w:rPr>
          <w:rFonts w:hint="eastAsia" w:ascii="Times New Roman" w:hAnsi="Times New Roman"/>
          <w:color w:val="auto"/>
        </w:rPr>
        <w:t>国务院《国务院关于加强和规范事中事后监管的指导意见》（国发〔2019〕18号），2019</w:t>
      </w:r>
      <w:r>
        <w:rPr>
          <w:rFonts w:hint="eastAsia"/>
          <w:color w:val="auto"/>
          <w:lang w:val="en-US" w:eastAsia="zh-CN"/>
        </w:rPr>
        <w:t>年</w:t>
      </w:r>
      <w:r>
        <w:rPr>
          <w:rFonts w:hint="eastAsia" w:ascii="Times New Roman" w:hAnsi="Times New Roman"/>
          <w:color w:val="auto"/>
        </w:rPr>
        <w:t>9月6</w:t>
      </w:r>
      <w:r>
        <w:rPr>
          <w:rFonts w:hint="eastAsia"/>
          <w:color w:val="auto"/>
          <w:lang w:val="en-US" w:eastAsia="zh-CN"/>
        </w:rPr>
        <w:t>日</w:t>
      </w:r>
      <w:r>
        <w:rPr>
          <w:rFonts w:hint="eastAsia" w:ascii="Times New Roman" w:hAnsi="Times New Roman"/>
          <w:color w:val="auto"/>
        </w:rPr>
        <w:t>；</w:t>
      </w:r>
    </w:p>
    <w:p w14:paraId="7737C8E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color w:val="auto"/>
          <w:lang w:val="en-US" w:eastAsia="zh-CN"/>
        </w:rPr>
        <w:t>6</w:t>
      </w:r>
      <w:r>
        <w:rPr>
          <w:rFonts w:hint="eastAsia" w:ascii="Times New Roman" w:hAnsi="Times New Roman"/>
          <w:color w:val="auto"/>
          <w:lang w:eastAsia="zh-CN"/>
        </w:rPr>
        <w:t>）</w:t>
      </w:r>
      <w:r>
        <w:rPr>
          <w:rFonts w:hint="eastAsia" w:ascii="Times New Roman" w:hAnsi="Times New Roman"/>
          <w:color w:val="auto"/>
        </w:rPr>
        <w:t>国务院《关于推进大气污染联防联控工作改善区域空气质量的指导意见》（国办发〔2010〕33号），2010</w:t>
      </w:r>
      <w:r>
        <w:rPr>
          <w:rFonts w:hint="eastAsia"/>
          <w:color w:val="auto"/>
          <w:lang w:val="en-US" w:eastAsia="zh-CN"/>
        </w:rPr>
        <w:t>年</w:t>
      </w:r>
      <w:r>
        <w:rPr>
          <w:rFonts w:hint="eastAsia" w:ascii="Times New Roman" w:hAnsi="Times New Roman"/>
          <w:color w:val="auto"/>
        </w:rPr>
        <w:t>5月11</w:t>
      </w:r>
      <w:r>
        <w:rPr>
          <w:rFonts w:hint="eastAsia"/>
          <w:color w:val="auto"/>
          <w:lang w:val="en-US" w:eastAsia="zh-CN"/>
        </w:rPr>
        <w:t>日</w:t>
      </w:r>
      <w:r>
        <w:rPr>
          <w:rFonts w:hint="eastAsia" w:ascii="Times New Roman" w:hAnsi="Times New Roman"/>
          <w:color w:val="auto"/>
        </w:rPr>
        <w:t>；</w:t>
      </w:r>
    </w:p>
    <w:p w14:paraId="190BD51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val="en-US" w:eastAsia="zh-CN"/>
        </w:rPr>
      </w:pPr>
      <w:r>
        <w:rPr>
          <w:rFonts w:hint="eastAsia" w:ascii="Times New Roman" w:hAnsi="Times New Roman"/>
          <w:color w:val="auto"/>
          <w:lang w:eastAsia="zh-CN"/>
        </w:rPr>
        <w:t>（</w:t>
      </w:r>
      <w:r>
        <w:rPr>
          <w:rFonts w:hint="eastAsia"/>
          <w:color w:val="auto"/>
          <w:lang w:val="en-US" w:eastAsia="zh-CN"/>
        </w:rPr>
        <w:t>7</w:t>
      </w:r>
      <w:r>
        <w:rPr>
          <w:rFonts w:hint="eastAsia" w:ascii="Times New Roman" w:hAnsi="Times New Roman"/>
          <w:color w:val="auto"/>
          <w:lang w:eastAsia="zh-CN"/>
        </w:rPr>
        <w:t>）</w:t>
      </w:r>
      <w:r>
        <w:rPr>
          <w:rFonts w:hint="eastAsia" w:ascii="Times New Roman" w:hAnsi="Times New Roman"/>
          <w:color w:val="auto"/>
        </w:rPr>
        <w:t>国务院《关于印发控制污染物排放许可制实施方案的通知》（国办发〔2016〕81号），2016</w:t>
      </w:r>
      <w:r>
        <w:rPr>
          <w:rFonts w:hint="eastAsia"/>
          <w:color w:val="auto"/>
          <w:lang w:val="en-US" w:eastAsia="zh-CN"/>
        </w:rPr>
        <w:t>年</w:t>
      </w:r>
      <w:r>
        <w:rPr>
          <w:rFonts w:hint="eastAsia" w:ascii="Times New Roman" w:hAnsi="Times New Roman"/>
          <w:color w:val="auto"/>
        </w:rPr>
        <w:t>11月10</w:t>
      </w:r>
      <w:r>
        <w:rPr>
          <w:rFonts w:hint="eastAsia"/>
          <w:color w:val="auto"/>
          <w:lang w:val="en-US" w:eastAsia="zh-CN"/>
        </w:rPr>
        <w:t>日；</w:t>
      </w:r>
    </w:p>
    <w:p w14:paraId="58D57C5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val="en-US" w:eastAsia="zh-CN"/>
        </w:rPr>
      </w:pPr>
      <w:r>
        <w:rPr>
          <w:rFonts w:hint="eastAsia"/>
          <w:color w:val="auto"/>
          <w:lang w:val="en-US" w:eastAsia="zh-CN"/>
        </w:rPr>
        <w:t>（8）中共中央 国务院印发《黄河流域生态保护和高质量发展规划纲要》，2021年10月8日；</w:t>
      </w:r>
    </w:p>
    <w:p w14:paraId="4F1371E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eastAsia="zh-CN"/>
        </w:rPr>
      </w:pPr>
      <w:r>
        <w:rPr>
          <w:rFonts w:hint="eastAsia"/>
          <w:color w:val="auto"/>
          <w:lang w:eastAsia="zh-CN"/>
        </w:rPr>
        <w:t>（</w:t>
      </w:r>
      <w:r>
        <w:rPr>
          <w:rFonts w:hint="eastAsia"/>
          <w:color w:val="auto"/>
          <w:lang w:val="en-US" w:eastAsia="zh-CN"/>
        </w:rPr>
        <w:t>9</w:t>
      </w:r>
      <w:r>
        <w:rPr>
          <w:rFonts w:hint="eastAsia"/>
          <w:color w:val="auto"/>
          <w:lang w:eastAsia="zh-CN"/>
        </w:rPr>
        <w:t>）《动物防疫条件审查办法》（2022年12月1日）。</w:t>
      </w:r>
    </w:p>
    <w:p w14:paraId="32421F7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en-US" w:eastAsia="zh-CN"/>
        </w:rPr>
      </w:pPr>
      <w:bookmarkStart w:id="141" w:name="_Toc12994"/>
      <w:bookmarkStart w:id="142" w:name="_Toc28850"/>
      <w:bookmarkStart w:id="143" w:name="_Toc21479"/>
      <w:bookmarkStart w:id="144" w:name="_Toc260"/>
      <w:bookmarkStart w:id="145" w:name="_Toc17815"/>
      <w:r>
        <w:rPr>
          <w:rFonts w:hint="default" w:ascii="Times New Roman" w:hAnsi="Times New Roman" w:cs="Times New Roman" w:eastAsiaTheme="minorEastAsia"/>
          <w:b/>
          <w:color w:val="auto"/>
          <w:sz w:val="28"/>
          <w:szCs w:val="28"/>
          <w:highlight w:val="none"/>
          <w:lang w:val="en-US" w:eastAsia="zh-CN"/>
        </w:rPr>
        <w:t>1.1.3部门规章及规范性文件</w:t>
      </w:r>
      <w:bookmarkEnd w:id="141"/>
      <w:bookmarkEnd w:id="142"/>
      <w:bookmarkEnd w:id="143"/>
      <w:bookmarkEnd w:id="144"/>
      <w:bookmarkEnd w:id="145"/>
    </w:p>
    <w:p w14:paraId="5323A6A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w:t>
      </w:r>
      <w:r>
        <w:rPr>
          <w:rFonts w:hint="eastAsia" w:ascii="Times New Roman" w:hAnsi="Times New Roman"/>
          <w:color w:val="auto"/>
        </w:rPr>
        <w:t>生态环境部《建设项目环境影响评价分类管理名录》（部令第16号），2021</w:t>
      </w:r>
      <w:r>
        <w:rPr>
          <w:rFonts w:hint="eastAsia"/>
          <w:color w:val="auto"/>
          <w:lang w:val="en-US" w:eastAsia="zh-CN"/>
        </w:rPr>
        <w:t>年</w:t>
      </w:r>
      <w:r>
        <w:rPr>
          <w:rFonts w:hint="eastAsia" w:ascii="Times New Roman" w:hAnsi="Times New Roman"/>
          <w:color w:val="auto"/>
        </w:rPr>
        <w:t>1月1</w:t>
      </w:r>
      <w:r>
        <w:rPr>
          <w:rFonts w:hint="eastAsia"/>
          <w:color w:val="auto"/>
          <w:lang w:val="en-US" w:eastAsia="zh-CN"/>
        </w:rPr>
        <w:t>日</w:t>
      </w:r>
      <w:r>
        <w:rPr>
          <w:rFonts w:hint="eastAsia" w:ascii="Times New Roman" w:hAnsi="Times New Roman"/>
          <w:color w:val="auto"/>
        </w:rPr>
        <w:t>；</w:t>
      </w:r>
    </w:p>
    <w:p w14:paraId="13059C0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w:t>
      </w:r>
      <w:r>
        <w:rPr>
          <w:rFonts w:hint="eastAsia" w:ascii="Times New Roman" w:hAnsi="Times New Roman"/>
          <w:color w:val="auto"/>
        </w:rPr>
        <w:t>生态环境部《固定污染源排污许可分类管理名录（2019年版）》（部令第11号），2019</w:t>
      </w:r>
      <w:r>
        <w:rPr>
          <w:rFonts w:hint="eastAsia"/>
          <w:color w:val="auto"/>
          <w:lang w:val="en-US" w:eastAsia="zh-CN"/>
        </w:rPr>
        <w:t>年</w:t>
      </w:r>
      <w:r>
        <w:rPr>
          <w:rFonts w:hint="eastAsia" w:ascii="Times New Roman" w:hAnsi="Times New Roman"/>
          <w:color w:val="auto"/>
        </w:rPr>
        <w:t>12月20</w:t>
      </w:r>
      <w:r>
        <w:rPr>
          <w:rFonts w:hint="eastAsia"/>
          <w:color w:val="auto"/>
          <w:lang w:val="en-US" w:eastAsia="zh-CN"/>
        </w:rPr>
        <w:t>日</w:t>
      </w:r>
      <w:r>
        <w:rPr>
          <w:rFonts w:hint="eastAsia" w:ascii="Times New Roman" w:hAnsi="Times New Roman"/>
          <w:color w:val="auto"/>
        </w:rPr>
        <w:t>；</w:t>
      </w:r>
    </w:p>
    <w:p w14:paraId="025A7AE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ascii="Times New Roman" w:hAnsi="Times New Roman"/>
          <w:color w:val="auto"/>
        </w:rPr>
        <w:t>生态环境部《环境影响评价公众参与办法》（部令第4号），2019</w:t>
      </w:r>
      <w:r>
        <w:rPr>
          <w:rFonts w:hint="eastAsia"/>
          <w:color w:val="auto"/>
          <w:lang w:val="en-US" w:eastAsia="zh-CN"/>
        </w:rPr>
        <w:t>年</w:t>
      </w:r>
      <w:r>
        <w:rPr>
          <w:rFonts w:hint="eastAsia" w:ascii="Times New Roman" w:hAnsi="Times New Roman"/>
          <w:color w:val="auto"/>
        </w:rPr>
        <w:t>1月1</w:t>
      </w:r>
      <w:r>
        <w:rPr>
          <w:rFonts w:hint="eastAsia"/>
          <w:color w:val="auto"/>
          <w:lang w:val="en-US" w:eastAsia="zh-CN"/>
        </w:rPr>
        <w:t>日</w:t>
      </w:r>
      <w:r>
        <w:rPr>
          <w:rFonts w:hint="eastAsia" w:ascii="Times New Roman" w:hAnsi="Times New Roman"/>
          <w:color w:val="auto"/>
        </w:rPr>
        <w:t>；</w:t>
      </w:r>
    </w:p>
    <w:p w14:paraId="3DBF8BC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4</w:t>
      </w:r>
      <w:r>
        <w:rPr>
          <w:rFonts w:hint="eastAsia" w:ascii="Times New Roman" w:hAnsi="Times New Roman"/>
          <w:color w:val="auto"/>
          <w:lang w:eastAsia="zh-CN"/>
        </w:rPr>
        <w:t>）</w:t>
      </w:r>
      <w:r>
        <w:rPr>
          <w:rFonts w:hint="eastAsia" w:ascii="Times New Roman" w:hAnsi="Times New Roman"/>
          <w:color w:val="auto"/>
        </w:rPr>
        <w:t>生态环境部《排污许可管理办法》（部令第</w:t>
      </w:r>
      <w:r>
        <w:rPr>
          <w:rFonts w:hint="eastAsia"/>
          <w:color w:val="auto"/>
          <w:lang w:val="en-US" w:eastAsia="zh-CN"/>
        </w:rPr>
        <w:t>32</w:t>
      </w:r>
      <w:r>
        <w:rPr>
          <w:rFonts w:hint="eastAsia" w:ascii="Times New Roman" w:hAnsi="Times New Roman"/>
          <w:color w:val="auto"/>
        </w:rPr>
        <w:t>号），20</w:t>
      </w:r>
      <w:r>
        <w:rPr>
          <w:rFonts w:hint="eastAsia"/>
          <w:color w:val="auto"/>
          <w:lang w:val="en-US" w:eastAsia="zh-CN"/>
        </w:rPr>
        <w:t>24年4</w:t>
      </w:r>
      <w:r>
        <w:rPr>
          <w:rFonts w:hint="eastAsia" w:ascii="Times New Roman" w:hAnsi="Times New Roman"/>
          <w:color w:val="auto"/>
        </w:rPr>
        <w:t>月1</w:t>
      </w:r>
      <w:r>
        <w:rPr>
          <w:rFonts w:hint="eastAsia"/>
          <w:color w:val="auto"/>
          <w:lang w:val="en-US" w:eastAsia="zh-CN"/>
        </w:rPr>
        <w:t>日</w:t>
      </w:r>
      <w:r>
        <w:rPr>
          <w:rFonts w:hint="eastAsia" w:ascii="Times New Roman" w:hAnsi="Times New Roman"/>
          <w:color w:val="auto"/>
        </w:rPr>
        <w:t>；</w:t>
      </w:r>
    </w:p>
    <w:p w14:paraId="42F3E59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5</w:t>
      </w:r>
      <w:r>
        <w:rPr>
          <w:rFonts w:hint="eastAsia" w:ascii="Times New Roman" w:hAnsi="Times New Roman"/>
          <w:color w:val="auto"/>
          <w:lang w:eastAsia="zh-CN"/>
        </w:rPr>
        <w:t>）</w:t>
      </w:r>
      <w:r>
        <w:rPr>
          <w:rFonts w:hint="eastAsia" w:ascii="Times New Roman" w:hAnsi="Times New Roman"/>
          <w:color w:val="auto"/>
        </w:rPr>
        <w:t>原环境保护部《突发环境事件应急管理办法》（部令第34号），2015</w:t>
      </w:r>
      <w:r>
        <w:rPr>
          <w:rFonts w:hint="eastAsia"/>
          <w:color w:val="auto"/>
          <w:lang w:val="en-US" w:eastAsia="zh-CN"/>
        </w:rPr>
        <w:t>年</w:t>
      </w:r>
      <w:r>
        <w:rPr>
          <w:rFonts w:hint="eastAsia" w:ascii="Times New Roman" w:hAnsi="Times New Roman"/>
          <w:color w:val="auto"/>
        </w:rPr>
        <w:t>6月5</w:t>
      </w:r>
      <w:r>
        <w:rPr>
          <w:rFonts w:hint="eastAsia"/>
          <w:color w:val="auto"/>
          <w:lang w:val="en-US" w:eastAsia="zh-CN"/>
        </w:rPr>
        <w:t>日</w:t>
      </w:r>
      <w:r>
        <w:rPr>
          <w:rFonts w:hint="eastAsia" w:ascii="Times New Roman" w:hAnsi="Times New Roman"/>
          <w:color w:val="auto"/>
        </w:rPr>
        <w:t>；</w:t>
      </w:r>
    </w:p>
    <w:p w14:paraId="221C432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6</w:t>
      </w:r>
      <w:r>
        <w:rPr>
          <w:rFonts w:hint="eastAsia" w:ascii="Times New Roman" w:hAnsi="Times New Roman"/>
          <w:color w:val="auto"/>
          <w:lang w:eastAsia="zh-CN"/>
        </w:rPr>
        <w:t>）</w:t>
      </w:r>
      <w:r>
        <w:rPr>
          <w:rFonts w:hint="eastAsia" w:ascii="Times New Roman" w:hAnsi="Times New Roman"/>
          <w:color w:val="auto"/>
        </w:rPr>
        <w:t>原环境保护部《关于加强规划环境影响评价与建设项目环境影响评价联动工作的意见》（环发2015〔178〕号），2015</w:t>
      </w:r>
      <w:r>
        <w:rPr>
          <w:rFonts w:hint="eastAsia"/>
          <w:color w:val="auto"/>
          <w:lang w:val="en-US" w:eastAsia="zh-CN"/>
        </w:rPr>
        <w:t>年</w:t>
      </w:r>
      <w:r>
        <w:rPr>
          <w:rFonts w:hint="eastAsia" w:ascii="Times New Roman" w:hAnsi="Times New Roman"/>
          <w:color w:val="auto"/>
        </w:rPr>
        <w:t>12月30</w:t>
      </w:r>
      <w:r>
        <w:rPr>
          <w:rFonts w:hint="eastAsia"/>
          <w:color w:val="auto"/>
          <w:lang w:val="en-US" w:eastAsia="zh-CN"/>
        </w:rPr>
        <w:t>日</w:t>
      </w:r>
      <w:r>
        <w:rPr>
          <w:rFonts w:hint="eastAsia" w:ascii="Times New Roman" w:hAnsi="Times New Roman"/>
          <w:color w:val="auto"/>
        </w:rPr>
        <w:t>；</w:t>
      </w:r>
    </w:p>
    <w:p w14:paraId="75187A3E">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7</w:t>
      </w:r>
      <w:r>
        <w:rPr>
          <w:rFonts w:hint="eastAsia" w:ascii="Times New Roman" w:hAnsi="Times New Roman"/>
          <w:color w:val="auto"/>
          <w:lang w:eastAsia="zh-CN"/>
        </w:rPr>
        <w:t>）</w:t>
      </w:r>
      <w:r>
        <w:rPr>
          <w:rFonts w:hint="eastAsia" w:ascii="Times New Roman" w:hAnsi="Times New Roman"/>
          <w:color w:val="auto"/>
        </w:rPr>
        <w:t>原环境保护部《建设项目主要污染物排放总量指标审核及管理暂行办法》（环发〔2014〕197号），2014</w:t>
      </w:r>
      <w:r>
        <w:rPr>
          <w:rFonts w:hint="eastAsia"/>
          <w:color w:val="auto"/>
          <w:lang w:val="en-US" w:eastAsia="zh-CN"/>
        </w:rPr>
        <w:t>年</w:t>
      </w:r>
      <w:r>
        <w:rPr>
          <w:rFonts w:hint="eastAsia" w:ascii="Times New Roman" w:hAnsi="Times New Roman"/>
          <w:color w:val="auto"/>
        </w:rPr>
        <w:t>12月30</w:t>
      </w:r>
      <w:r>
        <w:rPr>
          <w:rFonts w:hint="eastAsia"/>
          <w:color w:val="auto"/>
          <w:lang w:val="en-US" w:eastAsia="zh-CN"/>
        </w:rPr>
        <w:t>日</w:t>
      </w:r>
      <w:r>
        <w:rPr>
          <w:rFonts w:hint="eastAsia" w:ascii="Times New Roman" w:hAnsi="Times New Roman"/>
          <w:color w:val="auto"/>
        </w:rPr>
        <w:t>；</w:t>
      </w:r>
    </w:p>
    <w:p w14:paraId="0C66C9F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8</w:t>
      </w:r>
      <w:r>
        <w:rPr>
          <w:rFonts w:hint="eastAsia" w:ascii="Times New Roman" w:hAnsi="Times New Roman"/>
          <w:color w:val="auto"/>
          <w:lang w:eastAsia="zh-CN"/>
        </w:rPr>
        <w:t>）</w:t>
      </w:r>
      <w:r>
        <w:rPr>
          <w:rFonts w:hint="eastAsia" w:ascii="Times New Roman" w:hAnsi="Times New Roman"/>
          <w:color w:val="auto"/>
        </w:rPr>
        <w:t>原环境保护部《关于切实加强环境影响评价监督管理工作的通知》（环办〔2013〕104号），201</w:t>
      </w:r>
      <w:r>
        <w:rPr>
          <w:rFonts w:hint="eastAsia"/>
          <w:color w:val="auto"/>
          <w:lang w:val="en-US" w:eastAsia="zh-CN"/>
        </w:rPr>
        <w:t>3年11</w:t>
      </w:r>
      <w:r>
        <w:rPr>
          <w:rFonts w:hint="eastAsia" w:ascii="Times New Roman" w:hAnsi="Times New Roman"/>
          <w:color w:val="auto"/>
        </w:rPr>
        <w:t>月</w:t>
      </w:r>
      <w:r>
        <w:rPr>
          <w:rFonts w:hint="eastAsia"/>
          <w:color w:val="auto"/>
          <w:lang w:val="en-US" w:eastAsia="zh-CN"/>
        </w:rPr>
        <w:t>1</w:t>
      </w:r>
      <w:r>
        <w:rPr>
          <w:rFonts w:hint="eastAsia" w:ascii="Times New Roman" w:hAnsi="Times New Roman"/>
          <w:color w:val="auto"/>
        </w:rPr>
        <w:t>5</w:t>
      </w:r>
      <w:r>
        <w:rPr>
          <w:rFonts w:hint="eastAsia"/>
          <w:color w:val="auto"/>
          <w:lang w:val="en-US" w:eastAsia="zh-CN"/>
        </w:rPr>
        <w:t>日</w:t>
      </w:r>
      <w:r>
        <w:rPr>
          <w:rFonts w:hint="eastAsia" w:ascii="Times New Roman" w:hAnsi="Times New Roman"/>
          <w:color w:val="auto"/>
        </w:rPr>
        <w:t>；</w:t>
      </w:r>
    </w:p>
    <w:p w14:paraId="09520EE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9</w:t>
      </w:r>
      <w:r>
        <w:rPr>
          <w:rFonts w:hint="eastAsia" w:ascii="Times New Roman" w:hAnsi="Times New Roman"/>
          <w:color w:val="auto"/>
          <w:lang w:eastAsia="zh-CN"/>
        </w:rPr>
        <w:t>）</w:t>
      </w:r>
      <w:r>
        <w:rPr>
          <w:rFonts w:hint="eastAsia" w:ascii="Times New Roman" w:hAnsi="Times New Roman"/>
          <w:color w:val="auto"/>
        </w:rPr>
        <w:t>原环境保护部《关于切实加强风险防范严格环境影响评价管理的通知》（环发〔2012〕98号），2012</w:t>
      </w:r>
      <w:r>
        <w:rPr>
          <w:rFonts w:hint="eastAsia"/>
          <w:color w:val="auto"/>
          <w:lang w:val="en-US" w:eastAsia="zh-CN"/>
        </w:rPr>
        <w:t>年</w:t>
      </w:r>
      <w:r>
        <w:rPr>
          <w:rFonts w:hint="eastAsia" w:ascii="Times New Roman" w:hAnsi="Times New Roman"/>
          <w:color w:val="auto"/>
        </w:rPr>
        <w:t>8月7</w:t>
      </w:r>
      <w:r>
        <w:rPr>
          <w:rFonts w:hint="eastAsia"/>
          <w:color w:val="auto"/>
          <w:lang w:val="en-US" w:eastAsia="zh-CN"/>
        </w:rPr>
        <w:t>日</w:t>
      </w:r>
      <w:r>
        <w:rPr>
          <w:rFonts w:hint="eastAsia" w:ascii="Times New Roman" w:hAnsi="Times New Roman"/>
          <w:color w:val="auto"/>
        </w:rPr>
        <w:t>；</w:t>
      </w:r>
    </w:p>
    <w:p w14:paraId="6D9C8B17">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10</w:t>
      </w:r>
      <w:r>
        <w:rPr>
          <w:rFonts w:hint="eastAsia" w:ascii="Times New Roman" w:hAnsi="Times New Roman"/>
          <w:color w:val="auto"/>
          <w:lang w:eastAsia="zh-CN"/>
        </w:rPr>
        <w:t>）</w:t>
      </w:r>
      <w:r>
        <w:rPr>
          <w:rFonts w:hint="eastAsia" w:ascii="Times New Roman" w:hAnsi="Times New Roman"/>
          <w:color w:val="auto"/>
        </w:rPr>
        <w:t>原环境保护部《关于进一步加强环境影响评价管理防范环境风险的通知》（环发〔2012〕77号），2012</w:t>
      </w:r>
      <w:r>
        <w:rPr>
          <w:rFonts w:hint="eastAsia"/>
          <w:color w:val="auto"/>
          <w:lang w:val="en-US" w:eastAsia="zh-CN"/>
        </w:rPr>
        <w:t>年</w:t>
      </w:r>
      <w:r>
        <w:rPr>
          <w:rFonts w:hint="eastAsia" w:ascii="Times New Roman" w:hAnsi="Times New Roman"/>
          <w:color w:val="auto"/>
        </w:rPr>
        <w:t>7月3</w:t>
      </w:r>
      <w:r>
        <w:rPr>
          <w:rFonts w:hint="eastAsia"/>
          <w:color w:val="auto"/>
          <w:lang w:val="en-US" w:eastAsia="zh-CN"/>
        </w:rPr>
        <w:t>日</w:t>
      </w:r>
      <w:r>
        <w:rPr>
          <w:rFonts w:hint="eastAsia" w:ascii="Times New Roman" w:hAnsi="Times New Roman"/>
          <w:color w:val="auto"/>
        </w:rPr>
        <w:t>；</w:t>
      </w:r>
    </w:p>
    <w:p w14:paraId="6672898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11</w:t>
      </w:r>
      <w:r>
        <w:rPr>
          <w:rFonts w:hint="eastAsia" w:ascii="Times New Roman" w:hAnsi="Times New Roman"/>
          <w:color w:val="auto"/>
          <w:lang w:eastAsia="zh-CN"/>
        </w:rPr>
        <w:t>）</w:t>
      </w:r>
      <w:r>
        <w:rPr>
          <w:rFonts w:hint="eastAsia" w:ascii="Times New Roman" w:hAnsi="Times New Roman"/>
          <w:color w:val="auto"/>
        </w:rPr>
        <w:t>原环境保护部《关于加强西部地区环境影响评价工作的通知》（环发〔2011〕150号），2011</w:t>
      </w:r>
      <w:r>
        <w:rPr>
          <w:rFonts w:hint="eastAsia"/>
          <w:color w:val="auto"/>
          <w:lang w:val="en-US" w:eastAsia="zh-CN"/>
        </w:rPr>
        <w:t>年</w:t>
      </w:r>
      <w:r>
        <w:rPr>
          <w:rFonts w:hint="eastAsia" w:ascii="Times New Roman" w:hAnsi="Times New Roman"/>
          <w:color w:val="auto"/>
        </w:rPr>
        <w:t>12月29</w:t>
      </w:r>
      <w:r>
        <w:rPr>
          <w:rFonts w:hint="eastAsia"/>
          <w:color w:val="auto"/>
          <w:lang w:val="en-US" w:eastAsia="zh-CN"/>
        </w:rPr>
        <w:t>日</w:t>
      </w:r>
      <w:r>
        <w:rPr>
          <w:rFonts w:hint="eastAsia" w:ascii="Times New Roman" w:hAnsi="Times New Roman"/>
          <w:color w:val="auto"/>
        </w:rPr>
        <w:t>；</w:t>
      </w:r>
    </w:p>
    <w:p w14:paraId="7BD69916">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12</w:t>
      </w:r>
      <w:r>
        <w:rPr>
          <w:rFonts w:hint="eastAsia" w:ascii="Times New Roman" w:hAnsi="Times New Roman"/>
          <w:color w:val="auto"/>
          <w:lang w:eastAsia="zh-CN"/>
        </w:rPr>
        <w:t>）</w:t>
      </w:r>
      <w:r>
        <w:rPr>
          <w:rFonts w:hint="eastAsia" w:ascii="Times New Roman" w:hAnsi="Times New Roman"/>
          <w:color w:val="auto"/>
        </w:rPr>
        <w:t>原环境保护部《关于强化建设项目环境影响评价事中事后监管的实施意见》（环环评〔2018〕11号），2018</w:t>
      </w:r>
      <w:r>
        <w:rPr>
          <w:rFonts w:hint="eastAsia"/>
          <w:color w:val="auto"/>
          <w:lang w:val="en-US" w:eastAsia="zh-CN"/>
        </w:rPr>
        <w:t>年</w:t>
      </w:r>
      <w:r>
        <w:rPr>
          <w:rFonts w:hint="eastAsia" w:ascii="Times New Roman" w:hAnsi="Times New Roman"/>
          <w:color w:val="auto"/>
        </w:rPr>
        <w:t>1月25</w:t>
      </w:r>
      <w:r>
        <w:rPr>
          <w:rFonts w:hint="eastAsia"/>
          <w:color w:val="auto"/>
          <w:lang w:val="en-US" w:eastAsia="zh-CN"/>
        </w:rPr>
        <w:t>日</w:t>
      </w:r>
      <w:r>
        <w:rPr>
          <w:rFonts w:hint="eastAsia" w:ascii="Times New Roman" w:hAnsi="Times New Roman"/>
          <w:color w:val="auto"/>
        </w:rPr>
        <w:t>；</w:t>
      </w:r>
    </w:p>
    <w:p w14:paraId="3D19DB7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13</w:t>
      </w:r>
      <w:r>
        <w:rPr>
          <w:rFonts w:hint="eastAsia" w:ascii="Times New Roman" w:hAnsi="Times New Roman"/>
          <w:color w:val="auto"/>
          <w:lang w:eastAsia="zh-CN"/>
        </w:rPr>
        <w:t>）</w:t>
      </w:r>
      <w:r>
        <w:rPr>
          <w:rFonts w:hint="eastAsia" w:ascii="Times New Roman" w:hAnsi="Times New Roman"/>
          <w:color w:val="auto"/>
        </w:rPr>
        <w:t>原环境保护部《关于做好环境影响评价制度与排污许可制衔接相关工作的通知》（环环评〔2017〕84号），2017</w:t>
      </w:r>
      <w:r>
        <w:rPr>
          <w:rFonts w:hint="eastAsia"/>
          <w:color w:val="auto"/>
          <w:lang w:val="en-US" w:eastAsia="zh-CN"/>
        </w:rPr>
        <w:t>年</w:t>
      </w:r>
      <w:r>
        <w:rPr>
          <w:rFonts w:hint="eastAsia" w:ascii="Times New Roman" w:hAnsi="Times New Roman"/>
          <w:color w:val="auto"/>
        </w:rPr>
        <w:t>11月14</w:t>
      </w:r>
      <w:r>
        <w:rPr>
          <w:rFonts w:hint="eastAsia"/>
          <w:color w:val="auto"/>
          <w:lang w:val="en-US" w:eastAsia="zh-CN"/>
        </w:rPr>
        <w:t>日</w:t>
      </w:r>
      <w:r>
        <w:rPr>
          <w:rFonts w:hint="eastAsia" w:ascii="Times New Roman" w:hAnsi="Times New Roman"/>
          <w:color w:val="auto"/>
        </w:rPr>
        <w:t>；</w:t>
      </w:r>
    </w:p>
    <w:p w14:paraId="3B2266C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14</w:t>
      </w:r>
      <w:r>
        <w:rPr>
          <w:rFonts w:hint="eastAsia" w:ascii="Times New Roman" w:hAnsi="Times New Roman"/>
          <w:color w:val="auto"/>
          <w:lang w:eastAsia="zh-CN"/>
        </w:rPr>
        <w:t>）</w:t>
      </w:r>
      <w:r>
        <w:rPr>
          <w:rFonts w:hint="eastAsia" w:ascii="Times New Roman" w:hAnsi="Times New Roman"/>
          <w:color w:val="auto"/>
        </w:rPr>
        <w:t>原环境保护部《关于以改善环境质量为核心加强环境影响评价管理的通知》（环环评〔2016〕150号），2016</w:t>
      </w:r>
      <w:r>
        <w:rPr>
          <w:rFonts w:hint="eastAsia"/>
          <w:color w:val="auto"/>
          <w:lang w:val="en-US" w:eastAsia="zh-CN"/>
        </w:rPr>
        <w:t>年</w:t>
      </w:r>
      <w:r>
        <w:rPr>
          <w:rFonts w:hint="eastAsia" w:ascii="Times New Roman" w:hAnsi="Times New Roman"/>
          <w:color w:val="auto"/>
        </w:rPr>
        <w:t>10月26</w:t>
      </w:r>
      <w:r>
        <w:rPr>
          <w:rFonts w:hint="eastAsia"/>
          <w:color w:val="auto"/>
          <w:lang w:val="en-US" w:eastAsia="zh-CN"/>
        </w:rPr>
        <w:t>日</w:t>
      </w:r>
      <w:r>
        <w:rPr>
          <w:rFonts w:hint="eastAsia" w:ascii="Times New Roman" w:hAnsi="Times New Roman"/>
          <w:color w:val="auto"/>
        </w:rPr>
        <w:t>；</w:t>
      </w:r>
    </w:p>
    <w:p w14:paraId="38DD34E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15</w:t>
      </w:r>
      <w:r>
        <w:rPr>
          <w:rFonts w:hint="eastAsia" w:ascii="Times New Roman" w:hAnsi="Times New Roman"/>
          <w:color w:val="auto"/>
          <w:lang w:eastAsia="zh-CN"/>
        </w:rPr>
        <w:t>）</w:t>
      </w:r>
      <w:r>
        <w:rPr>
          <w:rFonts w:hint="eastAsia" w:ascii="Times New Roman" w:hAnsi="Times New Roman"/>
          <w:color w:val="auto"/>
        </w:rPr>
        <w:t>生态环境部《国家先进污染防治技术目录</w:t>
      </w:r>
      <w:r>
        <w:rPr>
          <w:rFonts w:hint="eastAsia"/>
          <w:color w:val="auto"/>
          <w:lang w:eastAsia="zh-CN"/>
        </w:rPr>
        <w:t>（</w:t>
      </w:r>
      <w:r>
        <w:rPr>
          <w:rFonts w:hint="eastAsia" w:ascii="Times New Roman" w:hAnsi="Times New Roman"/>
          <w:color w:val="auto"/>
        </w:rPr>
        <w:t>大气污染防治领域</w:t>
      </w:r>
      <w:r>
        <w:rPr>
          <w:rFonts w:hint="eastAsia"/>
          <w:color w:val="auto"/>
          <w:lang w:eastAsia="zh-CN"/>
        </w:rPr>
        <w:t>）</w:t>
      </w:r>
      <w:r>
        <w:rPr>
          <w:rFonts w:hint="eastAsia" w:ascii="Times New Roman" w:hAnsi="Times New Roman"/>
          <w:color w:val="auto"/>
        </w:rPr>
        <w:t>》（2018年版）（公告2018年 第76号），2019</w:t>
      </w:r>
      <w:r>
        <w:rPr>
          <w:rFonts w:hint="eastAsia"/>
          <w:color w:val="auto"/>
          <w:lang w:val="en-US" w:eastAsia="zh-CN"/>
        </w:rPr>
        <w:t>年</w:t>
      </w:r>
      <w:r>
        <w:rPr>
          <w:rFonts w:hint="eastAsia" w:ascii="Times New Roman" w:hAnsi="Times New Roman"/>
          <w:color w:val="auto"/>
        </w:rPr>
        <w:t>1月2</w:t>
      </w:r>
      <w:r>
        <w:rPr>
          <w:rFonts w:hint="eastAsia"/>
          <w:color w:val="auto"/>
          <w:lang w:val="en-US" w:eastAsia="zh-CN"/>
        </w:rPr>
        <w:t>日</w:t>
      </w:r>
      <w:r>
        <w:rPr>
          <w:rFonts w:hint="eastAsia" w:ascii="Times New Roman" w:hAnsi="Times New Roman"/>
          <w:color w:val="auto"/>
        </w:rPr>
        <w:t>；</w:t>
      </w:r>
    </w:p>
    <w:p w14:paraId="34CBBA7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16</w:t>
      </w:r>
      <w:r>
        <w:rPr>
          <w:rFonts w:hint="eastAsia" w:ascii="Times New Roman" w:hAnsi="Times New Roman"/>
          <w:color w:val="auto"/>
          <w:lang w:eastAsia="zh-CN"/>
        </w:rPr>
        <w:t>）</w:t>
      </w:r>
      <w:r>
        <w:rPr>
          <w:rFonts w:hint="eastAsia" w:ascii="Times New Roman" w:hAnsi="Times New Roman"/>
          <w:color w:val="auto"/>
        </w:rPr>
        <w:t>原环境保护部《国家先进污染防治示范技术名录</w:t>
      </w:r>
      <w:r>
        <w:rPr>
          <w:rFonts w:hint="eastAsia"/>
          <w:color w:val="auto"/>
          <w:lang w:eastAsia="zh-CN"/>
        </w:rPr>
        <w:t>（</w:t>
      </w:r>
      <w:r>
        <w:rPr>
          <w:rFonts w:hint="eastAsia" w:ascii="Times New Roman" w:hAnsi="Times New Roman"/>
          <w:color w:val="auto"/>
        </w:rPr>
        <w:t>水污染治理领域</w:t>
      </w:r>
      <w:r>
        <w:rPr>
          <w:rFonts w:hint="eastAsia"/>
          <w:color w:val="auto"/>
          <w:lang w:eastAsia="zh-CN"/>
        </w:rPr>
        <w:t>）</w:t>
      </w:r>
      <w:r>
        <w:rPr>
          <w:rFonts w:hint="eastAsia" w:ascii="Times New Roman" w:hAnsi="Times New Roman"/>
          <w:color w:val="auto"/>
        </w:rPr>
        <w:t>》和《国家鼓励发展的环境保护技术目录</w:t>
      </w:r>
      <w:r>
        <w:rPr>
          <w:rFonts w:hint="eastAsia"/>
          <w:color w:val="auto"/>
          <w:lang w:eastAsia="zh-CN"/>
        </w:rPr>
        <w:t>（</w:t>
      </w:r>
      <w:r>
        <w:rPr>
          <w:rFonts w:hint="eastAsia" w:ascii="Times New Roman" w:hAnsi="Times New Roman"/>
          <w:color w:val="auto"/>
        </w:rPr>
        <w:t>水污染治理领域</w:t>
      </w:r>
      <w:r>
        <w:rPr>
          <w:rFonts w:hint="eastAsia"/>
          <w:color w:val="auto"/>
          <w:lang w:eastAsia="zh-CN"/>
        </w:rPr>
        <w:t>）</w:t>
      </w:r>
      <w:r>
        <w:rPr>
          <w:rFonts w:hint="eastAsia" w:ascii="Times New Roman" w:hAnsi="Times New Roman"/>
          <w:color w:val="auto"/>
        </w:rPr>
        <w:t>》（公告2015年 第82号），2015</w:t>
      </w:r>
      <w:r>
        <w:rPr>
          <w:rFonts w:hint="eastAsia"/>
          <w:color w:val="auto"/>
          <w:lang w:val="en-US" w:eastAsia="zh-CN"/>
        </w:rPr>
        <w:t>年</w:t>
      </w:r>
      <w:r>
        <w:rPr>
          <w:rFonts w:hint="eastAsia" w:ascii="Times New Roman" w:hAnsi="Times New Roman"/>
          <w:color w:val="auto"/>
        </w:rPr>
        <w:t>12月7</w:t>
      </w:r>
      <w:r>
        <w:rPr>
          <w:rFonts w:hint="eastAsia"/>
          <w:color w:val="auto"/>
          <w:lang w:val="en-US" w:eastAsia="zh-CN"/>
        </w:rPr>
        <w:t>日</w:t>
      </w:r>
      <w:r>
        <w:rPr>
          <w:rFonts w:hint="eastAsia" w:ascii="Times New Roman" w:hAnsi="Times New Roman"/>
          <w:color w:val="auto"/>
        </w:rPr>
        <w:t>；</w:t>
      </w:r>
    </w:p>
    <w:p w14:paraId="5A8A3F47">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17</w:t>
      </w:r>
      <w:r>
        <w:rPr>
          <w:rFonts w:hint="eastAsia" w:ascii="Times New Roman" w:hAnsi="Times New Roman"/>
          <w:color w:val="auto"/>
          <w:lang w:eastAsia="zh-CN"/>
        </w:rPr>
        <w:t>）</w:t>
      </w:r>
      <w:r>
        <w:rPr>
          <w:rFonts w:hint="eastAsia"/>
          <w:color w:val="auto"/>
          <w:lang w:eastAsia="zh-CN"/>
        </w:rPr>
        <w:t>中华人民共和国国家发展和改革委员会</w:t>
      </w:r>
      <w:r>
        <w:rPr>
          <w:rFonts w:hint="eastAsia" w:ascii="Times New Roman" w:hAnsi="Times New Roman"/>
          <w:color w:val="auto"/>
        </w:rPr>
        <w:t>《产业结构调整指导目录（</w:t>
      </w:r>
      <w:r>
        <w:rPr>
          <w:rFonts w:hint="eastAsia" w:ascii="Times New Roman" w:hAnsi="Times New Roman"/>
          <w:color w:val="auto"/>
          <w:lang w:val="en-US" w:eastAsia="zh-CN"/>
        </w:rPr>
        <w:t>2024</w:t>
      </w:r>
      <w:r>
        <w:rPr>
          <w:rFonts w:hint="eastAsia" w:ascii="Times New Roman" w:hAnsi="Times New Roman"/>
          <w:color w:val="auto"/>
        </w:rPr>
        <w:t>年）》（第</w:t>
      </w:r>
      <w:r>
        <w:rPr>
          <w:rFonts w:hint="eastAsia" w:ascii="Times New Roman" w:hAnsi="Times New Roman"/>
          <w:color w:val="auto"/>
          <w:lang w:val="en-US" w:eastAsia="zh-CN"/>
        </w:rPr>
        <w:t>7</w:t>
      </w:r>
      <w:r>
        <w:rPr>
          <w:rFonts w:hint="eastAsia" w:ascii="Times New Roman" w:hAnsi="Times New Roman"/>
          <w:color w:val="auto"/>
        </w:rPr>
        <w:t>号令），</w:t>
      </w:r>
      <w:r>
        <w:rPr>
          <w:rFonts w:hint="eastAsia" w:ascii="Times New Roman" w:hAnsi="Times New Roman"/>
          <w:color w:val="auto"/>
          <w:lang w:val="en-US" w:eastAsia="zh-CN"/>
        </w:rPr>
        <w:t>2024</w:t>
      </w:r>
      <w:r>
        <w:rPr>
          <w:rFonts w:hint="eastAsia"/>
          <w:color w:val="auto"/>
          <w:lang w:val="en-US" w:eastAsia="zh-CN"/>
        </w:rPr>
        <w:t>年</w:t>
      </w:r>
      <w:r>
        <w:rPr>
          <w:rFonts w:hint="eastAsia" w:ascii="Times New Roman" w:hAnsi="Times New Roman"/>
          <w:color w:val="auto"/>
          <w:lang w:val="en-US" w:eastAsia="zh-CN"/>
        </w:rPr>
        <w:t>2</w:t>
      </w:r>
      <w:r>
        <w:rPr>
          <w:rFonts w:hint="eastAsia" w:ascii="Times New Roman" w:hAnsi="Times New Roman"/>
          <w:color w:val="auto"/>
        </w:rPr>
        <w:t>月</w:t>
      </w:r>
      <w:r>
        <w:rPr>
          <w:rFonts w:hint="eastAsia" w:ascii="Times New Roman" w:hAnsi="Times New Roman"/>
          <w:color w:val="auto"/>
          <w:lang w:val="en-US" w:eastAsia="zh-CN"/>
        </w:rPr>
        <w:t>1</w:t>
      </w:r>
      <w:r>
        <w:rPr>
          <w:rFonts w:hint="eastAsia"/>
          <w:color w:val="auto"/>
          <w:lang w:val="en-US" w:eastAsia="zh-CN"/>
        </w:rPr>
        <w:t>日</w:t>
      </w:r>
      <w:r>
        <w:rPr>
          <w:rFonts w:hint="eastAsia"/>
          <w:color w:val="auto"/>
          <w:lang w:eastAsia="zh-CN"/>
        </w:rPr>
        <w:t>。</w:t>
      </w:r>
    </w:p>
    <w:p w14:paraId="28B469A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en-US" w:eastAsia="zh-CN"/>
        </w:rPr>
      </w:pPr>
      <w:bookmarkStart w:id="146" w:name="_Toc9829"/>
      <w:r>
        <w:rPr>
          <w:rFonts w:hint="default" w:ascii="Times New Roman" w:hAnsi="Times New Roman" w:cs="Times New Roman" w:eastAsiaTheme="minorEastAsia"/>
          <w:b/>
          <w:color w:val="auto"/>
          <w:sz w:val="28"/>
          <w:szCs w:val="28"/>
          <w:highlight w:val="none"/>
          <w:lang w:val="en-US" w:eastAsia="zh-CN"/>
        </w:rPr>
        <w:t>1.1.4</w:t>
      </w:r>
      <w:r>
        <w:rPr>
          <w:rFonts w:hint="eastAsia" w:cs="Times New Roman" w:eastAsiaTheme="minorEastAsia"/>
          <w:b/>
          <w:color w:val="auto"/>
          <w:sz w:val="28"/>
          <w:szCs w:val="28"/>
          <w:highlight w:val="none"/>
          <w:lang w:val="en-US" w:eastAsia="zh-CN"/>
        </w:rPr>
        <w:t>地方性法规</w:t>
      </w:r>
      <w:r>
        <w:rPr>
          <w:rFonts w:hint="default" w:ascii="Times New Roman" w:hAnsi="Times New Roman" w:cs="Times New Roman" w:eastAsiaTheme="minorEastAsia"/>
          <w:b/>
          <w:color w:val="auto"/>
          <w:sz w:val="28"/>
          <w:szCs w:val="28"/>
          <w:highlight w:val="none"/>
          <w:lang w:val="en-US" w:eastAsia="zh-CN"/>
        </w:rPr>
        <w:t>及政策</w:t>
      </w:r>
      <w:bookmarkEnd w:id="146"/>
    </w:p>
    <w:p w14:paraId="40CBBB7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w:t>
      </w:r>
      <w:r>
        <w:rPr>
          <w:rFonts w:hint="eastAsia" w:ascii="Times New Roman" w:hAnsi="Times New Roman"/>
          <w:color w:val="auto"/>
        </w:rPr>
        <w:t>宁夏回族自治区人民代表大会常务委员会《宁夏回族自治区土壤污染防治条例》，2021</w:t>
      </w:r>
      <w:r>
        <w:rPr>
          <w:rFonts w:hint="eastAsia"/>
          <w:color w:val="auto"/>
          <w:lang w:val="en-US" w:eastAsia="zh-CN"/>
        </w:rPr>
        <w:t>年</w:t>
      </w:r>
      <w:r>
        <w:rPr>
          <w:rFonts w:hint="eastAsia" w:ascii="Times New Roman" w:hAnsi="Times New Roman"/>
          <w:color w:val="auto"/>
        </w:rPr>
        <w:t>11月1</w:t>
      </w:r>
      <w:r>
        <w:rPr>
          <w:rFonts w:hint="eastAsia"/>
          <w:color w:val="auto"/>
          <w:lang w:val="en-US" w:eastAsia="zh-CN"/>
        </w:rPr>
        <w:t>日</w:t>
      </w:r>
      <w:r>
        <w:rPr>
          <w:rFonts w:hint="eastAsia" w:ascii="Times New Roman" w:hAnsi="Times New Roman"/>
          <w:color w:val="auto"/>
        </w:rPr>
        <w:t>；</w:t>
      </w:r>
    </w:p>
    <w:p w14:paraId="1C9506B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w:t>
      </w:r>
      <w:r>
        <w:rPr>
          <w:rFonts w:hint="eastAsia" w:ascii="Times New Roman" w:hAnsi="Times New Roman"/>
          <w:color w:val="auto"/>
        </w:rPr>
        <w:t>宁夏回族自治区人民代表大会常务委员会《宁夏回族自治区水污染防治条例》，2020</w:t>
      </w:r>
      <w:r>
        <w:rPr>
          <w:rFonts w:hint="eastAsia"/>
          <w:color w:val="auto"/>
          <w:lang w:val="en-US" w:eastAsia="zh-CN"/>
        </w:rPr>
        <w:t>年</w:t>
      </w:r>
      <w:r>
        <w:rPr>
          <w:rFonts w:hint="eastAsia" w:ascii="Times New Roman" w:hAnsi="Times New Roman"/>
          <w:color w:val="auto"/>
        </w:rPr>
        <w:t>3月1</w:t>
      </w:r>
      <w:r>
        <w:rPr>
          <w:rFonts w:hint="eastAsia"/>
          <w:color w:val="auto"/>
          <w:lang w:val="en-US" w:eastAsia="zh-CN"/>
        </w:rPr>
        <w:t>日</w:t>
      </w:r>
      <w:r>
        <w:rPr>
          <w:rFonts w:hint="eastAsia" w:ascii="Times New Roman" w:hAnsi="Times New Roman"/>
          <w:color w:val="auto"/>
        </w:rPr>
        <w:t>；</w:t>
      </w:r>
    </w:p>
    <w:p w14:paraId="70AA79B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ascii="Times New Roman" w:hAnsi="Times New Roman"/>
          <w:color w:val="auto"/>
        </w:rPr>
        <w:t>宁夏回族自治区人民代表大会常务委员会《宁夏回族自治区生态保护红线管理条例》，2019</w:t>
      </w:r>
      <w:r>
        <w:rPr>
          <w:rFonts w:hint="eastAsia"/>
          <w:color w:val="auto"/>
          <w:lang w:val="en-US" w:eastAsia="zh-CN"/>
        </w:rPr>
        <w:t>年</w:t>
      </w:r>
      <w:r>
        <w:rPr>
          <w:rFonts w:hint="eastAsia" w:ascii="Times New Roman" w:hAnsi="Times New Roman"/>
          <w:color w:val="auto"/>
        </w:rPr>
        <w:t>1月1</w:t>
      </w:r>
      <w:r>
        <w:rPr>
          <w:rFonts w:hint="eastAsia"/>
          <w:color w:val="auto"/>
          <w:lang w:val="en-US" w:eastAsia="zh-CN"/>
        </w:rPr>
        <w:t>日</w:t>
      </w:r>
      <w:r>
        <w:rPr>
          <w:rFonts w:hint="eastAsia" w:ascii="Times New Roman" w:hAnsi="Times New Roman"/>
          <w:color w:val="auto"/>
        </w:rPr>
        <w:t>；</w:t>
      </w:r>
    </w:p>
    <w:p w14:paraId="31BC60A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4</w:t>
      </w:r>
      <w:r>
        <w:rPr>
          <w:rFonts w:hint="eastAsia" w:ascii="Times New Roman" w:hAnsi="Times New Roman"/>
          <w:color w:val="auto"/>
          <w:lang w:eastAsia="zh-CN"/>
        </w:rPr>
        <w:t>）</w:t>
      </w:r>
      <w:r>
        <w:rPr>
          <w:rFonts w:hint="eastAsia" w:ascii="Times New Roman" w:hAnsi="Times New Roman"/>
          <w:color w:val="auto"/>
        </w:rPr>
        <w:t>宁夏回族自治区人大常委会，《宁夏回族自治区环境保护条例（</w:t>
      </w:r>
      <w:r>
        <w:rPr>
          <w:rFonts w:hint="eastAsia"/>
          <w:color w:val="auto"/>
          <w:lang w:val="en-US" w:eastAsia="zh-CN"/>
        </w:rPr>
        <w:t>2024</w:t>
      </w:r>
      <w:r>
        <w:rPr>
          <w:rFonts w:hint="eastAsia" w:ascii="Times New Roman" w:hAnsi="Times New Roman"/>
          <w:color w:val="auto"/>
        </w:rPr>
        <w:t>修订）》（20</w:t>
      </w:r>
      <w:r>
        <w:rPr>
          <w:rFonts w:hint="eastAsia"/>
          <w:color w:val="auto"/>
          <w:lang w:val="en-US" w:eastAsia="zh-CN"/>
        </w:rPr>
        <w:t>25</w:t>
      </w:r>
      <w:r>
        <w:rPr>
          <w:rFonts w:hint="eastAsia" w:ascii="Times New Roman" w:hAnsi="Times New Roman"/>
          <w:color w:val="auto"/>
        </w:rPr>
        <w:t>年</w:t>
      </w:r>
      <w:r>
        <w:rPr>
          <w:rFonts w:hint="eastAsia"/>
          <w:color w:val="auto"/>
          <w:lang w:val="en-US" w:eastAsia="zh-CN"/>
        </w:rPr>
        <w:t>1</w:t>
      </w:r>
      <w:r>
        <w:rPr>
          <w:rFonts w:hint="eastAsia" w:ascii="Times New Roman" w:hAnsi="Times New Roman"/>
          <w:color w:val="auto"/>
        </w:rPr>
        <w:t>月</w:t>
      </w:r>
      <w:r>
        <w:rPr>
          <w:rFonts w:hint="eastAsia"/>
          <w:color w:val="auto"/>
          <w:lang w:val="en-US" w:eastAsia="zh-CN"/>
        </w:rPr>
        <w:t>1</w:t>
      </w:r>
      <w:r>
        <w:rPr>
          <w:rFonts w:hint="eastAsia" w:ascii="Times New Roman" w:hAnsi="Times New Roman"/>
          <w:color w:val="auto"/>
        </w:rPr>
        <w:t>日</w:t>
      </w:r>
      <w:r>
        <w:rPr>
          <w:rFonts w:hint="eastAsia"/>
          <w:color w:val="auto"/>
          <w:lang w:val="en-US" w:eastAsia="zh-CN"/>
        </w:rPr>
        <w:t>起实施</w:t>
      </w:r>
      <w:r>
        <w:rPr>
          <w:rFonts w:hint="eastAsia" w:ascii="Times New Roman" w:hAnsi="Times New Roman"/>
          <w:color w:val="auto"/>
        </w:rPr>
        <w:t>）；</w:t>
      </w:r>
    </w:p>
    <w:p w14:paraId="6E661EC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5</w:t>
      </w:r>
      <w:r>
        <w:rPr>
          <w:rFonts w:hint="eastAsia" w:ascii="Times New Roman" w:hAnsi="Times New Roman"/>
          <w:color w:val="auto"/>
          <w:lang w:eastAsia="zh-CN"/>
        </w:rPr>
        <w:t>）</w:t>
      </w:r>
      <w:r>
        <w:rPr>
          <w:rFonts w:hint="eastAsia" w:ascii="Times New Roman" w:hAnsi="Times New Roman"/>
          <w:color w:val="auto"/>
        </w:rPr>
        <w:t>宁夏回族自治区人大常委会，《宁夏回族自治区大气污染防治条例（2019修订）》（2019年3月26日）；</w:t>
      </w:r>
    </w:p>
    <w:p w14:paraId="55D4830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color w:val="auto"/>
          <w:lang w:val="en-US" w:eastAsia="zh-CN"/>
        </w:rPr>
        <w:t>6</w:t>
      </w:r>
      <w:r>
        <w:rPr>
          <w:rFonts w:hint="eastAsia" w:ascii="Times New Roman" w:hAnsi="Times New Roman"/>
          <w:color w:val="auto"/>
          <w:lang w:eastAsia="zh-CN"/>
        </w:rPr>
        <w:t>）</w:t>
      </w:r>
      <w:r>
        <w:rPr>
          <w:rFonts w:hint="eastAsia" w:ascii="Times New Roman" w:hAnsi="Times New Roman"/>
          <w:color w:val="auto"/>
        </w:rPr>
        <w:t>宁夏回族自治区人民政府，宁政发〔2018〕23号《关于发布宁夏回族自治区生态保护红线的通知》（2018年6月30日）；</w:t>
      </w:r>
    </w:p>
    <w:p w14:paraId="32920F8E">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color w:val="auto"/>
          <w:lang w:val="en-US" w:eastAsia="zh-CN"/>
        </w:rPr>
        <w:t>7</w:t>
      </w:r>
      <w:r>
        <w:rPr>
          <w:rFonts w:hint="eastAsia" w:ascii="Times New Roman" w:hAnsi="Times New Roman"/>
          <w:color w:val="auto"/>
          <w:lang w:eastAsia="zh-CN"/>
        </w:rPr>
        <w:t>）</w:t>
      </w:r>
      <w:r>
        <w:rPr>
          <w:rFonts w:hint="eastAsia" w:ascii="Times New Roman" w:hAnsi="Times New Roman"/>
          <w:color w:val="auto"/>
        </w:rPr>
        <w:t>宁夏回族自治区第十二届人民代表大会常务委员会第七次会议通过，《宁夏回族自治区生态保护红线管理条例》（2018年11月29日）；</w:t>
      </w:r>
    </w:p>
    <w:p w14:paraId="13E3D32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color w:val="auto"/>
          <w:lang w:val="en-US" w:eastAsia="zh-CN"/>
        </w:rPr>
        <w:t>8</w:t>
      </w:r>
      <w:r>
        <w:rPr>
          <w:rFonts w:hint="eastAsia" w:ascii="Times New Roman" w:hAnsi="Times New Roman"/>
          <w:color w:val="auto"/>
          <w:lang w:eastAsia="zh-CN"/>
        </w:rPr>
        <w:t>）</w:t>
      </w:r>
      <w:r>
        <w:rPr>
          <w:rFonts w:hint="eastAsia" w:ascii="Times New Roman" w:hAnsi="Times New Roman"/>
          <w:color w:val="auto"/>
        </w:rPr>
        <w:t>《自治区人民政府办公厅关于印发宁夏回族自治区生态环境保护“十四五”规划的通知》（宁政办发〔2021〕59号）；</w:t>
      </w:r>
    </w:p>
    <w:p w14:paraId="6C26102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color w:val="auto"/>
          <w:lang w:val="en-US" w:eastAsia="zh-CN"/>
        </w:rPr>
        <w:t>9</w:t>
      </w:r>
      <w:r>
        <w:rPr>
          <w:rFonts w:hint="eastAsia" w:ascii="Times New Roman" w:hAnsi="Times New Roman"/>
          <w:color w:val="auto"/>
          <w:lang w:eastAsia="zh-CN"/>
        </w:rPr>
        <w:t>）</w:t>
      </w:r>
      <w:r>
        <w:rPr>
          <w:rFonts w:hint="eastAsia" w:ascii="Times New Roman" w:hAnsi="Times New Roman"/>
          <w:color w:val="auto"/>
        </w:rPr>
        <w:t>宁夏回族自治区人民政府关于印发《宁夏优势特色农产品区域布局及发展规划》的通知；</w:t>
      </w:r>
    </w:p>
    <w:p w14:paraId="49BD2EA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color w:val="auto"/>
          <w:lang w:val="en-US" w:eastAsia="zh-CN"/>
        </w:rPr>
        <w:t>10</w:t>
      </w:r>
      <w:r>
        <w:rPr>
          <w:rFonts w:hint="eastAsia" w:ascii="Times New Roman" w:hAnsi="Times New Roman"/>
          <w:color w:val="auto"/>
          <w:lang w:eastAsia="zh-CN"/>
        </w:rPr>
        <w:t>）</w:t>
      </w:r>
      <w:r>
        <w:rPr>
          <w:rFonts w:hint="eastAsia" w:ascii="Times New Roman" w:hAnsi="Times New Roman"/>
          <w:color w:val="auto"/>
        </w:rPr>
        <w:t>宁夏回族自治区人民代表大会常务委员会公告第58号，《宁夏回族自治区畜禽屠宰管理条例》（2018年1月1日）；</w:t>
      </w:r>
    </w:p>
    <w:p w14:paraId="60E1BD0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color w:val="auto"/>
          <w:lang w:val="en-US" w:eastAsia="zh-CN"/>
        </w:rPr>
        <w:t>1</w:t>
      </w:r>
      <w:r>
        <w:rPr>
          <w:rFonts w:hint="eastAsia" w:ascii="Times New Roman" w:hAnsi="Times New Roman"/>
          <w:color w:val="auto"/>
          <w:lang w:eastAsia="zh-CN"/>
        </w:rPr>
        <w:t>）</w:t>
      </w:r>
      <w:r>
        <w:rPr>
          <w:rFonts w:hint="eastAsia" w:ascii="Times New Roman" w:hAnsi="Times New Roman"/>
          <w:color w:val="auto"/>
        </w:rPr>
        <w:t>宁夏回族自治区人大常委会，《宁夏回族自治区节约用水条例》（修订）（20</w:t>
      </w:r>
      <w:r>
        <w:rPr>
          <w:rFonts w:hint="eastAsia"/>
          <w:color w:val="auto"/>
          <w:lang w:val="en-US" w:eastAsia="zh-CN"/>
        </w:rPr>
        <w:t>25</w:t>
      </w:r>
      <w:r>
        <w:rPr>
          <w:rFonts w:hint="eastAsia" w:ascii="Times New Roman" w:hAnsi="Times New Roman"/>
          <w:color w:val="auto"/>
        </w:rPr>
        <w:t>年3月2</w:t>
      </w:r>
      <w:r>
        <w:rPr>
          <w:rFonts w:hint="eastAsia"/>
          <w:color w:val="auto"/>
          <w:lang w:val="en-US" w:eastAsia="zh-CN"/>
        </w:rPr>
        <w:t>8</w:t>
      </w:r>
      <w:r>
        <w:rPr>
          <w:rFonts w:hint="eastAsia" w:ascii="Times New Roman" w:hAnsi="Times New Roman"/>
          <w:color w:val="auto"/>
        </w:rPr>
        <w:t>日）；</w:t>
      </w:r>
    </w:p>
    <w:p w14:paraId="3B7A802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color w:val="auto"/>
          <w:lang w:val="en-US" w:eastAsia="zh-CN"/>
        </w:rPr>
        <w:t>2</w:t>
      </w:r>
      <w:r>
        <w:rPr>
          <w:rFonts w:hint="eastAsia" w:ascii="Times New Roman" w:hAnsi="Times New Roman"/>
          <w:color w:val="auto"/>
          <w:lang w:eastAsia="zh-CN"/>
        </w:rPr>
        <w:t>）</w:t>
      </w:r>
      <w:r>
        <w:rPr>
          <w:rFonts w:hint="eastAsia" w:ascii="Times New Roman" w:hAnsi="Times New Roman"/>
          <w:color w:val="auto"/>
        </w:rPr>
        <w:t>宁夏回族自治区人民政府《关于进一步加强环境保护的决定》；宁政发〔2012〕58号；</w:t>
      </w:r>
    </w:p>
    <w:p w14:paraId="0EEE486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color w:val="auto"/>
          <w:lang w:val="en-US" w:eastAsia="zh-CN"/>
        </w:rPr>
        <w:t>3</w:t>
      </w:r>
      <w:r>
        <w:rPr>
          <w:rFonts w:hint="eastAsia" w:ascii="Times New Roman" w:hAnsi="Times New Roman"/>
          <w:color w:val="auto"/>
          <w:lang w:eastAsia="zh-CN"/>
        </w:rPr>
        <w:t>）</w:t>
      </w:r>
      <w:r>
        <w:rPr>
          <w:rFonts w:hint="eastAsia" w:ascii="Times New Roman" w:hAnsi="Times New Roman"/>
          <w:color w:val="auto"/>
        </w:rPr>
        <w:t>宁夏回族自治区人民政府办公厅，宁政办发〔2010〕169号《自治区人民政府办公厅转发环境保护厅等部门关于推进大气污染联防联控工作实施方案的通知》（2010年11月15日）；</w:t>
      </w:r>
    </w:p>
    <w:p w14:paraId="72ACBDB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color w:val="auto"/>
          <w:lang w:val="en-US" w:eastAsia="zh-CN"/>
        </w:rPr>
        <w:t>14</w:t>
      </w:r>
      <w:r>
        <w:rPr>
          <w:rFonts w:hint="eastAsia" w:ascii="Times New Roman" w:hAnsi="Times New Roman"/>
          <w:color w:val="auto"/>
          <w:lang w:eastAsia="zh-CN"/>
        </w:rPr>
        <w:t>）</w:t>
      </w:r>
      <w:r>
        <w:rPr>
          <w:rFonts w:hint="eastAsia" w:ascii="Times New Roman" w:hAnsi="Times New Roman"/>
          <w:color w:val="auto"/>
        </w:rPr>
        <w:t>关于印发《自治区生态环境厅关于稳经济保增长促发展的若干措施》的通知</w:t>
      </w:r>
      <w:r>
        <w:rPr>
          <w:rFonts w:hint="eastAsia"/>
          <w:color w:val="auto"/>
          <w:lang w:eastAsia="zh-CN"/>
        </w:rPr>
        <w:t>，</w:t>
      </w:r>
      <w:r>
        <w:rPr>
          <w:rFonts w:hint="eastAsia" w:ascii="Times New Roman" w:hAnsi="Times New Roman"/>
          <w:color w:val="auto"/>
        </w:rPr>
        <w:t>（宁环发</w:t>
      </w:r>
      <w:r>
        <w:rPr>
          <w:rFonts w:hint="eastAsia"/>
          <w:color w:val="auto"/>
          <w:lang w:eastAsia="zh-CN"/>
        </w:rPr>
        <w:t>〔2022〕33号</w:t>
      </w:r>
      <w:r>
        <w:rPr>
          <w:rFonts w:hint="eastAsia" w:ascii="Times New Roman" w:hAnsi="Times New Roman"/>
          <w:color w:val="auto"/>
        </w:rPr>
        <w:t>，2022年6月2日）；</w:t>
      </w:r>
    </w:p>
    <w:p w14:paraId="10EF73B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w:t>
      </w:r>
      <w:r>
        <w:rPr>
          <w:rFonts w:hint="eastAsia"/>
          <w:color w:val="auto"/>
          <w:lang w:val="en-US" w:eastAsia="zh-CN"/>
        </w:rPr>
        <w:t>15</w:t>
      </w:r>
      <w:r>
        <w:rPr>
          <w:rFonts w:hint="eastAsia" w:ascii="Times New Roman" w:hAnsi="Times New Roman"/>
          <w:color w:val="auto"/>
        </w:rPr>
        <w:t>）固原市人民政府办公室关于印发《固原市产业发展指导目录（2021年本）的通知》（2021年8月18日）；</w:t>
      </w:r>
    </w:p>
    <w:p w14:paraId="5357F2C7">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w:t>
      </w:r>
      <w:r>
        <w:rPr>
          <w:rFonts w:hint="eastAsia"/>
          <w:color w:val="auto"/>
          <w:lang w:val="en-US" w:eastAsia="zh-CN"/>
        </w:rPr>
        <w:t>16</w:t>
      </w:r>
      <w:r>
        <w:rPr>
          <w:rFonts w:hint="eastAsia" w:ascii="Times New Roman" w:hAnsi="Times New Roman"/>
          <w:color w:val="auto"/>
        </w:rPr>
        <w:t>）固原市人民政府办公室关于印发</w:t>
      </w:r>
      <w:r>
        <w:rPr>
          <w:rFonts w:hint="eastAsia"/>
          <w:color w:val="auto"/>
          <w:lang w:eastAsia="zh-CN"/>
        </w:rPr>
        <w:t>《</w:t>
      </w:r>
      <w:r>
        <w:rPr>
          <w:rFonts w:hint="eastAsia" w:ascii="Times New Roman" w:hAnsi="Times New Roman"/>
          <w:color w:val="auto"/>
        </w:rPr>
        <w:t>固原市环境保护“十四五”规划</w:t>
      </w:r>
      <w:r>
        <w:rPr>
          <w:rFonts w:hint="eastAsia"/>
          <w:color w:val="auto"/>
          <w:lang w:eastAsia="zh-CN"/>
        </w:rPr>
        <w:t>》</w:t>
      </w:r>
      <w:r>
        <w:rPr>
          <w:rFonts w:hint="eastAsia" w:ascii="Times New Roman" w:hAnsi="Times New Roman"/>
          <w:color w:val="auto"/>
        </w:rPr>
        <w:t>的通知</w:t>
      </w:r>
      <w:r>
        <w:rPr>
          <w:rFonts w:hint="eastAsia"/>
          <w:color w:val="auto"/>
          <w:lang w:eastAsia="zh-CN"/>
        </w:rPr>
        <w:t>，</w:t>
      </w:r>
      <w:r>
        <w:rPr>
          <w:rFonts w:hint="eastAsia" w:ascii="Times New Roman" w:hAnsi="Times New Roman"/>
          <w:color w:val="auto"/>
        </w:rPr>
        <w:t>（固政办发〔2021〕56号）（2021年12月7日）；</w:t>
      </w:r>
    </w:p>
    <w:p w14:paraId="73A3596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w:t>
      </w:r>
      <w:r>
        <w:rPr>
          <w:rFonts w:hint="eastAsia"/>
          <w:color w:val="auto"/>
          <w:lang w:val="en-US" w:eastAsia="zh-CN"/>
        </w:rPr>
        <w:t>17</w:t>
      </w:r>
      <w:r>
        <w:rPr>
          <w:rFonts w:hint="eastAsia" w:ascii="Times New Roman" w:hAnsi="Times New Roman"/>
          <w:color w:val="auto"/>
        </w:rPr>
        <w:t>）固原市人民政府办公室关于印发</w:t>
      </w:r>
      <w:r>
        <w:rPr>
          <w:rFonts w:hint="eastAsia"/>
          <w:color w:val="auto"/>
          <w:lang w:eastAsia="zh-CN"/>
        </w:rPr>
        <w:t>《</w:t>
      </w:r>
      <w:r>
        <w:rPr>
          <w:rFonts w:hint="eastAsia" w:ascii="Times New Roman" w:hAnsi="Times New Roman"/>
          <w:color w:val="auto"/>
        </w:rPr>
        <w:t>黄河流域固原市生态保护和高质量发展规划</w:t>
      </w:r>
      <w:r>
        <w:rPr>
          <w:rFonts w:hint="eastAsia"/>
          <w:color w:val="auto"/>
          <w:lang w:eastAsia="zh-CN"/>
        </w:rPr>
        <w:t>》</w:t>
      </w:r>
      <w:r>
        <w:rPr>
          <w:rFonts w:hint="eastAsia" w:ascii="Times New Roman" w:hAnsi="Times New Roman"/>
          <w:color w:val="auto"/>
        </w:rPr>
        <w:t>的通知</w:t>
      </w:r>
      <w:r>
        <w:rPr>
          <w:rFonts w:hint="eastAsia"/>
          <w:color w:val="auto"/>
          <w:lang w:eastAsia="zh-CN"/>
        </w:rPr>
        <w:t>，</w:t>
      </w:r>
      <w:r>
        <w:rPr>
          <w:rFonts w:hint="eastAsia" w:ascii="Times New Roman" w:hAnsi="Times New Roman"/>
          <w:color w:val="auto"/>
        </w:rPr>
        <w:t>（固政办发〔2021〕53号）（2021年12月7日）；</w:t>
      </w:r>
    </w:p>
    <w:p w14:paraId="6037E1E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w:t>
      </w:r>
      <w:r>
        <w:rPr>
          <w:rFonts w:hint="eastAsia"/>
          <w:color w:val="auto"/>
          <w:lang w:val="en-US" w:eastAsia="zh-CN"/>
        </w:rPr>
        <w:t>18</w:t>
      </w:r>
      <w:r>
        <w:rPr>
          <w:rFonts w:hint="eastAsia" w:ascii="Times New Roman" w:hAnsi="Times New Roman"/>
          <w:color w:val="auto"/>
        </w:rPr>
        <w:t>）固原市人民政府关于印发《固原市土壤污染防治工作实施方案》的通知</w:t>
      </w:r>
      <w:r>
        <w:rPr>
          <w:rFonts w:hint="eastAsia"/>
          <w:color w:val="auto"/>
          <w:lang w:eastAsia="zh-CN"/>
        </w:rPr>
        <w:t>，</w:t>
      </w:r>
      <w:r>
        <w:rPr>
          <w:rFonts w:hint="eastAsia" w:ascii="Times New Roman" w:hAnsi="Times New Roman"/>
          <w:color w:val="auto"/>
        </w:rPr>
        <w:t>（2017年3月8日）；</w:t>
      </w:r>
    </w:p>
    <w:p w14:paraId="71F6AC8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w:t>
      </w:r>
      <w:r>
        <w:rPr>
          <w:rFonts w:hint="eastAsia"/>
          <w:color w:val="auto"/>
          <w:lang w:val="en-US" w:eastAsia="zh-CN"/>
        </w:rPr>
        <w:t>19</w:t>
      </w:r>
      <w:r>
        <w:rPr>
          <w:rFonts w:hint="eastAsia" w:ascii="Times New Roman" w:hAnsi="Times New Roman"/>
          <w:color w:val="auto"/>
        </w:rPr>
        <w:t>）</w:t>
      </w:r>
      <w:r>
        <w:rPr>
          <w:rFonts w:hint="default" w:ascii="Times New Roman" w:hAnsi="Times New Roman" w:eastAsia="仿宋_GB2312" w:cs="Times New Roman"/>
          <w:color w:val="auto"/>
          <w:sz w:val="24"/>
          <w:lang w:val="en-US" w:eastAsia="zh-CN"/>
        </w:rPr>
        <w:t>《固原市生态环境分区管控实施方案的通知》（固政发〔2024〕28号）</w:t>
      </w:r>
      <w:r>
        <w:rPr>
          <w:rFonts w:hint="eastAsia" w:ascii="Times New Roman" w:hAnsi="Times New Roman" w:cs="Times New Roman"/>
          <w:color w:val="auto"/>
          <w:sz w:val="24"/>
          <w:lang w:val="en-US" w:eastAsia="zh-CN"/>
        </w:rPr>
        <w:t>（2024年9月12日）</w:t>
      </w:r>
      <w:r>
        <w:rPr>
          <w:rFonts w:hint="eastAsia" w:ascii="Times New Roman" w:hAnsi="Times New Roman"/>
          <w:color w:val="auto"/>
        </w:rPr>
        <w:t>；</w:t>
      </w:r>
    </w:p>
    <w:p w14:paraId="43A3BD2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eastAsia="zh-CN"/>
        </w:rPr>
      </w:pPr>
      <w:r>
        <w:rPr>
          <w:rFonts w:hint="eastAsia" w:ascii="Times New Roman" w:hAnsi="Times New Roman"/>
          <w:color w:val="auto"/>
        </w:rPr>
        <w:t>（2</w:t>
      </w:r>
      <w:r>
        <w:rPr>
          <w:rFonts w:hint="eastAsia"/>
          <w:color w:val="auto"/>
          <w:lang w:val="en-US" w:eastAsia="zh-CN"/>
        </w:rPr>
        <w:t>0</w:t>
      </w:r>
      <w:r>
        <w:rPr>
          <w:rFonts w:hint="eastAsia" w:ascii="Times New Roman" w:hAnsi="Times New Roman"/>
          <w:color w:val="auto"/>
        </w:rPr>
        <w:t>）《固原市人民政府办公室关于印发“四县一区”城市区域声功能区划分方案》的通知</w:t>
      </w:r>
      <w:r>
        <w:rPr>
          <w:rFonts w:hint="eastAsia"/>
          <w:color w:val="auto"/>
          <w:lang w:eastAsia="zh-CN"/>
        </w:rPr>
        <w:t>，（</w:t>
      </w:r>
      <w:r>
        <w:rPr>
          <w:rFonts w:hint="eastAsia" w:ascii="Times New Roman" w:hAnsi="Times New Roman"/>
          <w:color w:val="auto"/>
        </w:rPr>
        <w:t>固政办发〔2022〕15号，2022年3月29日</w:t>
      </w:r>
      <w:r>
        <w:rPr>
          <w:rFonts w:hint="eastAsia"/>
          <w:color w:val="auto"/>
          <w:lang w:eastAsia="zh-CN"/>
        </w:rPr>
        <w:t>）；</w:t>
      </w:r>
    </w:p>
    <w:p w14:paraId="3355F656">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val="en-US" w:eastAsia="zh-CN"/>
        </w:rPr>
      </w:pPr>
      <w:r>
        <w:rPr>
          <w:rFonts w:hint="eastAsia"/>
          <w:color w:val="auto"/>
          <w:lang w:eastAsia="zh-CN"/>
        </w:rPr>
        <w:t>（</w:t>
      </w:r>
      <w:r>
        <w:rPr>
          <w:rFonts w:hint="eastAsia"/>
          <w:color w:val="auto"/>
          <w:lang w:val="en-US" w:eastAsia="zh-CN"/>
        </w:rPr>
        <w:t>21</w:t>
      </w:r>
      <w:r>
        <w:rPr>
          <w:rFonts w:hint="eastAsia"/>
          <w:color w:val="auto"/>
          <w:lang w:eastAsia="zh-CN"/>
        </w:rPr>
        <w:t>）</w:t>
      </w:r>
      <w:r>
        <w:rPr>
          <w:rFonts w:hint="eastAsia"/>
          <w:color w:val="auto"/>
          <w:lang w:val="en-US" w:eastAsia="zh-CN"/>
        </w:rPr>
        <w:t>宁夏回族自治区人民政府，《宁夏回族自治区人民政府关于加快产业转型升级促进现代农业发展的意见》（宁政发〔2014〕43号，2014年5月20日）。</w:t>
      </w:r>
    </w:p>
    <w:p w14:paraId="43418B1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val="en-US" w:eastAsia="zh-CN"/>
        </w:rPr>
      </w:pPr>
      <w:r>
        <w:rPr>
          <w:rFonts w:hint="eastAsia"/>
          <w:color w:val="auto"/>
          <w:lang w:val="en-US" w:eastAsia="zh-CN"/>
        </w:rPr>
        <w:t>（22）国家发展改革委关于印发《支持宁夏建设黄河流域生态保护和高质量发展先行区实施方案》的通知（发改地区〔2022〕654号，2022年4月27日）。</w:t>
      </w:r>
    </w:p>
    <w:p w14:paraId="24212ED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en-US" w:eastAsia="zh-CN"/>
        </w:rPr>
      </w:pPr>
      <w:bookmarkStart w:id="147" w:name="_Toc2735"/>
      <w:r>
        <w:rPr>
          <w:rFonts w:hint="default" w:ascii="Times New Roman" w:hAnsi="Times New Roman" w:cs="Times New Roman" w:eastAsiaTheme="minorEastAsia"/>
          <w:b/>
          <w:color w:val="auto"/>
          <w:sz w:val="28"/>
          <w:szCs w:val="28"/>
          <w:highlight w:val="none"/>
          <w:lang w:val="en-US" w:eastAsia="zh-CN"/>
        </w:rPr>
        <w:t>1.1.5相关规划</w:t>
      </w:r>
      <w:bookmarkEnd w:id="147"/>
    </w:p>
    <w:p w14:paraId="0706FBB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w:t>
      </w:r>
      <w:r>
        <w:rPr>
          <w:rFonts w:hint="eastAsia" w:ascii="Times New Roman" w:hAnsi="Times New Roman"/>
          <w:color w:val="auto"/>
        </w:rPr>
        <w:t>《宁夏回族自治区国民经济和社会发展第十四个五年规划和2035年远景目标纲要》；</w:t>
      </w:r>
    </w:p>
    <w:p w14:paraId="7B70A9F6">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w:t>
      </w:r>
      <w:r>
        <w:rPr>
          <w:rFonts w:hint="eastAsia" w:ascii="Times New Roman" w:hAnsi="Times New Roman"/>
          <w:color w:val="auto"/>
        </w:rPr>
        <w:t>《宁夏主体功能区规划》；</w:t>
      </w:r>
    </w:p>
    <w:p w14:paraId="7968DB0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ascii="Times New Roman" w:hAnsi="Times New Roman"/>
          <w:color w:val="auto"/>
        </w:rPr>
        <w:t>《宁夏回族自治区国民经济和社会发展第十四个五年规划纲要》（2021</w:t>
      </w:r>
      <w:r>
        <w:rPr>
          <w:rFonts w:hint="eastAsia"/>
          <w:color w:val="auto"/>
          <w:lang w:val="en-US" w:eastAsia="zh-CN"/>
        </w:rPr>
        <w:t>-</w:t>
      </w:r>
      <w:r>
        <w:rPr>
          <w:rFonts w:hint="eastAsia" w:ascii="Times New Roman" w:hAnsi="Times New Roman"/>
          <w:color w:val="auto"/>
        </w:rPr>
        <w:t>2025年）；</w:t>
      </w:r>
    </w:p>
    <w:p w14:paraId="36C2638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4</w:t>
      </w:r>
      <w:r>
        <w:rPr>
          <w:rFonts w:hint="eastAsia" w:ascii="Times New Roman" w:hAnsi="Times New Roman"/>
          <w:color w:val="auto"/>
          <w:lang w:eastAsia="zh-CN"/>
        </w:rPr>
        <w:t>）</w:t>
      </w:r>
      <w:r>
        <w:rPr>
          <w:rFonts w:hint="eastAsia" w:ascii="Times New Roman" w:hAnsi="Times New Roman"/>
          <w:color w:val="auto"/>
        </w:rPr>
        <w:t>《宁夏回族自治区环境保护“十四五”规划》（2021</w:t>
      </w:r>
      <w:r>
        <w:rPr>
          <w:rFonts w:hint="eastAsia"/>
          <w:color w:val="auto"/>
          <w:lang w:val="en-US" w:eastAsia="zh-CN"/>
        </w:rPr>
        <w:t>-</w:t>
      </w:r>
      <w:r>
        <w:rPr>
          <w:rFonts w:hint="eastAsia" w:ascii="Times New Roman" w:hAnsi="Times New Roman"/>
          <w:color w:val="auto"/>
        </w:rPr>
        <w:t>2025年）；</w:t>
      </w:r>
    </w:p>
    <w:p w14:paraId="3A560BA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5</w:t>
      </w:r>
      <w:r>
        <w:rPr>
          <w:rFonts w:hint="eastAsia" w:ascii="Times New Roman" w:hAnsi="Times New Roman"/>
          <w:color w:val="auto"/>
          <w:lang w:eastAsia="zh-CN"/>
        </w:rPr>
        <w:t>）</w:t>
      </w:r>
      <w:r>
        <w:rPr>
          <w:rFonts w:hint="eastAsia" w:ascii="Times New Roman" w:hAnsi="Times New Roman"/>
          <w:color w:val="auto"/>
        </w:rPr>
        <w:t>《固原市国民经济和社会发展第十四个五年规划纲要》（2021</w:t>
      </w:r>
      <w:r>
        <w:rPr>
          <w:rFonts w:hint="eastAsia"/>
          <w:color w:val="auto"/>
          <w:lang w:val="en-US" w:eastAsia="zh-CN"/>
        </w:rPr>
        <w:t>-</w:t>
      </w:r>
      <w:r>
        <w:rPr>
          <w:rFonts w:hint="eastAsia" w:ascii="Times New Roman" w:hAnsi="Times New Roman"/>
          <w:color w:val="auto"/>
        </w:rPr>
        <w:t>2025年）；</w:t>
      </w:r>
    </w:p>
    <w:p w14:paraId="788D5B07">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6</w:t>
      </w:r>
      <w:r>
        <w:rPr>
          <w:rFonts w:hint="eastAsia" w:ascii="Times New Roman" w:hAnsi="Times New Roman"/>
          <w:color w:val="auto"/>
          <w:lang w:eastAsia="zh-CN"/>
        </w:rPr>
        <w:t>）</w:t>
      </w:r>
      <w:r>
        <w:rPr>
          <w:rFonts w:hint="eastAsia" w:ascii="Times New Roman" w:hAnsi="Times New Roman"/>
          <w:color w:val="auto"/>
        </w:rPr>
        <w:t>《固原市环境保护“十四五”规划》（2021</w:t>
      </w:r>
      <w:r>
        <w:rPr>
          <w:rFonts w:hint="eastAsia"/>
          <w:color w:val="auto"/>
          <w:lang w:val="en-US" w:eastAsia="zh-CN"/>
        </w:rPr>
        <w:t>-</w:t>
      </w:r>
      <w:r>
        <w:rPr>
          <w:rFonts w:hint="eastAsia" w:ascii="Times New Roman" w:hAnsi="Times New Roman"/>
          <w:color w:val="auto"/>
        </w:rPr>
        <w:t>2025年）；</w:t>
      </w:r>
    </w:p>
    <w:p w14:paraId="3BDAC48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7</w:t>
      </w:r>
      <w:r>
        <w:rPr>
          <w:rFonts w:hint="eastAsia" w:ascii="Times New Roman" w:hAnsi="Times New Roman"/>
          <w:color w:val="auto"/>
          <w:lang w:eastAsia="zh-CN"/>
        </w:rPr>
        <w:t>）</w:t>
      </w:r>
      <w:r>
        <w:rPr>
          <w:rFonts w:hint="eastAsia" w:ascii="Times New Roman" w:hAnsi="Times New Roman"/>
          <w:color w:val="auto"/>
        </w:rPr>
        <w:t>《固原市城市总体规划》（2011</w:t>
      </w:r>
      <w:r>
        <w:rPr>
          <w:rFonts w:hint="eastAsia"/>
          <w:color w:val="auto"/>
          <w:lang w:val="en-US" w:eastAsia="zh-CN"/>
        </w:rPr>
        <w:t>-</w:t>
      </w:r>
      <w:r>
        <w:rPr>
          <w:rFonts w:hint="eastAsia" w:ascii="Times New Roman" w:hAnsi="Times New Roman"/>
          <w:color w:val="auto"/>
        </w:rPr>
        <w:t>2030年）</w:t>
      </w:r>
      <w:r>
        <w:rPr>
          <w:rFonts w:hint="eastAsia"/>
          <w:color w:val="auto"/>
          <w:lang w:eastAsia="zh-CN"/>
        </w:rPr>
        <w:t>；</w:t>
      </w:r>
    </w:p>
    <w:p w14:paraId="59E00D2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eastAsia="zh-CN"/>
        </w:rPr>
      </w:pPr>
      <w:r>
        <w:rPr>
          <w:rFonts w:hint="eastAsia"/>
          <w:color w:val="auto"/>
          <w:lang w:eastAsia="zh-CN"/>
        </w:rPr>
        <w:t>（</w:t>
      </w:r>
      <w:r>
        <w:rPr>
          <w:rFonts w:hint="eastAsia"/>
          <w:color w:val="auto"/>
          <w:lang w:val="en-US" w:eastAsia="zh-CN"/>
        </w:rPr>
        <w:t>8</w:t>
      </w:r>
      <w:r>
        <w:rPr>
          <w:rFonts w:hint="eastAsia"/>
          <w:color w:val="auto"/>
          <w:lang w:eastAsia="zh-CN"/>
        </w:rPr>
        <w:t>）《宁夏固原经济开发区“一区三园”总体规划修编（2022-2035年）》。</w:t>
      </w:r>
    </w:p>
    <w:p w14:paraId="245A2C7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en-US" w:eastAsia="zh-CN"/>
        </w:rPr>
      </w:pPr>
      <w:r>
        <w:rPr>
          <w:rFonts w:hint="default" w:ascii="Times New Roman" w:hAnsi="Times New Roman" w:cs="Times New Roman" w:eastAsiaTheme="minorEastAsia"/>
          <w:b/>
          <w:color w:val="auto"/>
          <w:sz w:val="28"/>
          <w:szCs w:val="28"/>
          <w:highlight w:val="none"/>
          <w:lang w:val="en-US" w:eastAsia="zh-CN"/>
        </w:rPr>
        <w:t>1.1.6相关导则及技术规范</w:t>
      </w:r>
    </w:p>
    <w:p w14:paraId="2B37CE7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w:t>
      </w:r>
      <w:r>
        <w:rPr>
          <w:rFonts w:hint="eastAsia" w:ascii="Times New Roman" w:hAnsi="Times New Roman"/>
          <w:color w:val="auto"/>
        </w:rPr>
        <w:t>《建设项目环境影响评价技术导则 总纲》（HJ2.1-2016）；</w:t>
      </w:r>
    </w:p>
    <w:p w14:paraId="4677228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w:t>
      </w:r>
      <w:r>
        <w:rPr>
          <w:rFonts w:hint="eastAsia" w:ascii="Times New Roman" w:hAnsi="Times New Roman"/>
          <w:color w:val="auto"/>
        </w:rPr>
        <w:t>《环境影响评价技术导则 大气环境》（HJ2.2-2018）；</w:t>
      </w:r>
    </w:p>
    <w:p w14:paraId="6772B27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ascii="Times New Roman" w:hAnsi="Times New Roman"/>
          <w:color w:val="auto"/>
        </w:rPr>
        <w:t>《环境影响评价技术导则 地表水环境》（HJ2.3-2018）；</w:t>
      </w:r>
    </w:p>
    <w:p w14:paraId="6717453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4</w:t>
      </w:r>
      <w:r>
        <w:rPr>
          <w:rFonts w:hint="eastAsia" w:ascii="Times New Roman" w:hAnsi="Times New Roman"/>
          <w:color w:val="auto"/>
          <w:lang w:eastAsia="zh-CN"/>
        </w:rPr>
        <w:t>）</w:t>
      </w:r>
      <w:r>
        <w:rPr>
          <w:rFonts w:hint="eastAsia" w:ascii="Times New Roman" w:hAnsi="Times New Roman"/>
          <w:color w:val="auto"/>
        </w:rPr>
        <w:t>《环境影响评价技术导则 地下水环境》（HJ610-2016）；</w:t>
      </w:r>
    </w:p>
    <w:p w14:paraId="59E3D1A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5</w:t>
      </w:r>
      <w:r>
        <w:rPr>
          <w:rFonts w:hint="eastAsia" w:ascii="Times New Roman" w:hAnsi="Times New Roman"/>
          <w:color w:val="auto"/>
          <w:lang w:eastAsia="zh-CN"/>
        </w:rPr>
        <w:t>）</w:t>
      </w:r>
      <w:r>
        <w:rPr>
          <w:rFonts w:hint="eastAsia" w:ascii="Times New Roman" w:hAnsi="Times New Roman"/>
          <w:color w:val="auto"/>
        </w:rPr>
        <w:t>《环境影响评价技术导则 声环境》（HJ2.4-2021）；</w:t>
      </w:r>
    </w:p>
    <w:p w14:paraId="36C6BCC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6</w:t>
      </w:r>
      <w:r>
        <w:rPr>
          <w:rFonts w:hint="eastAsia" w:ascii="Times New Roman" w:hAnsi="Times New Roman"/>
          <w:color w:val="auto"/>
          <w:lang w:eastAsia="zh-CN"/>
        </w:rPr>
        <w:t>）</w:t>
      </w:r>
      <w:r>
        <w:rPr>
          <w:rFonts w:hint="eastAsia" w:ascii="Times New Roman" w:hAnsi="Times New Roman"/>
          <w:color w:val="auto"/>
        </w:rPr>
        <w:t>《环境影响评价技术导则 生态影响》（HJ19-2022）；</w:t>
      </w:r>
    </w:p>
    <w:p w14:paraId="0BC044C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7</w:t>
      </w:r>
      <w:r>
        <w:rPr>
          <w:rFonts w:hint="eastAsia" w:ascii="Times New Roman" w:hAnsi="Times New Roman"/>
          <w:color w:val="auto"/>
          <w:lang w:eastAsia="zh-CN"/>
        </w:rPr>
        <w:t>）</w:t>
      </w:r>
      <w:r>
        <w:rPr>
          <w:rFonts w:hint="eastAsia" w:ascii="Times New Roman" w:hAnsi="Times New Roman"/>
          <w:color w:val="auto"/>
        </w:rPr>
        <w:t>《建设项目环境风险评价技术导则》（HJ169-2018）；</w:t>
      </w:r>
    </w:p>
    <w:p w14:paraId="1DBA97A7">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8</w:t>
      </w:r>
      <w:r>
        <w:rPr>
          <w:rFonts w:hint="eastAsia" w:ascii="Times New Roman" w:hAnsi="Times New Roman"/>
          <w:color w:val="auto"/>
          <w:lang w:eastAsia="zh-CN"/>
        </w:rPr>
        <w:t>）</w:t>
      </w:r>
      <w:r>
        <w:rPr>
          <w:rFonts w:hint="eastAsia" w:ascii="Times New Roman" w:hAnsi="Times New Roman"/>
          <w:color w:val="auto"/>
        </w:rPr>
        <w:t>《环境影响评价技术导则 土壤环境（试行）》（HJ964-2018）；</w:t>
      </w:r>
    </w:p>
    <w:p w14:paraId="0756704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9</w:t>
      </w:r>
      <w:r>
        <w:rPr>
          <w:rFonts w:hint="eastAsia" w:ascii="Times New Roman" w:hAnsi="Times New Roman"/>
          <w:color w:val="auto"/>
          <w:lang w:eastAsia="zh-CN"/>
        </w:rPr>
        <w:t>）</w:t>
      </w:r>
      <w:r>
        <w:rPr>
          <w:rFonts w:hint="eastAsia" w:ascii="Times New Roman" w:hAnsi="Times New Roman"/>
          <w:color w:val="auto"/>
        </w:rPr>
        <w:t>《排污许可证申请与核发技术规范农副食品加工工业-屠宰及肉类加工工业》（HJ860.3-2018）；</w:t>
      </w:r>
    </w:p>
    <w:p w14:paraId="095942B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10</w:t>
      </w:r>
      <w:r>
        <w:rPr>
          <w:rFonts w:hint="eastAsia" w:ascii="Times New Roman" w:hAnsi="Times New Roman"/>
          <w:color w:val="auto"/>
          <w:lang w:eastAsia="zh-CN"/>
        </w:rPr>
        <w:t>）</w:t>
      </w:r>
      <w:r>
        <w:rPr>
          <w:rFonts w:hint="eastAsia" w:ascii="Times New Roman" w:hAnsi="Times New Roman"/>
          <w:color w:val="auto"/>
        </w:rPr>
        <w:t>《排污许可单位自行监测技术指南 农副食品加工》（HJ986-2018）；</w:t>
      </w:r>
    </w:p>
    <w:p w14:paraId="2B58895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11</w:t>
      </w:r>
      <w:r>
        <w:rPr>
          <w:rFonts w:hint="eastAsia" w:ascii="Times New Roman" w:hAnsi="Times New Roman"/>
          <w:color w:val="auto"/>
          <w:lang w:eastAsia="zh-CN"/>
        </w:rPr>
        <w:t>）</w:t>
      </w:r>
      <w:r>
        <w:rPr>
          <w:rFonts w:hint="eastAsia" w:ascii="Times New Roman" w:hAnsi="Times New Roman"/>
          <w:color w:val="auto"/>
        </w:rPr>
        <w:t>《屠宰与肉类加工废水治理工程技术规范》（HJ2004-2010）；</w:t>
      </w:r>
    </w:p>
    <w:p w14:paraId="55A968C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12</w:t>
      </w:r>
      <w:r>
        <w:rPr>
          <w:rFonts w:hint="eastAsia" w:ascii="Times New Roman" w:hAnsi="Times New Roman"/>
          <w:color w:val="auto"/>
          <w:lang w:eastAsia="zh-CN"/>
        </w:rPr>
        <w:t>）</w:t>
      </w:r>
      <w:r>
        <w:rPr>
          <w:rFonts w:hint="eastAsia" w:ascii="Times New Roman" w:hAnsi="Times New Roman"/>
          <w:color w:val="auto"/>
        </w:rPr>
        <w:t>《污染源源强核算技术指南 准则》（HJ884-2018）；</w:t>
      </w:r>
    </w:p>
    <w:p w14:paraId="64BB13B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13</w:t>
      </w:r>
      <w:r>
        <w:rPr>
          <w:rFonts w:hint="eastAsia" w:ascii="Times New Roman" w:hAnsi="Times New Roman"/>
          <w:color w:val="auto"/>
          <w:lang w:eastAsia="zh-CN"/>
        </w:rPr>
        <w:t>）</w:t>
      </w:r>
      <w:r>
        <w:rPr>
          <w:rFonts w:hint="eastAsia" w:ascii="Times New Roman" w:hAnsi="Times New Roman"/>
          <w:color w:val="auto"/>
        </w:rPr>
        <w:t>《食品安全国家标准 畜禽屠宰加工卫生规范》（GB12694-2016）；</w:t>
      </w:r>
    </w:p>
    <w:p w14:paraId="575330A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14</w:t>
      </w:r>
      <w:r>
        <w:rPr>
          <w:rFonts w:hint="eastAsia" w:ascii="Times New Roman" w:hAnsi="Times New Roman"/>
          <w:color w:val="auto"/>
          <w:lang w:eastAsia="zh-CN"/>
        </w:rPr>
        <w:t>）</w:t>
      </w:r>
      <w:r>
        <w:rPr>
          <w:rFonts w:hint="eastAsia" w:ascii="Times New Roman" w:hAnsi="Times New Roman"/>
          <w:color w:val="auto"/>
        </w:rPr>
        <w:t>《鲜、冻肉运输条件》（GB/T20799-2014）；</w:t>
      </w:r>
    </w:p>
    <w:p w14:paraId="4C330BF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15</w:t>
      </w:r>
      <w:r>
        <w:rPr>
          <w:rFonts w:hint="eastAsia" w:ascii="Times New Roman" w:hAnsi="Times New Roman"/>
          <w:color w:val="auto"/>
          <w:lang w:eastAsia="zh-CN"/>
        </w:rPr>
        <w:t>）</w:t>
      </w:r>
      <w:r>
        <w:rPr>
          <w:rFonts w:hint="eastAsia" w:ascii="Times New Roman" w:hAnsi="Times New Roman"/>
          <w:color w:val="auto"/>
        </w:rPr>
        <w:t>《畜禽粪便无害化处理技术规范》（GB/T236195-2018）；</w:t>
      </w:r>
    </w:p>
    <w:p w14:paraId="6684C70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16</w:t>
      </w:r>
      <w:r>
        <w:rPr>
          <w:rFonts w:hint="eastAsia" w:ascii="Times New Roman" w:hAnsi="Times New Roman"/>
          <w:color w:val="auto"/>
          <w:lang w:eastAsia="zh-CN"/>
        </w:rPr>
        <w:t>）《地下水监测井建设规范》（DZ/T0270-2014）；</w:t>
      </w:r>
    </w:p>
    <w:p w14:paraId="6D05FFA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17</w:t>
      </w:r>
      <w:r>
        <w:rPr>
          <w:rFonts w:hint="eastAsia" w:ascii="Times New Roman" w:hAnsi="Times New Roman"/>
          <w:color w:val="auto"/>
          <w:lang w:eastAsia="zh-CN"/>
        </w:rPr>
        <w:t>）</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食品安全国家标准 食品生产通用卫生规范</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（GB14881-2025）</w:t>
      </w:r>
      <w:r>
        <w:rPr>
          <w:rFonts w:hint="eastAsia"/>
          <w:color w:val="auto"/>
          <w:lang w:eastAsia="zh-CN"/>
        </w:rPr>
        <w:t>；</w:t>
      </w:r>
    </w:p>
    <w:p w14:paraId="6BCAC9D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lang w:val="en-US" w:eastAsia="zh-CN"/>
        </w:rPr>
      </w:pPr>
      <w:r>
        <w:rPr>
          <w:rFonts w:hint="eastAsia" w:ascii="Times New Roman" w:hAnsi="Times New Roman"/>
          <w:color w:val="auto"/>
          <w:lang w:eastAsia="zh-CN"/>
        </w:rPr>
        <w:t>（</w:t>
      </w:r>
      <w:r>
        <w:rPr>
          <w:rFonts w:hint="eastAsia" w:ascii="Times New Roman" w:hAnsi="Times New Roman"/>
          <w:color w:val="auto"/>
          <w:lang w:val="en-US" w:eastAsia="zh-CN"/>
        </w:rPr>
        <w:t>18</w:t>
      </w:r>
      <w:r>
        <w:rPr>
          <w:rFonts w:hint="eastAsia" w:ascii="Times New Roman" w:hAnsi="Times New Roman"/>
          <w:color w:val="auto"/>
          <w:lang w:eastAsia="zh-CN"/>
        </w:rPr>
        <w:t>）</w:t>
      </w:r>
      <w:r>
        <w:rPr>
          <w:rFonts w:hint="eastAsia" w:ascii="Times New Roman" w:hAnsi="Times New Roman"/>
          <w:color w:val="auto"/>
          <w:lang w:val="en-US" w:eastAsia="zh-CN"/>
        </w:rPr>
        <w:t>《屠宰及肉类加工业污染防治可行技术指南》（HJ1285-2023）</w:t>
      </w:r>
      <w:r>
        <w:rPr>
          <w:rFonts w:hint="eastAsia"/>
          <w:color w:val="auto"/>
          <w:lang w:val="en-US" w:eastAsia="zh-CN"/>
        </w:rPr>
        <w:t>；</w:t>
      </w:r>
    </w:p>
    <w:p w14:paraId="7CBFBC9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lang w:eastAsia="zh-CN"/>
        </w:rPr>
      </w:pPr>
      <w:r>
        <w:rPr>
          <w:rFonts w:hint="eastAsia"/>
          <w:color w:val="auto"/>
          <w:lang w:val="en-US" w:eastAsia="zh-CN"/>
        </w:rPr>
        <w:t>（19）</w:t>
      </w:r>
      <w:r>
        <w:rPr>
          <w:rFonts w:hint="eastAsia" w:ascii="Times New Roman" w:hAnsi="Times New Roman" w:eastAsia="仿宋_GB2312" w:cs="Times New Roman"/>
          <w:color w:val="auto"/>
          <w:sz w:val="24"/>
          <w:highlight w:val="none"/>
          <w:lang w:val="en-US" w:eastAsia="zh-CN"/>
        </w:rPr>
        <w:t>《危险废物贮存污染控制标准》（GB18597-2023）</w:t>
      </w:r>
      <w:r>
        <w:rPr>
          <w:rFonts w:hint="eastAsia" w:ascii="Times New Roman" w:hAnsi="Times New Roman"/>
          <w:color w:val="auto"/>
          <w:lang w:val="en-US" w:eastAsia="zh-CN"/>
        </w:rPr>
        <w:t>。</w:t>
      </w:r>
    </w:p>
    <w:p w14:paraId="4A8DD00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en-US" w:eastAsia="zh-CN"/>
        </w:rPr>
      </w:pPr>
      <w:r>
        <w:rPr>
          <w:rFonts w:hint="default" w:ascii="Times New Roman" w:hAnsi="Times New Roman" w:cs="Times New Roman" w:eastAsiaTheme="minorEastAsia"/>
          <w:b/>
          <w:color w:val="auto"/>
          <w:sz w:val="28"/>
          <w:szCs w:val="28"/>
          <w:highlight w:val="none"/>
          <w:lang w:val="en-US" w:eastAsia="zh-CN"/>
        </w:rPr>
        <w:t>1.1.7项目</w:t>
      </w:r>
      <w:r>
        <w:rPr>
          <w:rFonts w:hint="eastAsia" w:cs="Times New Roman" w:eastAsiaTheme="minorEastAsia"/>
          <w:b/>
          <w:color w:val="auto"/>
          <w:sz w:val="28"/>
          <w:szCs w:val="28"/>
          <w:highlight w:val="none"/>
          <w:lang w:val="en-US" w:eastAsia="zh-CN"/>
        </w:rPr>
        <w:t>其他</w:t>
      </w:r>
      <w:r>
        <w:rPr>
          <w:rFonts w:hint="default" w:ascii="Times New Roman" w:hAnsi="Times New Roman" w:cs="Times New Roman" w:eastAsiaTheme="minorEastAsia"/>
          <w:b/>
          <w:color w:val="auto"/>
          <w:sz w:val="28"/>
          <w:szCs w:val="28"/>
          <w:highlight w:val="none"/>
          <w:lang w:val="en-US" w:eastAsia="zh-CN"/>
        </w:rPr>
        <w:t>相关资料</w:t>
      </w:r>
    </w:p>
    <w:p w14:paraId="47999D1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1</w:t>
      </w:r>
      <w:r>
        <w:rPr>
          <w:rFonts w:hint="eastAsia" w:ascii="Times New Roman" w:hAnsi="Times New Roman"/>
          <w:color w:val="000000" w:themeColor="text1"/>
          <w:lang w:eastAsia="zh-CN"/>
          <w14:textFill>
            <w14:solidFill>
              <w14:schemeClr w14:val="tx1"/>
            </w14:solidFill>
          </w14:textFill>
        </w:rPr>
        <w:t>）固原市科财肉制品加工有限公司</w:t>
      </w:r>
      <w:r>
        <w:rPr>
          <w:rFonts w:hint="eastAsia" w:ascii="Times New Roman" w:hAnsi="Times New Roman"/>
          <w:color w:val="000000" w:themeColor="text1"/>
          <w14:textFill>
            <w14:solidFill>
              <w14:schemeClr w14:val="tx1"/>
            </w14:solidFill>
          </w14:textFill>
        </w:rPr>
        <w:t>“固原市科财牛羊屠宰精深加工项目”委托书，202</w:t>
      </w:r>
      <w:r>
        <w:rPr>
          <w:rFonts w:hint="eastAsia"/>
          <w:color w:val="000000" w:themeColor="text1"/>
          <w:lang w:val="en-US" w:eastAsia="zh-CN"/>
          <w14:textFill>
            <w14:solidFill>
              <w14:schemeClr w14:val="tx1"/>
            </w14:solidFill>
          </w14:textFill>
        </w:rPr>
        <w:t>5</w:t>
      </w:r>
      <w:r>
        <w:rPr>
          <w:rFonts w:hint="eastAsia" w:ascii="Times New Roman" w:hAnsi="Times New Roman"/>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8</w:t>
      </w:r>
      <w:r>
        <w:rPr>
          <w:rFonts w:hint="eastAsia" w:ascii="Times New Roman" w:hAnsi="Times New Roman"/>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8</w:t>
      </w:r>
      <w:r>
        <w:rPr>
          <w:rFonts w:hint="eastAsia" w:ascii="Times New Roman" w:hAnsi="Times New Roman"/>
          <w:color w:val="000000" w:themeColor="text1"/>
          <w14:textFill>
            <w14:solidFill>
              <w14:schemeClr w14:val="tx1"/>
            </w14:solidFill>
          </w14:textFill>
        </w:rPr>
        <w:t>日；</w:t>
      </w:r>
    </w:p>
    <w:p w14:paraId="1E13402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）宁夏固原经济开发区管理委员会</w:t>
      </w:r>
      <w:r>
        <w:rPr>
          <w:rFonts w:hint="eastAsia" w:ascii="Times New Roman" w:hAnsi="Times New Roman"/>
          <w:color w:val="auto"/>
        </w:rPr>
        <w:t>，“宁夏回族自治区企业投资项目备案证”项目代码：2507-640940-04-01-416427；</w:t>
      </w:r>
    </w:p>
    <w:p w14:paraId="7321DCB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color w:val="auto"/>
          <w:lang w:eastAsia="zh-CN"/>
        </w:rPr>
        <w:t>《固原市科财牛羊屠宰精深加工项目</w:t>
      </w:r>
      <w:r>
        <w:rPr>
          <w:rFonts w:hint="eastAsia" w:ascii="Times New Roman" w:hAnsi="Times New Roman"/>
          <w:color w:val="auto"/>
        </w:rPr>
        <w:t>可行性研究报告</w:t>
      </w:r>
      <w:r>
        <w:rPr>
          <w:rFonts w:hint="eastAsia"/>
          <w:color w:val="auto"/>
          <w:lang w:eastAsia="zh-CN"/>
        </w:rPr>
        <w:t>》</w:t>
      </w:r>
      <w:r>
        <w:rPr>
          <w:rFonts w:hint="eastAsia" w:ascii="Times New Roman" w:hAnsi="Times New Roman"/>
          <w:color w:val="auto"/>
        </w:rPr>
        <w:t>；</w:t>
      </w:r>
    </w:p>
    <w:p w14:paraId="40527873">
      <w:pPr>
        <w:pStyle w:val="25"/>
        <w:pageBreakBefore w:val="0"/>
        <w:widowControl w:val="0"/>
        <w:kinsoku/>
        <w:wordWrap/>
        <w:overflowPunct/>
        <w:topLinePunct w:val="0"/>
        <w:autoSpaceDE/>
        <w:autoSpaceDN/>
        <w:bidi w:val="0"/>
        <w:adjustRightInd/>
        <w:snapToGrid/>
        <w:spacing w:after="0" w:line="360" w:lineRule="auto"/>
        <w:ind w:left="0" w:leftChars="0"/>
        <w:textAlignment w:val="auto"/>
      </w:pPr>
      <w:r>
        <w:rPr>
          <w:rFonts w:hint="eastAsia" w:ascii="Times New Roman" w:hAnsi="Times New Roman"/>
          <w:color w:val="auto"/>
          <w:lang w:eastAsia="zh-CN"/>
        </w:rPr>
        <w:t>（</w:t>
      </w:r>
      <w:r>
        <w:rPr>
          <w:rFonts w:hint="eastAsia"/>
          <w:color w:val="auto"/>
          <w:lang w:val="en-US" w:eastAsia="zh-CN"/>
        </w:rPr>
        <w:t>4</w:t>
      </w:r>
      <w:r>
        <w:rPr>
          <w:rFonts w:hint="eastAsia" w:ascii="Times New Roman" w:hAnsi="Times New Roman"/>
          <w:color w:val="auto"/>
          <w:lang w:eastAsia="zh-CN"/>
        </w:rPr>
        <w:t>）</w:t>
      </w:r>
      <w:r>
        <w:rPr>
          <w:rFonts w:hint="eastAsia" w:ascii="Times New Roman" w:hAnsi="Times New Roman"/>
          <w:color w:val="auto"/>
        </w:rPr>
        <w:t>建设单位提供的</w:t>
      </w:r>
      <w:r>
        <w:rPr>
          <w:rFonts w:hint="eastAsia"/>
          <w:color w:val="auto"/>
          <w:lang w:eastAsia="zh-CN"/>
        </w:rPr>
        <w:t>其他</w:t>
      </w:r>
      <w:r>
        <w:rPr>
          <w:rFonts w:hint="eastAsia" w:ascii="Times New Roman" w:hAnsi="Times New Roman"/>
          <w:color w:val="auto"/>
        </w:rPr>
        <w:t>相关资料。</w:t>
      </w:r>
    </w:p>
    <w:p w14:paraId="19CD2E4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cs="Times New Roman" w:eastAsiaTheme="minorEastAsia"/>
          <w:b/>
          <w:color w:val="auto"/>
          <w:sz w:val="28"/>
          <w:szCs w:val="28"/>
          <w:highlight w:val="none"/>
        </w:rPr>
      </w:pPr>
      <w:bookmarkStart w:id="148" w:name="_Toc31824"/>
      <w:bookmarkStart w:id="149" w:name="_Toc17147"/>
      <w:bookmarkStart w:id="150" w:name="_Toc20554"/>
      <w:bookmarkStart w:id="151" w:name="_Toc31042"/>
      <w:bookmarkStart w:id="152" w:name="_Toc10836"/>
      <w:bookmarkStart w:id="153" w:name="_Toc17071"/>
      <w:bookmarkStart w:id="154" w:name="_Toc27149"/>
      <w:bookmarkStart w:id="155" w:name="_Toc27968"/>
      <w:bookmarkStart w:id="156" w:name="_Toc13009"/>
      <w:r>
        <w:rPr>
          <w:rFonts w:hint="default" w:ascii="Times New Roman" w:hAnsi="Times New Roman" w:cs="Times New Roman" w:eastAsiaTheme="minorEastAsia"/>
          <w:b/>
          <w:color w:val="auto"/>
          <w:sz w:val="28"/>
          <w:szCs w:val="28"/>
          <w:highlight w:val="none"/>
        </w:rPr>
        <w:t>1.2评价因子与评价重点</w:t>
      </w:r>
      <w:bookmarkEnd w:id="148"/>
      <w:bookmarkEnd w:id="149"/>
      <w:bookmarkEnd w:id="150"/>
      <w:bookmarkEnd w:id="151"/>
      <w:bookmarkEnd w:id="152"/>
      <w:bookmarkEnd w:id="153"/>
      <w:bookmarkEnd w:id="154"/>
      <w:bookmarkEnd w:id="155"/>
      <w:bookmarkEnd w:id="156"/>
    </w:p>
    <w:p w14:paraId="2665A5E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zh-CN"/>
        </w:rPr>
      </w:pPr>
      <w:bookmarkStart w:id="157" w:name="_Toc31166"/>
      <w:bookmarkStart w:id="158" w:name="_Toc28006"/>
      <w:r>
        <w:rPr>
          <w:rFonts w:hint="default" w:ascii="Times New Roman" w:hAnsi="Times New Roman" w:cs="Times New Roman" w:eastAsiaTheme="minorEastAsia"/>
          <w:b/>
          <w:color w:val="auto"/>
          <w:sz w:val="28"/>
          <w:szCs w:val="28"/>
          <w:highlight w:val="none"/>
          <w:lang w:val="zh-CN"/>
        </w:rPr>
        <w:t>1.2.1评价目的</w:t>
      </w:r>
      <w:bookmarkEnd w:id="157"/>
      <w:bookmarkEnd w:id="158"/>
    </w:p>
    <w:p w14:paraId="46360C4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环境影响评价作为建设项目管理的一项制度，其基本目的是贯彻“保护环境”这项基本国策，认真执行“以防为主，防治结合，综合利用”的环境管理方针。通过评价，查清建设项目所在区域的环境现状，根据该项目的工程特征和污染特征，分析项目建设对当地环境可能造成的不良影响，弄清影响程度和范围，从而制定减少污染的防治对策，为项目实现合理布局、最佳设计提供科学依据。</w:t>
      </w:r>
    </w:p>
    <w:p w14:paraId="6C01B33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zh-CN"/>
        </w:rPr>
      </w:pPr>
      <w:bookmarkStart w:id="159" w:name="_Toc14167"/>
      <w:bookmarkStart w:id="160" w:name="_Toc32212"/>
      <w:r>
        <w:rPr>
          <w:rFonts w:hint="default" w:ascii="Times New Roman" w:hAnsi="Times New Roman" w:cs="Times New Roman" w:eastAsiaTheme="minorEastAsia"/>
          <w:b/>
          <w:color w:val="auto"/>
          <w:sz w:val="28"/>
          <w:szCs w:val="28"/>
          <w:highlight w:val="none"/>
          <w:lang w:val="zh-CN"/>
        </w:rPr>
        <w:t>1.2.2评价原则</w:t>
      </w:r>
      <w:bookmarkEnd w:id="159"/>
      <w:bookmarkEnd w:id="160"/>
    </w:p>
    <w:p w14:paraId="244AF31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环境影响评价的原则是突出环境影响评价的源头预防作用，坚持保护和改善环境质量，应坚持以下原则：</w:t>
      </w:r>
    </w:p>
    <w:p w14:paraId="03FCFAA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w:t>
      </w:r>
      <w:r>
        <w:rPr>
          <w:rFonts w:hint="eastAsia" w:ascii="Times New Roman" w:hAnsi="Times New Roman"/>
          <w:color w:val="auto"/>
        </w:rPr>
        <w:t>依法评价原则：贯彻执行环境保护相关法律法规、标准、政策和规划等，优化项目建设，服务环境管理。</w:t>
      </w:r>
    </w:p>
    <w:p w14:paraId="4018723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w:t>
      </w:r>
      <w:r>
        <w:rPr>
          <w:rFonts w:hint="eastAsia" w:ascii="Times New Roman" w:hAnsi="Times New Roman"/>
          <w:color w:val="auto"/>
        </w:rPr>
        <w:t>科学评价原则：规范环境影响评价方法，科学分析项目建设对环境质量的影响。</w:t>
      </w:r>
    </w:p>
    <w:p w14:paraId="459819A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ascii="Times New Roman" w:hAnsi="Times New Roman"/>
          <w:color w:val="auto"/>
        </w:rPr>
        <w:t>突出重点原则：根据建设项目的工程内容及其特点，明确与环境要素间的作用效益关系，充分利用符合时效的数据资料及成果，对建设项目主要环境影响予以重点分析和评价。</w:t>
      </w:r>
    </w:p>
    <w:p w14:paraId="0965674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zh-CN"/>
        </w:rPr>
      </w:pPr>
      <w:bookmarkStart w:id="161" w:name="_Toc5839"/>
      <w:bookmarkStart w:id="162" w:name="_Toc20068"/>
      <w:r>
        <w:rPr>
          <w:rFonts w:hint="default" w:ascii="Times New Roman" w:hAnsi="Times New Roman" w:cs="Times New Roman" w:eastAsiaTheme="minorEastAsia"/>
          <w:b/>
          <w:color w:val="auto"/>
          <w:sz w:val="28"/>
          <w:szCs w:val="28"/>
          <w:highlight w:val="none"/>
          <w:lang w:val="zh-CN"/>
        </w:rPr>
        <w:t>1.2.3评价内容</w:t>
      </w:r>
      <w:bookmarkEnd w:id="161"/>
      <w:bookmarkEnd w:id="162"/>
    </w:p>
    <w:p w14:paraId="656AF35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w:t>
      </w:r>
      <w:r>
        <w:rPr>
          <w:rFonts w:hint="eastAsia" w:ascii="Times New Roman" w:hAnsi="Times New Roman"/>
          <w:color w:val="auto"/>
        </w:rPr>
        <w:t>结合国家产业政策、《宁夏回族自治区现代农业“十四五”发展规划</w:t>
      </w:r>
      <w:r>
        <w:rPr>
          <w:rFonts w:hint="eastAsia"/>
          <w:color w:val="auto"/>
          <w:lang w:eastAsia="zh-CN"/>
        </w:rPr>
        <w:t>》《宁夏固原经济开发区“一区三园”总体规划修编（2022-2035年）》</w:t>
      </w:r>
      <w:r>
        <w:rPr>
          <w:rFonts w:hint="eastAsia" w:ascii="Times New Roman" w:hAnsi="Times New Roman"/>
          <w:color w:val="auto"/>
        </w:rPr>
        <w:t>以及</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食品安全国家标准 食品生产通用卫生规范</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（GB14881-2025）</w:t>
      </w:r>
      <w:r>
        <w:rPr>
          <w:rFonts w:hint="eastAsia" w:ascii="Times New Roman" w:hAnsi="Times New Roman"/>
          <w:color w:val="auto"/>
        </w:rPr>
        <w:t>等开展评价工作，分析本项目建设与各规划的相符性和主要环境制约因素，从环保角度论述项目选址的合理性和可行性；</w:t>
      </w:r>
    </w:p>
    <w:p w14:paraId="6D8BEC6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w:t>
      </w:r>
      <w:r>
        <w:rPr>
          <w:rFonts w:hint="eastAsia" w:ascii="Times New Roman" w:hAnsi="Times New Roman"/>
          <w:color w:val="auto"/>
        </w:rPr>
        <w:t>查清项目厂区及周围的环境状况，在工程分析的基础上，确定项目施工期与营运期各环节的污染源、主要污染物产生量，提出避免或减少污染、防止对环境质量造成破坏的对策和建议，预测项目建成后排放的主要污染物对周围环境可能造成影响的范围和程度；</w:t>
      </w:r>
    </w:p>
    <w:p w14:paraId="0575D6D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ascii="Times New Roman" w:hAnsi="Times New Roman"/>
          <w:color w:val="auto"/>
        </w:rPr>
        <w:t>通过现场调查与监测分析数据，了解工程所在区域的地表水、地下水、环境空气以及声环境现状；</w:t>
      </w:r>
    </w:p>
    <w:p w14:paraId="0EF69F0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4</w:t>
      </w:r>
      <w:r>
        <w:rPr>
          <w:rFonts w:hint="eastAsia" w:ascii="Times New Roman" w:hAnsi="Times New Roman"/>
          <w:color w:val="auto"/>
          <w:lang w:eastAsia="zh-CN"/>
        </w:rPr>
        <w:t>）</w:t>
      </w:r>
      <w:r>
        <w:rPr>
          <w:rFonts w:hint="eastAsia" w:ascii="Times New Roman" w:hAnsi="Times New Roman"/>
          <w:color w:val="auto"/>
        </w:rPr>
        <w:t>调查分析本项目的主要污染物产生情况及污染防治措施，并提出有针对性的对策和防范措施；针对工程的污染特征进行达标排放措施分析；</w:t>
      </w:r>
    </w:p>
    <w:p w14:paraId="1877397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5</w:t>
      </w:r>
      <w:r>
        <w:rPr>
          <w:rFonts w:hint="eastAsia" w:ascii="Times New Roman" w:hAnsi="Times New Roman"/>
          <w:color w:val="auto"/>
          <w:lang w:eastAsia="zh-CN"/>
        </w:rPr>
        <w:t>）</w:t>
      </w:r>
      <w:r>
        <w:rPr>
          <w:rFonts w:hint="eastAsia" w:ascii="Times New Roman" w:hAnsi="Times New Roman"/>
          <w:color w:val="auto"/>
        </w:rPr>
        <w:t>依据国家有关环境标准，论证污染治理和环保措施的可行性和合理性，提出污染物控制措施的对策、建议，为该项目的选址、布局和工程设计从环境保护角度提供科学依据，对项目建设的环境可行性作出明确结论；</w:t>
      </w:r>
    </w:p>
    <w:p w14:paraId="38FF303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6</w:t>
      </w:r>
      <w:r>
        <w:rPr>
          <w:rFonts w:hint="eastAsia" w:ascii="Times New Roman" w:hAnsi="Times New Roman"/>
          <w:color w:val="auto"/>
          <w:lang w:eastAsia="zh-CN"/>
        </w:rPr>
        <w:t>）</w:t>
      </w:r>
      <w:r>
        <w:rPr>
          <w:rFonts w:hint="eastAsia" w:ascii="Times New Roman" w:hAnsi="Times New Roman"/>
          <w:color w:val="auto"/>
        </w:rPr>
        <w:t>通过对工程的环境经济分析，论述工程的社会、经济和环境效益。</w:t>
      </w:r>
    </w:p>
    <w:p w14:paraId="702634A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zh-CN"/>
        </w:rPr>
      </w:pPr>
      <w:bookmarkStart w:id="163" w:name="_Toc17611"/>
      <w:bookmarkStart w:id="164" w:name="_Toc15510"/>
      <w:r>
        <w:rPr>
          <w:rFonts w:hint="default" w:ascii="Times New Roman" w:hAnsi="Times New Roman" w:cs="Times New Roman" w:eastAsiaTheme="minorEastAsia"/>
          <w:b/>
          <w:color w:val="auto"/>
          <w:sz w:val="28"/>
          <w:szCs w:val="28"/>
          <w:highlight w:val="none"/>
          <w:lang w:val="zh-CN"/>
        </w:rPr>
        <w:t>1.2.4评价重点</w:t>
      </w:r>
      <w:bookmarkEnd w:id="163"/>
      <w:bookmarkEnd w:id="164"/>
    </w:p>
    <w:p w14:paraId="50786E1F">
      <w:pPr>
        <w:pStyle w:val="25"/>
        <w:pageBreakBefore w:val="0"/>
        <w:widowControl w:val="0"/>
        <w:kinsoku/>
        <w:wordWrap/>
        <w:overflowPunct/>
        <w:topLinePunct w:val="0"/>
        <w:autoSpaceDE/>
        <w:autoSpaceDN/>
        <w:bidi w:val="0"/>
        <w:adjustRightInd/>
        <w:snapToGrid/>
        <w:spacing w:after="0" w:line="360" w:lineRule="auto"/>
        <w:ind w:left="0" w:leftChars="0"/>
        <w:textAlignment w:val="auto"/>
      </w:pPr>
      <w:r>
        <w:rPr>
          <w:rFonts w:hint="eastAsia" w:ascii="Times New Roman" w:hAnsi="Times New Roman"/>
          <w:color w:val="auto"/>
        </w:rPr>
        <w:t>根据项目生产特点、排污特征，综合考虑项目所在地周边自然环境状况，确定本次环境影响评价重点：在深入开展工程分析及区域自然环境状况调查的基础上，以环境空气影响评价、地下水环境影响及环境风险评价与管理为重点，并且在综合评价的基础上，分析污染防治措施的经济合理性和技术可靠性，确定评价项目建设的环境可行性。</w:t>
      </w:r>
    </w:p>
    <w:p w14:paraId="3C96281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cs="Times New Roman" w:eastAsiaTheme="minorEastAsia"/>
          <w:b/>
          <w:color w:val="auto"/>
          <w:sz w:val="28"/>
          <w:szCs w:val="28"/>
          <w:highlight w:val="none"/>
        </w:rPr>
      </w:pPr>
      <w:bookmarkStart w:id="165" w:name="_Toc23930"/>
      <w:bookmarkStart w:id="166" w:name="_Toc8286"/>
      <w:bookmarkStart w:id="167" w:name="_Toc27324"/>
      <w:bookmarkStart w:id="168" w:name="_Toc17901"/>
      <w:bookmarkStart w:id="169" w:name="_Toc13112"/>
      <w:bookmarkStart w:id="170" w:name="_Toc1132"/>
      <w:bookmarkStart w:id="171" w:name="_Toc21082"/>
      <w:bookmarkStart w:id="172" w:name="_Toc13220"/>
      <w:bookmarkStart w:id="173" w:name="_Toc4892"/>
      <w:r>
        <w:rPr>
          <w:rFonts w:hint="default" w:ascii="Times New Roman" w:hAnsi="Times New Roman" w:cs="Times New Roman" w:eastAsiaTheme="minorEastAsia"/>
          <w:b/>
          <w:color w:val="auto"/>
          <w:sz w:val="28"/>
          <w:szCs w:val="28"/>
          <w:highlight w:val="none"/>
        </w:rPr>
        <w:t>1.3环境功能区划</w:t>
      </w:r>
      <w:bookmarkEnd w:id="165"/>
      <w:bookmarkEnd w:id="166"/>
      <w:bookmarkEnd w:id="167"/>
      <w:bookmarkEnd w:id="168"/>
      <w:bookmarkEnd w:id="169"/>
      <w:bookmarkEnd w:id="170"/>
      <w:bookmarkEnd w:id="171"/>
      <w:bookmarkEnd w:id="172"/>
      <w:bookmarkEnd w:id="173"/>
    </w:p>
    <w:p w14:paraId="0F08698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zh-CN"/>
        </w:rPr>
      </w:pPr>
      <w:bookmarkStart w:id="174" w:name="_Toc20983"/>
      <w:bookmarkStart w:id="175" w:name="_Toc15616"/>
      <w:bookmarkStart w:id="176" w:name="_Toc1157"/>
      <w:bookmarkStart w:id="177" w:name="_Toc5890"/>
      <w:r>
        <w:rPr>
          <w:rFonts w:hint="default" w:ascii="Times New Roman" w:hAnsi="Times New Roman" w:cs="Times New Roman" w:eastAsiaTheme="minorEastAsia"/>
          <w:b/>
          <w:color w:val="auto"/>
          <w:sz w:val="28"/>
          <w:szCs w:val="28"/>
          <w:highlight w:val="none"/>
          <w:lang w:val="zh-CN"/>
        </w:rPr>
        <w:t>1.3.1环境空气功能区划</w:t>
      </w:r>
    </w:p>
    <w:p w14:paraId="53F45D9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olor w:val="auto"/>
        </w:rPr>
      </w:pPr>
      <w:r>
        <w:rPr>
          <w:rFonts w:hint="default" w:ascii="Times New Roman" w:hAnsi="Times New Roman"/>
          <w:color w:val="auto"/>
        </w:rPr>
        <w:t>本项目位于固原经济开发区轻工产业园</w:t>
      </w:r>
      <w:r>
        <w:rPr>
          <w:rFonts w:hint="eastAsia" w:cs="Times New Roman"/>
          <w:color w:val="auto"/>
          <w:kern w:val="2"/>
          <w:sz w:val="24"/>
          <w:szCs w:val="24"/>
          <w:lang w:val="en-US" w:eastAsia="zh-CN" w:bidi="ar-SA"/>
        </w:rPr>
        <w:t>（中河乡）</w:t>
      </w:r>
      <w:r>
        <w:rPr>
          <w:rFonts w:hint="default" w:ascii="Times New Roman" w:hAnsi="Times New Roman"/>
          <w:color w:val="auto"/>
        </w:rPr>
        <w:t>，</w:t>
      </w:r>
      <w:r>
        <w:rPr>
          <w:rFonts w:hint="default" w:ascii="Times New Roman" w:hAnsi="Times New Roman" w:eastAsia="仿宋_GB2312" w:cs="Times New Roman"/>
          <w:b w:val="0"/>
          <w:bCs w:val="0"/>
          <w:snapToGrid w:val="0"/>
          <w:color w:val="auto"/>
          <w:kern w:val="0"/>
          <w:sz w:val="24"/>
        </w:rPr>
        <w:t>根据《环境空气质量标准》（GB3095-2026），</w:t>
      </w:r>
      <w:r>
        <w:rPr>
          <w:rFonts w:hint="eastAsia" w:ascii="Times New Roman" w:hAnsi="Times New Roman" w:cs="Times New Roman"/>
          <w:b w:val="0"/>
          <w:bCs w:val="0"/>
          <w:snapToGrid w:val="0"/>
          <w:color w:val="auto"/>
          <w:kern w:val="0"/>
          <w:sz w:val="24"/>
          <w:lang w:val="en-US" w:eastAsia="zh-CN"/>
        </w:rPr>
        <w:t>确定</w:t>
      </w:r>
      <w:r>
        <w:rPr>
          <w:rFonts w:hint="default" w:ascii="Times New Roman" w:hAnsi="Times New Roman"/>
          <w:color w:val="auto"/>
        </w:rPr>
        <w:t>所在区域属于环境空气二类功能区。</w:t>
      </w:r>
    </w:p>
    <w:p w14:paraId="4FE8076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zh-CN"/>
        </w:rPr>
      </w:pPr>
      <w:r>
        <w:rPr>
          <w:rFonts w:hint="eastAsia" w:ascii="Times New Roman" w:hAnsi="Times New Roman" w:cs="Times New Roman" w:eastAsiaTheme="minorEastAsia"/>
          <w:b/>
          <w:color w:val="auto"/>
          <w:sz w:val="28"/>
          <w:szCs w:val="28"/>
          <w:highlight w:val="none"/>
          <w:lang w:val="en-US" w:eastAsia="zh-CN"/>
        </w:rPr>
        <w:t>1.3.2</w:t>
      </w:r>
      <w:r>
        <w:rPr>
          <w:rFonts w:hint="default" w:ascii="Times New Roman" w:hAnsi="Times New Roman" w:cs="Times New Roman" w:eastAsiaTheme="minorEastAsia"/>
          <w:b/>
          <w:color w:val="auto"/>
          <w:sz w:val="28"/>
          <w:szCs w:val="28"/>
          <w:highlight w:val="none"/>
          <w:lang w:val="zh-CN"/>
        </w:rPr>
        <w:t>地表水环境功能区划</w:t>
      </w:r>
      <w:bookmarkEnd w:id="174"/>
      <w:bookmarkEnd w:id="175"/>
      <w:bookmarkEnd w:id="176"/>
      <w:bookmarkEnd w:id="177"/>
    </w:p>
    <w:p w14:paraId="6BB941A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val="en-US" w:eastAsia="zh-CN"/>
        </w:rPr>
        <w:t>本</w:t>
      </w:r>
      <w:r>
        <w:rPr>
          <w:rFonts w:hint="eastAsia" w:ascii="Times New Roman" w:hAnsi="Times New Roman"/>
          <w:color w:val="auto"/>
          <w:lang w:val="en-US" w:eastAsia="zh-CN"/>
        </w:rPr>
        <w:t>项目评价区域内地表水体为大营河，位于项目西侧</w:t>
      </w:r>
      <w:r>
        <w:rPr>
          <w:rFonts w:hint="eastAsia"/>
          <w:color w:val="auto"/>
          <w:lang w:val="en-US" w:eastAsia="zh-CN"/>
        </w:rPr>
        <w:t>400</w:t>
      </w:r>
      <w:r>
        <w:rPr>
          <w:rFonts w:hint="eastAsia" w:ascii="Times New Roman" w:hAnsi="Times New Roman"/>
          <w:color w:val="auto"/>
          <w:lang w:val="en-US" w:eastAsia="zh-CN"/>
        </w:rPr>
        <w:t>m处，大营河为冬至河右岸支流，属清水河流域。</w:t>
      </w:r>
      <w:r>
        <w:rPr>
          <w:rFonts w:hint="default" w:ascii="Times New Roman" w:hAnsi="Times New Roman" w:eastAsia="仿宋_GB2312" w:cs="Times New Roman"/>
          <w:b w:val="0"/>
          <w:bCs w:val="0"/>
          <w:snapToGrid w:val="0"/>
          <w:color w:val="auto"/>
          <w:kern w:val="0"/>
          <w:sz w:val="24"/>
          <w:lang w:eastAsia="zh-CN"/>
        </w:rPr>
        <w:t>根据</w:t>
      </w:r>
      <w:r>
        <w:rPr>
          <w:rFonts w:hint="default" w:ascii="Times New Roman" w:hAnsi="Times New Roman" w:eastAsia="仿宋_GB2312" w:cs="Times New Roman"/>
          <w:b w:val="0"/>
          <w:bCs w:val="0"/>
          <w:snapToGrid w:val="0"/>
          <w:color w:val="auto"/>
          <w:kern w:val="0"/>
          <w:sz w:val="24"/>
          <w:lang w:val="en-US" w:eastAsia="zh-CN"/>
        </w:rPr>
        <w:t>《202</w:t>
      </w:r>
      <w:r>
        <w:rPr>
          <w:rFonts w:hint="eastAsia" w:cs="Times New Roman"/>
          <w:b w:val="0"/>
          <w:bCs w:val="0"/>
          <w:snapToGrid w:val="0"/>
          <w:color w:val="auto"/>
          <w:kern w:val="0"/>
          <w:sz w:val="24"/>
          <w:lang w:val="en-US" w:eastAsia="zh-CN"/>
        </w:rPr>
        <w:t>4</w:t>
      </w:r>
      <w:r>
        <w:rPr>
          <w:rFonts w:hint="default" w:ascii="Times New Roman" w:hAnsi="Times New Roman" w:eastAsia="仿宋_GB2312" w:cs="Times New Roman"/>
          <w:b w:val="0"/>
          <w:bCs w:val="0"/>
          <w:snapToGrid w:val="0"/>
          <w:color w:val="auto"/>
          <w:kern w:val="0"/>
          <w:sz w:val="24"/>
          <w:lang w:val="en-US" w:eastAsia="zh-CN"/>
        </w:rPr>
        <w:t>年宁夏生态环境质量状况》中</w:t>
      </w:r>
      <w:r>
        <w:rPr>
          <w:rFonts w:hint="eastAsia" w:ascii="Times New Roman" w:hAnsi="Times New Roman"/>
          <w:color w:val="auto"/>
        </w:rPr>
        <w:t>清水河</w:t>
      </w:r>
      <w:r>
        <w:rPr>
          <w:rFonts w:hint="eastAsia" w:ascii="Times New Roman" w:hAnsi="Times New Roman"/>
          <w:color w:val="auto"/>
          <w:lang w:eastAsia="zh-CN"/>
        </w:rPr>
        <w:t>（</w:t>
      </w:r>
      <w:r>
        <w:rPr>
          <w:rFonts w:hint="eastAsia" w:ascii="Times New Roman" w:hAnsi="Times New Roman"/>
          <w:color w:val="auto"/>
        </w:rPr>
        <w:t>三营断面</w:t>
      </w:r>
      <w:r>
        <w:rPr>
          <w:rFonts w:hint="eastAsia" w:ascii="Times New Roman" w:hAnsi="Times New Roman"/>
          <w:color w:val="auto"/>
          <w:lang w:eastAsia="zh-CN"/>
        </w:rPr>
        <w:t>）</w:t>
      </w:r>
      <w:r>
        <w:rPr>
          <w:rFonts w:hint="default" w:ascii="Times New Roman" w:hAnsi="Times New Roman" w:eastAsia="仿宋_GB2312" w:cs="Times New Roman"/>
          <w:b w:val="0"/>
          <w:bCs w:val="0"/>
          <w:snapToGrid w:val="0"/>
          <w:color w:val="auto"/>
          <w:kern w:val="0"/>
          <w:sz w:val="24"/>
          <w:lang w:eastAsia="zh-CN"/>
        </w:rPr>
        <w:t>水质考核目标，</w:t>
      </w:r>
      <w:r>
        <w:rPr>
          <w:rFonts w:hint="eastAsia"/>
          <w:color w:val="auto"/>
          <w:lang w:val="en-US" w:eastAsia="zh-CN"/>
        </w:rPr>
        <w:t>该断面</w:t>
      </w:r>
      <w:r>
        <w:rPr>
          <w:rFonts w:hint="default" w:ascii="Times New Roman" w:hAnsi="Times New Roman" w:eastAsia="仿宋_GB2312" w:cs="Times New Roman"/>
          <w:b w:val="0"/>
          <w:bCs w:val="0"/>
          <w:snapToGrid w:val="0"/>
          <w:color w:val="auto"/>
          <w:kern w:val="0"/>
          <w:sz w:val="24"/>
          <w:lang w:eastAsia="zh-CN"/>
        </w:rPr>
        <w:t>考核目标</w:t>
      </w:r>
      <w:r>
        <w:rPr>
          <w:rFonts w:hint="eastAsia" w:cs="Times New Roman"/>
          <w:color w:val="auto"/>
          <w:kern w:val="2"/>
          <w:sz w:val="24"/>
          <w:szCs w:val="24"/>
          <w:lang w:val="en-US" w:eastAsia="zh-CN" w:bidi="ar-SA"/>
        </w:rPr>
        <w:t>为</w:t>
      </w:r>
      <w:r>
        <w:rPr>
          <w:rFonts w:hint="eastAsia" w:ascii="Times New Roman" w:hAnsi="Times New Roman" w:eastAsia="仿宋_GB2312" w:cs="Times New Roman"/>
          <w:color w:val="auto"/>
          <w:kern w:val="2"/>
          <w:sz w:val="24"/>
          <w:szCs w:val="24"/>
          <w:lang w:val="en-US" w:eastAsia="zh-CN" w:bidi="ar-SA"/>
        </w:rPr>
        <w:t>《地表水环境质量标准》（GB3838-2002）中</w:t>
      </w:r>
      <w:r>
        <w:rPr>
          <w:rFonts w:hint="default" w:ascii="Times New Roman" w:hAnsi="Times New Roman" w:eastAsia="仿宋_GB2312" w:cs="Times New Roman"/>
          <w:color w:val="auto"/>
          <w:kern w:val="2"/>
          <w:sz w:val="24"/>
          <w:szCs w:val="24"/>
          <w:lang w:val="en-US" w:eastAsia="zh-CN" w:bidi="ar-SA"/>
        </w:rPr>
        <w:t>Ⅳ</w:t>
      </w:r>
      <w:r>
        <w:rPr>
          <w:rFonts w:hint="eastAsia" w:ascii="Times New Roman" w:hAnsi="Times New Roman" w:eastAsia="仿宋_GB2312" w:cs="Times New Roman"/>
          <w:color w:val="auto"/>
          <w:kern w:val="2"/>
          <w:sz w:val="24"/>
          <w:szCs w:val="24"/>
          <w:lang w:val="en-US" w:eastAsia="zh-CN" w:bidi="ar-SA"/>
        </w:rPr>
        <w:t>类水</w:t>
      </w:r>
      <w:r>
        <w:rPr>
          <w:rFonts w:hint="eastAsia" w:cs="Times New Roman"/>
          <w:color w:val="auto"/>
          <w:kern w:val="2"/>
          <w:sz w:val="24"/>
          <w:szCs w:val="24"/>
          <w:lang w:val="en-US" w:eastAsia="zh-CN" w:bidi="ar-SA"/>
        </w:rPr>
        <w:t>体</w:t>
      </w:r>
      <w:r>
        <w:rPr>
          <w:rFonts w:hint="eastAsia" w:ascii="Times New Roman" w:hAnsi="Times New Roman" w:eastAsia="仿宋_GB2312" w:cs="Times New Roman"/>
          <w:color w:val="auto"/>
          <w:kern w:val="2"/>
          <w:sz w:val="24"/>
          <w:szCs w:val="24"/>
          <w:lang w:val="en-US" w:eastAsia="zh-CN" w:bidi="ar-SA"/>
        </w:rPr>
        <w:t>。</w:t>
      </w:r>
    </w:p>
    <w:p w14:paraId="7740B41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en-US" w:eastAsia="zh-CN"/>
        </w:rPr>
      </w:pPr>
      <w:bookmarkStart w:id="178" w:name="_Toc2247"/>
      <w:bookmarkStart w:id="179" w:name="_Toc22010"/>
      <w:bookmarkStart w:id="180" w:name="_Toc10247"/>
      <w:bookmarkStart w:id="181" w:name="_Toc22399"/>
      <w:r>
        <w:rPr>
          <w:rFonts w:hint="default" w:ascii="Times New Roman" w:hAnsi="Times New Roman" w:cs="Times New Roman" w:eastAsiaTheme="minorEastAsia"/>
          <w:b/>
          <w:color w:val="auto"/>
          <w:sz w:val="28"/>
          <w:szCs w:val="28"/>
          <w:highlight w:val="none"/>
          <w:lang w:val="en-US" w:eastAsia="zh-CN"/>
        </w:rPr>
        <w:t>1.3.</w:t>
      </w:r>
      <w:r>
        <w:rPr>
          <w:rFonts w:hint="eastAsia" w:ascii="Times New Roman" w:hAnsi="Times New Roman" w:cs="Times New Roman" w:eastAsiaTheme="minorEastAsia"/>
          <w:b/>
          <w:color w:val="auto"/>
          <w:sz w:val="28"/>
          <w:szCs w:val="28"/>
          <w:highlight w:val="none"/>
          <w:lang w:val="en-US" w:eastAsia="zh-CN"/>
        </w:rPr>
        <w:t>3</w:t>
      </w:r>
      <w:r>
        <w:rPr>
          <w:rFonts w:hint="default" w:ascii="Times New Roman" w:hAnsi="Times New Roman" w:cs="Times New Roman" w:eastAsiaTheme="minorEastAsia"/>
          <w:b/>
          <w:color w:val="auto"/>
          <w:sz w:val="28"/>
          <w:szCs w:val="28"/>
          <w:highlight w:val="none"/>
          <w:lang w:val="en-US" w:eastAsia="zh-CN"/>
        </w:rPr>
        <w:t>地下水功能区划</w:t>
      </w:r>
      <w:bookmarkEnd w:id="178"/>
      <w:bookmarkEnd w:id="179"/>
      <w:bookmarkEnd w:id="180"/>
      <w:bookmarkEnd w:id="181"/>
    </w:p>
    <w:p w14:paraId="1D54031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根据《地下水质量标准》（GB/T14848-2017）地下水质量分类“以人体健康基准值为依据”的要求，主要适用于集中式生活饮用水水源及工、农业用水的地下水为Ⅲ类水质，执行《地下水质量标准》（GB/T14848-2017）中的</w:t>
      </w:r>
      <w:r>
        <w:rPr>
          <w:rFonts w:hint="default" w:ascii="Times New Roman" w:hAnsi="Times New Roman" w:cs="Times New Roman"/>
          <w:color w:val="auto"/>
        </w:rPr>
        <w:t>Ⅲ</w:t>
      </w:r>
      <w:r>
        <w:rPr>
          <w:rFonts w:hint="eastAsia" w:ascii="Times New Roman" w:hAnsi="Times New Roman"/>
          <w:color w:val="auto"/>
        </w:rPr>
        <w:t>类标准。</w:t>
      </w:r>
    </w:p>
    <w:p w14:paraId="5257438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color w:val="auto"/>
          <w:sz w:val="28"/>
          <w:szCs w:val="28"/>
          <w:highlight w:val="none"/>
          <w:lang w:val="en-US" w:eastAsia="zh-CN"/>
        </w:rPr>
      </w:pPr>
      <w:bookmarkStart w:id="182" w:name="_Toc1433"/>
      <w:bookmarkStart w:id="183" w:name="_Toc5217"/>
      <w:bookmarkStart w:id="184" w:name="_Toc24956"/>
      <w:bookmarkStart w:id="185" w:name="_Toc26451"/>
      <w:r>
        <w:rPr>
          <w:rFonts w:hint="default" w:ascii="Times New Roman" w:hAnsi="Times New Roman" w:cs="Times New Roman" w:eastAsiaTheme="minorEastAsia"/>
          <w:b/>
          <w:color w:val="auto"/>
          <w:sz w:val="28"/>
          <w:szCs w:val="28"/>
          <w:highlight w:val="none"/>
          <w:lang w:val="en-US" w:eastAsia="zh-CN"/>
        </w:rPr>
        <w:t>1.3.4声环境功能区划</w:t>
      </w:r>
      <w:bookmarkEnd w:id="182"/>
      <w:bookmarkEnd w:id="183"/>
      <w:bookmarkEnd w:id="184"/>
      <w:bookmarkEnd w:id="185"/>
    </w:p>
    <w:p w14:paraId="61615C61">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pPr>
      <w:r>
        <w:rPr>
          <w:rFonts w:hint="default" w:ascii="Times New Roman" w:hAnsi="Times New Roman" w:eastAsia="仿宋_GB2312" w:cs="Times New Roman"/>
          <w:color w:val="auto"/>
          <w:sz w:val="24"/>
          <w:highlight w:val="none"/>
        </w:rPr>
        <w:t>根据《固原市人民政府办公室关于印发“四县一区”城市区域声功能区划分方案的通知》</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固政办发〔2022〕15号，2022年3月29日</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中“固原市原州区城市区域声环境功能区划分方案”，项目位于固原经济开发区轻工产业园</w:t>
      </w:r>
      <w:r>
        <w:rPr>
          <w:rFonts w:hint="eastAsia" w:cs="Times New Roman"/>
          <w:color w:val="auto"/>
          <w:kern w:val="2"/>
          <w:sz w:val="24"/>
          <w:szCs w:val="24"/>
          <w:lang w:val="en-US" w:eastAsia="zh-CN" w:bidi="ar-SA"/>
        </w:rPr>
        <w:t>（中河乡）</w:t>
      </w:r>
      <w:r>
        <w:rPr>
          <w:rFonts w:hint="default" w:ascii="Times New Roman" w:hAnsi="Times New Roman" w:eastAsia="仿宋_GB2312" w:cs="Times New Roman"/>
          <w:color w:val="auto"/>
          <w:sz w:val="24"/>
          <w:highlight w:val="none"/>
        </w:rPr>
        <w:t>，</w:t>
      </w:r>
      <w:r>
        <w:rPr>
          <w:rFonts w:hint="eastAsia" w:cs="Times New Roman"/>
          <w:color w:val="auto"/>
          <w:sz w:val="24"/>
          <w:highlight w:val="none"/>
          <w:lang w:val="en-US" w:eastAsia="zh-CN"/>
        </w:rPr>
        <w:t>为</w:t>
      </w:r>
      <w:r>
        <w:rPr>
          <w:rFonts w:hint="default" w:ascii="Times New Roman" w:hAnsi="Times New Roman" w:eastAsia="仿宋_GB2312" w:cs="Times New Roman"/>
          <w:color w:val="auto"/>
          <w:sz w:val="24"/>
          <w:highlight w:val="none"/>
        </w:rPr>
        <w:t>《声环境质量标准》（GB3096-2008）中</w:t>
      </w:r>
      <w:r>
        <w:rPr>
          <w:rFonts w:hint="eastAsia" w:cs="Times New Roman"/>
          <w:color w:val="auto"/>
          <w:sz w:val="24"/>
          <w:highlight w:val="none"/>
          <w:lang w:val="en-US" w:eastAsia="zh-CN"/>
        </w:rPr>
        <w:t>3类声环境功能区，项目与</w:t>
      </w:r>
      <w:r>
        <w:rPr>
          <w:rFonts w:hint="default" w:ascii="Times New Roman" w:hAnsi="Times New Roman" w:eastAsia="仿宋_GB2312" w:cs="Times New Roman"/>
          <w:color w:val="auto"/>
          <w:sz w:val="24"/>
          <w:highlight w:val="none"/>
        </w:rPr>
        <w:t>固原市原州区城市区域声环境功能区</w:t>
      </w:r>
      <w:r>
        <w:rPr>
          <w:rFonts w:hint="eastAsia" w:cs="Times New Roman"/>
          <w:color w:val="auto"/>
          <w:sz w:val="24"/>
          <w:highlight w:val="none"/>
          <w:lang w:val="en-US" w:eastAsia="zh-CN"/>
        </w:rPr>
        <w:t>位置关系图见图1.3-1</w:t>
      </w:r>
      <w:r>
        <w:rPr>
          <w:rFonts w:hint="default" w:ascii="Times New Roman" w:hAnsi="Times New Roman" w:eastAsia="仿宋_GB2312" w:cs="Times New Roman"/>
          <w:color w:val="auto"/>
          <w:sz w:val="24"/>
          <w:highlight w:val="none"/>
        </w:rPr>
        <w:t>。</w:t>
      </w:r>
    </w:p>
    <w:p w14:paraId="4C04943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eastAsia="黑体" w:cs="Times New Roman"/>
          <w:b/>
          <w:color w:val="auto"/>
          <w:sz w:val="28"/>
          <w:szCs w:val="28"/>
          <w:highlight w:val="none"/>
        </w:rPr>
      </w:pPr>
      <w:bookmarkStart w:id="186" w:name="_Toc14479"/>
      <w:bookmarkStart w:id="187" w:name="_Toc25081"/>
      <w:bookmarkStart w:id="188" w:name="_Toc5817"/>
      <w:bookmarkStart w:id="189" w:name="_Toc770"/>
      <w:bookmarkStart w:id="190" w:name="_Toc20073"/>
      <w:bookmarkStart w:id="191" w:name="_Toc21755"/>
      <w:bookmarkStart w:id="192" w:name="_Toc6714"/>
      <w:bookmarkStart w:id="193" w:name="_Toc18517"/>
      <w:bookmarkStart w:id="194" w:name="_Toc14319"/>
      <w:r>
        <w:rPr>
          <w:rFonts w:hint="default" w:ascii="Times New Roman" w:hAnsi="Times New Roman" w:eastAsia="黑体" w:cs="Times New Roman"/>
          <w:b/>
          <w:color w:val="auto"/>
          <w:sz w:val="28"/>
          <w:szCs w:val="28"/>
          <w:highlight w:val="none"/>
        </w:rPr>
        <w:t>1.4评价因子与评价标准</w:t>
      </w:r>
      <w:bookmarkEnd w:id="186"/>
      <w:bookmarkEnd w:id="187"/>
      <w:bookmarkEnd w:id="188"/>
      <w:bookmarkEnd w:id="189"/>
      <w:bookmarkEnd w:id="190"/>
      <w:bookmarkEnd w:id="191"/>
      <w:bookmarkEnd w:id="192"/>
      <w:bookmarkEnd w:id="193"/>
      <w:bookmarkEnd w:id="194"/>
    </w:p>
    <w:p w14:paraId="4D18DAA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bookmarkStart w:id="195" w:name="_Toc9422"/>
      <w:bookmarkStart w:id="196" w:name="_Toc25741"/>
      <w:r>
        <w:rPr>
          <w:rFonts w:hint="default" w:ascii="Times New Roman" w:hAnsi="Times New Roman" w:eastAsia="黑体" w:cs="Times New Roman"/>
          <w:b/>
          <w:color w:val="auto"/>
          <w:sz w:val="28"/>
          <w:szCs w:val="28"/>
          <w:highlight w:val="none"/>
        </w:rPr>
        <w:t>1.4.1评价因子</w:t>
      </w:r>
      <w:bookmarkEnd w:id="195"/>
      <w:bookmarkEnd w:id="196"/>
    </w:p>
    <w:p w14:paraId="3D7E881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1.4.1</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环境影响因子识别</w:t>
      </w:r>
    </w:p>
    <w:p w14:paraId="4308B4D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ascii="Times New Roman" w:hAnsi="Times New Roman"/>
          <w:color w:val="auto"/>
        </w:rPr>
        <w:t>施工期环境影响要素识别</w:t>
      </w:r>
    </w:p>
    <w:p w14:paraId="585177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lang w:eastAsia="zh-CN"/>
        </w:rPr>
      </w:pPr>
      <w:r>
        <w:rPr>
          <w:rFonts w:ascii="Times New Roman" w:hAnsi="Times New Roman" w:eastAsia="仿宋_GB2312" w:cs="Times New Roman"/>
          <w:color w:val="auto"/>
          <w:kern w:val="2"/>
          <w:sz w:val="24"/>
          <w:szCs w:val="24"/>
          <w:lang w:bidi="ar-SA"/>
        </w:rPr>
        <w:t>本项目施工期间对环境的影响因素主要包括：场地的平整作业、建筑物基础的开挖，以及建构筑物的砌筑和建筑材料的运输装卸过程中产生的扬尘，这些活动以及施工机械设备排放的废气可能会对环境空气质量产生负面影响；施工过程中产生的生产废水可能对水环境造成不利影响；工程建设中各类施工机械运行和作业产生的噪声，以及运输车辆产生的噪声，可能会对声环境造成干扰；施工人员产生的生活垃圾和工程建筑垃圾若处理不当，可能会对生态环境产生不良影响。本项目建设施工期间的环境影响是阶段性的，属于短期影响，随着施工建设阶段的结束，这些影响也将随之消失。</w:t>
      </w:r>
    </w:p>
    <w:p w14:paraId="5AFF1A9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ascii="Times New Roman" w:hAnsi="Times New Roman"/>
          <w:color w:val="auto"/>
        </w:rPr>
        <w:t>运营期环境影响要素识别</w:t>
      </w:r>
    </w:p>
    <w:p w14:paraId="11CD6DD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eastAsia="仿宋_GB2312"/>
          <w:color w:val="auto"/>
          <w:lang w:eastAsia="zh-CN"/>
        </w:rPr>
      </w:pPr>
      <w:r>
        <w:rPr>
          <w:rFonts w:hint="eastAsia" w:ascii="Times New Roman" w:hAnsi="Times New Roman"/>
          <w:color w:val="auto"/>
        </w:rPr>
        <w:t>在初步工程分析的基础上，结合本项目采用的生产工艺技术情况、生产车间及辅助设施产污、排污途径及周围环境特点，项目在生产运营期产生的主要影响有：屠宰</w:t>
      </w:r>
      <w:r>
        <w:rPr>
          <w:rFonts w:hint="eastAsia"/>
          <w:color w:val="auto"/>
          <w:lang w:val="en-US" w:eastAsia="zh-CN"/>
        </w:rPr>
        <w:t>加工</w:t>
      </w:r>
      <w:r>
        <w:rPr>
          <w:rFonts w:hint="eastAsia" w:ascii="Times New Roman" w:hAnsi="Times New Roman"/>
          <w:color w:val="auto"/>
        </w:rPr>
        <w:t>车间</w:t>
      </w:r>
      <w:r>
        <w:rPr>
          <w:rFonts w:hint="eastAsia"/>
          <w:color w:val="auto"/>
          <w:lang w:eastAsia="zh-CN"/>
        </w:rPr>
        <w:t>、</w:t>
      </w:r>
      <w:r>
        <w:rPr>
          <w:rFonts w:hint="eastAsia" w:ascii="Times New Roman" w:hAnsi="Times New Roman"/>
          <w:color w:val="auto"/>
        </w:rPr>
        <w:t>污水处理</w:t>
      </w:r>
      <w:r>
        <w:rPr>
          <w:rFonts w:hint="eastAsia"/>
          <w:color w:val="auto"/>
          <w:lang w:val="en-US" w:eastAsia="zh-CN"/>
        </w:rPr>
        <w:t>站</w:t>
      </w:r>
      <w:r>
        <w:rPr>
          <w:rFonts w:hint="eastAsia" w:ascii="Times New Roman" w:hAnsi="Times New Roman"/>
          <w:color w:val="auto"/>
        </w:rPr>
        <w:t>产生的恶臭废气等。废水主要包括屠宰废水（包括待宰圈地面冲洗用水内脏及胴体清洗用水设备及屠宰车间冲洗用水</w:t>
      </w:r>
      <w:r>
        <w:rPr>
          <w:rFonts w:hint="eastAsia"/>
          <w:color w:val="auto"/>
          <w:lang w:val="en-US" w:eastAsia="zh-CN"/>
        </w:rPr>
        <w:t>等</w:t>
      </w:r>
      <w:r>
        <w:rPr>
          <w:rFonts w:hint="eastAsia" w:ascii="Times New Roman" w:hAnsi="Times New Roman"/>
          <w:color w:val="auto"/>
        </w:rPr>
        <w:t>）</w:t>
      </w:r>
      <w:r>
        <w:rPr>
          <w:rFonts w:hint="eastAsia"/>
          <w:color w:val="auto"/>
          <w:lang w:val="en-US" w:eastAsia="zh-CN"/>
        </w:rPr>
        <w:t>、车辆冲洗废水及生活污水</w:t>
      </w:r>
      <w:r>
        <w:rPr>
          <w:rFonts w:hint="eastAsia" w:ascii="Times New Roman" w:hAnsi="Times New Roman"/>
          <w:color w:val="auto"/>
        </w:rPr>
        <w:t>，噪声源主要包括放血提升机、牛扯皮机</w:t>
      </w:r>
      <w:r>
        <w:rPr>
          <w:rFonts w:hint="eastAsia"/>
          <w:color w:val="auto"/>
          <w:lang w:val="en-US" w:eastAsia="zh-CN"/>
        </w:rPr>
        <w:t>、四分体提升机、洗肚机、热缩机</w:t>
      </w:r>
      <w:r>
        <w:rPr>
          <w:rFonts w:hint="eastAsia" w:ascii="Times New Roman" w:hAnsi="Times New Roman"/>
          <w:color w:val="auto"/>
        </w:rPr>
        <w:t>等；固废包括</w:t>
      </w:r>
      <w:r>
        <w:rPr>
          <w:rFonts w:hint="eastAsia"/>
          <w:color w:val="auto"/>
          <w:lang w:val="en-US" w:eastAsia="zh-CN"/>
        </w:rPr>
        <w:t>牛屠宰过程中产生的分割边角料、胃内容物、病变内脏、不合格胴体、牛粪便（含牛尿）、病死牛，羊屠宰过程产生的分割边角料、胃内容物、病变内脏、不合格胴体、羊粪便（含羊尿）、病死羊，</w:t>
      </w:r>
      <w:r>
        <w:rPr>
          <w:rFonts w:hint="default"/>
          <w:color w:val="auto"/>
          <w:lang w:val="zh-CN" w:eastAsia="zh-CN"/>
        </w:rPr>
        <w:t>污水处理站污泥</w:t>
      </w:r>
      <w:r>
        <w:rPr>
          <w:rFonts w:hint="eastAsia"/>
          <w:color w:val="auto"/>
          <w:lang w:val="zh-CN" w:eastAsia="zh-CN"/>
        </w:rPr>
        <w:t>、</w:t>
      </w:r>
      <w:r>
        <w:rPr>
          <w:rFonts w:hint="eastAsia"/>
          <w:color w:val="auto"/>
          <w:lang w:val="en-US" w:eastAsia="zh-CN"/>
        </w:rPr>
        <w:t>废活性炭、废机油、废机油桶、检疫废物</w:t>
      </w:r>
      <w:r>
        <w:rPr>
          <w:rFonts w:hint="default"/>
          <w:color w:val="auto"/>
          <w:lang w:val="zh-CN" w:eastAsia="zh-CN"/>
        </w:rPr>
        <w:t>及职工产生的生活垃圾。</w:t>
      </w:r>
    </w:p>
    <w:p w14:paraId="4DEDF5CC">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outlineLvl w:val="3"/>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1.4.1.2</w:t>
      </w:r>
      <w:r>
        <w:rPr>
          <w:rFonts w:hint="default" w:ascii="Times New Roman" w:hAnsi="Times New Roman" w:eastAsia="宋体" w:cs="Times New Roman"/>
          <w:b/>
          <w:bCs/>
          <w:color w:val="auto"/>
          <w:sz w:val="24"/>
          <w:highlight w:val="none"/>
        </w:rPr>
        <w:t>评价因子筛选</w:t>
      </w:r>
    </w:p>
    <w:p w14:paraId="43D0EAA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通过对项目的环境污染因素分析，筛选并确定如表1.4-</w:t>
      </w:r>
      <w:r>
        <w:rPr>
          <w:rFonts w:hint="eastAsia" w:cs="Times New Roman"/>
          <w:color w:val="auto"/>
          <w:sz w:val="24"/>
          <w:highlight w:val="none"/>
          <w:lang w:val="en-US" w:eastAsia="zh-CN"/>
        </w:rPr>
        <w:t>1</w:t>
      </w:r>
      <w:r>
        <w:rPr>
          <w:rFonts w:hint="default" w:ascii="Times New Roman" w:hAnsi="Times New Roman" w:eastAsia="仿宋_GB2312" w:cs="Times New Roman"/>
          <w:color w:val="auto"/>
          <w:sz w:val="24"/>
          <w:highlight w:val="none"/>
        </w:rPr>
        <w:t>所示环境影响评价因子</w:t>
      </w:r>
      <w:r>
        <w:rPr>
          <w:rFonts w:hint="eastAsia" w:ascii="Times New Roman" w:hAnsi="Times New Roman" w:cs="Times New Roman"/>
          <w:color w:val="auto"/>
          <w:sz w:val="24"/>
          <w:highlight w:val="none"/>
          <w:lang w:eastAsia="zh-CN"/>
        </w:rPr>
        <w:t>。</w:t>
      </w:r>
    </w:p>
    <w:p w14:paraId="1F46871A">
      <w:pPr>
        <w:pageBreakBefore w:val="0"/>
        <w:widowControl w:val="0"/>
        <w:kinsoku/>
        <w:wordWrap/>
        <w:topLinePunct w:val="0"/>
        <w:bidi w:val="0"/>
        <w:adjustRightInd/>
        <w:snapToGrid/>
        <w:spacing w:line="240" w:lineRule="auto"/>
        <w:ind w:left="0" w:leftChars="0"/>
        <w:jc w:val="both"/>
        <w:rPr>
          <w:rFonts w:hint="default" w:ascii="Times New Roman" w:hAnsi="Times New Roman" w:eastAsia="宋体" w:cs="Times New Roman"/>
          <w:bCs/>
          <w:color w:val="auto"/>
          <w:sz w:val="21"/>
          <w:szCs w:val="21"/>
          <w:highlight w:val="none"/>
        </w:rPr>
      </w:pPr>
    </w:p>
    <w:p w14:paraId="7ACE564F">
      <w:pPr>
        <w:pageBreakBefore w:val="0"/>
        <w:widowControl w:val="0"/>
        <w:kinsoku/>
        <w:wordWrap/>
        <w:topLinePunct w:val="0"/>
        <w:bidi w:val="0"/>
        <w:adjustRightInd/>
        <w:snapToGrid/>
        <w:spacing w:line="240" w:lineRule="auto"/>
        <w:ind w:left="0" w:leftChars="0"/>
        <w:jc w:val="both"/>
        <w:rPr>
          <w:rFonts w:hint="default" w:ascii="Times New Roman" w:hAnsi="Times New Roman" w:eastAsia="宋体" w:cs="Times New Roman"/>
          <w:bCs/>
          <w:color w:val="auto"/>
          <w:sz w:val="21"/>
          <w:szCs w:val="21"/>
          <w:highlight w:val="none"/>
        </w:rPr>
      </w:pPr>
    </w:p>
    <w:p w14:paraId="268CBDE2">
      <w:pPr>
        <w:pageBreakBefore w:val="0"/>
        <w:widowControl w:val="0"/>
        <w:kinsoku/>
        <w:wordWrap/>
        <w:topLinePunct w:val="0"/>
        <w:bidi w:val="0"/>
        <w:adjustRightInd/>
        <w:snapToGrid/>
        <w:spacing w:line="240" w:lineRule="auto"/>
        <w:ind w:left="0" w:leftChars="0"/>
        <w:jc w:val="both"/>
        <w:rPr>
          <w:rFonts w:hint="default" w:ascii="Times New Roman" w:hAnsi="Times New Roman" w:eastAsia="宋体" w:cs="Times New Roman"/>
          <w:bCs/>
          <w:color w:val="auto"/>
          <w:sz w:val="21"/>
          <w:szCs w:val="21"/>
          <w:highlight w:val="none"/>
        </w:rPr>
      </w:pPr>
    </w:p>
    <w:p w14:paraId="45BE9007">
      <w:pPr>
        <w:pageBreakBefore w:val="0"/>
        <w:widowControl w:val="0"/>
        <w:kinsoku/>
        <w:wordWrap/>
        <w:topLinePunct w:val="0"/>
        <w:bidi w:val="0"/>
        <w:adjustRightInd/>
        <w:snapToGrid/>
        <w:spacing w:line="240" w:lineRule="auto"/>
        <w:ind w:left="0" w:leftChars="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Cs/>
          <w:color w:val="auto"/>
          <w:sz w:val="21"/>
          <w:szCs w:val="21"/>
          <w:highlight w:val="none"/>
        </w:rPr>
        <w:t>表1.4-</w:t>
      </w:r>
      <w:r>
        <w:rPr>
          <w:rFonts w:hint="eastAsia" w:eastAsia="宋体" w:cs="Times New Roman"/>
          <w:bCs/>
          <w:color w:val="auto"/>
          <w:sz w:val="21"/>
          <w:szCs w:val="21"/>
          <w:highlight w:val="none"/>
          <w:lang w:val="en-US" w:eastAsia="zh-CN"/>
        </w:rPr>
        <w:t>1</w:t>
      </w:r>
      <w:r>
        <w:rPr>
          <w:rFonts w:hint="default"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lang w:val="en-US" w:eastAsia="zh-CN"/>
        </w:rPr>
        <w:t xml:space="preserve">               </w:t>
      </w:r>
      <w:r>
        <w:rPr>
          <w:rFonts w:hint="eastAsia" w:eastAsia="宋体" w:cs="Times New Roman"/>
          <w:b/>
          <w:color w:val="auto"/>
          <w:sz w:val="24"/>
          <w:highlight w:val="none"/>
          <w:lang w:val="en-US" w:eastAsia="zh-CN"/>
        </w:rPr>
        <w:t xml:space="preserve"> </w:t>
      </w:r>
      <w:r>
        <w:rPr>
          <w:rFonts w:hint="eastAsia"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本次环境影响评价因子</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89"/>
        <w:gridCol w:w="1200"/>
        <w:gridCol w:w="5839"/>
      </w:tblGrid>
      <w:tr w14:paraId="0E4AA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20" w:type="dxa"/>
            <w:tcBorders>
              <w:tl2br w:val="nil"/>
              <w:tr2bl w:val="nil"/>
            </w:tcBorders>
            <w:noWrap w:val="0"/>
            <w:vAlign w:val="center"/>
          </w:tcPr>
          <w:p w14:paraId="3E13C3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阶段</w:t>
            </w:r>
          </w:p>
        </w:tc>
        <w:tc>
          <w:tcPr>
            <w:tcW w:w="1189" w:type="dxa"/>
            <w:tcBorders>
              <w:tl2br w:val="nil"/>
              <w:tr2bl w:val="nil"/>
            </w:tcBorders>
            <w:noWrap w:val="0"/>
            <w:vAlign w:val="center"/>
          </w:tcPr>
          <w:p w14:paraId="5B6F72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环境要素</w:t>
            </w:r>
          </w:p>
        </w:tc>
        <w:tc>
          <w:tcPr>
            <w:tcW w:w="1200" w:type="dxa"/>
            <w:tcBorders>
              <w:tl2br w:val="nil"/>
              <w:tr2bl w:val="nil"/>
            </w:tcBorders>
            <w:noWrap w:val="0"/>
            <w:vAlign w:val="center"/>
          </w:tcPr>
          <w:p w14:paraId="04AC19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评价类别</w:t>
            </w:r>
          </w:p>
        </w:tc>
        <w:tc>
          <w:tcPr>
            <w:tcW w:w="5839" w:type="dxa"/>
            <w:tcBorders>
              <w:tl2br w:val="nil"/>
              <w:tr2bl w:val="nil"/>
            </w:tcBorders>
            <w:noWrap w:val="0"/>
            <w:vAlign w:val="center"/>
          </w:tcPr>
          <w:p w14:paraId="6FF976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评价因子</w:t>
            </w:r>
          </w:p>
        </w:tc>
      </w:tr>
      <w:tr w14:paraId="7DC70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restart"/>
            <w:tcBorders>
              <w:tl2br w:val="nil"/>
              <w:tr2bl w:val="nil"/>
            </w:tcBorders>
            <w:noWrap w:val="0"/>
            <w:vAlign w:val="center"/>
          </w:tcPr>
          <w:p w14:paraId="50B85F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w:t>
            </w:r>
          </w:p>
          <w:p w14:paraId="311C42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w:t>
            </w:r>
          </w:p>
          <w:p w14:paraId="131781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期</w:t>
            </w:r>
          </w:p>
        </w:tc>
        <w:tc>
          <w:tcPr>
            <w:tcW w:w="1189" w:type="dxa"/>
            <w:tcBorders>
              <w:tl2br w:val="nil"/>
              <w:tr2bl w:val="nil"/>
            </w:tcBorders>
            <w:noWrap w:val="0"/>
            <w:vAlign w:val="center"/>
          </w:tcPr>
          <w:p w14:paraId="48D321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00" w:type="dxa"/>
            <w:vMerge w:val="restart"/>
            <w:tcBorders>
              <w:tl2br w:val="nil"/>
              <w:tr2bl w:val="nil"/>
            </w:tcBorders>
            <w:noWrap w:val="0"/>
            <w:vAlign w:val="center"/>
          </w:tcPr>
          <w:p w14:paraId="14D99F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影响分析</w:t>
            </w:r>
          </w:p>
        </w:tc>
        <w:tc>
          <w:tcPr>
            <w:tcW w:w="5839" w:type="dxa"/>
            <w:tcBorders>
              <w:tl2br w:val="nil"/>
              <w:tr2bl w:val="nil"/>
            </w:tcBorders>
            <w:noWrap w:val="0"/>
            <w:vAlign w:val="center"/>
          </w:tcPr>
          <w:p w14:paraId="68B278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施工扬尘</w:t>
            </w:r>
          </w:p>
        </w:tc>
      </w:tr>
      <w:tr w14:paraId="7FB7D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continue"/>
            <w:tcBorders>
              <w:tl2br w:val="nil"/>
              <w:tr2bl w:val="nil"/>
            </w:tcBorders>
            <w:noWrap w:val="0"/>
            <w:vAlign w:val="center"/>
          </w:tcPr>
          <w:p w14:paraId="5DD210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1189" w:type="dxa"/>
            <w:tcBorders>
              <w:tl2br w:val="nil"/>
              <w:tr2bl w:val="nil"/>
            </w:tcBorders>
            <w:noWrap w:val="0"/>
            <w:vAlign w:val="center"/>
          </w:tcPr>
          <w:p w14:paraId="7BAB46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00" w:type="dxa"/>
            <w:vMerge w:val="continue"/>
            <w:tcBorders>
              <w:tl2br w:val="nil"/>
              <w:tr2bl w:val="nil"/>
            </w:tcBorders>
            <w:noWrap w:val="0"/>
            <w:vAlign w:val="center"/>
          </w:tcPr>
          <w:p w14:paraId="2726E7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5839" w:type="dxa"/>
            <w:tcBorders>
              <w:tl2br w:val="nil"/>
              <w:tr2bl w:val="nil"/>
            </w:tcBorders>
            <w:noWrap w:val="0"/>
            <w:vAlign w:val="center"/>
          </w:tcPr>
          <w:p w14:paraId="12EA2F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施工场界噪声（L</w:t>
            </w:r>
            <w:r>
              <w:rPr>
                <w:rFonts w:hint="default" w:ascii="Times New Roman" w:hAnsi="Times New Roman" w:eastAsia="宋体" w:cs="Times New Roman"/>
                <w:color w:val="auto"/>
                <w:sz w:val="21"/>
                <w:szCs w:val="21"/>
                <w:highlight w:val="none"/>
                <w:vertAlign w:val="subscript"/>
              </w:rPr>
              <w:t>Aeq</w:t>
            </w:r>
            <w:r>
              <w:rPr>
                <w:rFonts w:hint="default" w:ascii="Times New Roman" w:hAnsi="Times New Roman" w:eastAsia="宋体" w:cs="Times New Roman"/>
                <w:color w:val="auto"/>
                <w:sz w:val="21"/>
                <w:szCs w:val="21"/>
                <w:highlight w:val="none"/>
              </w:rPr>
              <w:t>）</w:t>
            </w:r>
          </w:p>
        </w:tc>
      </w:tr>
      <w:tr w14:paraId="6B702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continue"/>
            <w:tcBorders>
              <w:tl2br w:val="nil"/>
              <w:tr2bl w:val="nil"/>
            </w:tcBorders>
            <w:noWrap w:val="0"/>
            <w:vAlign w:val="center"/>
          </w:tcPr>
          <w:p w14:paraId="1236B1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1189" w:type="dxa"/>
            <w:tcBorders>
              <w:tl2br w:val="nil"/>
              <w:tr2bl w:val="nil"/>
            </w:tcBorders>
            <w:noWrap w:val="0"/>
            <w:vAlign w:val="center"/>
          </w:tcPr>
          <w:p w14:paraId="2B9986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w:t>
            </w:r>
          </w:p>
        </w:tc>
        <w:tc>
          <w:tcPr>
            <w:tcW w:w="1200" w:type="dxa"/>
            <w:vMerge w:val="continue"/>
            <w:tcBorders>
              <w:tl2br w:val="nil"/>
              <w:tr2bl w:val="nil"/>
            </w:tcBorders>
            <w:noWrap w:val="0"/>
            <w:vAlign w:val="center"/>
          </w:tcPr>
          <w:p w14:paraId="294BDB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5839" w:type="dxa"/>
            <w:tcBorders>
              <w:tl2br w:val="nil"/>
              <w:tr2bl w:val="nil"/>
            </w:tcBorders>
            <w:noWrap w:val="0"/>
            <w:vAlign w:val="center"/>
          </w:tcPr>
          <w:p w14:paraId="7079E9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施工废水</w:t>
            </w:r>
          </w:p>
        </w:tc>
      </w:tr>
      <w:tr w14:paraId="163FF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continue"/>
            <w:tcBorders>
              <w:tl2br w:val="nil"/>
              <w:tr2bl w:val="nil"/>
            </w:tcBorders>
            <w:noWrap w:val="0"/>
            <w:vAlign w:val="center"/>
          </w:tcPr>
          <w:p w14:paraId="1BAB22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1189" w:type="dxa"/>
            <w:tcBorders>
              <w:tl2br w:val="nil"/>
              <w:tr2bl w:val="nil"/>
            </w:tcBorders>
            <w:noWrap w:val="0"/>
            <w:vAlign w:val="center"/>
          </w:tcPr>
          <w:p w14:paraId="66326B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200" w:type="dxa"/>
            <w:vMerge w:val="continue"/>
            <w:tcBorders>
              <w:tl2br w:val="nil"/>
              <w:tr2bl w:val="nil"/>
            </w:tcBorders>
            <w:noWrap w:val="0"/>
            <w:vAlign w:val="center"/>
          </w:tcPr>
          <w:p w14:paraId="7C3733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5839" w:type="dxa"/>
            <w:tcBorders>
              <w:tl2br w:val="nil"/>
              <w:tr2bl w:val="nil"/>
            </w:tcBorders>
            <w:noWrap w:val="0"/>
            <w:vAlign w:val="center"/>
          </w:tcPr>
          <w:p w14:paraId="25E955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建筑垃圾、生活垃圾</w:t>
            </w:r>
          </w:p>
        </w:tc>
      </w:tr>
      <w:tr w14:paraId="51953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continue"/>
            <w:tcBorders>
              <w:tl2br w:val="nil"/>
              <w:tr2bl w:val="nil"/>
            </w:tcBorders>
            <w:noWrap w:val="0"/>
            <w:vAlign w:val="center"/>
          </w:tcPr>
          <w:p w14:paraId="43727B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1189" w:type="dxa"/>
            <w:tcBorders>
              <w:tl2br w:val="nil"/>
              <w:tr2bl w:val="nil"/>
            </w:tcBorders>
            <w:noWrap w:val="0"/>
            <w:vAlign w:val="center"/>
          </w:tcPr>
          <w:p w14:paraId="380596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1200" w:type="dxa"/>
            <w:vMerge w:val="continue"/>
            <w:tcBorders>
              <w:tl2br w:val="nil"/>
              <w:tr2bl w:val="nil"/>
            </w:tcBorders>
            <w:noWrap w:val="0"/>
            <w:vAlign w:val="center"/>
          </w:tcPr>
          <w:p w14:paraId="1B65F6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5839" w:type="dxa"/>
            <w:tcBorders>
              <w:tl2br w:val="nil"/>
              <w:tr2bl w:val="nil"/>
            </w:tcBorders>
            <w:noWrap w:val="0"/>
            <w:vAlign w:val="center"/>
          </w:tcPr>
          <w:p w14:paraId="3FC1CF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植被、水土流失</w:t>
            </w:r>
          </w:p>
        </w:tc>
      </w:tr>
      <w:tr w14:paraId="07E28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restart"/>
            <w:tcBorders>
              <w:tl2br w:val="nil"/>
              <w:tr2bl w:val="nil"/>
            </w:tcBorders>
            <w:noWrap w:val="0"/>
            <w:vAlign w:val="center"/>
          </w:tcPr>
          <w:p w14:paraId="015893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bookmarkStart w:id="197" w:name="_Toc107623022"/>
            <w:bookmarkStart w:id="198" w:name="_Toc107994828"/>
            <w:bookmarkStart w:id="199" w:name="_Toc107018069"/>
            <w:bookmarkStart w:id="200" w:name="_Toc108232574"/>
            <w:bookmarkStart w:id="201" w:name="_Toc107017971"/>
            <w:bookmarkStart w:id="202" w:name="_Toc138133780"/>
            <w:bookmarkStart w:id="203" w:name="_Toc130886263"/>
            <w:bookmarkStart w:id="204" w:name="_Toc108866881"/>
            <w:bookmarkStart w:id="205" w:name="_Toc130883558"/>
            <w:bookmarkStart w:id="206" w:name="_Toc137911609"/>
            <w:bookmarkStart w:id="207" w:name="_Toc140304622"/>
            <w:bookmarkStart w:id="208" w:name="_Toc107198585"/>
            <w:bookmarkStart w:id="209" w:name="_Toc107018168"/>
            <w:bookmarkStart w:id="210" w:name="_Toc130812439"/>
            <w:bookmarkStart w:id="211" w:name="_Toc107017654"/>
            <w:bookmarkStart w:id="212" w:name="_Toc107198794"/>
            <w:bookmarkStart w:id="213" w:name="_Toc107017776"/>
            <w:r>
              <w:rPr>
                <w:rFonts w:hint="default" w:ascii="Times New Roman" w:hAnsi="Times New Roman" w:eastAsia="宋体" w:cs="Times New Roman"/>
                <w:color w:val="auto"/>
                <w:sz w:val="21"/>
                <w:szCs w:val="21"/>
                <w:highlight w:val="none"/>
              </w:rPr>
              <w:t>运</w:t>
            </w:r>
          </w:p>
          <w:p w14:paraId="5C3208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w:t>
            </w:r>
          </w:p>
          <w:p w14:paraId="18C19A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期</w:t>
            </w:r>
          </w:p>
        </w:tc>
        <w:tc>
          <w:tcPr>
            <w:tcW w:w="1189" w:type="dxa"/>
            <w:vMerge w:val="restart"/>
            <w:tcBorders>
              <w:tl2br w:val="nil"/>
              <w:tr2bl w:val="nil"/>
            </w:tcBorders>
            <w:noWrap w:val="0"/>
            <w:vAlign w:val="center"/>
          </w:tcPr>
          <w:p w14:paraId="24F9CA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200" w:type="dxa"/>
            <w:tcBorders>
              <w:tl2br w:val="nil"/>
              <w:tr2bl w:val="nil"/>
            </w:tcBorders>
            <w:noWrap w:val="0"/>
            <w:vAlign w:val="center"/>
          </w:tcPr>
          <w:p w14:paraId="5D7FDE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5839" w:type="dxa"/>
            <w:tcBorders>
              <w:tl2br w:val="nil"/>
              <w:tr2bl w:val="nil"/>
            </w:tcBorders>
            <w:noWrap w:val="0"/>
            <w:vAlign w:val="center"/>
          </w:tcPr>
          <w:p w14:paraId="4DE5CD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、CO、O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S</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臭气浓度</w:t>
            </w:r>
          </w:p>
        </w:tc>
      </w:tr>
      <w:tr w14:paraId="2BAC2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continue"/>
            <w:tcBorders>
              <w:tl2br w:val="nil"/>
              <w:tr2bl w:val="nil"/>
            </w:tcBorders>
            <w:noWrap w:val="0"/>
            <w:vAlign w:val="center"/>
          </w:tcPr>
          <w:p w14:paraId="73DFD7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9" w:type="dxa"/>
            <w:vMerge w:val="continue"/>
            <w:tcBorders>
              <w:tl2br w:val="nil"/>
              <w:tr2bl w:val="nil"/>
            </w:tcBorders>
            <w:noWrap w:val="0"/>
            <w:vAlign w:val="center"/>
          </w:tcPr>
          <w:p w14:paraId="2AF6D0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200" w:type="dxa"/>
            <w:tcBorders>
              <w:tl2br w:val="nil"/>
              <w:tr2bl w:val="nil"/>
            </w:tcBorders>
            <w:noWrap w:val="0"/>
            <w:vAlign w:val="center"/>
          </w:tcPr>
          <w:p w14:paraId="6FEFC6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839" w:type="dxa"/>
            <w:tcBorders>
              <w:tl2br w:val="nil"/>
              <w:tr2bl w:val="nil"/>
            </w:tcBorders>
            <w:noWrap w:val="0"/>
            <w:vAlign w:val="center"/>
          </w:tcPr>
          <w:p w14:paraId="210A67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S</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臭气浓度</w:t>
            </w:r>
          </w:p>
        </w:tc>
      </w:tr>
      <w:tr w14:paraId="497E3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720" w:type="dxa"/>
            <w:vMerge w:val="continue"/>
            <w:tcBorders>
              <w:tl2br w:val="nil"/>
              <w:tr2bl w:val="nil"/>
            </w:tcBorders>
            <w:noWrap w:val="0"/>
            <w:vAlign w:val="center"/>
          </w:tcPr>
          <w:p w14:paraId="370CE5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9" w:type="dxa"/>
            <w:vMerge w:val="restart"/>
            <w:tcBorders>
              <w:tl2br w:val="nil"/>
              <w:tr2bl w:val="nil"/>
            </w:tcBorders>
            <w:noWrap w:val="0"/>
            <w:vAlign w:val="center"/>
          </w:tcPr>
          <w:p w14:paraId="722693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1200" w:type="dxa"/>
            <w:tcBorders>
              <w:tl2br w:val="nil"/>
              <w:tr2bl w:val="nil"/>
            </w:tcBorders>
            <w:noWrap w:val="0"/>
            <w:vAlign w:val="center"/>
          </w:tcPr>
          <w:p w14:paraId="7F95B2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5839" w:type="dxa"/>
            <w:tcBorders>
              <w:tl2br w:val="nil"/>
              <w:tr2bl w:val="nil"/>
            </w:tcBorders>
            <w:noWrap w:val="0"/>
            <w:vAlign w:val="center"/>
          </w:tcPr>
          <w:p w14:paraId="7B22EB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八大离子：</w:t>
            </w:r>
            <w:r>
              <w:rPr>
                <w:rFonts w:hint="default" w:ascii="Times New Roman" w:hAnsi="Times New Roman" w:eastAsia="宋体" w:cs="Times New Roman"/>
                <w:color w:val="auto"/>
                <w:sz w:val="21"/>
                <w:szCs w:val="21"/>
              </w:rPr>
              <w:t>K</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、Ca</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p w14:paraId="7A779C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基本水质因子：</w:t>
            </w:r>
            <w:r>
              <w:rPr>
                <w:rFonts w:hint="default" w:ascii="Times New Roman" w:hAnsi="Times New Roman" w:eastAsia="宋体" w:cs="Times New Roman"/>
                <w:color w:val="auto"/>
                <w:sz w:val="21"/>
                <w:szCs w:val="21"/>
              </w:rPr>
              <w:t>pH值、氨氮、硝酸盐、亚硝酸盐、挥发酚、氰化物、砷、汞、六价铬、总硬度、铅、氟化物、镉、铁、锰、溶解性总固体、耗氧量、硫酸盐、氯化物、硫化物、铜、锌、总大肠菌群、细菌总数</w:t>
            </w:r>
          </w:p>
        </w:tc>
      </w:tr>
      <w:tr w14:paraId="064C8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continue"/>
            <w:tcBorders>
              <w:tl2br w:val="nil"/>
              <w:tr2bl w:val="nil"/>
            </w:tcBorders>
            <w:noWrap w:val="0"/>
            <w:vAlign w:val="center"/>
          </w:tcPr>
          <w:p w14:paraId="6319C5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9" w:type="dxa"/>
            <w:vMerge w:val="continue"/>
            <w:tcBorders>
              <w:tl2br w:val="nil"/>
              <w:tr2bl w:val="nil"/>
            </w:tcBorders>
            <w:noWrap w:val="0"/>
            <w:vAlign w:val="center"/>
          </w:tcPr>
          <w:p w14:paraId="219A62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200" w:type="dxa"/>
            <w:tcBorders>
              <w:tl2br w:val="nil"/>
              <w:tr2bl w:val="nil"/>
            </w:tcBorders>
            <w:noWrap w:val="0"/>
            <w:vAlign w:val="center"/>
          </w:tcPr>
          <w:p w14:paraId="7CAAA3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839" w:type="dxa"/>
            <w:tcBorders>
              <w:tl2br w:val="nil"/>
              <w:tr2bl w:val="nil"/>
            </w:tcBorders>
            <w:noWrap w:val="0"/>
            <w:vAlign w:val="center"/>
          </w:tcPr>
          <w:p w14:paraId="4DB0ED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r>
              <w:rPr>
                <w:rFonts w:hint="default" w:ascii="Times New Roman" w:hAnsi="Times New Roman" w:eastAsia="宋体" w:cs="Times New Roman"/>
                <w:color w:val="auto"/>
                <w:kern w:val="0"/>
                <w:sz w:val="21"/>
                <w:szCs w:val="21"/>
                <w:highlight w:val="none"/>
                <w:lang w:eastAsia="zh-CN"/>
              </w:rPr>
              <w:t>、耗氧量</w:t>
            </w:r>
          </w:p>
        </w:tc>
      </w:t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tr w14:paraId="1D46A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720" w:type="dxa"/>
            <w:vMerge w:val="restart"/>
            <w:tcBorders>
              <w:tl2br w:val="nil"/>
              <w:tr2bl w:val="nil"/>
            </w:tcBorders>
            <w:noWrap w:val="0"/>
            <w:vAlign w:val="center"/>
          </w:tcPr>
          <w:p w14:paraId="6A6919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w:t>
            </w:r>
          </w:p>
          <w:p w14:paraId="2F6B4A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w:t>
            </w:r>
          </w:p>
          <w:p w14:paraId="0C393F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期</w:t>
            </w:r>
          </w:p>
        </w:tc>
        <w:tc>
          <w:tcPr>
            <w:tcW w:w="1189" w:type="dxa"/>
            <w:vMerge w:val="restart"/>
            <w:tcBorders>
              <w:tl2br w:val="nil"/>
              <w:tr2bl w:val="nil"/>
            </w:tcBorders>
            <w:noWrap w:val="0"/>
            <w:vAlign w:val="center"/>
          </w:tcPr>
          <w:p w14:paraId="2D6D83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1200" w:type="dxa"/>
            <w:tcBorders>
              <w:tl2br w:val="nil"/>
              <w:tr2bl w:val="nil"/>
            </w:tcBorders>
            <w:noWrap w:val="0"/>
            <w:vAlign w:val="center"/>
          </w:tcPr>
          <w:p w14:paraId="1F8889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5839" w:type="dxa"/>
            <w:tcBorders>
              <w:tl2br w:val="nil"/>
              <w:tr2bl w:val="nil"/>
            </w:tcBorders>
            <w:noWrap w:val="0"/>
            <w:vAlign w:val="center"/>
          </w:tcPr>
          <w:p w14:paraId="5AFFC1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rPr>
              <w:t>水温、pH、溶解氧、高锰酸盐指数、挥发酚、COD、BOD</w:t>
            </w:r>
            <w:r>
              <w:rPr>
                <w:rFonts w:hint="default" w:ascii="Times New Roman" w:hAnsi="Times New Roman" w:eastAsia="宋体" w:cs="Times New Roman"/>
                <w:snapToGrid w:val="0"/>
                <w:color w:val="auto"/>
                <w:kern w:val="0"/>
                <w:sz w:val="21"/>
                <w:szCs w:val="21"/>
                <w:vertAlign w:val="subscript"/>
              </w:rPr>
              <w:t>5</w:t>
            </w:r>
            <w:r>
              <w:rPr>
                <w:rFonts w:hint="default" w:ascii="Times New Roman" w:hAnsi="Times New Roman" w:eastAsia="宋体" w:cs="Times New Roman"/>
                <w:snapToGrid w:val="0"/>
                <w:color w:val="auto"/>
                <w:kern w:val="0"/>
                <w:sz w:val="21"/>
                <w:szCs w:val="21"/>
              </w:rPr>
              <w:t>、氨氮、总氮、氟化物、铜、硒、锌、砷、汞、镉、六价铬、铅、氰化物、石油类、阴离子表面活性剂、硫化物</w:t>
            </w:r>
          </w:p>
        </w:tc>
      </w:tr>
      <w:tr w14:paraId="4DFCA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continue"/>
            <w:tcBorders>
              <w:tl2br w:val="nil"/>
              <w:tr2bl w:val="nil"/>
            </w:tcBorders>
            <w:noWrap w:val="0"/>
            <w:vAlign w:val="center"/>
          </w:tcPr>
          <w:p w14:paraId="4F716F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9" w:type="dxa"/>
            <w:vMerge w:val="continue"/>
            <w:tcBorders>
              <w:tl2br w:val="nil"/>
              <w:tr2bl w:val="nil"/>
            </w:tcBorders>
            <w:noWrap w:val="0"/>
            <w:vAlign w:val="center"/>
          </w:tcPr>
          <w:p w14:paraId="2B75FA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200" w:type="dxa"/>
            <w:tcBorders>
              <w:tl2br w:val="nil"/>
              <w:tr2bl w:val="nil"/>
            </w:tcBorders>
            <w:noWrap w:val="0"/>
            <w:vAlign w:val="center"/>
          </w:tcPr>
          <w:p w14:paraId="2BB3EF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839" w:type="dxa"/>
            <w:tcBorders>
              <w:tl2br w:val="nil"/>
              <w:tr2bl w:val="nil"/>
            </w:tcBorders>
            <w:noWrap w:val="0"/>
            <w:vAlign w:val="center"/>
          </w:tcPr>
          <w:p w14:paraId="19C6FC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highlight w:val="none"/>
                <w:lang w:val="en-US"/>
              </w:rPr>
            </w:pPr>
            <w:r>
              <w:rPr>
                <w:rFonts w:hint="default" w:ascii="Times New Roman" w:hAnsi="Times New Roman" w:eastAsia="宋体" w:cs="Times New Roman"/>
                <w:bCs/>
                <w:color w:val="auto"/>
                <w:sz w:val="21"/>
                <w:szCs w:val="21"/>
                <w:highlight w:val="none"/>
              </w:rPr>
              <w:t>pH</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、COD、SS、NH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动植物油</w:t>
            </w:r>
            <w:r>
              <w:rPr>
                <w:rFonts w:hint="eastAsia" w:eastAsia="宋体" w:cs="Times New Roman"/>
                <w:color w:val="auto"/>
                <w:sz w:val="21"/>
                <w:szCs w:val="21"/>
                <w:highlight w:val="none"/>
                <w:lang w:val="en-US" w:eastAsia="zh-CN"/>
              </w:rPr>
              <w:t>、TN、TP</w:t>
            </w:r>
          </w:p>
        </w:tc>
      </w:tr>
      <w:tr w14:paraId="5CC1F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continue"/>
            <w:tcBorders>
              <w:tl2br w:val="nil"/>
              <w:tr2bl w:val="nil"/>
            </w:tcBorders>
            <w:noWrap w:val="0"/>
            <w:vAlign w:val="center"/>
          </w:tcPr>
          <w:p w14:paraId="7B6310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1189" w:type="dxa"/>
            <w:vMerge w:val="restart"/>
            <w:tcBorders>
              <w:tl2br w:val="nil"/>
              <w:tr2bl w:val="nil"/>
            </w:tcBorders>
            <w:noWrap w:val="0"/>
            <w:vAlign w:val="center"/>
          </w:tcPr>
          <w:p w14:paraId="0FA925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00" w:type="dxa"/>
            <w:tcBorders>
              <w:tl2br w:val="nil"/>
              <w:tr2bl w:val="nil"/>
            </w:tcBorders>
            <w:noWrap w:val="0"/>
            <w:vAlign w:val="center"/>
          </w:tcPr>
          <w:p w14:paraId="3B054C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5839" w:type="dxa"/>
            <w:tcBorders>
              <w:tl2br w:val="nil"/>
              <w:tr2bl w:val="nil"/>
            </w:tcBorders>
            <w:noWrap w:val="0"/>
            <w:vAlign w:val="center"/>
          </w:tcPr>
          <w:p w14:paraId="7E4A7B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L</w:t>
            </w:r>
            <w:r>
              <w:rPr>
                <w:rFonts w:hint="eastAsia" w:eastAsia="宋体" w:cs="Times New Roman"/>
                <w:color w:val="000000" w:themeColor="text1"/>
                <w:sz w:val="21"/>
                <w:szCs w:val="21"/>
                <w:highlight w:val="none"/>
                <w:vertAlign w:val="subscript"/>
                <w:lang w:val="en-US" w:eastAsia="zh-CN"/>
                <w14:textFill>
                  <w14:solidFill>
                    <w14:schemeClr w14:val="tx1"/>
                  </w14:solidFill>
                </w14:textFill>
              </w:rPr>
              <w:t>d</w:t>
            </w:r>
            <w:r>
              <w:rPr>
                <w:rFonts w:hint="eastAsia" w:eastAsia="宋体" w:cs="Times New Roman"/>
                <w:color w:val="000000" w:themeColor="text1"/>
                <w:sz w:val="21"/>
                <w:szCs w:val="21"/>
                <w:highlight w:val="none"/>
                <w:lang w:val="en-US" w:eastAsia="zh-CN"/>
                <w14:textFill>
                  <w14:solidFill>
                    <w14:schemeClr w14:val="tx1"/>
                  </w14:solidFill>
                </w14:textFill>
              </w:rPr>
              <w:t>、L</w:t>
            </w:r>
            <w:r>
              <w:rPr>
                <w:rFonts w:hint="eastAsia" w:eastAsia="宋体" w:cs="Times New Roman"/>
                <w:color w:val="000000" w:themeColor="text1"/>
                <w:sz w:val="21"/>
                <w:szCs w:val="21"/>
                <w:highlight w:val="none"/>
                <w:vertAlign w:val="subscript"/>
                <w:lang w:val="en-US" w:eastAsia="zh-CN"/>
                <w14:textFill>
                  <w14:solidFill>
                    <w14:schemeClr w14:val="tx1"/>
                  </w14:solidFill>
                </w14:textFill>
              </w:rPr>
              <w:t>n</w:t>
            </w:r>
          </w:p>
        </w:tc>
      </w:tr>
      <w:tr w14:paraId="6869F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0" w:type="dxa"/>
            <w:vMerge w:val="continue"/>
            <w:tcBorders>
              <w:tl2br w:val="nil"/>
              <w:tr2bl w:val="nil"/>
            </w:tcBorders>
            <w:noWrap w:val="0"/>
            <w:vAlign w:val="center"/>
          </w:tcPr>
          <w:p w14:paraId="6BC8A9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1189" w:type="dxa"/>
            <w:vMerge w:val="continue"/>
            <w:tcBorders>
              <w:tl2br w:val="nil"/>
              <w:tr2bl w:val="nil"/>
            </w:tcBorders>
            <w:noWrap w:val="0"/>
            <w:vAlign w:val="center"/>
          </w:tcPr>
          <w:p w14:paraId="16A2CB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1200" w:type="dxa"/>
            <w:tcBorders>
              <w:tl2br w:val="nil"/>
              <w:tr2bl w:val="nil"/>
            </w:tcBorders>
            <w:noWrap w:val="0"/>
            <w:vAlign w:val="center"/>
          </w:tcPr>
          <w:p w14:paraId="5240ED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839" w:type="dxa"/>
            <w:tcBorders>
              <w:tl2br w:val="nil"/>
              <w:tr2bl w:val="nil"/>
            </w:tcBorders>
            <w:noWrap w:val="0"/>
            <w:vAlign w:val="center"/>
          </w:tcPr>
          <w:p w14:paraId="3280B6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L</w:t>
            </w:r>
            <w:r>
              <w:rPr>
                <w:rFonts w:hint="eastAsia" w:eastAsia="宋体" w:cs="Times New Roman"/>
                <w:color w:val="000000" w:themeColor="text1"/>
                <w:sz w:val="21"/>
                <w:szCs w:val="21"/>
                <w:highlight w:val="none"/>
                <w:vertAlign w:val="subscript"/>
                <w:lang w:val="en-US" w:eastAsia="zh-CN"/>
                <w14:textFill>
                  <w14:solidFill>
                    <w14:schemeClr w14:val="tx1"/>
                  </w14:solidFill>
                </w14:textFill>
              </w:rPr>
              <w:t>d</w:t>
            </w:r>
            <w:r>
              <w:rPr>
                <w:rFonts w:hint="eastAsia" w:eastAsia="宋体" w:cs="Times New Roman"/>
                <w:color w:val="000000" w:themeColor="text1"/>
                <w:sz w:val="21"/>
                <w:szCs w:val="21"/>
                <w:highlight w:val="none"/>
                <w:lang w:val="en-US" w:eastAsia="zh-CN"/>
                <w14:textFill>
                  <w14:solidFill>
                    <w14:schemeClr w14:val="tx1"/>
                  </w14:solidFill>
                </w14:textFill>
              </w:rPr>
              <w:t>、L</w:t>
            </w:r>
            <w:r>
              <w:rPr>
                <w:rFonts w:hint="eastAsia" w:eastAsia="宋体" w:cs="Times New Roman"/>
                <w:color w:val="000000" w:themeColor="text1"/>
                <w:sz w:val="21"/>
                <w:szCs w:val="21"/>
                <w:highlight w:val="none"/>
                <w:vertAlign w:val="subscript"/>
                <w:lang w:val="en-US" w:eastAsia="zh-CN"/>
                <w14:textFill>
                  <w14:solidFill>
                    <w14:schemeClr w14:val="tx1"/>
                  </w14:solidFill>
                </w14:textFill>
              </w:rPr>
              <w:t>n</w:t>
            </w:r>
          </w:p>
        </w:tc>
      </w:tr>
      <w:tr w14:paraId="5A49D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vMerge w:val="continue"/>
            <w:tcBorders>
              <w:tl2br w:val="nil"/>
              <w:tr2bl w:val="nil"/>
            </w:tcBorders>
            <w:noWrap w:val="0"/>
            <w:vAlign w:val="center"/>
          </w:tcPr>
          <w:p w14:paraId="153230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p>
        </w:tc>
        <w:tc>
          <w:tcPr>
            <w:tcW w:w="1189" w:type="dxa"/>
            <w:tcBorders>
              <w:tl2br w:val="nil"/>
              <w:tr2bl w:val="nil"/>
            </w:tcBorders>
            <w:noWrap w:val="0"/>
            <w:vAlign w:val="center"/>
          </w:tcPr>
          <w:p w14:paraId="03C1FE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200" w:type="dxa"/>
            <w:tcBorders>
              <w:tl2br w:val="nil"/>
              <w:tr2bl w:val="nil"/>
            </w:tcBorders>
            <w:noWrap w:val="0"/>
            <w:vAlign w:val="center"/>
          </w:tcPr>
          <w:p w14:paraId="751256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839" w:type="dxa"/>
            <w:tcBorders>
              <w:tl2br w:val="nil"/>
              <w:tr2bl w:val="nil"/>
            </w:tcBorders>
            <w:noWrap w:val="0"/>
            <w:vAlign w:val="center"/>
          </w:tcPr>
          <w:p w14:paraId="4833EF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eastAsia="宋体" w:cs="Times New Roman"/>
                <w:color w:val="auto"/>
                <w:sz w:val="21"/>
                <w:szCs w:val="21"/>
                <w:highlight w:val="none"/>
                <w:lang w:val="en-US" w:eastAsia="zh-CN"/>
              </w:rPr>
              <w:t>一般固废、危险废物、生活垃圾</w:t>
            </w:r>
          </w:p>
        </w:tc>
      </w:tr>
      <w:tr w14:paraId="28284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20" w:type="dxa"/>
            <w:vMerge w:val="continue"/>
            <w:tcBorders>
              <w:tl2br w:val="nil"/>
              <w:tr2bl w:val="nil"/>
            </w:tcBorders>
            <w:noWrap w:val="0"/>
            <w:vAlign w:val="center"/>
          </w:tcPr>
          <w:p w14:paraId="395C90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89" w:type="dxa"/>
            <w:tcBorders>
              <w:tl2br w:val="nil"/>
              <w:tr2bl w:val="nil"/>
            </w:tcBorders>
            <w:noWrap w:val="0"/>
            <w:vAlign w:val="center"/>
          </w:tcPr>
          <w:p w14:paraId="1A0312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1200" w:type="dxa"/>
            <w:tcBorders>
              <w:tl2br w:val="nil"/>
              <w:tr2bl w:val="nil"/>
            </w:tcBorders>
            <w:noWrap w:val="0"/>
            <w:vAlign w:val="center"/>
          </w:tcPr>
          <w:p w14:paraId="62D91B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839" w:type="dxa"/>
            <w:tcBorders>
              <w:tl2br w:val="nil"/>
              <w:tr2bl w:val="nil"/>
            </w:tcBorders>
            <w:noWrap w:val="0"/>
            <w:vAlign w:val="center"/>
          </w:tcPr>
          <w:p w14:paraId="06F847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植被、动物、土壤等</w:t>
            </w:r>
          </w:p>
        </w:tc>
      </w:tr>
    </w:tbl>
    <w:p w14:paraId="0BA6906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r>
        <w:rPr>
          <w:rFonts w:hint="default" w:ascii="Times New Roman" w:hAnsi="Times New Roman" w:eastAsia="黑体" w:cs="Times New Roman"/>
          <w:b/>
          <w:color w:val="auto"/>
          <w:sz w:val="28"/>
          <w:szCs w:val="28"/>
          <w:highlight w:val="none"/>
        </w:rPr>
        <w:t>1.4.2环境质量标准</w:t>
      </w:r>
    </w:p>
    <w:p w14:paraId="64C806E9">
      <w:pPr>
        <w:pageBreakBefore w:val="0"/>
        <w:kinsoku/>
        <w:wordWrap/>
        <w:topLinePunct w:val="0"/>
        <w:bidi w:val="0"/>
        <w:adjustRightInd/>
        <w:snapToGrid/>
        <w:ind w:left="0" w:leftChars="0"/>
        <w:rPr>
          <w:rFonts w:hint="default" w:ascii="Times New Roman" w:hAnsi="Times New Roman" w:eastAsia="仿宋_GB2312" w:cstheme="minorBidi"/>
          <w:color w:val="auto"/>
          <w:kern w:val="2"/>
          <w:sz w:val="24"/>
          <w:szCs w:val="24"/>
          <w:lang w:val="en-US" w:eastAsia="zh-CN" w:bidi="ar-SA"/>
        </w:rPr>
      </w:pPr>
      <w:r>
        <w:rPr>
          <w:rFonts w:hint="eastAsia" w:cstheme="minorBidi"/>
          <w:color w:val="auto"/>
          <w:kern w:val="2"/>
          <w:sz w:val="24"/>
          <w:szCs w:val="24"/>
          <w:lang w:val="en-US" w:eastAsia="zh-CN" w:bidi="ar-SA"/>
        </w:rPr>
        <w:t>（1）</w:t>
      </w:r>
      <w:r>
        <w:rPr>
          <w:rFonts w:hint="default" w:ascii="Times New Roman" w:hAnsi="Times New Roman" w:eastAsia="仿宋_GB2312" w:cstheme="minorBidi"/>
          <w:color w:val="auto"/>
          <w:kern w:val="2"/>
          <w:sz w:val="24"/>
          <w:szCs w:val="24"/>
          <w:lang w:val="en-US" w:eastAsia="zh-CN" w:bidi="ar-SA"/>
        </w:rPr>
        <w:t>环境空气质量标准</w:t>
      </w:r>
    </w:p>
    <w:p w14:paraId="06889822">
      <w:pPr>
        <w:pageBreakBefore w:val="0"/>
        <w:kinsoku/>
        <w:wordWrap/>
        <w:topLinePunct w:val="0"/>
        <w:bidi w:val="0"/>
        <w:adjustRightInd/>
        <w:snapToGrid/>
        <w:ind w:left="0" w:leftChars="0"/>
        <w:rPr>
          <w:rFonts w:hint="default" w:ascii="Times New Roman" w:hAnsi="Times New Roman" w:eastAsia="仿宋_GB2312" w:cstheme="minorBidi"/>
          <w:color w:val="auto"/>
          <w:kern w:val="2"/>
          <w:sz w:val="24"/>
          <w:szCs w:val="24"/>
          <w:lang w:val="en-US" w:eastAsia="zh-CN" w:bidi="ar-SA"/>
        </w:rPr>
      </w:pPr>
      <w:r>
        <w:rPr>
          <w:rFonts w:hint="default" w:ascii="Times New Roman" w:hAnsi="Times New Roman" w:eastAsia="仿宋_GB2312" w:cstheme="minorBidi"/>
          <w:color w:val="000000" w:themeColor="text1"/>
          <w:kern w:val="2"/>
          <w:sz w:val="24"/>
          <w:szCs w:val="24"/>
          <w:lang w:val="en-US" w:eastAsia="zh-CN" w:bidi="ar-SA"/>
          <w14:textFill>
            <w14:solidFill>
              <w14:schemeClr w14:val="tx1"/>
            </w14:solidFill>
          </w14:textFill>
        </w:rPr>
        <w:t>本次</w:t>
      </w:r>
      <w:r>
        <w:rPr>
          <w:rFonts w:hint="eastAsia" w:ascii="Times New Roman" w:hAnsi="Times New Roman" w:cs="Times New Roman"/>
          <w:b w:val="0"/>
          <w:bCs w:val="0"/>
          <w:color w:val="000000" w:themeColor="text1"/>
          <w:kern w:val="1"/>
          <w:sz w:val="24"/>
          <w:lang w:val="en-US" w:eastAsia="zh-CN"/>
          <w14:textFill>
            <w14:solidFill>
              <w14:schemeClr w14:val="tx1"/>
            </w14:solidFill>
          </w14:textFill>
        </w:rPr>
        <w:t>基本污染物SO</w:t>
      </w:r>
      <w:r>
        <w:rPr>
          <w:rFonts w:hint="eastAsia" w:ascii="Times New Roman" w:hAnsi="Times New Roman" w:cs="Times New Roman"/>
          <w:b w:val="0"/>
          <w:bCs w:val="0"/>
          <w:color w:val="000000" w:themeColor="text1"/>
          <w:kern w:val="1"/>
          <w:sz w:val="24"/>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kern w:val="1"/>
          <w:sz w:val="24"/>
          <w:lang w:val="en-US" w:eastAsia="zh-CN"/>
          <w14:textFill>
            <w14:solidFill>
              <w14:schemeClr w14:val="tx1"/>
            </w14:solidFill>
          </w14:textFill>
        </w:rPr>
        <w:t>、NO</w:t>
      </w:r>
      <w:r>
        <w:rPr>
          <w:rFonts w:hint="eastAsia" w:ascii="Times New Roman" w:hAnsi="Times New Roman" w:cs="Times New Roman"/>
          <w:b w:val="0"/>
          <w:bCs w:val="0"/>
          <w:color w:val="000000" w:themeColor="text1"/>
          <w:kern w:val="1"/>
          <w:sz w:val="24"/>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kern w:val="1"/>
          <w:sz w:val="24"/>
          <w:lang w:val="en-US" w:eastAsia="zh-CN"/>
          <w14:textFill>
            <w14:solidFill>
              <w14:schemeClr w14:val="tx1"/>
            </w14:solidFill>
          </w14:textFill>
        </w:rPr>
        <w:t>、PM</w:t>
      </w:r>
      <w:r>
        <w:rPr>
          <w:rFonts w:hint="eastAsia" w:ascii="Times New Roman" w:hAnsi="Times New Roman" w:cs="Times New Roman"/>
          <w:b w:val="0"/>
          <w:bCs w:val="0"/>
          <w:color w:val="000000" w:themeColor="text1"/>
          <w:kern w:val="1"/>
          <w:sz w:val="24"/>
          <w:vertAlign w:val="subscript"/>
          <w:lang w:val="en-US" w:eastAsia="zh-CN"/>
          <w14:textFill>
            <w14:solidFill>
              <w14:schemeClr w14:val="tx1"/>
            </w14:solidFill>
          </w14:textFill>
        </w:rPr>
        <w:t>10</w:t>
      </w:r>
      <w:r>
        <w:rPr>
          <w:rFonts w:hint="eastAsia" w:ascii="Times New Roman" w:hAnsi="Times New Roman" w:cs="Times New Roman"/>
          <w:b w:val="0"/>
          <w:bCs w:val="0"/>
          <w:color w:val="000000" w:themeColor="text1"/>
          <w:kern w:val="1"/>
          <w:sz w:val="24"/>
          <w:lang w:val="en-US" w:eastAsia="zh-CN"/>
          <w14:textFill>
            <w14:solidFill>
              <w14:schemeClr w14:val="tx1"/>
            </w14:solidFill>
          </w14:textFill>
        </w:rPr>
        <w:t>、PM</w:t>
      </w:r>
      <w:r>
        <w:rPr>
          <w:rFonts w:hint="eastAsia" w:ascii="Times New Roman" w:hAnsi="Times New Roman" w:cs="Times New Roman"/>
          <w:b w:val="0"/>
          <w:bCs w:val="0"/>
          <w:color w:val="000000" w:themeColor="text1"/>
          <w:kern w:val="1"/>
          <w:sz w:val="24"/>
          <w:vertAlign w:val="subscript"/>
          <w:lang w:val="en-US" w:eastAsia="zh-CN"/>
          <w14:textFill>
            <w14:solidFill>
              <w14:schemeClr w14:val="tx1"/>
            </w14:solidFill>
          </w14:textFill>
        </w:rPr>
        <w:t>2.5</w:t>
      </w:r>
      <w:r>
        <w:rPr>
          <w:rFonts w:hint="eastAsia" w:ascii="Times New Roman" w:hAnsi="Times New Roman" w:cs="Times New Roman"/>
          <w:b w:val="0"/>
          <w:bCs w:val="0"/>
          <w:color w:val="000000" w:themeColor="text1"/>
          <w:kern w:val="1"/>
          <w:sz w:val="24"/>
          <w:lang w:val="en-US" w:eastAsia="zh-CN"/>
          <w14:textFill>
            <w14:solidFill>
              <w14:schemeClr w14:val="tx1"/>
            </w14:solidFill>
          </w14:textFill>
        </w:rPr>
        <w:t>、CO、O</w:t>
      </w:r>
      <w:r>
        <w:rPr>
          <w:rFonts w:hint="eastAsia" w:ascii="Times New Roman" w:hAnsi="Times New Roman" w:cs="Times New Roman"/>
          <w:b w:val="0"/>
          <w:bCs w:val="0"/>
          <w:color w:val="000000" w:themeColor="text1"/>
          <w:kern w:val="1"/>
          <w:sz w:val="24"/>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kern w:val="1"/>
          <w:sz w:val="24"/>
          <w:lang w:val="en-US" w:eastAsia="zh-CN"/>
          <w14:textFill>
            <w14:solidFill>
              <w14:schemeClr w14:val="tx1"/>
            </w14:solidFill>
          </w14:textFill>
        </w:rPr>
        <w:t>达标区判定执行《环境空气质量标准》（GB3095-2012）中二级标准；环境影响预测及评价执行《环境空气质量标准》（GB3095-2026）中过渡阶段二级标准</w:t>
      </w:r>
      <w:r>
        <w:rPr>
          <w:rFonts w:hint="eastAsia" w:cs="Times New Roman"/>
          <w:b w:val="0"/>
          <w:bCs w:val="0"/>
          <w:color w:val="000000" w:themeColor="text1"/>
          <w:kern w:val="1"/>
          <w:sz w:val="24"/>
          <w:lang w:val="en-US" w:eastAsia="zh-CN"/>
          <w14:textFill>
            <w14:solidFill>
              <w14:schemeClr w14:val="tx1"/>
            </w14:solidFill>
          </w14:textFill>
        </w:rPr>
        <w:t>；2031年1月1日起执行</w:t>
      </w:r>
      <w:r>
        <w:rPr>
          <w:rFonts w:hint="eastAsia" w:ascii="Times New Roman" w:hAnsi="Times New Roman" w:cs="Times New Roman"/>
          <w:b w:val="0"/>
          <w:bCs w:val="0"/>
          <w:color w:val="000000" w:themeColor="text1"/>
          <w:kern w:val="1"/>
          <w:sz w:val="24"/>
          <w:lang w:val="en-US" w:eastAsia="zh-CN"/>
          <w14:textFill>
            <w14:solidFill>
              <w14:schemeClr w14:val="tx1"/>
            </w14:solidFill>
          </w14:textFill>
        </w:rPr>
        <w:t>《环境空气质量标准》（GB3095-2026）中二级标准</w:t>
      </w:r>
      <w:r>
        <w:rPr>
          <w:rFonts w:hint="eastAsia" w:cs="Times New Roman"/>
          <w:b w:val="0"/>
          <w:bCs w:val="0"/>
          <w:color w:val="000000" w:themeColor="text1"/>
          <w:kern w:val="1"/>
          <w:sz w:val="24"/>
          <w:lang w:val="en-US" w:eastAsia="zh-CN"/>
          <w14:textFill>
            <w14:solidFill>
              <w14:schemeClr w14:val="tx1"/>
            </w14:solidFill>
          </w14:textFill>
        </w:rPr>
        <w:t>。</w:t>
      </w:r>
      <w:r>
        <w:rPr>
          <w:rFonts w:hint="default" w:ascii="Times New Roman" w:hAnsi="Times New Roman" w:eastAsia="仿宋_GB2312" w:cstheme="minorBidi"/>
          <w:color w:val="000000" w:themeColor="text1"/>
          <w:kern w:val="2"/>
          <w:sz w:val="24"/>
          <w:szCs w:val="24"/>
          <w:lang w:val="en-US" w:eastAsia="zh-CN" w:bidi="ar-SA"/>
          <w14:textFill>
            <w14:solidFill>
              <w14:schemeClr w14:val="tx1"/>
            </w14:solidFill>
          </w14:textFill>
        </w:rPr>
        <w:t>H</w:t>
      </w:r>
      <w:r>
        <w:rPr>
          <w:rFonts w:hint="default" w:ascii="Times New Roman" w:hAnsi="Times New Roman" w:eastAsia="仿宋_GB2312" w:cstheme="minorBidi"/>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仿宋_GB2312" w:cstheme="minorBidi"/>
          <w:color w:val="000000" w:themeColor="text1"/>
          <w:kern w:val="2"/>
          <w:sz w:val="24"/>
          <w:szCs w:val="24"/>
          <w:lang w:val="en-US" w:eastAsia="zh-CN" w:bidi="ar-SA"/>
          <w14:textFill>
            <w14:solidFill>
              <w14:schemeClr w14:val="tx1"/>
            </w14:solidFill>
          </w14:textFill>
        </w:rPr>
        <w:t>S、</w:t>
      </w:r>
      <w:r>
        <w:rPr>
          <w:rFonts w:hint="default" w:ascii="Times New Roman" w:hAnsi="Times New Roman" w:eastAsia="仿宋_GB2312" w:cstheme="minorBidi"/>
          <w:color w:val="auto"/>
          <w:kern w:val="2"/>
          <w:sz w:val="24"/>
          <w:szCs w:val="24"/>
          <w:lang w:val="en-US" w:eastAsia="zh-CN" w:bidi="ar-SA"/>
        </w:rPr>
        <w:t>NH</w:t>
      </w:r>
      <w:r>
        <w:rPr>
          <w:rFonts w:hint="default" w:ascii="Times New Roman" w:hAnsi="Times New Roman" w:eastAsia="仿宋_GB2312" w:cstheme="minorBidi"/>
          <w:color w:val="auto"/>
          <w:kern w:val="2"/>
          <w:sz w:val="24"/>
          <w:szCs w:val="24"/>
          <w:vertAlign w:val="subscript"/>
          <w:lang w:val="en-US" w:eastAsia="zh-CN" w:bidi="ar-SA"/>
        </w:rPr>
        <w:t>3</w:t>
      </w:r>
      <w:r>
        <w:rPr>
          <w:rFonts w:hint="eastAsia" w:cstheme="minorBidi"/>
          <w:color w:val="auto"/>
          <w:kern w:val="2"/>
          <w:sz w:val="24"/>
          <w:szCs w:val="24"/>
          <w:lang w:val="en-US" w:eastAsia="zh-CN" w:bidi="ar-SA"/>
        </w:rPr>
        <w:t>参照执行</w:t>
      </w:r>
      <w:r>
        <w:rPr>
          <w:rFonts w:hint="default" w:ascii="Times New Roman" w:hAnsi="Times New Roman" w:eastAsia="仿宋_GB2312" w:cstheme="minorBidi"/>
          <w:color w:val="auto"/>
          <w:kern w:val="2"/>
          <w:sz w:val="24"/>
          <w:szCs w:val="24"/>
          <w:lang w:val="en-US" w:eastAsia="zh-CN" w:bidi="ar-SA"/>
        </w:rPr>
        <w:t>《环境影响评价技术导则 大气环境》（HJ2.2-2018）中附录D其他污染物空气质量浓度限值。环境空气质量评价因子执行标准见表1.4-</w:t>
      </w:r>
      <w:r>
        <w:rPr>
          <w:rFonts w:hint="eastAsia" w:cstheme="minorBidi"/>
          <w:color w:val="auto"/>
          <w:kern w:val="2"/>
          <w:sz w:val="24"/>
          <w:szCs w:val="24"/>
          <w:lang w:val="en-US" w:eastAsia="zh-CN" w:bidi="ar-SA"/>
        </w:rPr>
        <w:t>2</w:t>
      </w:r>
      <w:r>
        <w:rPr>
          <w:rFonts w:hint="default" w:ascii="Times New Roman" w:hAnsi="Times New Roman" w:eastAsia="仿宋_GB2312" w:cstheme="minorBidi"/>
          <w:color w:val="auto"/>
          <w:kern w:val="2"/>
          <w:sz w:val="24"/>
          <w:szCs w:val="24"/>
          <w:lang w:val="en-US" w:eastAsia="zh-CN" w:bidi="ar-SA"/>
        </w:rPr>
        <w:t>。</w:t>
      </w:r>
    </w:p>
    <w:p w14:paraId="3EFFB0AB">
      <w:pPr>
        <w:pStyle w:val="35"/>
        <w:pageBreakBefore w:val="0"/>
        <w:kinsoku/>
        <w:wordWrap/>
        <w:topLinePunct w:val="0"/>
        <w:bidi w:val="0"/>
        <w:adjustRightInd/>
        <w:snapToGrid/>
        <w:spacing w:line="240" w:lineRule="auto"/>
        <w:ind w:left="0" w:leftChars="0" w:firstLine="420" w:firstLineChars="200"/>
        <w:jc w:val="both"/>
        <w:rPr>
          <w:rFonts w:hint="default" w:ascii="Times New Roman" w:hAnsi="Times New Roman" w:eastAsia="宋体" w:cs="Times New Roman"/>
          <w:color w:val="auto"/>
          <w:szCs w:val="21"/>
          <w:highlight w:val="none"/>
          <w:vertAlign w:val="superscript"/>
        </w:rPr>
      </w:pPr>
      <w:r>
        <w:rPr>
          <w:rFonts w:hint="default" w:ascii="Times New Roman" w:hAnsi="Times New Roman" w:eastAsia="宋体" w:cs="Times New Roman"/>
          <w:b w:val="0"/>
          <w:bCs/>
          <w:color w:val="auto"/>
          <w:sz w:val="21"/>
          <w:szCs w:val="21"/>
          <w:highlight w:val="none"/>
        </w:rPr>
        <w:t>表1.4-</w:t>
      </w:r>
      <w:r>
        <w:rPr>
          <w:rFonts w:hint="eastAsia" w:eastAsia="宋体" w:cs="Times New Roman"/>
          <w:b w:val="0"/>
          <w:bCs/>
          <w:color w:val="auto"/>
          <w:sz w:val="21"/>
          <w:szCs w:val="21"/>
          <w:highlight w:val="none"/>
          <w:lang w:val="en-US" w:eastAsia="zh-CN"/>
        </w:rPr>
        <w:t>2</w:t>
      </w:r>
      <w:r>
        <w:rPr>
          <w:rFonts w:hint="default"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 xml:space="preserve">     </w:t>
      </w:r>
      <w:r>
        <w:rPr>
          <w:rFonts w:hint="eastAsia"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环境空气质量评价因子执行标准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2"/>
        <w:gridCol w:w="1736"/>
        <w:gridCol w:w="1485"/>
        <w:gridCol w:w="1047"/>
        <w:gridCol w:w="1623"/>
        <w:gridCol w:w="1170"/>
        <w:gridCol w:w="1156"/>
      </w:tblGrid>
      <w:tr w14:paraId="56E2D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732" w:type="dxa"/>
            <w:vMerge w:val="restart"/>
            <w:noWrap w:val="0"/>
            <w:vAlign w:val="center"/>
          </w:tcPr>
          <w:p w14:paraId="6B6CB69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类别</w:t>
            </w:r>
          </w:p>
        </w:tc>
        <w:tc>
          <w:tcPr>
            <w:tcW w:w="1736" w:type="dxa"/>
            <w:vMerge w:val="restart"/>
            <w:noWrap w:val="0"/>
            <w:vAlign w:val="center"/>
          </w:tcPr>
          <w:p w14:paraId="615AC6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标准名称及级（类）别</w:t>
            </w:r>
          </w:p>
        </w:tc>
        <w:tc>
          <w:tcPr>
            <w:tcW w:w="1485" w:type="dxa"/>
            <w:vMerge w:val="restart"/>
            <w:noWrap w:val="0"/>
            <w:vAlign w:val="center"/>
          </w:tcPr>
          <w:p w14:paraId="6FA72EB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污染因子</w:t>
            </w:r>
          </w:p>
        </w:tc>
        <w:tc>
          <w:tcPr>
            <w:tcW w:w="1047" w:type="dxa"/>
            <w:vMerge w:val="restart"/>
            <w:noWrap w:val="0"/>
            <w:vAlign w:val="center"/>
          </w:tcPr>
          <w:p w14:paraId="27E38E0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lang w:eastAsia="zh-CN"/>
                <w14:textFill>
                  <w14:solidFill>
                    <w14:schemeClr w14:val="tx1"/>
                  </w14:solidFill>
                </w14:textFill>
              </w:rPr>
              <w:t>单位</w:t>
            </w:r>
          </w:p>
        </w:tc>
        <w:tc>
          <w:tcPr>
            <w:tcW w:w="3949" w:type="dxa"/>
            <w:gridSpan w:val="3"/>
            <w:noWrap w:val="0"/>
            <w:vAlign w:val="center"/>
          </w:tcPr>
          <w:p w14:paraId="6D452F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标准值</w:t>
            </w:r>
          </w:p>
        </w:tc>
      </w:tr>
      <w:tr w14:paraId="1E46BC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732" w:type="dxa"/>
            <w:vMerge w:val="continue"/>
            <w:noWrap w:val="0"/>
            <w:vAlign w:val="center"/>
          </w:tcPr>
          <w:p w14:paraId="16B457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1736" w:type="dxa"/>
            <w:vMerge w:val="continue"/>
            <w:noWrap w:val="0"/>
            <w:vAlign w:val="center"/>
          </w:tcPr>
          <w:p w14:paraId="5ABB078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1485" w:type="dxa"/>
            <w:vMerge w:val="continue"/>
            <w:noWrap w:val="0"/>
            <w:vAlign w:val="center"/>
          </w:tcPr>
          <w:p w14:paraId="78689A0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1047" w:type="dxa"/>
            <w:vMerge w:val="continue"/>
            <w:noWrap w:val="0"/>
            <w:vAlign w:val="center"/>
          </w:tcPr>
          <w:p w14:paraId="04099D1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1623" w:type="dxa"/>
            <w:noWrap w:val="0"/>
            <w:vAlign w:val="center"/>
          </w:tcPr>
          <w:p w14:paraId="3BEAB6C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cs="Times New Roman" w:eastAsiaTheme="minorEastAsia"/>
                <w:b/>
                <w:color w:val="000000" w:themeColor="text1"/>
                <w:sz w:val="21"/>
                <w:szCs w:val="21"/>
                <w:lang w:val="en-US" w:eastAsia="zh-CN"/>
                <w14:textFill>
                  <w14:solidFill>
                    <w14:schemeClr w14:val="tx1"/>
                  </w14:solidFill>
                </w14:textFill>
              </w:rPr>
              <w:t>平均时间</w:t>
            </w:r>
          </w:p>
        </w:tc>
        <w:tc>
          <w:tcPr>
            <w:tcW w:w="1170" w:type="dxa"/>
            <w:noWrap w:val="0"/>
            <w:vAlign w:val="center"/>
          </w:tcPr>
          <w:p w14:paraId="2C5720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eastAsia" w:cs="Times New Roman" w:eastAsiaTheme="minorEastAsia"/>
                <w:b/>
                <w:color w:val="000000" w:themeColor="text1"/>
                <w:sz w:val="21"/>
                <w:szCs w:val="21"/>
                <w:lang w:val="en-US" w:eastAsia="zh-CN"/>
                <w14:textFill>
                  <w14:solidFill>
                    <w14:schemeClr w14:val="tx1"/>
                  </w14:solidFill>
                </w14:textFill>
              </w:rPr>
              <w:t>过渡阶段</w:t>
            </w:r>
            <w:r>
              <w:rPr>
                <w:rFonts w:hint="default" w:ascii="Times New Roman" w:hAnsi="Times New Roman" w:cs="Times New Roman" w:eastAsiaTheme="minorEastAsia"/>
                <w:b/>
                <w:color w:val="000000" w:themeColor="text1"/>
                <w:sz w:val="21"/>
                <w:szCs w:val="21"/>
                <w14:textFill>
                  <w14:solidFill>
                    <w14:schemeClr w14:val="tx1"/>
                  </w14:solidFill>
                </w14:textFill>
              </w:rPr>
              <w:t>二级</w:t>
            </w:r>
            <w:r>
              <w:rPr>
                <w:rFonts w:hint="eastAsia" w:cs="Times New Roman" w:eastAsiaTheme="minorEastAsia"/>
                <w:b/>
                <w:color w:val="000000" w:themeColor="text1"/>
                <w:sz w:val="21"/>
                <w:szCs w:val="21"/>
                <w:lang w:val="en-US" w:eastAsia="zh-CN"/>
                <w14:textFill>
                  <w14:solidFill>
                    <w14:schemeClr w14:val="tx1"/>
                  </w14:solidFill>
                </w14:textFill>
              </w:rPr>
              <w:t>限值</w:t>
            </w:r>
          </w:p>
        </w:tc>
        <w:tc>
          <w:tcPr>
            <w:tcW w:w="1156" w:type="dxa"/>
            <w:noWrap w:val="0"/>
            <w:vAlign w:val="center"/>
          </w:tcPr>
          <w:p w14:paraId="0121B4C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hint="eastAsia" w:cs="Times New Roman" w:eastAsiaTheme="minorEastAsia"/>
                <w:b/>
                <w:color w:val="000000" w:themeColor="text1"/>
                <w:sz w:val="21"/>
                <w:szCs w:val="21"/>
                <w:lang w:val="en-US" w:eastAsia="zh-CN"/>
                <w14:textFill>
                  <w14:solidFill>
                    <w14:schemeClr w14:val="tx1"/>
                  </w14:solidFill>
                </w14:textFill>
              </w:rPr>
              <w:t>二级限值</w:t>
            </w:r>
          </w:p>
        </w:tc>
      </w:tr>
      <w:tr w14:paraId="17BE8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760C654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restart"/>
            <w:noWrap w:val="0"/>
            <w:vAlign w:val="center"/>
          </w:tcPr>
          <w:p w14:paraId="0B9739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《环境空气质量标准》</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GB3095</w:t>
            </w:r>
            <w:r>
              <w:rPr>
                <w:rFonts w:hint="eastAsia"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2026</w:t>
            </w:r>
            <w:r>
              <w:rPr>
                <w:rFonts w:hint="eastAsia" w:cs="Times New Roman" w:eastAsiaTheme="minorEastAsia"/>
                <w:color w:val="000000" w:themeColor="text1"/>
                <w:sz w:val="21"/>
                <w:szCs w:val="21"/>
                <w:lang w:eastAsia="zh-CN"/>
                <w14:textFill>
                  <w14:solidFill>
                    <w14:schemeClr w14:val="tx1"/>
                  </w14:solidFill>
                </w14:textFill>
              </w:rPr>
              <w:t>）二级标准</w:t>
            </w:r>
          </w:p>
        </w:tc>
        <w:tc>
          <w:tcPr>
            <w:tcW w:w="1485" w:type="dxa"/>
            <w:vMerge w:val="restart"/>
            <w:noWrap w:val="0"/>
            <w:vAlign w:val="center"/>
          </w:tcPr>
          <w:p w14:paraId="35E214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SO</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2</w:t>
            </w:r>
          </w:p>
        </w:tc>
        <w:tc>
          <w:tcPr>
            <w:tcW w:w="1047" w:type="dxa"/>
            <w:vMerge w:val="restart"/>
            <w:noWrap w:val="0"/>
            <w:vAlign w:val="center"/>
          </w:tcPr>
          <w:p w14:paraId="1A59180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μg/m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1623" w:type="dxa"/>
            <w:noWrap w:val="0"/>
            <w:vAlign w:val="center"/>
          </w:tcPr>
          <w:p w14:paraId="083D247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年平均</w:t>
            </w:r>
          </w:p>
        </w:tc>
        <w:tc>
          <w:tcPr>
            <w:tcW w:w="1170" w:type="dxa"/>
            <w:noWrap w:val="0"/>
            <w:vAlign w:val="center"/>
          </w:tcPr>
          <w:p w14:paraId="11EA5A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60</w:t>
            </w:r>
          </w:p>
        </w:tc>
        <w:tc>
          <w:tcPr>
            <w:tcW w:w="1156" w:type="dxa"/>
            <w:noWrap w:val="0"/>
            <w:vAlign w:val="center"/>
          </w:tcPr>
          <w:p w14:paraId="3DD9F33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w:t>
            </w:r>
          </w:p>
        </w:tc>
      </w:tr>
      <w:tr w14:paraId="2E87D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59094A0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34955AD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continue"/>
            <w:noWrap w:val="0"/>
            <w:vAlign w:val="center"/>
          </w:tcPr>
          <w:p w14:paraId="1AAE50A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47" w:type="dxa"/>
            <w:vMerge w:val="continue"/>
            <w:noWrap w:val="0"/>
            <w:vAlign w:val="center"/>
          </w:tcPr>
          <w:p w14:paraId="3BCE8E8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5C33820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日</w:t>
            </w:r>
            <w:r>
              <w:rPr>
                <w:rFonts w:hint="default" w:ascii="Times New Roman" w:hAnsi="Times New Roman" w:cs="Times New Roman" w:eastAsiaTheme="minorEastAsia"/>
                <w:color w:val="000000" w:themeColor="text1"/>
                <w:sz w:val="21"/>
                <w:szCs w:val="21"/>
                <w14:textFill>
                  <w14:solidFill>
                    <w14:schemeClr w14:val="tx1"/>
                  </w14:solidFill>
                </w14:textFill>
              </w:rPr>
              <w:t>平均</w:t>
            </w:r>
          </w:p>
        </w:tc>
        <w:tc>
          <w:tcPr>
            <w:tcW w:w="1170" w:type="dxa"/>
            <w:noWrap w:val="0"/>
            <w:vAlign w:val="center"/>
          </w:tcPr>
          <w:p w14:paraId="19E4174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150</w:t>
            </w:r>
          </w:p>
        </w:tc>
        <w:tc>
          <w:tcPr>
            <w:tcW w:w="1156" w:type="dxa"/>
            <w:noWrap w:val="0"/>
            <w:vAlign w:val="center"/>
          </w:tcPr>
          <w:p w14:paraId="5BC6D7C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50</w:t>
            </w:r>
          </w:p>
        </w:tc>
      </w:tr>
      <w:tr w14:paraId="75FC8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3A4A470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1D14462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continue"/>
            <w:noWrap w:val="0"/>
            <w:vAlign w:val="center"/>
          </w:tcPr>
          <w:p w14:paraId="2D24152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47" w:type="dxa"/>
            <w:vMerge w:val="continue"/>
            <w:noWrap w:val="0"/>
            <w:vAlign w:val="center"/>
          </w:tcPr>
          <w:p w14:paraId="606F33A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395F727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1小时平均</w:t>
            </w:r>
          </w:p>
        </w:tc>
        <w:tc>
          <w:tcPr>
            <w:tcW w:w="1170" w:type="dxa"/>
            <w:noWrap w:val="0"/>
            <w:vAlign w:val="center"/>
          </w:tcPr>
          <w:p w14:paraId="7E3BEBE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500</w:t>
            </w:r>
          </w:p>
        </w:tc>
        <w:tc>
          <w:tcPr>
            <w:tcW w:w="1156" w:type="dxa"/>
            <w:noWrap w:val="0"/>
            <w:vAlign w:val="center"/>
          </w:tcPr>
          <w:p w14:paraId="7B03FAA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150</w:t>
            </w:r>
          </w:p>
        </w:tc>
      </w:tr>
      <w:tr w14:paraId="35604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2A38F14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3327EC9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restart"/>
            <w:noWrap w:val="0"/>
            <w:vAlign w:val="center"/>
          </w:tcPr>
          <w:p w14:paraId="28B6748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NO</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2</w:t>
            </w:r>
          </w:p>
        </w:tc>
        <w:tc>
          <w:tcPr>
            <w:tcW w:w="1047" w:type="dxa"/>
            <w:vMerge w:val="continue"/>
            <w:noWrap w:val="0"/>
            <w:vAlign w:val="center"/>
          </w:tcPr>
          <w:p w14:paraId="22FAED0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28A1BC3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年平均</w:t>
            </w:r>
          </w:p>
        </w:tc>
        <w:tc>
          <w:tcPr>
            <w:tcW w:w="1170" w:type="dxa"/>
            <w:noWrap w:val="0"/>
            <w:vAlign w:val="center"/>
          </w:tcPr>
          <w:p w14:paraId="3DA327B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40</w:t>
            </w:r>
          </w:p>
        </w:tc>
        <w:tc>
          <w:tcPr>
            <w:tcW w:w="1156" w:type="dxa"/>
            <w:noWrap w:val="0"/>
            <w:vAlign w:val="center"/>
          </w:tcPr>
          <w:p w14:paraId="07898BD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30</w:t>
            </w:r>
          </w:p>
        </w:tc>
      </w:tr>
      <w:tr w14:paraId="4253F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7DF94B1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7C95C32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continue"/>
            <w:noWrap w:val="0"/>
            <w:vAlign w:val="center"/>
          </w:tcPr>
          <w:p w14:paraId="5EE0DD9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47" w:type="dxa"/>
            <w:vMerge w:val="continue"/>
            <w:noWrap w:val="0"/>
            <w:vAlign w:val="center"/>
          </w:tcPr>
          <w:p w14:paraId="73D71F0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5885FC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日</w:t>
            </w:r>
            <w:r>
              <w:rPr>
                <w:rFonts w:hint="default" w:ascii="Times New Roman" w:hAnsi="Times New Roman" w:cs="Times New Roman" w:eastAsiaTheme="minorEastAsia"/>
                <w:color w:val="000000" w:themeColor="text1"/>
                <w:sz w:val="21"/>
                <w:szCs w:val="21"/>
                <w14:textFill>
                  <w14:solidFill>
                    <w14:schemeClr w14:val="tx1"/>
                  </w14:solidFill>
                </w14:textFill>
              </w:rPr>
              <w:t>平均</w:t>
            </w:r>
          </w:p>
        </w:tc>
        <w:tc>
          <w:tcPr>
            <w:tcW w:w="1170" w:type="dxa"/>
            <w:noWrap w:val="0"/>
            <w:vAlign w:val="center"/>
          </w:tcPr>
          <w:p w14:paraId="681E921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80</w:t>
            </w:r>
          </w:p>
        </w:tc>
        <w:tc>
          <w:tcPr>
            <w:tcW w:w="1156" w:type="dxa"/>
            <w:noWrap w:val="0"/>
            <w:vAlign w:val="center"/>
          </w:tcPr>
          <w:p w14:paraId="620BD45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50</w:t>
            </w:r>
          </w:p>
        </w:tc>
      </w:tr>
      <w:tr w14:paraId="0D022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46BFF4D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3329CD9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continue"/>
            <w:noWrap w:val="0"/>
            <w:vAlign w:val="center"/>
          </w:tcPr>
          <w:p w14:paraId="5C7595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47" w:type="dxa"/>
            <w:vMerge w:val="continue"/>
            <w:noWrap w:val="0"/>
            <w:vAlign w:val="center"/>
          </w:tcPr>
          <w:p w14:paraId="1A6A7C2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04959C3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1小时平均</w:t>
            </w:r>
          </w:p>
        </w:tc>
        <w:tc>
          <w:tcPr>
            <w:tcW w:w="1170" w:type="dxa"/>
            <w:noWrap w:val="0"/>
            <w:vAlign w:val="center"/>
          </w:tcPr>
          <w:p w14:paraId="6D0D332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200</w:t>
            </w:r>
          </w:p>
        </w:tc>
        <w:tc>
          <w:tcPr>
            <w:tcW w:w="1156" w:type="dxa"/>
            <w:noWrap w:val="0"/>
            <w:vAlign w:val="center"/>
          </w:tcPr>
          <w:p w14:paraId="1556E6A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200</w:t>
            </w:r>
          </w:p>
        </w:tc>
      </w:tr>
      <w:tr w14:paraId="3A287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63B134F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3DCB193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restart"/>
            <w:noWrap w:val="0"/>
            <w:vAlign w:val="center"/>
          </w:tcPr>
          <w:p w14:paraId="5671C65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PM</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10</w:t>
            </w:r>
          </w:p>
        </w:tc>
        <w:tc>
          <w:tcPr>
            <w:tcW w:w="1047" w:type="dxa"/>
            <w:vMerge w:val="continue"/>
            <w:noWrap w:val="0"/>
            <w:vAlign w:val="center"/>
          </w:tcPr>
          <w:p w14:paraId="6F5ED66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2229286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年平均</w:t>
            </w:r>
          </w:p>
        </w:tc>
        <w:tc>
          <w:tcPr>
            <w:tcW w:w="1170" w:type="dxa"/>
            <w:noWrap w:val="0"/>
            <w:vAlign w:val="center"/>
          </w:tcPr>
          <w:p w14:paraId="6D608C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60</w:t>
            </w:r>
          </w:p>
        </w:tc>
        <w:tc>
          <w:tcPr>
            <w:tcW w:w="1156" w:type="dxa"/>
            <w:noWrap w:val="0"/>
            <w:vAlign w:val="center"/>
          </w:tcPr>
          <w:p w14:paraId="516E04D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50</w:t>
            </w:r>
          </w:p>
        </w:tc>
      </w:tr>
      <w:tr w14:paraId="338EE6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19E7D63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600C44C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continue"/>
            <w:noWrap w:val="0"/>
            <w:vAlign w:val="center"/>
          </w:tcPr>
          <w:p w14:paraId="5FB3A63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47" w:type="dxa"/>
            <w:vMerge w:val="continue"/>
            <w:noWrap w:val="0"/>
            <w:vAlign w:val="center"/>
          </w:tcPr>
          <w:p w14:paraId="17E41C2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3E74BB6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日</w:t>
            </w:r>
            <w:r>
              <w:rPr>
                <w:rFonts w:hint="default" w:ascii="Times New Roman" w:hAnsi="Times New Roman" w:cs="Times New Roman" w:eastAsiaTheme="minorEastAsia"/>
                <w:color w:val="000000" w:themeColor="text1"/>
                <w:sz w:val="21"/>
                <w:szCs w:val="21"/>
                <w14:textFill>
                  <w14:solidFill>
                    <w14:schemeClr w14:val="tx1"/>
                  </w14:solidFill>
                </w14:textFill>
              </w:rPr>
              <w:t>平均</w:t>
            </w:r>
          </w:p>
        </w:tc>
        <w:tc>
          <w:tcPr>
            <w:tcW w:w="1170" w:type="dxa"/>
            <w:noWrap w:val="0"/>
            <w:vAlign w:val="center"/>
          </w:tcPr>
          <w:p w14:paraId="795C1A1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120</w:t>
            </w:r>
          </w:p>
        </w:tc>
        <w:tc>
          <w:tcPr>
            <w:tcW w:w="1156" w:type="dxa"/>
            <w:noWrap w:val="0"/>
            <w:vAlign w:val="center"/>
          </w:tcPr>
          <w:p w14:paraId="3DE8D8A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100</w:t>
            </w:r>
          </w:p>
        </w:tc>
      </w:tr>
      <w:tr w14:paraId="3888B6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14E01E7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6FEC1A5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restart"/>
            <w:noWrap w:val="0"/>
            <w:vAlign w:val="center"/>
          </w:tcPr>
          <w:p w14:paraId="48DA5BF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PM</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2.5</w:t>
            </w:r>
          </w:p>
        </w:tc>
        <w:tc>
          <w:tcPr>
            <w:tcW w:w="1047" w:type="dxa"/>
            <w:vMerge w:val="continue"/>
            <w:noWrap w:val="0"/>
            <w:vAlign w:val="center"/>
          </w:tcPr>
          <w:p w14:paraId="3E20A86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079F0D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年平均</w:t>
            </w:r>
          </w:p>
        </w:tc>
        <w:tc>
          <w:tcPr>
            <w:tcW w:w="1170" w:type="dxa"/>
            <w:noWrap w:val="0"/>
            <w:vAlign w:val="center"/>
          </w:tcPr>
          <w:p w14:paraId="0976673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30</w:t>
            </w:r>
          </w:p>
        </w:tc>
        <w:tc>
          <w:tcPr>
            <w:tcW w:w="1156" w:type="dxa"/>
            <w:noWrap w:val="0"/>
            <w:vAlign w:val="center"/>
          </w:tcPr>
          <w:p w14:paraId="151226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25</w:t>
            </w:r>
          </w:p>
        </w:tc>
      </w:tr>
      <w:tr w14:paraId="55C0AC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4486A4C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6D78563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continue"/>
            <w:noWrap w:val="0"/>
            <w:vAlign w:val="center"/>
          </w:tcPr>
          <w:p w14:paraId="6652DB8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47" w:type="dxa"/>
            <w:vMerge w:val="continue"/>
            <w:noWrap w:val="0"/>
            <w:vAlign w:val="center"/>
          </w:tcPr>
          <w:p w14:paraId="4C11428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6EF71E9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日</w:t>
            </w:r>
            <w:r>
              <w:rPr>
                <w:rFonts w:hint="default" w:ascii="Times New Roman" w:hAnsi="Times New Roman" w:cs="Times New Roman" w:eastAsiaTheme="minorEastAsia"/>
                <w:color w:val="000000" w:themeColor="text1"/>
                <w:sz w:val="21"/>
                <w:szCs w:val="21"/>
                <w14:textFill>
                  <w14:solidFill>
                    <w14:schemeClr w14:val="tx1"/>
                  </w14:solidFill>
                </w14:textFill>
              </w:rPr>
              <w:t>平均</w:t>
            </w:r>
          </w:p>
        </w:tc>
        <w:tc>
          <w:tcPr>
            <w:tcW w:w="1170" w:type="dxa"/>
            <w:noWrap w:val="0"/>
            <w:vAlign w:val="center"/>
          </w:tcPr>
          <w:p w14:paraId="71514DB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60</w:t>
            </w:r>
          </w:p>
        </w:tc>
        <w:tc>
          <w:tcPr>
            <w:tcW w:w="1156" w:type="dxa"/>
            <w:noWrap w:val="0"/>
            <w:vAlign w:val="center"/>
          </w:tcPr>
          <w:p w14:paraId="31E7FB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50</w:t>
            </w:r>
          </w:p>
        </w:tc>
      </w:tr>
      <w:tr w14:paraId="0C660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4C9C75B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08A523C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restart"/>
            <w:noWrap w:val="0"/>
            <w:vAlign w:val="center"/>
          </w:tcPr>
          <w:p w14:paraId="683EBED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CO</w:t>
            </w:r>
          </w:p>
        </w:tc>
        <w:tc>
          <w:tcPr>
            <w:tcW w:w="1047" w:type="dxa"/>
            <w:vMerge w:val="restart"/>
            <w:noWrap w:val="0"/>
            <w:vAlign w:val="center"/>
          </w:tcPr>
          <w:p w14:paraId="09AA03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14:textFill>
                  <w14:solidFill>
                    <w14:schemeClr w14:val="tx1"/>
                  </w14:solidFill>
                </w14:textFill>
              </w:rPr>
              <w:t>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1623" w:type="dxa"/>
            <w:noWrap w:val="0"/>
            <w:vAlign w:val="center"/>
          </w:tcPr>
          <w:p w14:paraId="55ADC9A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日</w:t>
            </w:r>
            <w:r>
              <w:rPr>
                <w:rFonts w:hint="default" w:ascii="Times New Roman" w:hAnsi="Times New Roman" w:cs="Times New Roman" w:eastAsiaTheme="minorEastAsia"/>
                <w:color w:val="000000" w:themeColor="text1"/>
                <w:sz w:val="21"/>
                <w:szCs w:val="21"/>
                <w14:textFill>
                  <w14:solidFill>
                    <w14:schemeClr w14:val="tx1"/>
                  </w14:solidFill>
                </w14:textFill>
              </w:rPr>
              <w:t>平均</w:t>
            </w:r>
          </w:p>
        </w:tc>
        <w:tc>
          <w:tcPr>
            <w:tcW w:w="1170" w:type="dxa"/>
            <w:noWrap w:val="0"/>
            <w:vAlign w:val="center"/>
          </w:tcPr>
          <w:p w14:paraId="415ED45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w:t>
            </w:r>
          </w:p>
        </w:tc>
        <w:tc>
          <w:tcPr>
            <w:tcW w:w="1156" w:type="dxa"/>
            <w:noWrap w:val="0"/>
            <w:vAlign w:val="center"/>
          </w:tcPr>
          <w:p w14:paraId="313C4F3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4</w:t>
            </w:r>
          </w:p>
        </w:tc>
      </w:tr>
      <w:tr w14:paraId="70493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5143C5B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7FAA866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continue"/>
            <w:noWrap w:val="0"/>
            <w:vAlign w:val="center"/>
          </w:tcPr>
          <w:p w14:paraId="1EB39D2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47" w:type="dxa"/>
            <w:vMerge w:val="continue"/>
            <w:noWrap w:val="0"/>
            <w:vAlign w:val="center"/>
          </w:tcPr>
          <w:p w14:paraId="28B5409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2BB08EC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1h平均</w:t>
            </w:r>
          </w:p>
        </w:tc>
        <w:tc>
          <w:tcPr>
            <w:tcW w:w="1170" w:type="dxa"/>
            <w:noWrap w:val="0"/>
            <w:vAlign w:val="center"/>
          </w:tcPr>
          <w:p w14:paraId="2AD4596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w:t>
            </w:r>
          </w:p>
        </w:tc>
        <w:tc>
          <w:tcPr>
            <w:tcW w:w="1156" w:type="dxa"/>
            <w:noWrap w:val="0"/>
            <w:vAlign w:val="center"/>
          </w:tcPr>
          <w:p w14:paraId="0C9AB91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w:t>
            </w:r>
          </w:p>
        </w:tc>
      </w:tr>
      <w:tr w14:paraId="44590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7C9E165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338F7DF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restart"/>
            <w:noWrap w:val="0"/>
            <w:vAlign w:val="center"/>
          </w:tcPr>
          <w:p w14:paraId="26EC87A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O</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3</w:t>
            </w:r>
          </w:p>
        </w:tc>
        <w:tc>
          <w:tcPr>
            <w:tcW w:w="1047" w:type="dxa"/>
            <w:vMerge w:val="restart"/>
            <w:noWrap w:val="0"/>
            <w:vAlign w:val="center"/>
          </w:tcPr>
          <w:p w14:paraId="073FBC7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μg/m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1623" w:type="dxa"/>
            <w:noWrap w:val="0"/>
            <w:vAlign w:val="center"/>
          </w:tcPr>
          <w:p w14:paraId="2323C6D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日最大8h平均</w:t>
            </w:r>
          </w:p>
        </w:tc>
        <w:tc>
          <w:tcPr>
            <w:tcW w:w="1170" w:type="dxa"/>
            <w:noWrap w:val="0"/>
            <w:vAlign w:val="center"/>
          </w:tcPr>
          <w:p w14:paraId="085CE52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160</w:t>
            </w:r>
          </w:p>
        </w:tc>
        <w:tc>
          <w:tcPr>
            <w:tcW w:w="1156" w:type="dxa"/>
            <w:noWrap w:val="0"/>
            <w:vAlign w:val="center"/>
          </w:tcPr>
          <w:p w14:paraId="3F9CF54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160</w:t>
            </w:r>
          </w:p>
        </w:tc>
      </w:tr>
      <w:tr w14:paraId="181ECF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744D54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30DC0D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continue"/>
            <w:noWrap w:val="0"/>
            <w:vAlign w:val="center"/>
          </w:tcPr>
          <w:p w14:paraId="3652B14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47" w:type="dxa"/>
            <w:vMerge w:val="continue"/>
            <w:noWrap w:val="0"/>
            <w:vAlign w:val="center"/>
          </w:tcPr>
          <w:p w14:paraId="061586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15459F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1h平均</w:t>
            </w:r>
          </w:p>
        </w:tc>
        <w:tc>
          <w:tcPr>
            <w:tcW w:w="1170" w:type="dxa"/>
            <w:noWrap w:val="0"/>
            <w:vAlign w:val="center"/>
          </w:tcPr>
          <w:p w14:paraId="0C2FEE0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200</w:t>
            </w:r>
          </w:p>
        </w:tc>
        <w:tc>
          <w:tcPr>
            <w:tcW w:w="1156" w:type="dxa"/>
            <w:noWrap w:val="0"/>
            <w:vAlign w:val="center"/>
          </w:tcPr>
          <w:p w14:paraId="582BDE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200</w:t>
            </w:r>
          </w:p>
        </w:tc>
      </w:tr>
      <w:tr w14:paraId="53298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2E25E98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continue"/>
            <w:noWrap w:val="0"/>
            <w:vAlign w:val="center"/>
          </w:tcPr>
          <w:p w14:paraId="080D432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485" w:type="dxa"/>
            <w:vMerge w:val="continue"/>
            <w:noWrap w:val="0"/>
            <w:vAlign w:val="center"/>
          </w:tcPr>
          <w:p w14:paraId="4D4BD74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p>
        </w:tc>
        <w:tc>
          <w:tcPr>
            <w:tcW w:w="1047" w:type="dxa"/>
            <w:vMerge w:val="continue"/>
            <w:noWrap w:val="0"/>
            <w:vAlign w:val="center"/>
          </w:tcPr>
          <w:p w14:paraId="37EA207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noWrap w:val="0"/>
            <w:vAlign w:val="center"/>
          </w:tcPr>
          <w:p w14:paraId="2D521FE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日</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平均</w:t>
            </w:r>
          </w:p>
        </w:tc>
        <w:tc>
          <w:tcPr>
            <w:tcW w:w="1170" w:type="dxa"/>
            <w:noWrap w:val="0"/>
            <w:vAlign w:val="center"/>
          </w:tcPr>
          <w:p w14:paraId="779FD8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1156" w:type="dxa"/>
            <w:noWrap w:val="0"/>
            <w:vAlign w:val="center"/>
          </w:tcPr>
          <w:p w14:paraId="6D19B88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7</w:t>
            </w:r>
          </w:p>
        </w:tc>
      </w:tr>
      <w:tr w14:paraId="680E98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09DD520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36" w:type="dxa"/>
            <w:vMerge w:val="restart"/>
            <w:noWrap w:val="0"/>
            <w:vAlign w:val="center"/>
          </w:tcPr>
          <w:p w14:paraId="633921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参照执行</w:t>
            </w: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《环境影响评价技术导则 大气环境》（HJ2.2-2018）中附录D</w:t>
            </w:r>
          </w:p>
        </w:tc>
        <w:tc>
          <w:tcPr>
            <w:tcW w:w="1485" w:type="dxa"/>
            <w:shd w:val="clear" w:color="auto" w:fill="auto"/>
            <w:noWrap w:val="0"/>
            <w:vAlign w:val="center"/>
          </w:tcPr>
          <w:p w14:paraId="176175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S</w:t>
            </w:r>
          </w:p>
        </w:tc>
        <w:tc>
          <w:tcPr>
            <w:tcW w:w="1047" w:type="dxa"/>
            <w:vMerge w:val="restart"/>
            <w:noWrap w:val="0"/>
            <w:vAlign w:val="center"/>
          </w:tcPr>
          <w:p w14:paraId="1779BCE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14:textFill>
                  <w14:solidFill>
                    <w14:schemeClr w14:val="tx1"/>
                  </w14:solidFill>
                </w14:textFill>
              </w:rPr>
              <w:t>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1623" w:type="dxa"/>
            <w:shd w:val="clear" w:color="auto" w:fill="auto"/>
            <w:noWrap w:val="0"/>
            <w:vAlign w:val="center"/>
          </w:tcPr>
          <w:p w14:paraId="1F427D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1h</w:t>
            </w:r>
            <w:r>
              <w:rPr>
                <w:rFonts w:hint="default" w:ascii="Times New Roman" w:hAnsi="Times New Roman" w:eastAsia="宋体" w:cs="Times New Roman"/>
                <w:color w:val="000000" w:themeColor="text1"/>
                <w:sz w:val="21"/>
                <w:szCs w:val="21"/>
                <w:highlight w:val="none"/>
                <w14:textFill>
                  <w14:solidFill>
                    <w14:schemeClr w14:val="tx1"/>
                  </w14:solidFill>
                </w14:textFill>
              </w:rPr>
              <w:t>平均</w:t>
            </w:r>
          </w:p>
        </w:tc>
        <w:tc>
          <w:tcPr>
            <w:tcW w:w="1170" w:type="dxa"/>
            <w:noWrap w:val="0"/>
            <w:vAlign w:val="center"/>
          </w:tcPr>
          <w:p w14:paraId="7B9054E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1156" w:type="dxa"/>
            <w:shd w:val="clear" w:color="auto" w:fill="auto"/>
            <w:noWrap w:val="0"/>
            <w:vAlign w:val="center"/>
          </w:tcPr>
          <w:p w14:paraId="16F088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1B502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2" w:type="dxa"/>
            <w:vMerge w:val="continue"/>
            <w:noWrap w:val="0"/>
            <w:vAlign w:val="center"/>
          </w:tcPr>
          <w:p w14:paraId="07CB33A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36" w:type="dxa"/>
            <w:vMerge w:val="continue"/>
            <w:noWrap w:val="0"/>
            <w:vAlign w:val="center"/>
          </w:tcPr>
          <w:p w14:paraId="0661DF2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eastAsia="宋体" w:cs="Times New Roman"/>
                <w:color w:val="000000" w:themeColor="text1"/>
                <w:sz w:val="21"/>
                <w:szCs w:val="21"/>
                <w:highlight w:val="none"/>
                <w:lang w:val="en-US" w:eastAsia="zh-CN"/>
                <w14:textFill>
                  <w14:solidFill>
                    <w14:schemeClr w14:val="tx1"/>
                  </w14:solidFill>
                </w14:textFill>
              </w:rPr>
            </w:pPr>
          </w:p>
        </w:tc>
        <w:tc>
          <w:tcPr>
            <w:tcW w:w="1485" w:type="dxa"/>
            <w:shd w:val="clear" w:color="auto" w:fill="auto"/>
            <w:noWrap w:val="0"/>
            <w:vAlign w:val="center"/>
          </w:tcPr>
          <w:p w14:paraId="54A69E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047" w:type="dxa"/>
            <w:vMerge w:val="continue"/>
            <w:noWrap w:val="0"/>
            <w:vAlign w:val="center"/>
          </w:tcPr>
          <w:p w14:paraId="09157C3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23" w:type="dxa"/>
            <w:shd w:val="clear" w:color="auto" w:fill="auto"/>
            <w:noWrap w:val="0"/>
            <w:vAlign w:val="center"/>
          </w:tcPr>
          <w:p w14:paraId="386A31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1h</w:t>
            </w:r>
            <w:r>
              <w:rPr>
                <w:rFonts w:hint="default" w:ascii="Times New Roman" w:hAnsi="Times New Roman" w:eastAsia="宋体" w:cs="Times New Roman"/>
                <w:color w:val="000000" w:themeColor="text1"/>
                <w:sz w:val="21"/>
                <w:szCs w:val="21"/>
                <w:highlight w:val="none"/>
                <w14:textFill>
                  <w14:solidFill>
                    <w14:schemeClr w14:val="tx1"/>
                  </w14:solidFill>
                </w14:textFill>
              </w:rPr>
              <w:t>平均</w:t>
            </w:r>
          </w:p>
        </w:tc>
        <w:tc>
          <w:tcPr>
            <w:tcW w:w="1170" w:type="dxa"/>
            <w:noWrap w:val="0"/>
            <w:vAlign w:val="center"/>
          </w:tcPr>
          <w:p w14:paraId="27B4716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1156" w:type="dxa"/>
            <w:shd w:val="clear" w:color="auto" w:fill="auto"/>
            <w:noWrap w:val="0"/>
            <w:vAlign w:val="center"/>
          </w:tcPr>
          <w:p w14:paraId="3624E3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r>
    </w:tbl>
    <w:p w14:paraId="1F2B6369">
      <w:pPr>
        <w:pageBreakBefore w:val="0"/>
        <w:kinsoku/>
        <w:wordWrap/>
        <w:topLinePunct w:val="0"/>
        <w:bidi w:val="0"/>
        <w:adjustRightInd/>
        <w:snapToGrid/>
        <w:ind w:left="0" w:leftChars="0"/>
        <w:rPr>
          <w:rFonts w:hint="default"/>
          <w:color w:val="auto"/>
          <w:lang w:val="en-US" w:eastAsia="zh-CN"/>
        </w:rPr>
      </w:pPr>
      <w:r>
        <w:rPr>
          <w:rFonts w:hint="eastAsia"/>
          <w:color w:val="auto"/>
          <w:lang w:val="en-US" w:eastAsia="zh-CN"/>
        </w:rPr>
        <w:t>（2）</w:t>
      </w:r>
      <w:r>
        <w:rPr>
          <w:rFonts w:hint="default"/>
          <w:color w:val="auto"/>
          <w:lang w:val="en-US" w:eastAsia="zh-CN"/>
        </w:rPr>
        <w:t>地表水环境质量标准</w:t>
      </w:r>
    </w:p>
    <w:p w14:paraId="2089735B">
      <w:pPr>
        <w:pageBreakBefore w:val="0"/>
        <w:kinsoku/>
        <w:wordWrap/>
        <w:topLinePunct w:val="0"/>
        <w:bidi w:val="0"/>
        <w:adjustRightInd/>
        <w:snapToGrid/>
        <w:ind w:left="0" w:leftChars="0"/>
        <w:rPr>
          <w:rFonts w:hint="default"/>
          <w:color w:val="auto"/>
          <w:lang w:val="en-US" w:eastAsia="zh-CN"/>
        </w:rPr>
      </w:pPr>
      <w:r>
        <w:rPr>
          <w:rFonts w:hint="eastAsia"/>
          <w:color w:val="auto"/>
          <w:lang w:val="en-US" w:eastAsia="zh-CN"/>
        </w:rPr>
        <w:t>项目评价区域内地表水体为大营河，位于项目西侧400m处，大营河为冬至河右岸支流，属清水河流域，清水河（三营断面）</w:t>
      </w:r>
      <w:r>
        <w:rPr>
          <w:rFonts w:hint="default"/>
          <w:color w:val="auto"/>
          <w:lang w:val="en-US" w:eastAsia="zh-CN"/>
        </w:rPr>
        <w:t>执行《地表水环境质量标准》（GB3838-2002）Ⅳ类标准，标准限值详见表1.4-</w:t>
      </w:r>
      <w:r>
        <w:rPr>
          <w:rFonts w:hint="eastAsia"/>
          <w:color w:val="auto"/>
          <w:lang w:val="en-US" w:eastAsia="zh-CN"/>
        </w:rPr>
        <w:t>3</w:t>
      </w:r>
      <w:r>
        <w:rPr>
          <w:rFonts w:hint="default"/>
          <w:color w:val="auto"/>
          <w:lang w:val="en-US" w:eastAsia="zh-CN"/>
        </w:rPr>
        <w:t>。</w:t>
      </w:r>
    </w:p>
    <w:p w14:paraId="1D618F0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b/>
          <w:color w:val="auto"/>
          <w:kern w:val="1"/>
          <w:sz w:val="24"/>
          <w:highlight w:val="none"/>
        </w:rPr>
      </w:pPr>
      <w:r>
        <w:rPr>
          <w:rFonts w:hint="default" w:ascii="Times New Roman" w:hAnsi="Times New Roman" w:eastAsia="宋体" w:cs="Times New Roman"/>
          <w:color w:val="auto"/>
          <w:kern w:val="1"/>
          <w:sz w:val="21"/>
          <w:szCs w:val="21"/>
          <w:highlight w:val="none"/>
        </w:rPr>
        <w:t>表1.4-</w:t>
      </w:r>
      <w:r>
        <w:rPr>
          <w:rFonts w:hint="eastAsia" w:eastAsia="宋体" w:cs="Times New Roman"/>
          <w:color w:val="auto"/>
          <w:kern w:val="1"/>
          <w:sz w:val="21"/>
          <w:szCs w:val="21"/>
          <w:highlight w:val="none"/>
          <w:lang w:val="en-US" w:eastAsia="zh-CN"/>
        </w:rPr>
        <w:t>3</w:t>
      </w:r>
      <w:r>
        <w:rPr>
          <w:rFonts w:hint="default" w:ascii="Times New Roman" w:hAnsi="Times New Roman" w:eastAsia="宋体" w:cs="Times New Roman"/>
          <w:color w:val="auto"/>
          <w:kern w:val="1"/>
          <w:highlight w:val="none"/>
        </w:rPr>
        <w:t xml:space="preserve"> </w:t>
      </w:r>
      <w:r>
        <w:rPr>
          <w:rFonts w:hint="eastAsia" w:ascii="Times New Roman" w:hAnsi="Times New Roman" w:eastAsia="宋体" w:cs="Times New Roman"/>
          <w:color w:val="auto"/>
          <w:kern w:val="1"/>
          <w:highlight w:val="none"/>
          <w:lang w:val="en-US" w:eastAsia="zh-CN"/>
        </w:rPr>
        <w:t xml:space="preserve"> </w:t>
      </w:r>
      <w:r>
        <w:rPr>
          <w:rFonts w:hint="default" w:ascii="Times New Roman" w:hAnsi="Times New Roman" w:eastAsia="宋体" w:cs="Times New Roman"/>
          <w:color w:val="auto"/>
          <w:kern w:val="1"/>
          <w:highlight w:val="none"/>
        </w:rPr>
        <w:t xml:space="preserve"> </w:t>
      </w:r>
      <w:r>
        <w:rPr>
          <w:rFonts w:hint="default" w:ascii="Times New Roman" w:hAnsi="Times New Roman" w:eastAsia="宋体" w:cs="Times New Roman"/>
          <w:b/>
          <w:color w:val="auto"/>
          <w:kern w:val="1"/>
          <w:sz w:val="24"/>
          <w:highlight w:val="none"/>
        </w:rPr>
        <w:t xml:space="preserve">地表水环境质量标准限值一览表  </w:t>
      </w:r>
      <w:r>
        <w:rPr>
          <w:rFonts w:hint="default" w:ascii="Times New Roman" w:hAnsi="Times New Roman" w:eastAsia="宋体" w:cs="Times New Roman"/>
          <w:color w:val="auto"/>
          <w:kern w:val="1"/>
          <w:highlight w:val="none"/>
        </w:rPr>
        <w:t xml:space="preserve">  </w:t>
      </w:r>
      <w:r>
        <w:rPr>
          <w:rFonts w:hint="default" w:ascii="Times New Roman" w:hAnsi="Times New Roman" w:eastAsia="宋体" w:cs="Times New Roman"/>
          <w:b/>
          <w:color w:val="auto"/>
          <w:kern w:val="1"/>
          <w:sz w:val="24"/>
          <w:highlight w:val="none"/>
        </w:rPr>
        <w:t>单位：mg/L，pH无量纲</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
        <w:gridCol w:w="2833"/>
        <w:gridCol w:w="2369"/>
        <w:gridCol w:w="2396"/>
      </w:tblGrid>
      <w:tr w14:paraId="08132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368" w:type="dxa"/>
            <w:vMerge w:val="restart"/>
            <w:tcBorders>
              <w:tl2br w:val="nil"/>
              <w:tr2bl w:val="nil"/>
            </w:tcBorders>
            <w:noWrap w:val="0"/>
            <w:vAlign w:val="center"/>
          </w:tcPr>
          <w:p w14:paraId="74D065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884" w:type="dxa"/>
            <w:gridSpan w:val="2"/>
            <w:vMerge w:val="restart"/>
            <w:tcBorders>
              <w:tl2br w:val="nil"/>
              <w:tr2bl w:val="nil"/>
            </w:tcBorders>
            <w:noWrap w:val="0"/>
            <w:vAlign w:val="center"/>
          </w:tcPr>
          <w:p w14:paraId="4E9B72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845" w:type="dxa"/>
            <w:gridSpan w:val="2"/>
            <w:tcBorders>
              <w:tl2br w:val="nil"/>
              <w:tr2bl w:val="nil"/>
            </w:tcBorders>
            <w:noWrap w:val="0"/>
            <w:vAlign w:val="center"/>
          </w:tcPr>
          <w:p w14:paraId="787119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r>
      <w:tr w14:paraId="046AE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368" w:type="dxa"/>
            <w:vMerge w:val="continue"/>
            <w:tcBorders>
              <w:tl2br w:val="nil"/>
              <w:tr2bl w:val="nil"/>
            </w:tcBorders>
            <w:noWrap w:val="0"/>
            <w:vAlign w:val="center"/>
          </w:tcPr>
          <w:p w14:paraId="220C35A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2884" w:type="dxa"/>
            <w:gridSpan w:val="2"/>
            <w:vMerge w:val="continue"/>
            <w:tcBorders>
              <w:tl2br w:val="nil"/>
              <w:tr2bl w:val="nil"/>
            </w:tcBorders>
            <w:noWrap w:val="0"/>
            <w:vAlign w:val="center"/>
          </w:tcPr>
          <w:p w14:paraId="7D6B07F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2409" w:type="dxa"/>
            <w:tcBorders>
              <w:tl2br w:val="nil"/>
              <w:tr2bl w:val="nil"/>
            </w:tcBorders>
            <w:noWrap w:val="0"/>
            <w:vAlign w:val="center"/>
          </w:tcPr>
          <w:p w14:paraId="5C5C69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单位</w:t>
            </w:r>
          </w:p>
        </w:tc>
        <w:tc>
          <w:tcPr>
            <w:tcW w:w="2436" w:type="dxa"/>
            <w:tcBorders>
              <w:tl2br w:val="nil"/>
              <w:tr2bl w:val="nil"/>
            </w:tcBorders>
            <w:noWrap w:val="0"/>
            <w:vAlign w:val="center"/>
          </w:tcPr>
          <w:p w14:paraId="4B2C14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Ⅳ类标准</w:t>
            </w:r>
            <w:r>
              <w:rPr>
                <w:rFonts w:hint="default" w:ascii="Times New Roman" w:hAnsi="Times New Roman" w:eastAsia="宋体" w:cs="Times New Roman"/>
                <w:b/>
                <w:bCs/>
                <w:color w:val="auto"/>
                <w:sz w:val="21"/>
                <w:szCs w:val="21"/>
                <w:lang w:eastAsia="zh-CN"/>
              </w:rPr>
              <w:t>值</w:t>
            </w:r>
          </w:p>
        </w:tc>
      </w:tr>
      <w:tr w14:paraId="66E40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8" w:type="dxa"/>
            <w:tcBorders>
              <w:tl2br w:val="nil"/>
              <w:tr2bl w:val="nil"/>
            </w:tcBorders>
            <w:noWrap w:val="0"/>
            <w:vAlign w:val="center"/>
          </w:tcPr>
          <w:p w14:paraId="73FF9E3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84" w:type="dxa"/>
            <w:gridSpan w:val="2"/>
            <w:tcBorders>
              <w:tl2br w:val="nil"/>
              <w:tr2bl w:val="nil"/>
            </w:tcBorders>
            <w:noWrap w:val="0"/>
            <w:vAlign w:val="center"/>
          </w:tcPr>
          <w:p w14:paraId="6E2F6F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409" w:type="dxa"/>
            <w:tcBorders>
              <w:tl2br w:val="nil"/>
              <w:tr2bl w:val="nil"/>
            </w:tcBorders>
            <w:noWrap w:val="0"/>
            <w:vAlign w:val="center"/>
          </w:tcPr>
          <w:p w14:paraId="541235D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无量纲</w:t>
            </w:r>
          </w:p>
        </w:tc>
        <w:tc>
          <w:tcPr>
            <w:tcW w:w="2436" w:type="dxa"/>
            <w:tcBorders>
              <w:tl2br w:val="nil"/>
              <w:tr2bl w:val="nil"/>
            </w:tcBorders>
            <w:noWrap w:val="0"/>
            <w:vAlign w:val="center"/>
          </w:tcPr>
          <w:p w14:paraId="1A1D583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9</w:t>
            </w:r>
          </w:p>
        </w:tc>
      </w:tr>
      <w:tr w14:paraId="46EDF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8" w:type="dxa"/>
            <w:tcBorders>
              <w:tl2br w:val="nil"/>
              <w:tr2bl w:val="nil"/>
            </w:tcBorders>
            <w:noWrap w:val="0"/>
            <w:vAlign w:val="center"/>
          </w:tcPr>
          <w:p w14:paraId="6C9536A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884" w:type="dxa"/>
            <w:gridSpan w:val="2"/>
            <w:tcBorders>
              <w:tl2br w:val="nil"/>
              <w:tr2bl w:val="nil"/>
            </w:tcBorders>
            <w:noWrap w:val="0"/>
            <w:vAlign w:val="center"/>
          </w:tcPr>
          <w:p w14:paraId="61748B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w:t>
            </w:r>
          </w:p>
        </w:tc>
        <w:tc>
          <w:tcPr>
            <w:tcW w:w="2409" w:type="dxa"/>
            <w:tcBorders>
              <w:tl2br w:val="nil"/>
              <w:tr2bl w:val="nil"/>
            </w:tcBorders>
            <w:noWrap w:val="0"/>
            <w:vAlign w:val="center"/>
          </w:tcPr>
          <w:p w14:paraId="50F781A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4A842FA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w:t>
            </w:r>
          </w:p>
        </w:tc>
      </w:tr>
      <w:tr w14:paraId="533B9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8" w:type="dxa"/>
            <w:tcBorders>
              <w:tl2br w:val="nil"/>
              <w:tr2bl w:val="nil"/>
            </w:tcBorders>
            <w:noWrap w:val="0"/>
            <w:vAlign w:val="center"/>
          </w:tcPr>
          <w:p w14:paraId="33E1F6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884" w:type="dxa"/>
            <w:gridSpan w:val="2"/>
            <w:tcBorders>
              <w:tl2br w:val="nil"/>
              <w:tr2bl w:val="nil"/>
            </w:tcBorders>
            <w:noWrap w:val="0"/>
            <w:vAlign w:val="center"/>
          </w:tcPr>
          <w:p w14:paraId="61001C5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高锰酸盐指数</w:t>
            </w:r>
          </w:p>
        </w:tc>
        <w:tc>
          <w:tcPr>
            <w:tcW w:w="2409" w:type="dxa"/>
            <w:tcBorders>
              <w:tl2br w:val="nil"/>
              <w:tr2bl w:val="nil"/>
            </w:tcBorders>
            <w:noWrap w:val="0"/>
            <w:vAlign w:val="center"/>
          </w:tcPr>
          <w:p w14:paraId="5A317A4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2FC4F13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10</w:t>
            </w:r>
          </w:p>
        </w:tc>
      </w:tr>
      <w:tr w14:paraId="5D092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8" w:type="dxa"/>
            <w:tcBorders>
              <w:tl2br w:val="nil"/>
              <w:tr2bl w:val="nil"/>
            </w:tcBorders>
            <w:shd w:val="clear" w:color="auto" w:fill="auto"/>
            <w:noWrap w:val="0"/>
            <w:vAlign w:val="center"/>
          </w:tcPr>
          <w:p w14:paraId="318F29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2884" w:type="dxa"/>
            <w:gridSpan w:val="2"/>
            <w:tcBorders>
              <w:tl2br w:val="nil"/>
              <w:tr2bl w:val="nil"/>
            </w:tcBorders>
            <w:shd w:val="clear" w:color="auto" w:fill="auto"/>
            <w:noWrap w:val="0"/>
            <w:vAlign w:val="center"/>
          </w:tcPr>
          <w:p w14:paraId="03092EB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化学需氧量</w:t>
            </w:r>
          </w:p>
        </w:tc>
        <w:tc>
          <w:tcPr>
            <w:tcW w:w="2409" w:type="dxa"/>
            <w:tcBorders>
              <w:tl2br w:val="nil"/>
              <w:tr2bl w:val="nil"/>
            </w:tcBorders>
            <w:shd w:val="clear" w:color="auto" w:fill="auto"/>
            <w:noWrap w:val="0"/>
            <w:vAlign w:val="center"/>
          </w:tcPr>
          <w:p w14:paraId="5D0B0C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shd w:val="clear" w:color="auto" w:fill="auto"/>
            <w:noWrap w:val="0"/>
            <w:vAlign w:val="center"/>
          </w:tcPr>
          <w:p w14:paraId="7A1272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30</w:t>
            </w:r>
          </w:p>
        </w:tc>
      </w:tr>
      <w:tr w14:paraId="3B2DC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170BA8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881" w:type="dxa"/>
            <w:tcBorders>
              <w:tl2br w:val="nil"/>
              <w:tr2bl w:val="nil"/>
            </w:tcBorders>
            <w:noWrap w:val="0"/>
            <w:vAlign w:val="center"/>
          </w:tcPr>
          <w:p w14:paraId="2EC29AC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w:t>
            </w:r>
          </w:p>
        </w:tc>
        <w:tc>
          <w:tcPr>
            <w:tcW w:w="2409" w:type="dxa"/>
            <w:tcBorders>
              <w:tl2br w:val="nil"/>
              <w:tr2bl w:val="nil"/>
            </w:tcBorders>
            <w:noWrap w:val="0"/>
            <w:vAlign w:val="center"/>
          </w:tcPr>
          <w:p w14:paraId="2F20E7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289A48B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w:t>
            </w:r>
          </w:p>
        </w:tc>
      </w:tr>
      <w:tr w14:paraId="1E267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3E6A699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881" w:type="dxa"/>
            <w:tcBorders>
              <w:tl2br w:val="nil"/>
              <w:tr2bl w:val="nil"/>
            </w:tcBorders>
            <w:noWrap w:val="0"/>
            <w:vAlign w:val="center"/>
          </w:tcPr>
          <w:p w14:paraId="70047F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409" w:type="dxa"/>
            <w:tcBorders>
              <w:tl2br w:val="nil"/>
              <w:tr2bl w:val="nil"/>
            </w:tcBorders>
            <w:noWrap w:val="0"/>
            <w:vAlign w:val="center"/>
          </w:tcPr>
          <w:p w14:paraId="534346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1E6EF97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w:t>
            </w:r>
          </w:p>
        </w:tc>
      </w:tr>
      <w:tr w14:paraId="506BE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4EA6398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881" w:type="dxa"/>
            <w:tcBorders>
              <w:tl2br w:val="nil"/>
              <w:tr2bl w:val="nil"/>
            </w:tcBorders>
            <w:noWrap w:val="0"/>
            <w:vAlign w:val="center"/>
          </w:tcPr>
          <w:p w14:paraId="2C5017F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2409" w:type="dxa"/>
            <w:tcBorders>
              <w:tl2br w:val="nil"/>
              <w:tr2bl w:val="nil"/>
            </w:tcBorders>
            <w:noWrap w:val="0"/>
            <w:vAlign w:val="center"/>
          </w:tcPr>
          <w:p w14:paraId="338F0E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125B64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0.3</w:t>
            </w:r>
          </w:p>
        </w:tc>
      </w:tr>
      <w:tr w14:paraId="3D193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480FFA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881" w:type="dxa"/>
            <w:tcBorders>
              <w:tl2br w:val="nil"/>
              <w:tr2bl w:val="nil"/>
            </w:tcBorders>
            <w:noWrap w:val="0"/>
            <w:vAlign w:val="center"/>
          </w:tcPr>
          <w:p w14:paraId="1F1593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铜</w:t>
            </w:r>
          </w:p>
        </w:tc>
        <w:tc>
          <w:tcPr>
            <w:tcW w:w="2409" w:type="dxa"/>
            <w:tcBorders>
              <w:tl2br w:val="nil"/>
              <w:tr2bl w:val="nil"/>
            </w:tcBorders>
            <w:noWrap w:val="0"/>
            <w:vAlign w:val="center"/>
          </w:tcPr>
          <w:p w14:paraId="66F4242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39CA70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r>
      <w:tr w14:paraId="4C11B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05CB0DB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881" w:type="dxa"/>
            <w:tcBorders>
              <w:tl2br w:val="nil"/>
              <w:tr2bl w:val="nil"/>
            </w:tcBorders>
            <w:noWrap w:val="0"/>
            <w:vAlign w:val="center"/>
          </w:tcPr>
          <w:p w14:paraId="6424B8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锌</w:t>
            </w:r>
          </w:p>
        </w:tc>
        <w:tc>
          <w:tcPr>
            <w:tcW w:w="2409" w:type="dxa"/>
            <w:tcBorders>
              <w:tl2br w:val="nil"/>
              <w:tr2bl w:val="nil"/>
            </w:tcBorders>
            <w:noWrap w:val="0"/>
            <w:vAlign w:val="center"/>
          </w:tcPr>
          <w:p w14:paraId="503AD5E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6F0DDF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w:t>
            </w:r>
          </w:p>
        </w:tc>
      </w:tr>
      <w:tr w14:paraId="1B45C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1AB2D4B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881" w:type="dxa"/>
            <w:tcBorders>
              <w:tl2br w:val="nil"/>
              <w:tr2bl w:val="nil"/>
            </w:tcBorders>
            <w:noWrap w:val="0"/>
            <w:vAlign w:val="center"/>
          </w:tcPr>
          <w:p w14:paraId="08AF19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氟化物</w:t>
            </w:r>
            <w:r>
              <w:rPr>
                <w:rFonts w:hint="default" w:ascii="Times New Roman" w:hAnsi="Times New Roman" w:eastAsia="宋体" w:cs="Times New Roman"/>
                <w:color w:val="auto"/>
                <w:sz w:val="21"/>
                <w:szCs w:val="21"/>
                <w:lang w:eastAsia="zh-CN"/>
              </w:rPr>
              <w:t>（以</w:t>
            </w:r>
            <w:r>
              <w:rPr>
                <w:rFonts w:hint="default" w:ascii="Times New Roman" w:hAnsi="Times New Roman" w:eastAsia="宋体" w:cs="Times New Roman"/>
                <w:color w:val="auto"/>
                <w:sz w:val="21"/>
                <w:szCs w:val="21"/>
                <w:lang w:val="en-US" w:eastAsia="zh-CN"/>
              </w:rPr>
              <w:t>F计</w:t>
            </w:r>
            <w:r>
              <w:rPr>
                <w:rFonts w:hint="default" w:ascii="Times New Roman" w:hAnsi="Times New Roman" w:eastAsia="宋体" w:cs="Times New Roman"/>
                <w:color w:val="auto"/>
                <w:sz w:val="21"/>
                <w:szCs w:val="21"/>
                <w:lang w:eastAsia="zh-CN"/>
              </w:rPr>
              <w:t>）</w:t>
            </w:r>
          </w:p>
        </w:tc>
        <w:tc>
          <w:tcPr>
            <w:tcW w:w="2409" w:type="dxa"/>
            <w:tcBorders>
              <w:tl2br w:val="nil"/>
              <w:tr2bl w:val="nil"/>
            </w:tcBorders>
            <w:noWrap w:val="0"/>
            <w:vAlign w:val="center"/>
          </w:tcPr>
          <w:p w14:paraId="12F404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17665C6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5</w:t>
            </w:r>
          </w:p>
        </w:tc>
      </w:tr>
      <w:tr w14:paraId="70801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189016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881" w:type="dxa"/>
            <w:tcBorders>
              <w:tl2br w:val="nil"/>
              <w:tr2bl w:val="nil"/>
            </w:tcBorders>
            <w:noWrap w:val="0"/>
            <w:vAlign w:val="center"/>
          </w:tcPr>
          <w:p w14:paraId="25C242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硒</w:t>
            </w:r>
          </w:p>
        </w:tc>
        <w:tc>
          <w:tcPr>
            <w:tcW w:w="2409" w:type="dxa"/>
            <w:tcBorders>
              <w:tl2br w:val="nil"/>
              <w:tr2bl w:val="nil"/>
            </w:tcBorders>
            <w:noWrap w:val="0"/>
            <w:vAlign w:val="center"/>
          </w:tcPr>
          <w:p w14:paraId="28419B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1C95C0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2</w:t>
            </w:r>
          </w:p>
        </w:tc>
      </w:tr>
      <w:tr w14:paraId="2CC4F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34E53F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881" w:type="dxa"/>
            <w:tcBorders>
              <w:tl2br w:val="nil"/>
              <w:tr2bl w:val="nil"/>
            </w:tcBorders>
            <w:noWrap w:val="0"/>
            <w:vAlign w:val="center"/>
          </w:tcPr>
          <w:p w14:paraId="640272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砷</w:t>
            </w:r>
          </w:p>
        </w:tc>
        <w:tc>
          <w:tcPr>
            <w:tcW w:w="2409" w:type="dxa"/>
            <w:tcBorders>
              <w:tl2br w:val="nil"/>
              <w:tr2bl w:val="nil"/>
            </w:tcBorders>
            <w:noWrap w:val="0"/>
            <w:vAlign w:val="center"/>
          </w:tcPr>
          <w:p w14:paraId="5D718C4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7D27BA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w:t>
            </w:r>
          </w:p>
        </w:tc>
      </w:tr>
      <w:tr w14:paraId="5058D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40AA45A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881" w:type="dxa"/>
            <w:tcBorders>
              <w:tl2br w:val="nil"/>
              <w:tr2bl w:val="nil"/>
            </w:tcBorders>
            <w:noWrap w:val="0"/>
            <w:vAlign w:val="center"/>
          </w:tcPr>
          <w:p w14:paraId="6C1B40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汞</w:t>
            </w:r>
          </w:p>
        </w:tc>
        <w:tc>
          <w:tcPr>
            <w:tcW w:w="2409" w:type="dxa"/>
            <w:tcBorders>
              <w:tl2br w:val="nil"/>
              <w:tr2bl w:val="nil"/>
            </w:tcBorders>
            <w:noWrap w:val="0"/>
            <w:vAlign w:val="center"/>
          </w:tcPr>
          <w:p w14:paraId="78B8E0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48EEE9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≤0.00</w:t>
            </w:r>
            <w:r>
              <w:rPr>
                <w:rFonts w:hint="default" w:ascii="Times New Roman" w:hAnsi="Times New Roman" w:eastAsia="宋体" w:cs="Times New Roman"/>
                <w:color w:val="auto"/>
                <w:sz w:val="21"/>
                <w:szCs w:val="21"/>
                <w:lang w:val="en-US" w:eastAsia="zh-CN"/>
              </w:rPr>
              <w:t>1</w:t>
            </w:r>
          </w:p>
        </w:tc>
      </w:tr>
      <w:tr w14:paraId="79E7E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03DE62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881" w:type="dxa"/>
            <w:tcBorders>
              <w:tl2br w:val="nil"/>
              <w:tr2bl w:val="nil"/>
            </w:tcBorders>
            <w:noWrap w:val="0"/>
            <w:vAlign w:val="center"/>
          </w:tcPr>
          <w:p w14:paraId="46E712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镉</w:t>
            </w:r>
          </w:p>
        </w:tc>
        <w:tc>
          <w:tcPr>
            <w:tcW w:w="2409" w:type="dxa"/>
            <w:tcBorders>
              <w:tl2br w:val="nil"/>
              <w:tr2bl w:val="nil"/>
            </w:tcBorders>
            <w:noWrap w:val="0"/>
            <w:vAlign w:val="center"/>
          </w:tcPr>
          <w:p w14:paraId="6D02323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13E2A3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≤0.005</w:t>
            </w:r>
          </w:p>
        </w:tc>
      </w:tr>
      <w:tr w14:paraId="36C82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1C2C51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881" w:type="dxa"/>
            <w:tcBorders>
              <w:tl2br w:val="nil"/>
              <w:tr2bl w:val="nil"/>
            </w:tcBorders>
            <w:noWrap w:val="0"/>
            <w:vAlign w:val="center"/>
          </w:tcPr>
          <w:p w14:paraId="385C48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铬（六价）</w:t>
            </w:r>
          </w:p>
        </w:tc>
        <w:tc>
          <w:tcPr>
            <w:tcW w:w="2409" w:type="dxa"/>
            <w:tcBorders>
              <w:tl2br w:val="nil"/>
              <w:tr2bl w:val="nil"/>
            </w:tcBorders>
            <w:noWrap w:val="0"/>
            <w:vAlign w:val="center"/>
          </w:tcPr>
          <w:p w14:paraId="0CD14B5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5073B9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≤0.05</w:t>
            </w:r>
          </w:p>
        </w:tc>
      </w:tr>
      <w:tr w14:paraId="4EA08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097BE5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881" w:type="dxa"/>
            <w:tcBorders>
              <w:tl2br w:val="nil"/>
              <w:tr2bl w:val="nil"/>
            </w:tcBorders>
            <w:noWrap w:val="0"/>
            <w:vAlign w:val="center"/>
          </w:tcPr>
          <w:p w14:paraId="02EAAE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铅</w:t>
            </w:r>
          </w:p>
        </w:tc>
        <w:tc>
          <w:tcPr>
            <w:tcW w:w="2409" w:type="dxa"/>
            <w:tcBorders>
              <w:tl2br w:val="nil"/>
              <w:tr2bl w:val="nil"/>
            </w:tcBorders>
            <w:noWrap w:val="0"/>
            <w:vAlign w:val="center"/>
          </w:tcPr>
          <w:p w14:paraId="50EF948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61C626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≤0.05</w:t>
            </w:r>
          </w:p>
        </w:tc>
      </w:tr>
      <w:tr w14:paraId="3FCE3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6BFA77C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881" w:type="dxa"/>
            <w:tcBorders>
              <w:tl2br w:val="nil"/>
              <w:tr2bl w:val="nil"/>
            </w:tcBorders>
            <w:noWrap w:val="0"/>
            <w:vAlign w:val="center"/>
          </w:tcPr>
          <w:p w14:paraId="3D0609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氰化物</w:t>
            </w:r>
          </w:p>
        </w:tc>
        <w:tc>
          <w:tcPr>
            <w:tcW w:w="2409" w:type="dxa"/>
            <w:tcBorders>
              <w:tl2br w:val="nil"/>
              <w:tr2bl w:val="nil"/>
            </w:tcBorders>
            <w:noWrap w:val="0"/>
            <w:vAlign w:val="center"/>
          </w:tcPr>
          <w:p w14:paraId="67CC43D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19443A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≤0.2</w:t>
            </w:r>
          </w:p>
        </w:tc>
      </w:tr>
      <w:tr w14:paraId="034F4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637004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2881" w:type="dxa"/>
            <w:tcBorders>
              <w:tl2br w:val="nil"/>
              <w:tr2bl w:val="nil"/>
            </w:tcBorders>
            <w:noWrap w:val="0"/>
            <w:vAlign w:val="center"/>
          </w:tcPr>
          <w:p w14:paraId="223978B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挥发酚</w:t>
            </w:r>
          </w:p>
        </w:tc>
        <w:tc>
          <w:tcPr>
            <w:tcW w:w="2409" w:type="dxa"/>
            <w:tcBorders>
              <w:tl2br w:val="nil"/>
              <w:tr2bl w:val="nil"/>
            </w:tcBorders>
            <w:noWrap w:val="0"/>
            <w:vAlign w:val="center"/>
          </w:tcPr>
          <w:p w14:paraId="477BCD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0561092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r>
      <w:tr w14:paraId="4A684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152BD0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2881" w:type="dxa"/>
            <w:tcBorders>
              <w:tl2br w:val="nil"/>
              <w:tr2bl w:val="nil"/>
            </w:tcBorders>
            <w:noWrap w:val="0"/>
            <w:vAlign w:val="center"/>
          </w:tcPr>
          <w:p w14:paraId="2FF05D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石油类</w:t>
            </w:r>
          </w:p>
        </w:tc>
        <w:tc>
          <w:tcPr>
            <w:tcW w:w="2409" w:type="dxa"/>
            <w:tcBorders>
              <w:tl2br w:val="nil"/>
              <w:tr2bl w:val="nil"/>
            </w:tcBorders>
            <w:noWrap w:val="0"/>
            <w:vAlign w:val="center"/>
          </w:tcPr>
          <w:p w14:paraId="2543A5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4C29A3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w:t>
            </w:r>
          </w:p>
        </w:tc>
      </w:tr>
      <w:tr w14:paraId="6A1AC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shd w:val="clear" w:color="auto" w:fill="auto"/>
            <w:noWrap w:val="0"/>
            <w:vAlign w:val="center"/>
          </w:tcPr>
          <w:p w14:paraId="7D6731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p>
        </w:tc>
        <w:tc>
          <w:tcPr>
            <w:tcW w:w="2881" w:type="dxa"/>
            <w:tcBorders>
              <w:tl2br w:val="nil"/>
              <w:tr2bl w:val="nil"/>
            </w:tcBorders>
            <w:shd w:val="clear" w:color="auto" w:fill="auto"/>
            <w:noWrap w:val="0"/>
            <w:vAlign w:val="center"/>
          </w:tcPr>
          <w:p w14:paraId="0A204D4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阴离子表面活性剂</w:t>
            </w:r>
          </w:p>
        </w:tc>
        <w:tc>
          <w:tcPr>
            <w:tcW w:w="2409" w:type="dxa"/>
            <w:tcBorders>
              <w:tl2br w:val="nil"/>
              <w:tr2bl w:val="nil"/>
            </w:tcBorders>
            <w:shd w:val="clear" w:color="auto" w:fill="auto"/>
            <w:noWrap w:val="0"/>
            <w:vAlign w:val="center"/>
          </w:tcPr>
          <w:p w14:paraId="567BBC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shd w:val="clear" w:color="auto" w:fill="auto"/>
            <w:noWrap w:val="0"/>
            <w:vAlign w:val="center"/>
          </w:tcPr>
          <w:p w14:paraId="227E20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w:t>
            </w:r>
          </w:p>
        </w:tc>
      </w:tr>
      <w:tr w14:paraId="3B34C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shd w:val="clear" w:color="auto" w:fill="auto"/>
            <w:noWrap w:val="0"/>
            <w:vAlign w:val="center"/>
          </w:tcPr>
          <w:p w14:paraId="77D6E3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21</w:t>
            </w:r>
          </w:p>
        </w:tc>
        <w:tc>
          <w:tcPr>
            <w:tcW w:w="2881" w:type="dxa"/>
            <w:tcBorders>
              <w:tl2br w:val="nil"/>
              <w:tr2bl w:val="nil"/>
            </w:tcBorders>
            <w:shd w:val="clear" w:color="auto" w:fill="auto"/>
            <w:noWrap w:val="0"/>
            <w:vAlign w:val="center"/>
          </w:tcPr>
          <w:p w14:paraId="24AB97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硫化物</w:t>
            </w:r>
          </w:p>
        </w:tc>
        <w:tc>
          <w:tcPr>
            <w:tcW w:w="2409" w:type="dxa"/>
            <w:tcBorders>
              <w:tl2br w:val="nil"/>
              <w:tr2bl w:val="nil"/>
            </w:tcBorders>
            <w:shd w:val="clear" w:color="auto" w:fill="auto"/>
            <w:noWrap w:val="0"/>
            <w:vAlign w:val="center"/>
          </w:tcPr>
          <w:p w14:paraId="7661C6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shd w:val="clear" w:color="auto" w:fill="auto"/>
            <w:noWrap w:val="0"/>
            <w:vAlign w:val="center"/>
          </w:tcPr>
          <w:p w14:paraId="240AFEA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w:t>
            </w:r>
          </w:p>
        </w:tc>
      </w:tr>
      <w:tr w14:paraId="7259B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6584F7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22</w:t>
            </w:r>
          </w:p>
        </w:tc>
        <w:tc>
          <w:tcPr>
            <w:tcW w:w="2881" w:type="dxa"/>
            <w:tcBorders>
              <w:tl2br w:val="nil"/>
              <w:tr2bl w:val="nil"/>
            </w:tcBorders>
            <w:noWrap w:val="0"/>
            <w:vAlign w:val="center"/>
          </w:tcPr>
          <w:p w14:paraId="554F83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总氮</w:t>
            </w:r>
          </w:p>
        </w:tc>
        <w:tc>
          <w:tcPr>
            <w:tcW w:w="2409" w:type="dxa"/>
            <w:tcBorders>
              <w:tl2br w:val="nil"/>
              <w:tr2bl w:val="nil"/>
            </w:tcBorders>
            <w:noWrap w:val="0"/>
            <w:vAlign w:val="center"/>
          </w:tcPr>
          <w:p w14:paraId="4EF7D1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436" w:type="dxa"/>
            <w:tcBorders>
              <w:tl2br w:val="nil"/>
              <w:tr2bl w:val="nil"/>
            </w:tcBorders>
            <w:noWrap w:val="0"/>
            <w:vAlign w:val="center"/>
          </w:tcPr>
          <w:p w14:paraId="4DFD208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1.5</w:t>
            </w:r>
          </w:p>
        </w:tc>
      </w:tr>
      <w:tr w14:paraId="07A84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gridSpan w:val="2"/>
            <w:tcBorders>
              <w:tl2br w:val="nil"/>
              <w:tr2bl w:val="nil"/>
            </w:tcBorders>
            <w:noWrap w:val="0"/>
            <w:vAlign w:val="center"/>
          </w:tcPr>
          <w:p w14:paraId="4E1A82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23</w:t>
            </w:r>
          </w:p>
        </w:tc>
        <w:tc>
          <w:tcPr>
            <w:tcW w:w="2881" w:type="dxa"/>
            <w:tcBorders>
              <w:tl2br w:val="nil"/>
              <w:tr2bl w:val="nil"/>
            </w:tcBorders>
            <w:noWrap w:val="0"/>
            <w:vAlign w:val="center"/>
          </w:tcPr>
          <w:p w14:paraId="2B0587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粪大肠菌群</w:t>
            </w:r>
          </w:p>
        </w:tc>
        <w:tc>
          <w:tcPr>
            <w:tcW w:w="2409" w:type="dxa"/>
            <w:tcBorders>
              <w:tl2br w:val="nil"/>
              <w:tr2bl w:val="nil"/>
            </w:tcBorders>
            <w:noWrap w:val="0"/>
            <w:vAlign w:val="center"/>
          </w:tcPr>
          <w:p w14:paraId="606613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个/L</w:t>
            </w:r>
          </w:p>
        </w:tc>
        <w:tc>
          <w:tcPr>
            <w:tcW w:w="2436" w:type="dxa"/>
            <w:tcBorders>
              <w:tl2br w:val="nil"/>
              <w:tr2bl w:val="nil"/>
            </w:tcBorders>
            <w:noWrap w:val="0"/>
            <w:vAlign w:val="center"/>
          </w:tcPr>
          <w:p w14:paraId="4AAFA9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20000</w:t>
            </w:r>
          </w:p>
        </w:tc>
      </w:tr>
    </w:tbl>
    <w:p w14:paraId="5AB3135E">
      <w:pPr>
        <w:pageBreakBefore w:val="0"/>
        <w:tabs>
          <w:tab w:val="left" w:pos="315"/>
        </w:tabs>
        <w:kinsoku/>
        <w:wordWrap/>
        <w:topLinePunct w:val="0"/>
        <w:bidi w:val="0"/>
        <w:adjustRightInd/>
        <w:snapToGrid/>
        <w:ind w:left="0" w:leftChars="0"/>
        <w:jc w:val="left"/>
        <w:rPr>
          <w:rFonts w:hint="eastAsia" w:ascii="Times New Roman" w:hAnsi="Times New Roman"/>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ascii="Times New Roman" w:hAnsi="Times New Roman"/>
          <w:color w:val="auto"/>
        </w:rPr>
        <w:t>地下水环境质量标准</w:t>
      </w:r>
    </w:p>
    <w:p w14:paraId="2CE59516">
      <w:pPr>
        <w:pageBreakBefore w:val="0"/>
        <w:tabs>
          <w:tab w:val="left" w:pos="315"/>
        </w:tabs>
        <w:kinsoku/>
        <w:wordWrap/>
        <w:topLinePunct w:val="0"/>
        <w:bidi w:val="0"/>
        <w:adjustRightInd/>
        <w:snapToGrid/>
        <w:ind w:left="0" w:leftChars="0"/>
        <w:jc w:val="left"/>
        <w:rPr>
          <w:rFonts w:hint="eastAsia" w:ascii="Times New Roman" w:hAnsi="Times New Roman"/>
          <w:color w:val="auto"/>
        </w:rPr>
      </w:pPr>
      <w:r>
        <w:rPr>
          <w:rFonts w:hint="eastAsia" w:ascii="Times New Roman" w:hAnsi="Times New Roman"/>
          <w:color w:val="auto"/>
        </w:rPr>
        <w:t>评价区域地下水环境质量执行《地下水质量标准》</w:t>
      </w:r>
      <w:r>
        <w:rPr>
          <w:rFonts w:hint="eastAsia"/>
          <w:color w:val="auto"/>
          <w:lang w:eastAsia="zh-CN"/>
        </w:rPr>
        <w:t>（</w:t>
      </w:r>
      <w:r>
        <w:rPr>
          <w:rFonts w:hint="eastAsia" w:ascii="Times New Roman" w:hAnsi="Times New Roman"/>
          <w:color w:val="auto"/>
        </w:rPr>
        <w:t>GB/T14848-2017</w:t>
      </w:r>
      <w:r>
        <w:rPr>
          <w:rFonts w:hint="eastAsia"/>
          <w:color w:val="auto"/>
          <w:lang w:eastAsia="zh-CN"/>
        </w:rPr>
        <w:t>）</w:t>
      </w:r>
      <w:r>
        <w:rPr>
          <w:rFonts w:hint="default" w:ascii="Times New Roman" w:hAnsi="Times New Roman" w:cs="Times New Roman"/>
          <w:color w:val="auto"/>
        </w:rPr>
        <w:t>Ⅲ</w:t>
      </w:r>
      <w:r>
        <w:rPr>
          <w:rFonts w:hint="eastAsia" w:ascii="Times New Roman" w:hAnsi="Times New Roman"/>
          <w:color w:val="auto"/>
        </w:rPr>
        <w:t>类标准。地下水质量评价执行标准见表1.4-</w:t>
      </w:r>
      <w:r>
        <w:rPr>
          <w:rFonts w:hint="eastAsia"/>
          <w:color w:val="auto"/>
          <w:lang w:val="en-US" w:eastAsia="zh-CN"/>
        </w:rPr>
        <w:t>4</w:t>
      </w:r>
      <w:r>
        <w:rPr>
          <w:rFonts w:hint="eastAsia" w:ascii="Times New Roman" w:hAnsi="Times New Roman"/>
          <w:color w:val="auto"/>
        </w:rPr>
        <w:t>。</w:t>
      </w:r>
    </w:p>
    <w:p w14:paraId="1BF31DD1">
      <w:pPr>
        <w:pageBreakBefore w:val="0"/>
        <w:widowControl w:val="0"/>
        <w:kinsoku/>
        <w:wordWrap/>
        <w:topLinePunct w:val="0"/>
        <w:bidi w:val="0"/>
        <w:adjustRightInd/>
        <w:snapToGrid/>
        <w:spacing w:line="240" w:lineRule="auto"/>
        <w:ind w:left="0" w:leftChars="0"/>
        <w:jc w:val="both"/>
        <w:rPr>
          <w:rFonts w:hint="default" w:ascii="Times New Roman" w:hAnsi="Times New Roman" w:eastAsia="宋体" w:cs="Times New Roman"/>
          <w:b/>
          <w:color w:val="auto"/>
          <w:kern w:val="1"/>
          <w:sz w:val="24"/>
          <w:highlight w:val="none"/>
        </w:rPr>
      </w:pPr>
      <w:r>
        <w:rPr>
          <w:rFonts w:hint="default" w:ascii="Times New Roman" w:hAnsi="Times New Roman" w:eastAsia="宋体" w:cs="Times New Roman"/>
          <w:color w:val="auto"/>
          <w:kern w:val="1"/>
          <w:sz w:val="21"/>
          <w:szCs w:val="21"/>
          <w:highlight w:val="none"/>
        </w:rPr>
        <w:t>表1.4-</w:t>
      </w:r>
      <w:r>
        <w:rPr>
          <w:rFonts w:hint="eastAsia" w:eastAsia="宋体" w:cs="Times New Roman"/>
          <w:color w:val="auto"/>
          <w:kern w:val="1"/>
          <w:sz w:val="21"/>
          <w:szCs w:val="21"/>
          <w:highlight w:val="none"/>
          <w:lang w:val="en-US" w:eastAsia="zh-CN"/>
        </w:rPr>
        <w:t>4</w:t>
      </w:r>
      <w:r>
        <w:rPr>
          <w:rFonts w:hint="default" w:ascii="Times New Roman" w:hAnsi="Times New Roman" w:eastAsia="宋体" w:cs="Times New Roman"/>
          <w:color w:val="auto"/>
          <w:kern w:val="1"/>
          <w:highlight w:val="none"/>
        </w:rPr>
        <w:t xml:space="preserve">  </w:t>
      </w:r>
      <w:r>
        <w:rPr>
          <w:rFonts w:hint="eastAsia" w:ascii="Times New Roman" w:hAnsi="Times New Roman" w:eastAsia="宋体" w:cs="Times New Roman"/>
          <w:color w:val="auto"/>
          <w:kern w:val="1"/>
          <w:highlight w:val="none"/>
          <w:lang w:val="en-US" w:eastAsia="zh-CN"/>
        </w:rPr>
        <w:t xml:space="preserve">              </w:t>
      </w:r>
      <w:r>
        <w:rPr>
          <w:rFonts w:hint="default" w:ascii="Times New Roman" w:hAnsi="Times New Roman" w:eastAsia="宋体" w:cs="Times New Roman"/>
          <w:b/>
          <w:color w:val="auto"/>
          <w:kern w:val="1"/>
          <w:sz w:val="24"/>
          <w:highlight w:val="none"/>
        </w:rPr>
        <w:t>地下水质量评价执行标准限值</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930"/>
        <w:gridCol w:w="2456"/>
        <w:gridCol w:w="2182"/>
      </w:tblGrid>
      <w:tr w14:paraId="5FFC9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33" w:type="dxa"/>
            <w:vMerge w:val="restart"/>
            <w:tcBorders>
              <w:tl2br w:val="nil"/>
              <w:tr2bl w:val="nil"/>
            </w:tcBorders>
            <w:noWrap w:val="0"/>
            <w:vAlign w:val="center"/>
          </w:tcPr>
          <w:p w14:paraId="4ADE66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981" w:type="dxa"/>
            <w:vMerge w:val="restart"/>
            <w:tcBorders>
              <w:tl2br w:val="nil"/>
              <w:tr2bl w:val="nil"/>
            </w:tcBorders>
            <w:noWrap w:val="0"/>
            <w:vAlign w:val="center"/>
          </w:tcPr>
          <w:p w14:paraId="0572D5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3135" w:type="dxa"/>
            <w:gridSpan w:val="2"/>
            <w:tcBorders>
              <w:tl2br w:val="nil"/>
              <w:tr2bl w:val="nil"/>
            </w:tcBorders>
            <w:noWrap w:val="0"/>
            <w:vAlign w:val="center"/>
          </w:tcPr>
          <w:p w14:paraId="0DD0CF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r>
      <w:tr w14:paraId="58FB7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33" w:type="dxa"/>
            <w:vMerge w:val="continue"/>
            <w:tcBorders>
              <w:tl2br w:val="nil"/>
              <w:tr2bl w:val="nil"/>
            </w:tcBorders>
            <w:noWrap w:val="0"/>
            <w:vAlign w:val="center"/>
          </w:tcPr>
          <w:p w14:paraId="23F78B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1981" w:type="dxa"/>
            <w:vMerge w:val="continue"/>
            <w:tcBorders>
              <w:tl2br w:val="nil"/>
              <w:tr2bl w:val="nil"/>
            </w:tcBorders>
            <w:noWrap w:val="0"/>
            <w:vAlign w:val="center"/>
          </w:tcPr>
          <w:p w14:paraId="24219E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1660" w:type="dxa"/>
            <w:tcBorders>
              <w:tl2br w:val="nil"/>
              <w:tr2bl w:val="nil"/>
            </w:tcBorders>
            <w:noWrap w:val="0"/>
            <w:vAlign w:val="center"/>
          </w:tcPr>
          <w:p w14:paraId="188AF5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475" w:type="dxa"/>
            <w:tcBorders>
              <w:tl2br w:val="nil"/>
              <w:tr2bl w:val="nil"/>
            </w:tcBorders>
            <w:noWrap w:val="0"/>
            <w:vAlign w:val="center"/>
          </w:tcPr>
          <w:p w14:paraId="15F1ED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Ⅲ类标准</w:t>
            </w:r>
          </w:p>
        </w:tc>
      </w:tr>
      <w:tr w14:paraId="291DE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49D92C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981" w:type="dxa"/>
            <w:tcBorders>
              <w:tl2br w:val="nil"/>
              <w:tr2bl w:val="nil"/>
            </w:tcBorders>
            <w:noWrap w:val="0"/>
            <w:vAlign w:val="center"/>
          </w:tcPr>
          <w:p w14:paraId="14D6CD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660" w:type="dxa"/>
            <w:tcBorders>
              <w:tl2br w:val="nil"/>
              <w:tr2bl w:val="nil"/>
            </w:tcBorders>
            <w:noWrap w:val="0"/>
            <w:vAlign w:val="center"/>
          </w:tcPr>
          <w:p w14:paraId="147FED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475" w:type="dxa"/>
            <w:tcBorders>
              <w:tl2br w:val="nil"/>
              <w:tr2bl w:val="nil"/>
            </w:tcBorders>
            <w:noWrap w:val="0"/>
            <w:vAlign w:val="center"/>
          </w:tcPr>
          <w:p w14:paraId="080F13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8.5</w:t>
            </w:r>
          </w:p>
        </w:tc>
      </w:tr>
      <w:tr w14:paraId="7A868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55947D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981" w:type="dxa"/>
            <w:tcBorders>
              <w:tl2br w:val="nil"/>
              <w:tr2bl w:val="nil"/>
            </w:tcBorders>
            <w:noWrap w:val="0"/>
            <w:vAlign w:val="center"/>
          </w:tcPr>
          <w:p w14:paraId="14ABF2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氨氮（以N计）</w:t>
            </w:r>
          </w:p>
        </w:tc>
        <w:tc>
          <w:tcPr>
            <w:tcW w:w="1660" w:type="dxa"/>
            <w:tcBorders>
              <w:tl2br w:val="nil"/>
              <w:tr2bl w:val="nil"/>
            </w:tcBorders>
            <w:noWrap w:val="0"/>
            <w:vAlign w:val="center"/>
          </w:tcPr>
          <w:p w14:paraId="37B380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4F4F61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r>
      <w:tr w14:paraId="3BEFD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524E14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981" w:type="dxa"/>
            <w:tcBorders>
              <w:tl2br w:val="nil"/>
              <w:tr2bl w:val="nil"/>
            </w:tcBorders>
            <w:noWrap w:val="0"/>
            <w:vAlign w:val="center"/>
          </w:tcPr>
          <w:p w14:paraId="4EDE46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硝酸盐</w:t>
            </w:r>
          </w:p>
        </w:tc>
        <w:tc>
          <w:tcPr>
            <w:tcW w:w="1660" w:type="dxa"/>
            <w:tcBorders>
              <w:tl2br w:val="nil"/>
              <w:tr2bl w:val="nil"/>
            </w:tcBorders>
            <w:noWrap w:val="0"/>
            <w:vAlign w:val="center"/>
          </w:tcPr>
          <w:p w14:paraId="10A146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495CC4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14:paraId="4420C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32A273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981" w:type="dxa"/>
            <w:tcBorders>
              <w:tl2br w:val="nil"/>
              <w:tr2bl w:val="nil"/>
            </w:tcBorders>
            <w:noWrap w:val="0"/>
            <w:vAlign w:val="center"/>
          </w:tcPr>
          <w:p w14:paraId="060548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亚硝酸盐</w:t>
            </w:r>
          </w:p>
        </w:tc>
        <w:tc>
          <w:tcPr>
            <w:tcW w:w="1660" w:type="dxa"/>
            <w:tcBorders>
              <w:tl2br w:val="nil"/>
              <w:tr2bl w:val="nil"/>
            </w:tcBorders>
            <w:noWrap w:val="0"/>
            <w:vAlign w:val="center"/>
          </w:tcPr>
          <w:p w14:paraId="79B0BF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37713C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w:t>
            </w:r>
            <w:r>
              <w:rPr>
                <w:rFonts w:hint="eastAsia" w:eastAsia="宋体" w:cs="Times New Roman"/>
                <w:color w:val="auto"/>
                <w:sz w:val="21"/>
                <w:szCs w:val="21"/>
                <w:lang w:val="en-US" w:eastAsia="zh-CN"/>
              </w:rPr>
              <w:t>0</w:t>
            </w:r>
          </w:p>
        </w:tc>
      </w:tr>
      <w:tr w14:paraId="05947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6D28F6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981" w:type="dxa"/>
            <w:tcBorders>
              <w:tl2br w:val="nil"/>
              <w:tr2bl w:val="nil"/>
            </w:tcBorders>
            <w:noWrap w:val="0"/>
            <w:vAlign w:val="center"/>
          </w:tcPr>
          <w:p w14:paraId="5A66AD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挥发酚（以苯酚计）</w:t>
            </w:r>
          </w:p>
        </w:tc>
        <w:tc>
          <w:tcPr>
            <w:tcW w:w="1660" w:type="dxa"/>
            <w:tcBorders>
              <w:tl2br w:val="nil"/>
              <w:tr2bl w:val="nil"/>
            </w:tcBorders>
            <w:noWrap w:val="0"/>
            <w:vAlign w:val="center"/>
          </w:tcPr>
          <w:p w14:paraId="3EBD06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6C9378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3EBEF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7F1879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981" w:type="dxa"/>
            <w:tcBorders>
              <w:tl2br w:val="nil"/>
              <w:tr2bl w:val="nil"/>
            </w:tcBorders>
            <w:noWrap w:val="0"/>
            <w:vAlign w:val="center"/>
          </w:tcPr>
          <w:p w14:paraId="1FC005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1660" w:type="dxa"/>
            <w:tcBorders>
              <w:tl2br w:val="nil"/>
              <w:tr2bl w:val="nil"/>
            </w:tcBorders>
            <w:noWrap w:val="0"/>
            <w:vAlign w:val="center"/>
          </w:tcPr>
          <w:p w14:paraId="604D70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3D303E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14:paraId="7D960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4EBFB4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981" w:type="dxa"/>
            <w:tcBorders>
              <w:tl2br w:val="nil"/>
              <w:tr2bl w:val="nil"/>
            </w:tcBorders>
            <w:noWrap w:val="0"/>
            <w:vAlign w:val="center"/>
          </w:tcPr>
          <w:p w14:paraId="030859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660" w:type="dxa"/>
            <w:tcBorders>
              <w:tl2br w:val="nil"/>
              <w:tr2bl w:val="nil"/>
            </w:tcBorders>
            <w:noWrap w:val="0"/>
            <w:vAlign w:val="center"/>
          </w:tcPr>
          <w:p w14:paraId="55E0BC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18010C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087DA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276DA7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981" w:type="dxa"/>
            <w:tcBorders>
              <w:tl2br w:val="nil"/>
              <w:tr2bl w:val="nil"/>
            </w:tcBorders>
            <w:noWrap w:val="0"/>
            <w:vAlign w:val="center"/>
          </w:tcPr>
          <w:p w14:paraId="1155C6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660" w:type="dxa"/>
            <w:tcBorders>
              <w:tl2br w:val="nil"/>
              <w:tr2bl w:val="nil"/>
            </w:tcBorders>
            <w:noWrap w:val="0"/>
            <w:vAlign w:val="center"/>
          </w:tcPr>
          <w:p w14:paraId="7B0C84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0F0895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4DB7F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20BB2F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981" w:type="dxa"/>
            <w:tcBorders>
              <w:tl2br w:val="nil"/>
              <w:tr2bl w:val="nil"/>
            </w:tcBorders>
            <w:noWrap w:val="0"/>
            <w:vAlign w:val="center"/>
          </w:tcPr>
          <w:p w14:paraId="7503AB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1660" w:type="dxa"/>
            <w:tcBorders>
              <w:tl2br w:val="nil"/>
              <w:tr2bl w:val="nil"/>
            </w:tcBorders>
            <w:noWrap w:val="0"/>
            <w:vAlign w:val="center"/>
          </w:tcPr>
          <w:p w14:paraId="46BE36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7A2827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14:paraId="200A3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08AC18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981" w:type="dxa"/>
            <w:tcBorders>
              <w:tl2br w:val="nil"/>
              <w:tr2bl w:val="nil"/>
            </w:tcBorders>
            <w:noWrap w:val="0"/>
            <w:vAlign w:val="center"/>
          </w:tcPr>
          <w:p w14:paraId="076AF0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总硬度</w:t>
            </w:r>
          </w:p>
        </w:tc>
        <w:tc>
          <w:tcPr>
            <w:tcW w:w="1660" w:type="dxa"/>
            <w:tcBorders>
              <w:tl2br w:val="nil"/>
              <w:tr2bl w:val="nil"/>
            </w:tcBorders>
            <w:noWrap w:val="0"/>
            <w:vAlign w:val="center"/>
          </w:tcPr>
          <w:p w14:paraId="339DE5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23700B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r>
      <w:tr w14:paraId="2C8BB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290A28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981" w:type="dxa"/>
            <w:tcBorders>
              <w:tl2br w:val="nil"/>
              <w:tr2bl w:val="nil"/>
            </w:tcBorders>
            <w:noWrap w:val="0"/>
            <w:vAlign w:val="center"/>
          </w:tcPr>
          <w:p w14:paraId="24CD86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660" w:type="dxa"/>
            <w:tcBorders>
              <w:tl2br w:val="nil"/>
              <w:tr2bl w:val="nil"/>
            </w:tcBorders>
            <w:noWrap w:val="0"/>
            <w:vAlign w:val="center"/>
          </w:tcPr>
          <w:p w14:paraId="160323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52A63E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5E5C3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2CA084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81" w:type="dxa"/>
            <w:tcBorders>
              <w:tl2br w:val="nil"/>
              <w:tr2bl w:val="nil"/>
            </w:tcBorders>
            <w:noWrap w:val="0"/>
            <w:vAlign w:val="center"/>
          </w:tcPr>
          <w:p w14:paraId="62CF7D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1660" w:type="dxa"/>
            <w:tcBorders>
              <w:tl2br w:val="nil"/>
              <w:tr2bl w:val="nil"/>
            </w:tcBorders>
            <w:noWrap w:val="0"/>
            <w:vAlign w:val="center"/>
          </w:tcPr>
          <w:p w14:paraId="6BAC4A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0A2FC0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2E35E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6CA006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981" w:type="dxa"/>
            <w:tcBorders>
              <w:tl2br w:val="nil"/>
              <w:tr2bl w:val="nil"/>
            </w:tcBorders>
            <w:noWrap w:val="0"/>
            <w:vAlign w:val="center"/>
          </w:tcPr>
          <w:p w14:paraId="030FE1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660" w:type="dxa"/>
            <w:tcBorders>
              <w:tl2br w:val="nil"/>
              <w:tr2bl w:val="nil"/>
            </w:tcBorders>
            <w:noWrap w:val="0"/>
            <w:vAlign w:val="center"/>
          </w:tcPr>
          <w:p w14:paraId="507A8E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4488DA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448CA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713AD8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981" w:type="dxa"/>
            <w:tcBorders>
              <w:tl2br w:val="nil"/>
              <w:tr2bl w:val="nil"/>
            </w:tcBorders>
            <w:noWrap w:val="0"/>
            <w:vAlign w:val="center"/>
          </w:tcPr>
          <w:p w14:paraId="609FD1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1660" w:type="dxa"/>
            <w:tcBorders>
              <w:tl2br w:val="nil"/>
              <w:tr2bl w:val="nil"/>
            </w:tcBorders>
            <w:noWrap w:val="0"/>
            <w:vAlign w:val="center"/>
          </w:tcPr>
          <w:p w14:paraId="6E96BD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6EE042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14:paraId="411FB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6E30E9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981" w:type="dxa"/>
            <w:tcBorders>
              <w:tl2br w:val="nil"/>
              <w:tr2bl w:val="nil"/>
            </w:tcBorders>
            <w:noWrap w:val="0"/>
            <w:vAlign w:val="center"/>
          </w:tcPr>
          <w:p w14:paraId="7AEFC5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w:t>
            </w:r>
          </w:p>
        </w:tc>
        <w:tc>
          <w:tcPr>
            <w:tcW w:w="1660" w:type="dxa"/>
            <w:tcBorders>
              <w:tl2br w:val="nil"/>
              <w:tr2bl w:val="nil"/>
            </w:tcBorders>
            <w:noWrap w:val="0"/>
            <w:vAlign w:val="center"/>
          </w:tcPr>
          <w:p w14:paraId="3241FC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332C74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r>
      <w:tr w14:paraId="03660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64A7A1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981" w:type="dxa"/>
            <w:tcBorders>
              <w:tl2br w:val="nil"/>
              <w:tr2bl w:val="nil"/>
            </w:tcBorders>
            <w:noWrap w:val="0"/>
            <w:vAlign w:val="center"/>
          </w:tcPr>
          <w:p w14:paraId="353310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溶解性总固体</w:t>
            </w:r>
          </w:p>
        </w:tc>
        <w:tc>
          <w:tcPr>
            <w:tcW w:w="1660" w:type="dxa"/>
            <w:tcBorders>
              <w:tl2br w:val="nil"/>
              <w:tr2bl w:val="nil"/>
            </w:tcBorders>
            <w:noWrap w:val="0"/>
            <w:vAlign w:val="center"/>
          </w:tcPr>
          <w:p w14:paraId="7BF92F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5AD826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r>
      <w:tr w14:paraId="412B4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4BCAA5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981" w:type="dxa"/>
            <w:tcBorders>
              <w:tl2br w:val="nil"/>
              <w:tr2bl w:val="nil"/>
            </w:tcBorders>
            <w:noWrap w:val="0"/>
            <w:vAlign w:val="center"/>
          </w:tcPr>
          <w:p w14:paraId="12EFDB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耗氧量</w:t>
            </w:r>
          </w:p>
        </w:tc>
        <w:tc>
          <w:tcPr>
            <w:tcW w:w="1660" w:type="dxa"/>
            <w:tcBorders>
              <w:tl2br w:val="nil"/>
              <w:tr2bl w:val="nil"/>
            </w:tcBorders>
            <w:noWrap w:val="0"/>
            <w:vAlign w:val="center"/>
          </w:tcPr>
          <w:p w14:paraId="0EFB76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4BE2CA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14:paraId="71912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3BE7BA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981" w:type="dxa"/>
            <w:tcBorders>
              <w:tl2br w:val="nil"/>
              <w:tr2bl w:val="nil"/>
            </w:tcBorders>
            <w:noWrap w:val="0"/>
            <w:vAlign w:val="center"/>
          </w:tcPr>
          <w:p w14:paraId="3CF1B6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w:t>
            </w:r>
          </w:p>
        </w:tc>
        <w:tc>
          <w:tcPr>
            <w:tcW w:w="1660" w:type="dxa"/>
            <w:tcBorders>
              <w:tl2br w:val="nil"/>
              <w:tr2bl w:val="nil"/>
            </w:tcBorders>
            <w:noWrap w:val="0"/>
            <w:vAlign w:val="center"/>
          </w:tcPr>
          <w:p w14:paraId="3435C2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69FFB7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r>
      <w:tr w14:paraId="2CD3A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4EA530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981" w:type="dxa"/>
            <w:tcBorders>
              <w:tl2br w:val="nil"/>
              <w:tr2bl w:val="nil"/>
            </w:tcBorders>
            <w:noWrap w:val="0"/>
            <w:vAlign w:val="center"/>
          </w:tcPr>
          <w:p w14:paraId="0A912D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氯化物</w:t>
            </w:r>
          </w:p>
        </w:tc>
        <w:tc>
          <w:tcPr>
            <w:tcW w:w="1660" w:type="dxa"/>
            <w:tcBorders>
              <w:tl2br w:val="nil"/>
              <w:tr2bl w:val="nil"/>
            </w:tcBorders>
            <w:noWrap w:val="0"/>
            <w:vAlign w:val="center"/>
          </w:tcPr>
          <w:p w14:paraId="2EDADD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65998D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r>
      <w:tr w14:paraId="38CCD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34DC39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981" w:type="dxa"/>
            <w:tcBorders>
              <w:tl2br w:val="nil"/>
              <w:tr2bl w:val="nil"/>
            </w:tcBorders>
            <w:noWrap w:val="0"/>
            <w:vAlign w:val="center"/>
          </w:tcPr>
          <w:p w14:paraId="626D98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c>
          <w:tcPr>
            <w:tcW w:w="1660" w:type="dxa"/>
            <w:tcBorders>
              <w:tl2br w:val="nil"/>
              <w:tr2bl w:val="nil"/>
            </w:tcBorders>
            <w:noWrap w:val="0"/>
            <w:vAlign w:val="center"/>
          </w:tcPr>
          <w:p w14:paraId="2062F8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6720EA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r>
      <w:tr w14:paraId="3AB74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20A12A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981" w:type="dxa"/>
            <w:tcBorders>
              <w:tl2br w:val="nil"/>
              <w:tr2bl w:val="nil"/>
            </w:tcBorders>
            <w:noWrap w:val="0"/>
            <w:vAlign w:val="center"/>
          </w:tcPr>
          <w:p w14:paraId="75B891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660" w:type="dxa"/>
            <w:tcBorders>
              <w:tl2br w:val="nil"/>
              <w:tr2bl w:val="nil"/>
            </w:tcBorders>
            <w:noWrap w:val="0"/>
            <w:vAlign w:val="center"/>
          </w:tcPr>
          <w:p w14:paraId="0A84BE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502818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14:paraId="6D81C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202BEA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981" w:type="dxa"/>
            <w:tcBorders>
              <w:tl2br w:val="nil"/>
              <w:tr2bl w:val="nil"/>
            </w:tcBorders>
            <w:noWrap w:val="0"/>
            <w:vAlign w:val="center"/>
          </w:tcPr>
          <w:p w14:paraId="3AD898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1660" w:type="dxa"/>
            <w:tcBorders>
              <w:tl2br w:val="nil"/>
              <w:tr2bl w:val="nil"/>
            </w:tcBorders>
            <w:noWrap w:val="0"/>
            <w:vAlign w:val="center"/>
          </w:tcPr>
          <w:p w14:paraId="7FC05E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3B35A4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14:paraId="42C36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78F686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981" w:type="dxa"/>
            <w:tcBorders>
              <w:tl2br w:val="nil"/>
              <w:tr2bl w:val="nil"/>
            </w:tcBorders>
            <w:noWrap w:val="0"/>
            <w:vAlign w:val="center"/>
          </w:tcPr>
          <w:p w14:paraId="0D7E3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总大肠菌群</w:t>
            </w:r>
          </w:p>
        </w:tc>
        <w:tc>
          <w:tcPr>
            <w:tcW w:w="1660" w:type="dxa"/>
            <w:tcBorders>
              <w:tl2br w:val="nil"/>
              <w:tr2bl w:val="nil"/>
            </w:tcBorders>
            <w:noWrap w:val="0"/>
            <w:vAlign w:val="center"/>
          </w:tcPr>
          <w:p w14:paraId="6AD45D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MPN/100mL</w:t>
            </w:r>
          </w:p>
        </w:tc>
        <w:tc>
          <w:tcPr>
            <w:tcW w:w="1475" w:type="dxa"/>
            <w:tcBorders>
              <w:tl2br w:val="nil"/>
              <w:tr2bl w:val="nil"/>
            </w:tcBorders>
            <w:noWrap w:val="0"/>
            <w:vAlign w:val="center"/>
          </w:tcPr>
          <w:p w14:paraId="456713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14:paraId="4989D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049F29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981" w:type="dxa"/>
            <w:tcBorders>
              <w:tl2br w:val="nil"/>
              <w:tr2bl w:val="nil"/>
            </w:tcBorders>
            <w:noWrap w:val="0"/>
            <w:vAlign w:val="center"/>
          </w:tcPr>
          <w:p w14:paraId="1E9EF2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细菌总数</w:t>
            </w:r>
          </w:p>
        </w:tc>
        <w:tc>
          <w:tcPr>
            <w:tcW w:w="1660" w:type="dxa"/>
            <w:tcBorders>
              <w:tl2br w:val="nil"/>
              <w:tr2bl w:val="nil"/>
            </w:tcBorders>
            <w:noWrap w:val="0"/>
            <w:vAlign w:val="center"/>
          </w:tcPr>
          <w:p w14:paraId="28C6D5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CFU/mL</w:t>
            </w:r>
          </w:p>
        </w:tc>
        <w:tc>
          <w:tcPr>
            <w:tcW w:w="1475" w:type="dxa"/>
            <w:tcBorders>
              <w:tl2br w:val="nil"/>
              <w:tr2bl w:val="nil"/>
            </w:tcBorders>
            <w:noWrap w:val="0"/>
            <w:vAlign w:val="center"/>
          </w:tcPr>
          <w:p w14:paraId="1FD751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14:paraId="3D233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tcBorders>
              <w:tl2br w:val="nil"/>
              <w:tr2bl w:val="nil"/>
            </w:tcBorders>
            <w:noWrap w:val="0"/>
            <w:vAlign w:val="center"/>
          </w:tcPr>
          <w:p w14:paraId="6CF784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25</w:t>
            </w:r>
          </w:p>
        </w:tc>
        <w:tc>
          <w:tcPr>
            <w:tcW w:w="1981" w:type="dxa"/>
            <w:tcBorders>
              <w:tl2br w:val="nil"/>
              <w:tr2bl w:val="nil"/>
            </w:tcBorders>
            <w:noWrap w:val="0"/>
            <w:vAlign w:val="center"/>
          </w:tcPr>
          <w:p w14:paraId="1955CD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钠</w:t>
            </w:r>
          </w:p>
        </w:tc>
        <w:tc>
          <w:tcPr>
            <w:tcW w:w="1660" w:type="dxa"/>
            <w:tcBorders>
              <w:tl2br w:val="nil"/>
              <w:tr2bl w:val="nil"/>
            </w:tcBorders>
            <w:noWrap w:val="0"/>
            <w:vAlign w:val="center"/>
          </w:tcPr>
          <w:p w14:paraId="4B3A7F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75" w:type="dxa"/>
            <w:tcBorders>
              <w:tl2br w:val="nil"/>
              <w:tr2bl w:val="nil"/>
            </w:tcBorders>
            <w:noWrap w:val="0"/>
            <w:vAlign w:val="center"/>
          </w:tcPr>
          <w:p w14:paraId="29E573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200</w:t>
            </w:r>
          </w:p>
        </w:tc>
      </w:tr>
    </w:tbl>
    <w:p w14:paraId="5D31F293">
      <w:pPr>
        <w:pageBreakBefore w:val="0"/>
        <w:kinsoku/>
        <w:wordWrap/>
        <w:topLinePunct w:val="0"/>
        <w:bidi w:val="0"/>
        <w:adjustRightInd/>
        <w:snapToGrid/>
        <w:ind w:left="0" w:leftChars="0"/>
        <w:rPr>
          <w:rFonts w:hint="eastAsia" w:ascii="Times New Roman" w:hAnsi="Times New Roman"/>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ascii="Times New Roman" w:hAnsi="Times New Roman"/>
          <w:color w:val="auto"/>
        </w:rPr>
        <w:t>声环境质量标准</w:t>
      </w:r>
    </w:p>
    <w:p w14:paraId="53FFE368">
      <w:pPr>
        <w:pageBreakBefore w:val="0"/>
        <w:kinsoku/>
        <w:wordWrap/>
        <w:topLinePunct w:val="0"/>
        <w:bidi w:val="0"/>
        <w:adjustRightInd/>
        <w:snapToGrid/>
        <w:ind w:left="0" w:leftChars="0"/>
        <w:rPr>
          <w:rFonts w:hint="eastAsia" w:ascii="Times New Roman" w:hAnsi="Times New Roman"/>
          <w:color w:val="auto"/>
        </w:rPr>
      </w:pPr>
      <w:r>
        <w:rPr>
          <w:rFonts w:hint="eastAsia" w:ascii="Times New Roman" w:hAnsi="Times New Roman"/>
          <w:color w:val="auto"/>
        </w:rPr>
        <w:t>本项目所处区域及其周边环境敏感区域</w:t>
      </w:r>
      <w:r>
        <w:rPr>
          <w:rFonts w:hint="eastAsia"/>
          <w:color w:val="auto"/>
          <w:lang w:val="en-US" w:eastAsia="zh-CN"/>
        </w:rPr>
        <w:t>位于</w:t>
      </w:r>
      <w:r>
        <w:rPr>
          <w:rFonts w:hint="eastAsia" w:ascii="Times New Roman" w:hAnsi="Times New Roman"/>
          <w:color w:val="auto"/>
        </w:rPr>
        <w:t>《声环境质量标准》（GB3096-2008）中</w:t>
      </w:r>
      <w:r>
        <w:rPr>
          <w:rFonts w:hint="eastAsia"/>
          <w:color w:val="auto"/>
          <w:lang w:val="en-US" w:eastAsia="zh-CN"/>
        </w:rPr>
        <w:t>3</w:t>
      </w:r>
      <w:r>
        <w:rPr>
          <w:rFonts w:hint="eastAsia" w:ascii="Times New Roman" w:hAnsi="Times New Roman"/>
          <w:color w:val="auto"/>
        </w:rPr>
        <w:t>类声环境功能区。因此，本</w:t>
      </w:r>
      <w:r>
        <w:rPr>
          <w:rFonts w:hint="eastAsia" w:ascii="Times New Roman" w:hAnsi="Times New Roman"/>
          <w:color w:val="auto"/>
          <w:lang w:val="en-US" w:eastAsia="zh-CN"/>
        </w:rPr>
        <w:t>项目所在固原经济开发区</w:t>
      </w:r>
      <w:r>
        <w:rPr>
          <w:rFonts w:hint="eastAsia"/>
          <w:color w:val="auto"/>
          <w:lang w:val="en-US" w:eastAsia="zh-CN"/>
        </w:rPr>
        <w:t>轻工产业园内</w:t>
      </w:r>
      <w:r>
        <w:rPr>
          <w:rFonts w:hint="eastAsia" w:ascii="Times New Roman" w:hAnsi="Times New Roman"/>
          <w:color w:val="auto"/>
        </w:rPr>
        <w:t>声环境质量执行《声环境质量标准》</w:t>
      </w:r>
      <w:r>
        <w:rPr>
          <w:rFonts w:hint="eastAsia" w:ascii="Times New Roman" w:hAnsi="Times New Roman"/>
          <w:color w:val="auto"/>
          <w:lang w:eastAsia="zh-CN"/>
        </w:rPr>
        <w:t>（</w:t>
      </w:r>
      <w:r>
        <w:rPr>
          <w:rFonts w:hint="eastAsia" w:ascii="Times New Roman" w:hAnsi="Times New Roman"/>
          <w:color w:val="auto"/>
        </w:rPr>
        <w:t>GB3096-2008</w:t>
      </w: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rPr>
        <w:t>类区标准。声环境质量评价因子执行标准见表1.4-</w:t>
      </w:r>
      <w:r>
        <w:rPr>
          <w:rFonts w:hint="eastAsia"/>
          <w:color w:val="auto"/>
          <w:lang w:val="en-US" w:eastAsia="zh-CN"/>
        </w:rPr>
        <w:t>5</w:t>
      </w:r>
      <w:r>
        <w:rPr>
          <w:rFonts w:hint="eastAsia" w:ascii="Times New Roman" w:hAnsi="Times New Roman"/>
          <w:color w:val="auto"/>
        </w:rPr>
        <w:t>。</w:t>
      </w:r>
    </w:p>
    <w:p w14:paraId="3D919A1A">
      <w:pPr>
        <w:pageBreakBefore w:val="0"/>
        <w:widowControl w:val="0"/>
        <w:kinsoku/>
        <w:wordWrap/>
        <w:topLinePunct w:val="0"/>
        <w:bidi w:val="0"/>
        <w:adjustRightInd/>
        <w:snapToGrid/>
        <w:spacing w:line="240" w:lineRule="auto"/>
        <w:ind w:left="0" w:leftChars="0"/>
        <w:rPr>
          <w:rFonts w:hint="default" w:ascii="Times New Roman" w:hAnsi="Times New Roman" w:eastAsia="宋体" w:cs="Times New Roman"/>
          <w:b/>
          <w:color w:val="auto"/>
          <w:kern w:val="1"/>
          <w:sz w:val="24"/>
          <w:highlight w:val="none"/>
        </w:rPr>
      </w:pPr>
      <w:r>
        <w:rPr>
          <w:rFonts w:hint="default" w:ascii="Times New Roman" w:hAnsi="Times New Roman" w:eastAsia="宋体" w:cs="Times New Roman"/>
          <w:color w:val="auto"/>
          <w:kern w:val="1"/>
          <w:sz w:val="21"/>
          <w:szCs w:val="21"/>
          <w:highlight w:val="none"/>
        </w:rPr>
        <w:t>表1.4-</w:t>
      </w:r>
      <w:r>
        <w:rPr>
          <w:rFonts w:hint="eastAsia" w:eastAsia="宋体" w:cs="Times New Roman"/>
          <w:color w:val="auto"/>
          <w:kern w:val="1"/>
          <w:sz w:val="21"/>
          <w:szCs w:val="21"/>
          <w:highlight w:val="none"/>
          <w:lang w:val="en-US" w:eastAsia="zh-CN"/>
        </w:rPr>
        <w:t>5</w:t>
      </w:r>
      <w:r>
        <w:rPr>
          <w:rFonts w:hint="default" w:ascii="Times New Roman" w:hAnsi="Times New Roman" w:eastAsia="宋体" w:cs="Times New Roman"/>
          <w:color w:val="auto"/>
          <w:kern w:val="1"/>
          <w:highlight w:val="none"/>
        </w:rPr>
        <w:t xml:space="preserve">  </w:t>
      </w:r>
      <w:r>
        <w:rPr>
          <w:rFonts w:hint="eastAsia" w:ascii="Times New Roman" w:hAnsi="Times New Roman" w:eastAsia="宋体" w:cs="Times New Roman"/>
          <w:color w:val="auto"/>
          <w:kern w:val="1"/>
          <w:highlight w:val="none"/>
          <w:lang w:val="en-US" w:eastAsia="zh-CN"/>
        </w:rPr>
        <w:t xml:space="preserve">           </w:t>
      </w:r>
      <w:r>
        <w:rPr>
          <w:rFonts w:hint="eastAsia" w:eastAsia="宋体" w:cs="Times New Roman"/>
          <w:color w:val="auto"/>
          <w:kern w:val="1"/>
          <w:highlight w:val="none"/>
          <w:lang w:val="en-US" w:eastAsia="zh-CN"/>
        </w:rPr>
        <w:t xml:space="preserve"> </w:t>
      </w:r>
      <w:r>
        <w:rPr>
          <w:rFonts w:hint="eastAsia" w:ascii="Times New Roman" w:hAnsi="Times New Roman" w:eastAsia="宋体" w:cs="Times New Roman"/>
          <w:color w:val="auto"/>
          <w:kern w:val="1"/>
          <w:highlight w:val="none"/>
          <w:lang w:val="en-US" w:eastAsia="zh-CN"/>
        </w:rPr>
        <w:t xml:space="preserve">  </w:t>
      </w:r>
      <w:r>
        <w:rPr>
          <w:rFonts w:hint="default" w:ascii="Times New Roman" w:hAnsi="Times New Roman" w:eastAsia="宋体" w:cs="Times New Roman"/>
          <w:b/>
          <w:color w:val="auto"/>
          <w:kern w:val="1"/>
          <w:sz w:val="24"/>
          <w:highlight w:val="none"/>
        </w:rPr>
        <w:t>声环境质量执行标准</w:t>
      </w:r>
      <w:r>
        <w:rPr>
          <w:rFonts w:hint="default" w:ascii="Times New Roman" w:hAnsi="Times New Roman" w:eastAsia="宋体" w:cs="Times New Roman"/>
          <w:color w:val="auto"/>
          <w:kern w:val="1"/>
          <w:highlight w:val="none"/>
        </w:rPr>
        <w:t xml:space="preserve"> </w:t>
      </w:r>
      <w:r>
        <w:rPr>
          <w:rFonts w:hint="eastAsia" w:eastAsia="宋体" w:cs="Times New Roman"/>
          <w:color w:val="auto"/>
          <w:kern w:val="1"/>
          <w:highlight w:val="none"/>
          <w:lang w:val="en-US" w:eastAsia="zh-CN"/>
        </w:rPr>
        <w:t xml:space="preserve">                 </w:t>
      </w:r>
      <w:r>
        <w:rPr>
          <w:rFonts w:hint="default" w:ascii="Times New Roman" w:hAnsi="Times New Roman" w:eastAsia="宋体" w:cs="Times New Roman"/>
          <w:b/>
          <w:color w:val="auto"/>
          <w:kern w:val="1"/>
          <w:sz w:val="24"/>
          <w:highlight w:val="none"/>
        </w:rPr>
        <w:t>单位：dB(A)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0"/>
        <w:gridCol w:w="1232"/>
        <w:gridCol w:w="2299"/>
        <w:gridCol w:w="3647"/>
      </w:tblGrid>
      <w:tr w14:paraId="47067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734" w:type="dxa"/>
            <w:noWrap w:val="0"/>
            <w:vAlign w:val="center"/>
          </w:tcPr>
          <w:p w14:paraId="4EF4DB8F">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评价因子</w:t>
            </w:r>
          </w:p>
        </w:tc>
        <w:tc>
          <w:tcPr>
            <w:tcW w:w="1207" w:type="dxa"/>
            <w:noWrap w:val="0"/>
            <w:vAlign w:val="center"/>
          </w:tcPr>
          <w:p w14:paraId="0BC4E52A">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w:t>
            </w:r>
          </w:p>
        </w:tc>
        <w:tc>
          <w:tcPr>
            <w:tcW w:w="2252" w:type="dxa"/>
            <w:noWrap w:val="0"/>
            <w:vAlign w:val="center"/>
          </w:tcPr>
          <w:p w14:paraId="4E6CCCF5">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3571" w:type="dxa"/>
            <w:noWrap w:val="0"/>
            <w:vAlign w:val="center"/>
          </w:tcPr>
          <w:p w14:paraId="2369C4D4">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4B74F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734" w:type="dxa"/>
            <w:noWrap w:val="0"/>
            <w:vAlign w:val="center"/>
          </w:tcPr>
          <w:p w14:paraId="1B16EF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207" w:type="dxa"/>
            <w:noWrap w:val="0"/>
            <w:vAlign w:val="center"/>
          </w:tcPr>
          <w:p w14:paraId="3D30C5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6</w:t>
            </w:r>
            <w:r>
              <w:rPr>
                <w:rFonts w:hint="eastAsia" w:ascii="Times New Roman" w:hAnsi="Times New Roman" w:eastAsia="宋体" w:cs="Times New Roman"/>
                <w:color w:val="auto"/>
                <w:sz w:val="21"/>
                <w:szCs w:val="21"/>
                <w:highlight w:val="none"/>
                <w:lang w:val="en-US" w:eastAsia="zh-CN"/>
              </w:rPr>
              <w:t>5</w:t>
            </w:r>
          </w:p>
        </w:tc>
        <w:tc>
          <w:tcPr>
            <w:tcW w:w="2252" w:type="dxa"/>
            <w:noWrap w:val="0"/>
            <w:vAlign w:val="center"/>
          </w:tcPr>
          <w:p w14:paraId="70EBC6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 (A)</w:t>
            </w:r>
          </w:p>
        </w:tc>
        <w:tc>
          <w:tcPr>
            <w:tcW w:w="3571" w:type="dxa"/>
            <w:vMerge w:val="restart"/>
            <w:noWrap w:val="0"/>
            <w:vAlign w:val="center"/>
          </w:tcPr>
          <w:p w14:paraId="215C0A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《声环境质量标准》（GB3096-2008）中</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类区标准</w:t>
            </w:r>
          </w:p>
        </w:tc>
      </w:tr>
      <w:tr w14:paraId="34731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734" w:type="dxa"/>
            <w:noWrap w:val="0"/>
            <w:vAlign w:val="center"/>
          </w:tcPr>
          <w:p w14:paraId="63DB06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1207" w:type="dxa"/>
            <w:noWrap w:val="0"/>
            <w:vAlign w:val="center"/>
          </w:tcPr>
          <w:p w14:paraId="409970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w:t>
            </w:r>
            <w:r>
              <w:rPr>
                <w:rFonts w:hint="eastAsia" w:ascii="Times New Roman" w:hAnsi="Times New Roman" w:eastAsia="宋体" w:cs="Times New Roman"/>
                <w:color w:val="auto"/>
                <w:sz w:val="21"/>
                <w:szCs w:val="21"/>
                <w:highlight w:val="none"/>
                <w:lang w:val="en-US" w:eastAsia="zh-CN"/>
              </w:rPr>
              <w:t>5</w:t>
            </w:r>
          </w:p>
        </w:tc>
        <w:tc>
          <w:tcPr>
            <w:tcW w:w="2252" w:type="dxa"/>
            <w:noWrap w:val="0"/>
            <w:vAlign w:val="center"/>
          </w:tcPr>
          <w:p w14:paraId="17245E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 (A)</w:t>
            </w:r>
          </w:p>
        </w:tc>
        <w:tc>
          <w:tcPr>
            <w:tcW w:w="3571" w:type="dxa"/>
            <w:vMerge w:val="continue"/>
            <w:noWrap w:val="0"/>
            <w:vAlign w:val="center"/>
          </w:tcPr>
          <w:p w14:paraId="78E2BB8A">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bl>
    <w:p w14:paraId="3AD89C7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bookmarkStart w:id="214" w:name="_Toc31425"/>
      <w:bookmarkStart w:id="215" w:name="_Toc31991"/>
      <w:r>
        <w:rPr>
          <w:rFonts w:hint="default" w:ascii="Times New Roman" w:hAnsi="Times New Roman" w:eastAsia="黑体" w:cs="Times New Roman"/>
          <w:b/>
          <w:color w:val="auto"/>
          <w:sz w:val="28"/>
          <w:szCs w:val="28"/>
          <w:highlight w:val="none"/>
        </w:rPr>
        <w:t>1.4.3污染物排放标准</w:t>
      </w:r>
      <w:bookmarkEnd w:id="214"/>
      <w:bookmarkEnd w:id="215"/>
    </w:p>
    <w:p w14:paraId="43093DF7">
      <w:pPr>
        <w:pageBreakBefore w:val="0"/>
        <w:kinsoku/>
        <w:wordWrap/>
        <w:topLinePunct w:val="0"/>
        <w:bidi w:val="0"/>
        <w:adjustRightInd/>
        <w:snapToGrid/>
        <w:ind w:left="0" w:leftChars="0"/>
        <w:rPr>
          <w:rFonts w:hint="default"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w:t>
      </w:r>
      <w:r>
        <w:rPr>
          <w:rFonts w:hint="default" w:ascii="Times New Roman" w:hAnsi="Times New Roman"/>
          <w:color w:val="auto"/>
        </w:rPr>
        <w:t>废气排放标准</w:t>
      </w:r>
    </w:p>
    <w:p w14:paraId="33A81AA7">
      <w:pPr>
        <w:pageBreakBefore w:val="0"/>
        <w:kinsoku/>
        <w:wordWrap/>
        <w:topLinePunct w:val="0"/>
        <w:bidi w:val="0"/>
        <w:adjustRightInd/>
        <w:snapToGrid/>
        <w:ind w:left="0" w:leftChars="0" w:firstLine="31680"/>
        <w:rPr>
          <w:rFonts w:hint="eastAsia"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①</w:t>
      </w:r>
      <w:r>
        <w:rPr>
          <w:rFonts w:hint="eastAsia" w:ascii="Times New Roman" w:hAnsi="Times New Roman" w:eastAsia="仿宋_GB2312" w:cs="Times New Roman"/>
          <w:color w:val="auto"/>
          <w:lang w:val="en-US" w:eastAsia="zh-CN"/>
        </w:rPr>
        <w:t>施工期：本项目施工期废气排放执行《大气污染物综合排放标准》</w:t>
      </w:r>
      <w:r>
        <w:rPr>
          <w:rFonts w:hint="eastAsia" w:ascii="Times New Roman" w:hAnsi="Times New Roman" w:cs="Times New Roman"/>
          <w:color w:val="auto"/>
          <w:lang w:val="en-US" w:eastAsia="zh-CN"/>
        </w:rPr>
        <w:t>（</w:t>
      </w:r>
      <w:r>
        <w:rPr>
          <w:rFonts w:hint="eastAsia" w:ascii="Times New Roman" w:hAnsi="Times New Roman" w:eastAsia="仿宋_GB2312" w:cs="Times New Roman"/>
          <w:color w:val="auto"/>
          <w:lang w:val="en-US" w:eastAsia="zh-CN"/>
        </w:rPr>
        <w:t>GB16297-1996</w:t>
      </w:r>
      <w:r>
        <w:rPr>
          <w:rFonts w:hint="eastAsia" w:ascii="Times New Roman" w:hAnsi="Times New Roman" w:cs="Times New Roman"/>
          <w:color w:val="auto"/>
          <w:lang w:val="en-US" w:eastAsia="zh-CN"/>
        </w:rPr>
        <w:t>）</w:t>
      </w:r>
      <w:r>
        <w:rPr>
          <w:rFonts w:hint="eastAsia" w:ascii="Times New Roman" w:hAnsi="Times New Roman" w:eastAsia="仿宋_GB2312" w:cs="Times New Roman"/>
          <w:color w:val="auto"/>
          <w:lang w:val="en-US" w:eastAsia="zh-CN"/>
        </w:rPr>
        <w:t>无组织排放限值见表1.4-</w:t>
      </w:r>
      <w:r>
        <w:rPr>
          <w:rFonts w:hint="eastAsia" w:cs="Times New Roman"/>
          <w:color w:val="auto"/>
          <w:lang w:val="en-US" w:eastAsia="zh-CN"/>
        </w:rPr>
        <w:t>6</w:t>
      </w:r>
      <w:r>
        <w:rPr>
          <w:rFonts w:hint="eastAsia" w:ascii="Times New Roman" w:hAnsi="Times New Roman" w:eastAsia="仿宋_GB2312" w:cs="Times New Roman"/>
          <w:color w:val="auto"/>
          <w:lang w:val="en-US" w:eastAsia="zh-CN"/>
        </w:rPr>
        <w:t>。</w:t>
      </w:r>
    </w:p>
    <w:p w14:paraId="548FF6C6">
      <w:pPr>
        <w:pStyle w:val="13"/>
        <w:keepNext w:val="0"/>
        <w:keepLines w:val="0"/>
        <w:pageBreakBefore w:val="0"/>
        <w:widowControl w:val="0"/>
        <w:kinsoku/>
        <w:wordWrap/>
        <w:overflowPunct/>
        <w:topLinePunct w:val="0"/>
        <w:autoSpaceDE/>
        <w:autoSpaceDN/>
        <w:bidi w:val="0"/>
        <w:adjustRightInd/>
        <w:snapToGrid/>
        <w:spacing w:before="0" w:after="0" w:line="240" w:lineRule="auto"/>
        <w:ind w:left="0" w:leftChars="0"/>
        <w:textAlignment w:val="baseline"/>
        <w:rPr>
          <w:rFonts w:hint="default" w:ascii="Times New Roman" w:hAnsi="Times New Roman" w:eastAsia="宋体" w:cs="Times New Roman"/>
          <w:color w:val="auto"/>
          <w:spacing w:val="0"/>
          <w:kern w:val="1"/>
          <w:sz w:val="21"/>
          <w:szCs w:val="21"/>
          <w:highlight w:val="none"/>
          <w:lang w:val="en-US" w:eastAsia="zh-CN" w:bidi="ar-SA"/>
        </w:rPr>
      </w:pPr>
    </w:p>
    <w:p w14:paraId="6C80C062">
      <w:pPr>
        <w:pStyle w:val="13"/>
        <w:keepNext w:val="0"/>
        <w:keepLines w:val="0"/>
        <w:pageBreakBefore w:val="0"/>
        <w:widowControl w:val="0"/>
        <w:kinsoku/>
        <w:wordWrap/>
        <w:overflowPunct/>
        <w:topLinePunct w:val="0"/>
        <w:autoSpaceDE/>
        <w:autoSpaceDN/>
        <w:bidi w:val="0"/>
        <w:adjustRightInd/>
        <w:snapToGrid/>
        <w:spacing w:before="0" w:after="0" w:line="240" w:lineRule="auto"/>
        <w:ind w:left="0" w:leftChars="0"/>
        <w:textAlignment w:val="baseline"/>
        <w:rPr>
          <w:rFonts w:hint="default" w:ascii="Times New Roman" w:hAnsi="Times New Roman" w:eastAsia="宋体" w:cs="Times New Roman"/>
          <w:color w:val="auto"/>
          <w:spacing w:val="0"/>
          <w:kern w:val="1"/>
          <w:sz w:val="21"/>
          <w:szCs w:val="21"/>
          <w:highlight w:val="none"/>
          <w:lang w:val="en-US" w:eastAsia="zh-CN" w:bidi="ar-SA"/>
        </w:rPr>
      </w:pPr>
    </w:p>
    <w:p w14:paraId="4073E5A2">
      <w:pPr>
        <w:pStyle w:val="13"/>
        <w:keepNext w:val="0"/>
        <w:keepLines w:val="0"/>
        <w:pageBreakBefore w:val="0"/>
        <w:widowControl w:val="0"/>
        <w:kinsoku/>
        <w:wordWrap/>
        <w:overflowPunct/>
        <w:topLinePunct w:val="0"/>
        <w:autoSpaceDE/>
        <w:autoSpaceDN/>
        <w:bidi w:val="0"/>
        <w:adjustRightInd/>
        <w:snapToGrid/>
        <w:spacing w:before="0" w:after="0" w:line="240" w:lineRule="auto"/>
        <w:ind w:left="0" w:leftChars="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0"/>
          <w:kern w:val="1"/>
          <w:sz w:val="21"/>
          <w:szCs w:val="21"/>
          <w:highlight w:val="none"/>
          <w:lang w:val="en-US" w:eastAsia="zh-CN" w:bidi="ar-SA"/>
        </w:rPr>
        <w:t>表1.4-</w:t>
      </w:r>
      <w:r>
        <w:rPr>
          <w:rFonts w:hint="eastAsia" w:eastAsia="宋体" w:cs="Times New Roman"/>
          <w:color w:val="auto"/>
          <w:spacing w:val="0"/>
          <w:kern w:val="1"/>
          <w:sz w:val="21"/>
          <w:szCs w:val="21"/>
          <w:highlight w:val="none"/>
          <w:lang w:val="en-US" w:eastAsia="zh-CN" w:bidi="ar-SA"/>
        </w:rPr>
        <w:t>6</w:t>
      </w:r>
      <w:r>
        <w:rPr>
          <w:rFonts w:hint="default" w:ascii="Times New Roman" w:hAnsi="Times New Roman" w:eastAsia="宋体" w:cs="Times New Roman"/>
          <w:color w:val="auto"/>
          <w:kern w:val="1"/>
          <w:sz w:val="24"/>
          <w:szCs w:val="24"/>
          <w:highlight w:val="none"/>
        </w:rPr>
        <w:t xml:space="preserve">  </w:t>
      </w:r>
      <w:r>
        <w:rPr>
          <w:rFonts w:hint="default" w:ascii="Times New Roman" w:hAnsi="Times New Roman" w:eastAsia="宋体" w:cs="Times New Roman"/>
          <w:color w:val="auto"/>
          <w:kern w:val="1"/>
          <w:sz w:val="24"/>
          <w:szCs w:val="24"/>
          <w:highlight w:val="none"/>
          <w:lang w:val="en-US" w:eastAsia="zh-CN"/>
        </w:rPr>
        <w:t xml:space="preserve">       </w:t>
      </w:r>
      <w:r>
        <w:rPr>
          <w:rFonts w:hint="default" w:ascii="Times New Roman" w:hAnsi="Times New Roman" w:eastAsia="宋体" w:cs="Times New Roman"/>
          <w:b/>
          <w:color w:val="auto"/>
          <w:spacing w:val="0"/>
          <w:kern w:val="1"/>
          <w:sz w:val="24"/>
          <w:szCs w:val="24"/>
          <w:highlight w:val="none"/>
          <w:lang w:val="en-US" w:eastAsia="zh-CN" w:bidi="ar-SA"/>
        </w:rPr>
        <w:t>《大气污染物综合排放标准》（GB16297-1996）</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2937"/>
        <w:gridCol w:w="2940"/>
      </w:tblGrid>
      <w:tr w14:paraId="06D30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7" w:type="dxa"/>
            <w:vMerge w:val="restart"/>
            <w:noWrap w:val="0"/>
            <w:vAlign w:val="center"/>
          </w:tcPr>
          <w:p w14:paraId="75F6A272">
            <w:pPr>
              <w:pStyle w:val="32"/>
              <w:pageBreakBefore w:val="0"/>
              <w:kinsoku/>
              <w:wordWrap/>
              <w:topLinePunct w:val="0"/>
              <w:bidi w:val="0"/>
              <w:adjustRightInd/>
              <w:snapToGrid/>
              <w:ind w:left="0" w:leftChars="0"/>
              <w:rPr>
                <w:rFonts w:hint="default"/>
                <w:b/>
                <w:bCs/>
                <w:color w:val="auto"/>
              </w:rPr>
            </w:pPr>
            <w:r>
              <w:rPr>
                <w:rFonts w:hint="default"/>
                <w:b/>
                <w:bCs/>
                <w:color w:val="auto"/>
              </w:rPr>
              <w:t>污染物</w:t>
            </w:r>
          </w:p>
        </w:tc>
        <w:tc>
          <w:tcPr>
            <w:tcW w:w="6002" w:type="dxa"/>
            <w:gridSpan w:val="2"/>
            <w:noWrap w:val="0"/>
            <w:vAlign w:val="center"/>
          </w:tcPr>
          <w:p w14:paraId="0D23B3AD">
            <w:pPr>
              <w:pStyle w:val="32"/>
              <w:pageBreakBefore w:val="0"/>
              <w:kinsoku/>
              <w:wordWrap/>
              <w:topLinePunct w:val="0"/>
              <w:bidi w:val="0"/>
              <w:adjustRightInd/>
              <w:snapToGrid/>
              <w:ind w:left="0" w:leftChars="0"/>
              <w:rPr>
                <w:rFonts w:hint="default"/>
                <w:b/>
                <w:bCs/>
                <w:color w:val="auto"/>
              </w:rPr>
            </w:pPr>
            <w:r>
              <w:rPr>
                <w:rFonts w:hint="default"/>
                <w:b/>
                <w:bCs/>
                <w:color w:val="auto"/>
              </w:rPr>
              <w:t>无组织排放监控浓度限值</w:t>
            </w:r>
          </w:p>
        </w:tc>
      </w:tr>
      <w:tr w14:paraId="16E3F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7" w:type="dxa"/>
            <w:vMerge w:val="continue"/>
            <w:noWrap w:val="0"/>
            <w:vAlign w:val="center"/>
          </w:tcPr>
          <w:p w14:paraId="2B1E5ACA">
            <w:pPr>
              <w:pStyle w:val="32"/>
              <w:pageBreakBefore w:val="0"/>
              <w:kinsoku/>
              <w:wordWrap/>
              <w:topLinePunct w:val="0"/>
              <w:bidi w:val="0"/>
              <w:adjustRightInd/>
              <w:snapToGrid/>
              <w:ind w:left="0" w:leftChars="0"/>
              <w:rPr>
                <w:rFonts w:hint="default"/>
                <w:b/>
                <w:bCs/>
                <w:color w:val="auto"/>
              </w:rPr>
            </w:pPr>
          </w:p>
        </w:tc>
        <w:tc>
          <w:tcPr>
            <w:tcW w:w="3000" w:type="dxa"/>
            <w:noWrap w:val="0"/>
            <w:vAlign w:val="center"/>
          </w:tcPr>
          <w:p w14:paraId="3EC1F3FA">
            <w:pPr>
              <w:pStyle w:val="32"/>
              <w:pageBreakBefore w:val="0"/>
              <w:kinsoku/>
              <w:wordWrap/>
              <w:topLinePunct w:val="0"/>
              <w:bidi w:val="0"/>
              <w:adjustRightInd/>
              <w:snapToGrid/>
              <w:ind w:left="0" w:leftChars="0"/>
              <w:rPr>
                <w:rFonts w:hint="default"/>
                <w:b/>
                <w:bCs/>
                <w:color w:val="auto"/>
                <w:lang w:val="en-US" w:eastAsia="zh-CN"/>
              </w:rPr>
            </w:pPr>
            <w:r>
              <w:rPr>
                <w:rFonts w:hint="default"/>
                <w:b/>
                <w:bCs/>
                <w:color w:val="auto"/>
              </w:rPr>
              <w:t>控制点</w:t>
            </w:r>
          </w:p>
        </w:tc>
        <w:tc>
          <w:tcPr>
            <w:tcW w:w="3002" w:type="dxa"/>
            <w:noWrap w:val="0"/>
            <w:vAlign w:val="center"/>
          </w:tcPr>
          <w:p w14:paraId="218CAF9A">
            <w:pPr>
              <w:pStyle w:val="32"/>
              <w:pageBreakBefore w:val="0"/>
              <w:kinsoku/>
              <w:wordWrap/>
              <w:topLinePunct w:val="0"/>
              <w:bidi w:val="0"/>
              <w:adjustRightInd/>
              <w:snapToGrid/>
              <w:ind w:left="0" w:leftChars="0"/>
              <w:rPr>
                <w:rFonts w:hint="default"/>
                <w:b/>
                <w:bCs/>
                <w:color w:val="auto"/>
                <w:lang w:val="en-US" w:eastAsia="zh-CN"/>
              </w:rPr>
            </w:pPr>
            <w:r>
              <w:rPr>
                <w:rFonts w:hint="default"/>
                <w:b/>
                <w:bCs/>
                <w:color w:val="auto"/>
              </w:rPr>
              <w:t>浓度（mg/m</w:t>
            </w:r>
            <w:r>
              <w:rPr>
                <w:rFonts w:hint="default"/>
                <w:b/>
                <w:bCs/>
                <w:color w:val="auto"/>
                <w:vertAlign w:val="superscript"/>
              </w:rPr>
              <w:t>3</w:t>
            </w:r>
            <w:r>
              <w:rPr>
                <w:rFonts w:hint="default"/>
                <w:b/>
                <w:bCs/>
                <w:color w:val="auto"/>
              </w:rPr>
              <w:t>）</w:t>
            </w:r>
          </w:p>
        </w:tc>
      </w:tr>
      <w:tr w14:paraId="54DC3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37" w:type="dxa"/>
            <w:noWrap w:val="0"/>
            <w:vAlign w:val="center"/>
          </w:tcPr>
          <w:p w14:paraId="5E46BB9E">
            <w:pPr>
              <w:pStyle w:val="32"/>
              <w:pageBreakBefore w:val="0"/>
              <w:kinsoku/>
              <w:wordWrap/>
              <w:topLinePunct w:val="0"/>
              <w:bidi w:val="0"/>
              <w:adjustRightInd/>
              <w:snapToGrid/>
              <w:ind w:left="0" w:leftChars="0"/>
              <w:rPr>
                <w:rFonts w:hint="default"/>
                <w:color w:val="auto"/>
              </w:rPr>
            </w:pPr>
            <w:r>
              <w:rPr>
                <w:rFonts w:hint="default"/>
                <w:color w:val="auto"/>
              </w:rPr>
              <w:t>颗粒物</w:t>
            </w:r>
          </w:p>
        </w:tc>
        <w:tc>
          <w:tcPr>
            <w:tcW w:w="3000" w:type="dxa"/>
            <w:noWrap w:val="0"/>
            <w:vAlign w:val="center"/>
          </w:tcPr>
          <w:p w14:paraId="3851D082">
            <w:pPr>
              <w:pStyle w:val="32"/>
              <w:pageBreakBefore w:val="0"/>
              <w:kinsoku/>
              <w:wordWrap/>
              <w:topLinePunct w:val="0"/>
              <w:bidi w:val="0"/>
              <w:adjustRightInd/>
              <w:snapToGrid/>
              <w:ind w:left="0" w:leftChars="0"/>
              <w:rPr>
                <w:rFonts w:hint="default"/>
                <w:color w:val="auto"/>
              </w:rPr>
            </w:pPr>
            <w:r>
              <w:rPr>
                <w:rFonts w:hint="default"/>
                <w:color w:val="auto"/>
              </w:rPr>
              <w:t>无组织周界外浓度最高点</w:t>
            </w:r>
          </w:p>
        </w:tc>
        <w:tc>
          <w:tcPr>
            <w:tcW w:w="3002" w:type="dxa"/>
            <w:noWrap w:val="0"/>
            <w:vAlign w:val="center"/>
          </w:tcPr>
          <w:p w14:paraId="0CB7C670">
            <w:pPr>
              <w:pStyle w:val="32"/>
              <w:pageBreakBefore w:val="0"/>
              <w:kinsoku/>
              <w:wordWrap/>
              <w:topLinePunct w:val="0"/>
              <w:bidi w:val="0"/>
              <w:adjustRightInd/>
              <w:snapToGrid/>
              <w:ind w:left="0" w:leftChars="0"/>
              <w:rPr>
                <w:rFonts w:hint="default"/>
                <w:color w:val="auto"/>
              </w:rPr>
            </w:pPr>
            <w:r>
              <w:rPr>
                <w:rFonts w:hint="default"/>
                <w:color w:val="auto"/>
              </w:rPr>
              <w:t>1.0</w:t>
            </w:r>
          </w:p>
        </w:tc>
      </w:tr>
    </w:tbl>
    <w:p w14:paraId="7487B28A">
      <w:pPr>
        <w:pageBreakBefore w:val="0"/>
        <w:kinsoku/>
        <w:wordWrap/>
        <w:topLinePunct w:val="0"/>
        <w:bidi w:val="0"/>
        <w:adjustRightInd/>
        <w:snapToGrid/>
        <w:ind w:left="0" w:leftChars="0" w:firstLine="31680"/>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lang w:val="en-US" w:eastAsia="zh-CN"/>
        </w:rPr>
        <w:t>②</w:t>
      </w:r>
      <w:r>
        <w:rPr>
          <w:rFonts w:hint="eastAsia" w:ascii="Times New Roman" w:hAnsi="Times New Roman" w:cs="Times New Roman"/>
          <w:color w:val="auto"/>
          <w:lang w:val="en-US" w:eastAsia="zh-CN"/>
        </w:rPr>
        <w:t>运营期：</w:t>
      </w:r>
      <w:r>
        <w:rPr>
          <w:rFonts w:hint="eastAsia" w:eastAsia="仿宋_GB2312" w:cs="Times New Roman"/>
          <w:color w:val="auto"/>
          <w:lang w:val="en-US" w:eastAsia="zh-CN"/>
        </w:rPr>
        <w:t>项目运营期产生的恶臭污染物NH</w:t>
      </w:r>
      <w:r>
        <w:rPr>
          <w:rFonts w:hint="eastAsia" w:eastAsia="仿宋_GB2312" w:cs="Times New Roman"/>
          <w:color w:val="auto"/>
          <w:vertAlign w:val="subscript"/>
          <w:lang w:val="en-US" w:eastAsia="zh-CN"/>
        </w:rPr>
        <w:t>3</w:t>
      </w:r>
      <w:r>
        <w:rPr>
          <w:rFonts w:hint="eastAsia" w:eastAsia="仿宋_GB2312" w:cs="Times New Roman"/>
          <w:color w:val="auto"/>
          <w:lang w:val="en-US" w:eastAsia="zh-CN"/>
        </w:rPr>
        <w:t>、H</w:t>
      </w:r>
      <w:r>
        <w:rPr>
          <w:rFonts w:hint="eastAsia" w:eastAsia="仿宋_GB2312" w:cs="Times New Roman"/>
          <w:color w:val="auto"/>
          <w:vertAlign w:val="subscript"/>
          <w:lang w:val="en-US" w:eastAsia="zh-CN"/>
        </w:rPr>
        <w:t>2</w:t>
      </w:r>
      <w:r>
        <w:rPr>
          <w:rFonts w:hint="eastAsia" w:eastAsia="仿宋_GB2312" w:cs="Times New Roman"/>
          <w:color w:val="auto"/>
          <w:lang w:val="en-US" w:eastAsia="zh-CN"/>
        </w:rPr>
        <w:t>S、臭气浓度执行《恶臭污染物排放标准》（GB14554-93）相关要求，具体标准要求见表</w:t>
      </w:r>
      <w:r>
        <w:rPr>
          <w:rFonts w:hint="eastAsia" w:cs="Times New Roman"/>
          <w:color w:val="auto"/>
          <w:lang w:val="en-US" w:eastAsia="zh-CN"/>
        </w:rPr>
        <w:t>1.4-7</w:t>
      </w:r>
      <w:r>
        <w:rPr>
          <w:rFonts w:hint="eastAsia" w:eastAsia="仿宋_GB2312" w:cs="Times New Roman"/>
          <w:color w:val="auto"/>
          <w:lang w:val="en-US" w:eastAsia="zh-CN"/>
        </w:rPr>
        <w:t>、</w:t>
      </w:r>
      <w:r>
        <w:rPr>
          <w:rFonts w:hint="eastAsia" w:cs="Times New Roman"/>
          <w:color w:val="auto"/>
          <w:lang w:val="en-US" w:eastAsia="zh-CN"/>
        </w:rPr>
        <w:t>1.4-8</w:t>
      </w:r>
      <w:r>
        <w:rPr>
          <w:rFonts w:hint="eastAsia" w:eastAsia="仿宋_GB2312" w:cs="Times New Roman"/>
          <w:color w:val="auto"/>
          <w:lang w:val="en-US" w:eastAsia="zh-CN"/>
        </w:rPr>
        <w:t>。</w:t>
      </w:r>
    </w:p>
    <w:p w14:paraId="27FA79FE">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b/>
          <w:bCs/>
          <w:color w:val="auto"/>
          <w:kern w:val="1"/>
          <w:sz w:val="24"/>
          <w:szCs w:val="24"/>
          <w:highlight w:val="none"/>
          <w:lang w:val="en-US" w:eastAsia="zh-CN" w:bidi="ar-SA"/>
        </w:rPr>
      </w:pPr>
      <w:r>
        <w:rPr>
          <w:rFonts w:hint="default" w:ascii="Times New Roman" w:hAnsi="Times New Roman" w:eastAsia="宋体" w:cs="Times New Roman"/>
          <w:color w:val="auto"/>
          <w:sz w:val="21"/>
          <w:szCs w:val="21"/>
          <w:lang w:val="en-US" w:eastAsia="zh-CN"/>
        </w:rPr>
        <w:t>表</w:t>
      </w:r>
      <w:r>
        <w:rPr>
          <w:rFonts w:hint="eastAsia" w:cs="Times New Roman"/>
          <w:color w:val="auto"/>
          <w:sz w:val="21"/>
          <w:szCs w:val="21"/>
          <w:lang w:val="en-US" w:eastAsia="zh-CN"/>
        </w:rPr>
        <w:t>1.4-7</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kern w:val="1"/>
          <w:sz w:val="24"/>
          <w:szCs w:val="24"/>
          <w:highlight w:val="none"/>
          <w:lang w:val="en-US" w:eastAsia="zh-CN" w:bidi="ar-SA"/>
        </w:rPr>
        <w:t>本项目有组织废气排放标准一览表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56"/>
        <w:gridCol w:w="1930"/>
        <w:gridCol w:w="1884"/>
        <w:gridCol w:w="3178"/>
      </w:tblGrid>
      <w:tr w14:paraId="375B7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988" w:type="dxa"/>
            <w:noWrap w:val="0"/>
            <w:vAlign w:val="center"/>
          </w:tcPr>
          <w:p w14:paraId="09880147">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1962" w:type="dxa"/>
            <w:noWrap w:val="0"/>
            <w:vAlign w:val="center"/>
          </w:tcPr>
          <w:p w14:paraId="0BC4889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最高允许排放浓度mg/m</w:t>
            </w:r>
            <w:r>
              <w:rPr>
                <w:rFonts w:hint="default" w:ascii="Times New Roman" w:hAnsi="Times New Roman" w:eastAsia="宋体" w:cs="Times New Roman"/>
                <w:b/>
                <w:color w:val="auto"/>
                <w:sz w:val="21"/>
                <w:szCs w:val="21"/>
                <w:highlight w:val="none"/>
                <w:vertAlign w:val="superscript"/>
              </w:rPr>
              <w:t>3</w:t>
            </w:r>
          </w:p>
        </w:tc>
        <w:tc>
          <w:tcPr>
            <w:tcW w:w="1915" w:type="dxa"/>
            <w:noWrap w:val="0"/>
            <w:vAlign w:val="center"/>
          </w:tcPr>
          <w:p w14:paraId="1532FF2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最高允许排放速率</w:t>
            </w:r>
            <w:r>
              <w:rPr>
                <w:rFonts w:hint="default" w:ascii="Times New Roman" w:hAnsi="Times New Roman" w:eastAsia="宋体" w:cs="Times New Roman"/>
                <w:b/>
                <w:color w:val="auto"/>
                <w:sz w:val="21"/>
                <w:szCs w:val="21"/>
                <w:highlight w:val="none"/>
                <w:lang w:val="en-US" w:eastAsia="zh-CN"/>
              </w:rPr>
              <w:t>kg</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h</w:t>
            </w:r>
          </w:p>
        </w:tc>
        <w:tc>
          <w:tcPr>
            <w:tcW w:w="3233" w:type="dxa"/>
            <w:noWrap w:val="0"/>
            <w:vAlign w:val="center"/>
          </w:tcPr>
          <w:p w14:paraId="084E44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排放标准</w:t>
            </w:r>
          </w:p>
        </w:tc>
      </w:tr>
      <w:tr w14:paraId="3B09B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988" w:type="dxa"/>
            <w:noWrap w:val="0"/>
            <w:vAlign w:val="center"/>
          </w:tcPr>
          <w:p w14:paraId="25BE61A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p>
        </w:tc>
        <w:tc>
          <w:tcPr>
            <w:tcW w:w="1962" w:type="dxa"/>
            <w:noWrap w:val="0"/>
            <w:vAlign w:val="center"/>
          </w:tcPr>
          <w:p w14:paraId="451D311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915" w:type="dxa"/>
            <w:noWrap w:val="0"/>
            <w:vAlign w:val="center"/>
          </w:tcPr>
          <w:p w14:paraId="391B5B2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8.7</w:t>
            </w:r>
          </w:p>
        </w:tc>
        <w:tc>
          <w:tcPr>
            <w:tcW w:w="3233" w:type="dxa"/>
            <w:vMerge w:val="restart"/>
            <w:noWrap w:val="0"/>
            <w:vAlign w:val="center"/>
          </w:tcPr>
          <w:p w14:paraId="09DB851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《恶臭污染物排放标准》（GB14554-93）</w:t>
            </w:r>
            <w:r>
              <w:rPr>
                <w:rFonts w:hint="default" w:ascii="Times New Roman" w:hAnsi="Times New Roman" w:eastAsia="宋体" w:cs="Times New Roman"/>
                <w:color w:val="auto"/>
                <w:sz w:val="21"/>
                <w:szCs w:val="21"/>
                <w:highlight w:val="none"/>
                <w:shd w:val="clear" w:color="auto" w:fill="FFFFFF"/>
              </w:rPr>
              <w:t>表</w:t>
            </w:r>
            <w:r>
              <w:rPr>
                <w:rFonts w:hint="default" w:ascii="Times New Roman" w:hAnsi="Times New Roman" w:eastAsia="宋体" w:cs="Times New Roman"/>
                <w:color w:val="auto"/>
                <w:sz w:val="21"/>
                <w:szCs w:val="21"/>
                <w:highlight w:val="none"/>
                <w:shd w:val="clear" w:color="auto" w:fill="FFFFFF"/>
                <w:lang w:val="en-US" w:eastAsia="zh-CN"/>
              </w:rPr>
              <w:t>2</w:t>
            </w:r>
            <w:r>
              <w:rPr>
                <w:rFonts w:hint="default" w:ascii="Times New Roman" w:hAnsi="Times New Roman" w:eastAsia="宋体" w:cs="Times New Roman"/>
                <w:color w:val="auto"/>
                <w:sz w:val="21"/>
                <w:szCs w:val="21"/>
                <w:highlight w:val="none"/>
              </w:rPr>
              <w:t>排放标准</w:t>
            </w:r>
          </w:p>
        </w:tc>
      </w:tr>
      <w:tr w14:paraId="223DC9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988" w:type="dxa"/>
            <w:noWrap w:val="0"/>
            <w:vAlign w:val="center"/>
          </w:tcPr>
          <w:p w14:paraId="5ACFD2D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S</w:t>
            </w:r>
          </w:p>
        </w:tc>
        <w:tc>
          <w:tcPr>
            <w:tcW w:w="1962" w:type="dxa"/>
            <w:noWrap w:val="0"/>
            <w:vAlign w:val="center"/>
          </w:tcPr>
          <w:p w14:paraId="4ADB87D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915" w:type="dxa"/>
            <w:noWrap w:val="0"/>
            <w:vAlign w:val="center"/>
          </w:tcPr>
          <w:p w14:paraId="589FA34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0.58</w:t>
            </w:r>
          </w:p>
        </w:tc>
        <w:tc>
          <w:tcPr>
            <w:tcW w:w="3233" w:type="dxa"/>
            <w:vMerge w:val="continue"/>
            <w:noWrap w:val="0"/>
            <w:vAlign w:val="center"/>
          </w:tcPr>
          <w:p w14:paraId="562040B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14:paraId="7B734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988" w:type="dxa"/>
            <w:noWrap w:val="0"/>
            <w:vAlign w:val="center"/>
          </w:tcPr>
          <w:p w14:paraId="162A18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r>
              <w:rPr>
                <w:rFonts w:hint="eastAsia" w:eastAsia="宋体" w:cs="Times New Roman"/>
                <w:color w:val="auto"/>
                <w:sz w:val="21"/>
                <w:szCs w:val="21"/>
                <w:highlight w:val="none"/>
                <w:lang w:val="en-US" w:eastAsia="zh-CN"/>
              </w:rPr>
              <w:t>（无量纲）</w:t>
            </w:r>
          </w:p>
        </w:tc>
        <w:tc>
          <w:tcPr>
            <w:tcW w:w="1962" w:type="dxa"/>
            <w:noWrap w:val="0"/>
            <w:vAlign w:val="center"/>
          </w:tcPr>
          <w:p w14:paraId="1BD823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6000</w:t>
            </w:r>
          </w:p>
        </w:tc>
        <w:tc>
          <w:tcPr>
            <w:tcW w:w="1915" w:type="dxa"/>
            <w:noWrap w:val="0"/>
            <w:vAlign w:val="center"/>
          </w:tcPr>
          <w:p w14:paraId="2114D30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233" w:type="dxa"/>
            <w:vMerge w:val="continue"/>
            <w:noWrap w:val="0"/>
            <w:vAlign w:val="center"/>
          </w:tcPr>
          <w:p w14:paraId="02E9C7C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bl>
    <w:p w14:paraId="3D3D5C2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b/>
          <w:bCs/>
          <w:color w:val="auto"/>
          <w:kern w:val="1"/>
          <w:sz w:val="24"/>
          <w:szCs w:val="24"/>
          <w:highlight w:val="none"/>
          <w:lang w:val="en-US" w:eastAsia="zh-CN" w:bidi="ar-SA"/>
        </w:rPr>
      </w:pPr>
      <w:r>
        <w:rPr>
          <w:rFonts w:hint="default" w:ascii="Times New Roman" w:hAnsi="Times New Roman" w:eastAsia="宋体" w:cs="Times New Roman"/>
          <w:color w:val="auto"/>
          <w:sz w:val="21"/>
          <w:szCs w:val="21"/>
          <w:lang w:val="en-US" w:eastAsia="zh-CN"/>
        </w:rPr>
        <w:t>表</w:t>
      </w:r>
      <w:r>
        <w:rPr>
          <w:rFonts w:hint="eastAsia" w:ascii="Times New Roman" w:hAnsi="Times New Roman" w:eastAsia="宋体" w:cs="Times New Roman"/>
          <w:color w:val="auto"/>
          <w:sz w:val="21"/>
          <w:szCs w:val="21"/>
          <w:lang w:val="en-US" w:eastAsia="zh-CN"/>
        </w:rPr>
        <w:t>1.4-8</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eastAsia"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kern w:val="1"/>
          <w:sz w:val="24"/>
          <w:szCs w:val="24"/>
          <w:highlight w:val="none"/>
          <w:lang w:val="en-US" w:eastAsia="zh-CN" w:bidi="ar-SA"/>
        </w:rPr>
        <w:t>本项目</w:t>
      </w:r>
      <w:r>
        <w:rPr>
          <w:rFonts w:hint="eastAsia" w:ascii="Times New Roman" w:hAnsi="Times New Roman" w:eastAsia="宋体" w:cs="Times New Roman"/>
          <w:b/>
          <w:bCs/>
          <w:color w:val="auto"/>
          <w:kern w:val="1"/>
          <w:sz w:val="24"/>
          <w:szCs w:val="24"/>
          <w:highlight w:val="none"/>
          <w:lang w:val="en-US" w:eastAsia="zh-CN" w:bidi="ar-SA"/>
        </w:rPr>
        <w:t>无</w:t>
      </w:r>
      <w:r>
        <w:rPr>
          <w:rFonts w:hint="default" w:ascii="Times New Roman" w:hAnsi="Times New Roman" w:eastAsia="宋体" w:cs="Times New Roman"/>
          <w:b/>
          <w:bCs/>
          <w:color w:val="auto"/>
          <w:kern w:val="1"/>
          <w:sz w:val="24"/>
          <w:szCs w:val="24"/>
          <w:highlight w:val="none"/>
          <w:lang w:val="en-US" w:eastAsia="zh-CN" w:bidi="ar-SA"/>
        </w:rPr>
        <w:t>组织废气排放标准一览表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9"/>
        <w:gridCol w:w="1319"/>
        <w:gridCol w:w="2803"/>
        <w:gridCol w:w="3197"/>
      </w:tblGrid>
      <w:tr w14:paraId="182B6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69" w:type="dxa"/>
            <w:vMerge w:val="restart"/>
            <w:noWrap w:val="0"/>
            <w:vAlign w:val="center"/>
          </w:tcPr>
          <w:p w14:paraId="73BC53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4223" w:type="dxa"/>
            <w:gridSpan w:val="2"/>
            <w:noWrap w:val="0"/>
            <w:vAlign w:val="center"/>
          </w:tcPr>
          <w:p w14:paraId="69001A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无组织排放监控浓度限值</w:t>
            </w:r>
          </w:p>
        </w:tc>
        <w:tc>
          <w:tcPr>
            <w:tcW w:w="3279" w:type="dxa"/>
            <w:vMerge w:val="restart"/>
            <w:noWrap w:val="0"/>
            <w:vAlign w:val="center"/>
          </w:tcPr>
          <w:p w14:paraId="274A3D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排放标准</w:t>
            </w:r>
          </w:p>
        </w:tc>
      </w:tr>
      <w:tr w14:paraId="3BFFB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69" w:type="dxa"/>
            <w:vMerge w:val="continue"/>
            <w:noWrap w:val="0"/>
            <w:vAlign w:val="center"/>
          </w:tcPr>
          <w:p w14:paraId="607475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49" w:type="dxa"/>
            <w:noWrap w:val="0"/>
            <w:vAlign w:val="center"/>
          </w:tcPr>
          <w:p w14:paraId="096C43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w:t>
            </w:r>
          </w:p>
        </w:tc>
        <w:tc>
          <w:tcPr>
            <w:tcW w:w="2874" w:type="dxa"/>
            <w:noWrap w:val="0"/>
            <w:vAlign w:val="center"/>
          </w:tcPr>
          <w:p w14:paraId="0128A0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浓度</w:t>
            </w:r>
            <w:r>
              <w:rPr>
                <w:rFonts w:hint="eastAsia"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r>
              <w:rPr>
                <w:rFonts w:hint="eastAsia" w:eastAsia="宋体" w:cs="Times New Roman"/>
                <w:b/>
                <w:color w:val="auto"/>
                <w:sz w:val="21"/>
                <w:szCs w:val="21"/>
                <w:highlight w:val="none"/>
                <w:vertAlign w:val="baseline"/>
                <w:lang w:eastAsia="zh-CN"/>
              </w:rPr>
              <w:t>）</w:t>
            </w:r>
          </w:p>
        </w:tc>
        <w:tc>
          <w:tcPr>
            <w:tcW w:w="3279" w:type="dxa"/>
            <w:vMerge w:val="continue"/>
            <w:noWrap w:val="0"/>
            <w:vAlign w:val="center"/>
          </w:tcPr>
          <w:p w14:paraId="49CECD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r>
      <w:tr w14:paraId="184498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69" w:type="dxa"/>
            <w:noWrap w:val="0"/>
            <w:vAlign w:val="center"/>
          </w:tcPr>
          <w:p w14:paraId="18A296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349" w:type="dxa"/>
            <w:vMerge w:val="restart"/>
            <w:noWrap w:val="0"/>
            <w:vAlign w:val="center"/>
          </w:tcPr>
          <w:p w14:paraId="125BB7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外浓度最高点</w:t>
            </w:r>
          </w:p>
        </w:tc>
        <w:tc>
          <w:tcPr>
            <w:tcW w:w="2874" w:type="dxa"/>
            <w:noWrap w:val="0"/>
            <w:vAlign w:val="center"/>
          </w:tcPr>
          <w:p w14:paraId="53A665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1.5（厂界二级新扩改建）</w:t>
            </w:r>
          </w:p>
        </w:tc>
        <w:tc>
          <w:tcPr>
            <w:tcW w:w="3279" w:type="dxa"/>
            <w:vMerge w:val="restart"/>
            <w:noWrap w:val="0"/>
            <w:vAlign w:val="center"/>
          </w:tcPr>
          <w:p w14:paraId="4C714F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《恶臭污染物排放标准》（GB14554-93）</w:t>
            </w:r>
            <w:r>
              <w:rPr>
                <w:rFonts w:hint="default" w:ascii="Times New Roman" w:hAnsi="Times New Roman" w:eastAsia="宋体" w:cs="Times New Roman"/>
                <w:color w:val="auto"/>
                <w:sz w:val="21"/>
                <w:szCs w:val="21"/>
                <w:highlight w:val="none"/>
                <w:shd w:val="clear" w:color="auto" w:fill="FFFFFF"/>
              </w:rPr>
              <w:t>表1恶臭污染物厂界标准值</w:t>
            </w:r>
          </w:p>
        </w:tc>
      </w:tr>
      <w:tr w14:paraId="13286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69" w:type="dxa"/>
            <w:noWrap w:val="0"/>
            <w:vAlign w:val="center"/>
          </w:tcPr>
          <w:p w14:paraId="4045FC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349" w:type="dxa"/>
            <w:vMerge w:val="continue"/>
            <w:noWrap w:val="0"/>
            <w:vAlign w:val="center"/>
          </w:tcPr>
          <w:p w14:paraId="323B7C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2874" w:type="dxa"/>
            <w:noWrap w:val="0"/>
            <w:vAlign w:val="center"/>
          </w:tcPr>
          <w:p w14:paraId="3AE77D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0.06（厂界二级新扩改建）</w:t>
            </w:r>
          </w:p>
        </w:tc>
        <w:tc>
          <w:tcPr>
            <w:tcW w:w="3279" w:type="dxa"/>
            <w:vMerge w:val="continue"/>
            <w:noWrap w:val="0"/>
            <w:vAlign w:val="center"/>
          </w:tcPr>
          <w:p w14:paraId="71C22F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14:paraId="29426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69" w:type="dxa"/>
            <w:noWrap w:val="0"/>
            <w:vAlign w:val="center"/>
          </w:tcPr>
          <w:p w14:paraId="4C0280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1349" w:type="dxa"/>
            <w:vMerge w:val="continue"/>
            <w:noWrap w:val="0"/>
            <w:vAlign w:val="center"/>
          </w:tcPr>
          <w:p w14:paraId="0E4062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2874" w:type="dxa"/>
            <w:noWrap w:val="0"/>
            <w:vAlign w:val="center"/>
          </w:tcPr>
          <w:p w14:paraId="6AC990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20（无量纲）</w:t>
            </w:r>
          </w:p>
        </w:tc>
        <w:tc>
          <w:tcPr>
            <w:tcW w:w="3279" w:type="dxa"/>
            <w:vMerge w:val="continue"/>
            <w:noWrap w:val="0"/>
            <w:vAlign w:val="center"/>
          </w:tcPr>
          <w:p w14:paraId="479F1A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bl>
    <w:p w14:paraId="7EAF1241">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ascii="Times New Roman" w:hAnsi="Times New Roman"/>
          <w:color w:val="auto"/>
        </w:rPr>
        <w:t>废水排放标准</w:t>
      </w:r>
    </w:p>
    <w:p w14:paraId="4CC3EB26">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lang w:val="en-US" w:eastAsia="zh-CN"/>
        </w:rPr>
      </w:pPr>
      <w:r>
        <w:rPr>
          <w:rFonts w:hint="eastAsia" w:ascii="Times New Roman" w:hAnsi="Times New Roman"/>
          <w:color w:val="auto"/>
          <w:lang w:val="en-US" w:eastAsia="zh-CN"/>
        </w:rPr>
        <w:t>本项目产生的废水主要包括屠宰废水</w:t>
      </w:r>
      <w:r>
        <w:rPr>
          <w:rFonts w:hint="eastAsia"/>
          <w:color w:val="auto"/>
          <w:lang w:val="en-US" w:eastAsia="zh-CN"/>
        </w:rPr>
        <w:t>、车辆冲洗废水</w:t>
      </w:r>
      <w:r>
        <w:rPr>
          <w:rFonts w:hint="eastAsia" w:ascii="Times New Roman" w:hAnsi="Times New Roman"/>
          <w:color w:val="auto"/>
          <w:lang w:val="en-US" w:eastAsia="zh-CN"/>
        </w:rPr>
        <w:t>以及生活污水</w:t>
      </w:r>
      <w:r>
        <w:rPr>
          <w:rFonts w:hint="eastAsia"/>
          <w:color w:val="auto"/>
          <w:lang w:val="en-US" w:eastAsia="zh-CN"/>
        </w:rPr>
        <w:t>。</w:t>
      </w:r>
      <w:r>
        <w:rPr>
          <w:rFonts w:hint="eastAsia"/>
          <w:color w:val="000000" w:themeColor="text1"/>
          <w:lang w:val="en-US" w:eastAsia="zh-CN"/>
          <w14:textFill>
            <w14:solidFill>
              <w14:schemeClr w14:val="tx1"/>
            </w14:solidFill>
          </w14:textFill>
        </w:rPr>
        <w:t>屠宰废水及车辆冲洗废水排入厂区污水处理站处理，达到《屠宰及肉类加工工业水污染物排放标准》（GB13457-2025）表1间接排放标准；生活污水经化粪池收集，均达到《污水综合排放标准》（GB8978-1996）三级排放标准及城区污水处理厂接管标准《污水排入城镇下水道水质标准》（GB/T31962-2015）A级排放标准后一起排至城区污水处理厂处理</w:t>
      </w:r>
      <w:r>
        <w:rPr>
          <w:rFonts w:hint="eastAsia" w:ascii="Times New Roman" w:hAnsi="Times New Roman"/>
          <w:color w:val="auto"/>
          <w:lang w:val="en-US" w:eastAsia="zh-CN"/>
        </w:rPr>
        <w:t>。</w:t>
      </w:r>
    </w:p>
    <w:p w14:paraId="71C16A7A">
      <w:pPr>
        <w:pageBreakBefore w:val="0"/>
        <w:kinsoku/>
        <w:wordWrap/>
        <w:topLinePunct w:val="0"/>
        <w:bidi w:val="0"/>
        <w:adjustRightInd/>
        <w:snapToGrid/>
        <w:spacing w:line="240" w:lineRule="auto"/>
        <w:ind w:left="0" w:leftChars="0"/>
        <w:jc w:val="both"/>
        <w:rPr>
          <w:rFonts w:hint="default" w:ascii="Times New Roman" w:hAnsi="Times New Roman" w:eastAsia="宋体" w:cs="Times New Roman"/>
          <w:b/>
          <w:bCs/>
          <w:color w:val="auto"/>
          <w:kern w:val="1"/>
          <w:sz w:val="24"/>
          <w:szCs w:val="20"/>
          <w:highlight w:val="none"/>
          <w:lang w:val="en-US" w:eastAsia="zh-CN"/>
        </w:rPr>
      </w:pPr>
      <w:r>
        <w:rPr>
          <w:rFonts w:hint="default" w:ascii="Times New Roman" w:hAnsi="Times New Roman" w:eastAsia="宋体" w:cs="Times New Roman"/>
          <w:color w:val="auto"/>
          <w:sz w:val="21"/>
          <w:szCs w:val="21"/>
          <w:highlight w:val="none"/>
        </w:rPr>
        <w:t>表1.4-</w:t>
      </w:r>
      <w:r>
        <w:rPr>
          <w:rFonts w:hint="eastAsia" w:eastAsia="宋体" w:cs="Times New Roman"/>
          <w:color w:val="auto"/>
          <w:sz w:val="21"/>
          <w:szCs w:val="21"/>
          <w:highlight w:val="none"/>
          <w:lang w:val="en-US" w:eastAsia="zh-CN"/>
        </w:rPr>
        <w:t>9</w:t>
      </w:r>
      <w:r>
        <w:rPr>
          <w:rFonts w:hint="default"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lang w:val="en-US" w:eastAsia="zh-CN"/>
        </w:rPr>
        <w:t xml:space="preserve">        </w:t>
      </w:r>
      <w:r>
        <w:rPr>
          <w:rFonts w:hint="eastAsia"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 xml:space="preserve"> </w:t>
      </w:r>
      <w:r>
        <w:rPr>
          <w:rFonts w:hint="eastAsia" w:ascii="Times New Roman" w:hAnsi="Times New Roman" w:eastAsia="宋体" w:cs="Times New Roman"/>
          <w:b/>
          <w:bCs/>
          <w:color w:val="auto"/>
          <w:szCs w:val="21"/>
          <w:highlight w:val="none"/>
          <w:lang w:val="en-US" w:eastAsia="zh-CN"/>
        </w:rPr>
        <w:t>本项目废水排放标准一览表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251"/>
        <w:gridCol w:w="2093"/>
        <w:gridCol w:w="1794"/>
        <w:gridCol w:w="1459"/>
      </w:tblGrid>
      <w:tr w14:paraId="7C7BC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735B59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污染项目</w:t>
            </w:r>
          </w:p>
        </w:tc>
        <w:tc>
          <w:tcPr>
            <w:tcW w:w="1257" w:type="pct"/>
            <w:noWrap w:val="0"/>
            <w:vAlign w:val="center"/>
          </w:tcPr>
          <w:p w14:paraId="4307C1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《屠宰及肉类加工工业水污染物排放标准》（GB13457-2025）</w:t>
            </w:r>
          </w:p>
        </w:tc>
        <w:tc>
          <w:tcPr>
            <w:tcW w:w="1169" w:type="pct"/>
            <w:noWrap w:val="0"/>
            <w:vAlign w:val="center"/>
          </w:tcPr>
          <w:p w14:paraId="1576DF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《污水排入城镇下水道水质标准》（GB/T31962-2015）</w:t>
            </w:r>
          </w:p>
        </w:tc>
        <w:tc>
          <w:tcPr>
            <w:tcW w:w="1002" w:type="pct"/>
            <w:noWrap w:val="0"/>
            <w:vAlign w:val="center"/>
          </w:tcPr>
          <w:p w14:paraId="117A88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《污水综合排放标准》（GB8978-1996）</w:t>
            </w:r>
          </w:p>
        </w:tc>
        <w:tc>
          <w:tcPr>
            <w:tcW w:w="815" w:type="pct"/>
            <w:noWrap w:val="0"/>
            <w:vAlign w:val="center"/>
          </w:tcPr>
          <w:p w14:paraId="34F7E2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本项目废水排放标准</w:t>
            </w:r>
          </w:p>
        </w:tc>
      </w:tr>
      <w:tr w14:paraId="57211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vMerge w:val="restart"/>
            <w:noWrap w:val="0"/>
            <w:vAlign w:val="center"/>
          </w:tcPr>
          <w:p w14:paraId="789D0D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排水量</w:t>
            </w:r>
          </w:p>
        </w:tc>
        <w:tc>
          <w:tcPr>
            <w:tcW w:w="1257" w:type="pct"/>
            <w:noWrap w:val="0"/>
            <w:vAlign w:val="center"/>
          </w:tcPr>
          <w:p w14:paraId="7E5D68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牛：2.5m</w:t>
            </w:r>
            <w:r>
              <w:rPr>
                <w:rFonts w:hint="eastAsia" w:eastAsia="宋体" w:cs="Times New Roman"/>
                <w:bCs/>
                <w:color w:val="auto"/>
                <w:sz w:val="21"/>
                <w:szCs w:val="21"/>
                <w:highlight w:val="none"/>
                <w:vertAlign w:val="superscript"/>
                <w:lang w:val="en-US" w:eastAsia="zh-CN"/>
              </w:rPr>
              <w:t>3</w:t>
            </w:r>
            <w:r>
              <w:rPr>
                <w:rFonts w:hint="eastAsia" w:eastAsia="宋体" w:cs="Times New Roman"/>
                <w:bCs/>
                <w:color w:val="auto"/>
                <w:sz w:val="21"/>
                <w:szCs w:val="21"/>
                <w:highlight w:val="none"/>
                <w:lang w:val="en-US" w:eastAsia="zh-CN"/>
              </w:rPr>
              <w:t>/头</w:t>
            </w:r>
          </w:p>
        </w:tc>
        <w:tc>
          <w:tcPr>
            <w:tcW w:w="1169" w:type="pct"/>
            <w:noWrap w:val="0"/>
            <w:vAlign w:val="center"/>
          </w:tcPr>
          <w:p w14:paraId="2034B0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c>
          <w:tcPr>
            <w:tcW w:w="1002" w:type="pct"/>
            <w:noWrap w:val="0"/>
            <w:vAlign w:val="center"/>
          </w:tcPr>
          <w:p w14:paraId="0A87CF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c>
          <w:tcPr>
            <w:tcW w:w="815" w:type="pct"/>
            <w:shd w:val="clear" w:color="auto" w:fill="auto"/>
            <w:noWrap w:val="0"/>
            <w:vAlign w:val="center"/>
          </w:tcPr>
          <w:p w14:paraId="3CC444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牛：2.5m</w:t>
            </w:r>
            <w:r>
              <w:rPr>
                <w:rFonts w:hint="eastAsia" w:eastAsia="宋体" w:cs="Times New Roman"/>
                <w:bCs/>
                <w:color w:val="auto"/>
                <w:sz w:val="21"/>
                <w:szCs w:val="21"/>
                <w:highlight w:val="none"/>
                <w:vertAlign w:val="superscript"/>
                <w:lang w:val="en-US" w:eastAsia="zh-CN"/>
              </w:rPr>
              <w:t>3</w:t>
            </w:r>
            <w:r>
              <w:rPr>
                <w:rFonts w:hint="eastAsia" w:eastAsia="宋体" w:cs="Times New Roman"/>
                <w:bCs/>
                <w:color w:val="auto"/>
                <w:sz w:val="21"/>
                <w:szCs w:val="21"/>
                <w:highlight w:val="none"/>
                <w:lang w:val="en-US" w:eastAsia="zh-CN"/>
              </w:rPr>
              <w:t>/头</w:t>
            </w:r>
          </w:p>
        </w:tc>
      </w:tr>
      <w:tr w14:paraId="7F46E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vMerge w:val="continue"/>
            <w:noWrap w:val="0"/>
            <w:vAlign w:val="center"/>
          </w:tcPr>
          <w:p w14:paraId="3F1E0B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pPr>
          </w:p>
        </w:tc>
        <w:tc>
          <w:tcPr>
            <w:tcW w:w="1257" w:type="pct"/>
            <w:noWrap w:val="0"/>
            <w:vAlign w:val="center"/>
          </w:tcPr>
          <w:p w14:paraId="435068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羊：0.3m</w:t>
            </w:r>
            <w:r>
              <w:rPr>
                <w:rFonts w:hint="eastAsia" w:eastAsia="宋体" w:cs="Times New Roman"/>
                <w:bCs/>
                <w:color w:val="auto"/>
                <w:sz w:val="21"/>
                <w:szCs w:val="21"/>
                <w:highlight w:val="none"/>
                <w:vertAlign w:val="superscript"/>
                <w:lang w:val="en-US" w:eastAsia="zh-CN"/>
              </w:rPr>
              <w:t>3</w:t>
            </w:r>
            <w:r>
              <w:rPr>
                <w:rFonts w:hint="eastAsia" w:eastAsia="宋体" w:cs="Times New Roman"/>
                <w:bCs/>
                <w:color w:val="auto"/>
                <w:sz w:val="21"/>
                <w:szCs w:val="21"/>
                <w:highlight w:val="none"/>
                <w:lang w:val="en-US" w:eastAsia="zh-CN"/>
              </w:rPr>
              <w:t>/头</w:t>
            </w:r>
          </w:p>
        </w:tc>
        <w:tc>
          <w:tcPr>
            <w:tcW w:w="1169" w:type="pct"/>
            <w:noWrap w:val="0"/>
            <w:vAlign w:val="center"/>
          </w:tcPr>
          <w:p w14:paraId="20D801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c>
          <w:tcPr>
            <w:tcW w:w="1002" w:type="pct"/>
            <w:noWrap w:val="0"/>
            <w:vAlign w:val="center"/>
          </w:tcPr>
          <w:p w14:paraId="56D51B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c>
          <w:tcPr>
            <w:tcW w:w="815" w:type="pct"/>
            <w:shd w:val="clear" w:color="auto" w:fill="auto"/>
            <w:noWrap w:val="0"/>
            <w:vAlign w:val="center"/>
          </w:tcPr>
          <w:p w14:paraId="393F79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羊：0.3m</w:t>
            </w:r>
            <w:r>
              <w:rPr>
                <w:rFonts w:hint="eastAsia" w:eastAsia="宋体" w:cs="Times New Roman"/>
                <w:bCs/>
                <w:color w:val="auto"/>
                <w:sz w:val="21"/>
                <w:szCs w:val="21"/>
                <w:highlight w:val="none"/>
                <w:vertAlign w:val="superscript"/>
                <w:lang w:val="en-US" w:eastAsia="zh-CN"/>
              </w:rPr>
              <w:t>3</w:t>
            </w:r>
            <w:r>
              <w:rPr>
                <w:rFonts w:hint="eastAsia" w:eastAsia="宋体" w:cs="Times New Roman"/>
                <w:bCs/>
                <w:color w:val="auto"/>
                <w:sz w:val="21"/>
                <w:szCs w:val="21"/>
                <w:highlight w:val="none"/>
                <w:lang w:val="en-US" w:eastAsia="zh-CN"/>
              </w:rPr>
              <w:t>/头</w:t>
            </w:r>
          </w:p>
        </w:tc>
      </w:tr>
      <w:tr w14:paraId="61B98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1E3395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Cs/>
                <w:color w:val="auto"/>
                <w:sz w:val="21"/>
                <w:szCs w:val="21"/>
                <w:highlight w:val="none"/>
              </w:rPr>
              <w:t>pH</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无量纲</w:t>
            </w:r>
            <w:r>
              <w:rPr>
                <w:rFonts w:hint="eastAsia" w:ascii="Times New Roman" w:hAnsi="Times New Roman" w:eastAsia="宋体" w:cs="Times New Roman"/>
                <w:bCs/>
                <w:color w:val="auto"/>
                <w:sz w:val="21"/>
                <w:szCs w:val="21"/>
                <w:highlight w:val="none"/>
                <w:lang w:eastAsia="zh-CN"/>
              </w:rPr>
              <w:t>）</w:t>
            </w:r>
          </w:p>
        </w:tc>
        <w:tc>
          <w:tcPr>
            <w:tcW w:w="1257" w:type="pct"/>
            <w:noWrap w:val="0"/>
            <w:vAlign w:val="center"/>
          </w:tcPr>
          <w:p w14:paraId="0B0804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6~</w:t>
            </w:r>
            <w:r>
              <w:rPr>
                <w:rFonts w:hint="eastAsia" w:eastAsia="宋体" w:cs="Times New Roman"/>
                <w:bCs/>
                <w:color w:val="auto"/>
                <w:sz w:val="21"/>
                <w:szCs w:val="21"/>
                <w:highlight w:val="none"/>
                <w:lang w:val="en-US" w:eastAsia="zh-CN"/>
              </w:rPr>
              <w:t>9</w:t>
            </w:r>
          </w:p>
        </w:tc>
        <w:tc>
          <w:tcPr>
            <w:tcW w:w="1169" w:type="pct"/>
            <w:noWrap w:val="0"/>
            <w:vAlign w:val="center"/>
          </w:tcPr>
          <w:p w14:paraId="422AD7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6.5~9.5</w:t>
            </w:r>
          </w:p>
        </w:tc>
        <w:tc>
          <w:tcPr>
            <w:tcW w:w="1002" w:type="pct"/>
            <w:noWrap w:val="0"/>
            <w:vAlign w:val="center"/>
          </w:tcPr>
          <w:p w14:paraId="3F6C38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6~9</w:t>
            </w:r>
          </w:p>
        </w:tc>
        <w:tc>
          <w:tcPr>
            <w:tcW w:w="815" w:type="pct"/>
            <w:shd w:val="clear" w:color="auto" w:fill="auto"/>
            <w:noWrap w:val="0"/>
            <w:vAlign w:val="center"/>
          </w:tcPr>
          <w:p w14:paraId="528666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6~9</w:t>
            </w:r>
          </w:p>
        </w:tc>
      </w:tr>
      <w:tr w14:paraId="55C6F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190EC3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Cs/>
                <w:color w:val="auto"/>
                <w:kern w:val="0"/>
                <w:sz w:val="21"/>
                <w:szCs w:val="21"/>
                <w:highlight w:val="none"/>
              </w:rPr>
              <w:t>SS</w:t>
            </w:r>
            <w:r>
              <w:rPr>
                <w:rFonts w:hint="eastAsia" w:ascii="Times New Roman" w:hAnsi="Times New Roman" w:eastAsia="宋体"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lang w:val="en-US" w:eastAsia="zh-CN"/>
              </w:rPr>
              <w:t>mg/L</w:t>
            </w:r>
            <w:r>
              <w:rPr>
                <w:rFonts w:hint="eastAsia" w:ascii="Times New Roman" w:hAnsi="Times New Roman" w:eastAsia="宋体" w:cs="Times New Roman"/>
                <w:bCs/>
                <w:color w:val="auto"/>
                <w:kern w:val="0"/>
                <w:sz w:val="21"/>
                <w:szCs w:val="21"/>
                <w:highlight w:val="none"/>
                <w:lang w:eastAsia="zh-CN"/>
              </w:rPr>
              <w:t>）</w:t>
            </w:r>
          </w:p>
        </w:tc>
        <w:tc>
          <w:tcPr>
            <w:tcW w:w="1257" w:type="pct"/>
            <w:noWrap w:val="0"/>
            <w:vAlign w:val="center"/>
          </w:tcPr>
          <w:p w14:paraId="3603AA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1169" w:type="pct"/>
            <w:noWrap w:val="0"/>
            <w:vAlign w:val="center"/>
          </w:tcPr>
          <w:p w14:paraId="71D5ED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400</w:t>
            </w:r>
          </w:p>
        </w:tc>
        <w:tc>
          <w:tcPr>
            <w:tcW w:w="1002" w:type="pct"/>
            <w:shd w:val="clear" w:color="auto" w:fill="auto"/>
            <w:noWrap w:val="0"/>
            <w:vAlign w:val="center"/>
          </w:tcPr>
          <w:p w14:paraId="46480D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bCs/>
                <w:color w:val="auto"/>
                <w:sz w:val="21"/>
                <w:szCs w:val="21"/>
                <w:highlight w:val="none"/>
                <w:lang w:val="en-US" w:eastAsia="zh-CN"/>
              </w:rPr>
              <w:t>400</w:t>
            </w:r>
          </w:p>
        </w:tc>
        <w:tc>
          <w:tcPr>
            <w:tcW w:w="815" w:type="pct"/>
            <w:shd w:val="clear" w:color="auto" w:fill="auto"/>
            <w:noWrap w:val="0"/>
            <w:vAlign w:val="center"/>
          </w:tcPr>
          <w:p w14:paraId="3CC1AC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r>
      <w:tr w14:paraId="59D71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7D96D3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Cs/>
                <w:color w:val="auto"/>
                <w:kern w:val="0"/>
                <w:sz w:val="21"/>
                <w:szCs w:val="21"/>
                <w:highlight w:val="none"/>
              </w:rPr>
              <w:t>BOD</w:t>
            </w:r>
            <w:r>
              <w:rPr>
                <w:rFonts w:hint="default" w:ascii="Times New Roman" w:hAnsi="Times New Roman" w:eastAsia="宋体" w:cs="Times New Roman"/>
                <w:bCs/>
                <w:color w:val="auto"/>
                <w:kern w:val="0"/>
                <w:sz w:val="21"/>
                <w:szCs w:val="21"/>
                <w:highlight w:val="none"/>
                <w:vertAlign w:val="subscript"/>
              </w:rPr>
              <w:t>5</w:t>
            </w:r>
            <w:r>
              <w:rPr>
                <w:rFonts w:hint="eastAsia" w:ascii="Times New Roman" w:hAnsi="Times New Roman" w:eastAsia="宋体"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lang w:val="en-US" w:eastAsia="zh-CN"/>
              </w:rPr>
              <w:t>mg/L</w:t>
            </w:r>
            <w:r>
              <w:rPr>
                <w:rFonts w:hint="eastAsia" w:ascii="Times New Roman" w:hAnsi="Times New Roman" w:eastAsia="宋体" w:cs="Times New Roman"/>
                <w:bCs/>
                <w:color w:val="auto"/>
                <w:kern w:val="0"/>
                <w:sz w:val="21"/>
                <w:szCs w:val="21"/>
                <w:highlight w:val="none"/>
                <w:lang w:eastAsia="zh-CN"/>
              </w:rPr>
              <w:t>）</w:t>
            </w:r>
          </w:p>
        </w:tc>
        <w:tc>
          <w:tcPr>
            <w:tcW w:w="1257" w:type="pct"/>
            <w:noWrap w:val="0"/>
            <w:vAlign w:val="center"/>
          </w:tcPr>
          <w:p w14:paraId="364988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350</w:t>
            </w:r>
          </w:p>
        </w:tc>
        <w:tc>
          <w:tcPr>
            <w:tcW w:w="1169" w:type="pct"/>
            <w:noWrap w:val="0"/>
            <w:vAlign w:val="center"/>
          </w:tcPr>
          <w:p w14:paraId="07A1B1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350</w:t>
            </w:r>
          </w:p>
        </w:tc>
        <w:tc>
          <w:tcPr>
            <w:tcW w:w="1002" w:type="pct"/>
            <w:shd w:val="clear" w:color="auto" w:fill="auto"/>
            <w:noWrap w:val="0"/>
            <w:vAlign w:val="center"/>
          </w:tcPr>
          <w:p w14:paraId="0AC2C3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bCs/>
                <w:color w:val="auto"/>
                <w:sz w:val="21"/>
                <w:szCs w:val="21"/>
                <w:highlight w:val="none"/>
                <w:lang w:val="en-US" w:eastAsia="zh-CN"/>
              </w:rPr>
              <w:t>300</w:t>
            </w:r>
          </w:p>
        </w:tc>
        <w:tc>
          <w:tcPr>
            <w:tcW w:w="815" w:type="pct"/>
            <w:shd w:val="clear" w:color="auto" w:fill="auto"/>
            <w:noWrap w:val="0"/>
            <w:vAlign w:val="center"/>
          </w:tcPr>
          <w:p w14:paraId="3B6E46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r>
      <w:tr w14:paraId="508C2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6BE21C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COD</w:t>
            </w:r>
            <w:r>
              <w:rPr>
                <w:rFonts w:hint="eastAsia" w:ascii="Times New Roman" w:hAnsi="Times New Roman" w:eastAsia="宋体"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lang w:val="en-US" w:eastAsia="zh-CN"/>
              </w:rPr>
              <w:t>mg/L</w:t>
            </w:r>
            <w:r>
              <w:rPr>
                <w:rFonts w:hint="eastAsia" w:ascii="Times New Roman" w:hAnsi="Times New Roman" w:eastAsia="宋体" w:cs="Times New Roman"/>
                <w:bCs/>
                <w:color w:val="auto"/>
                <w:kern w:val="0"/>
                <w:sz w:val="21"/>
                <w:szCs w:val="21"/>
                <w:highlight w:val="none"/>
                <w:lang w:eastAsia="zh-CN"/>
              </w:rPr>
              <w:t>）</w:t>
            </w:r>
          </w:p>
        </w:tc>
        <w:tc>
          <w:tcPr>
            <w:tcW w:w="1257" w:type="pct"/>
            <w:noWrap w:val="0"/>
            <w:vAlign w:val="center"/>
          </w:tcPr>
          <w:p w14:paraId="55B340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1169" w:type="pct"/>
            <w:noWrap w:val="0"/>
            <w:vAlign w:val="center"/>
          </w:tcPr>
          <w:p w14:paraId="07DAC0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c>
          <w:tcPr>
            <w:tcW w:w="1002" w:type="pct"/>
            <w:shd w:val="clear" w:color="auto" w:fill="auto"/>
            <w:noWrap w:val="0"/>
            <w:vAlign w:val="center"/>
          </w:tcPr>
          <w:p w14:paraId="4E6360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bCs/>
                <w:color w:val="auto"/>
                <w:sz w:val="21"/>
                <w:szCs w:val="21"/>
                <w:highlight w:val="none"/>
                <w:lang w:val="en-US" w:eastAsia="zh-CN"/>
              </w:rPr>
              <w:t>500</w:t>
            </w:r>
          </w:p>
        </w:tc>
        <w:tc>
          <w:tcPr>
            <w:tcW w:w="815" w:type="pct"/>
            <w:shd w:val="clear" w:color="auto" w:fill="auto"/>
            <w:noWrap w:val="0"/>
            <w:vAlign w:val="center"/>
          </w:tcPr>
          <w:p w14:paraId="0F70D2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r>
      <w:tr w14:paraId="6AFDB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3DB956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r>
              <w:rPr>
                <w:rFonts w:hint="eastAsia" w:ascii="Times New Roman" w:hAnsi="Times New Roman" w:eastAsia="宋体"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lang w:val="en-US" w:eastAsia="zh-CN"/>
              </w:rPr>
              <w:t>mg/L</w:t>
            </w:r>
            <w:r>
              <w:rPr>
                <w:rFonts w:hint="eastAsia" w:ascii="Times New Roman" w:hAnsi="Times New Roman" w:eastAsia="宋体" w:cs="Times New Roman"/>
                <w:bCs/>
                <w:color w:val="auto"/>
                <w:kern w:val="0"/>
                <w:sz w:val="21"/>
                <w:szCs w:val="21"/>
                <w:highlight w:val="none"/>
                <w:lang w:eastAsia="zh-CN"/>
              </w:rPr>
              <w:t>）</w:t>
            </w:r>
          </w:p>
        </w:tc>
        <w:tc>
          <w:tcPr>
            <w:tcW w:w="1257" w:type="pct"/>
            <w:noWrap w:val="0"/>
            <w:vAlign w:val="center"/>
          </w:tcPr>
          <w:p w14:paraId="728E6D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45</w:t>
            </w:r>
          </w:p>
        </w:tc>
        <w:tc>
          <w:tcPr>
            <w:tcW w:w="1169" w:type="pct"/>
            <w:noWrap w:val="0"/>
            <w:vAlign w:val="center"/>
          </w:tcPr>
          <w:p w14:paraId="7E0F8A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002" w:type="pct"/>
            <w:shd w:val="clear" w:color="auto" w:fill="auto"/>
            <w:noWrap w:val="0"/>
            <w:vAlign w:val="center"/>
          </w:tcPr>
          <w:p w14:paraId="1D6102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c>
          <w:tcPr>
            <w:tcW w:w="815" w:type="pct"/>
            <w:shd w:val="clear" w:color="auto" w:fill="auto"/>
            <w:noWrap w:val="0"/>
            <w:vAlign w:val="center"/>
          </w:tcPr>
          <w:p w14:paraId="08F3DC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45</w:t>
            </w:r>
          </w:p>
        </w:tc>
      </w:tr>
      <w:tr w14:paraId="2D061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1B64BA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动植物油</w:t>
            </w:r>
            <w:r>
              <w:rPr>
                <w:rFonts w:hint="eastAsia" w:ascii="Times New Roman" w:hAnsi="Times New Roman" w:eastAsia="宋体"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lang w:val="en-US" w:eastAsia="zh-CN"/>
              </w:rPr>
              <w:t>mg/L</w:t>
            </w:r>
            <w:r>
              <w:rPr>
                <w:rFonts w:hint="eastAsia" w:ascii="Times New Roman" w:hAnsi="Times New Roman" w:eastAsia="宋体" w:cs="Times New Roman"/>
                <w:bCs/>
                <w:color w:val="auto"/>
                <w:kern w:val="0"/>
                <w:sz w:val="21"/>
                <w:szCs w:val="21"/>
                <w:highlight w:val="none"/>
                <w:lang w:eastAsia="zh-CN"/>
              </w:rPr>
              <w:t>）</w:t>
            </w:r>
          </w:p>
        </w:tc>
        <w:tc>
          <w:tcPr>
            <w:tcW w:w="1257" w:type="pct"/>
            <w:noWrap w:val="0"/>
            <w:vAlign w:val="center"/>
          </w:tcPr>
          <w:p w14:paraId="575726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1169" w:type="pct"/>
            <w:noWrap w:val="0"/>
            <w:vAlign w:val="center"/>
          </w:tcPr>
          <w:p w14:paraId="7676E9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w:t>
            </w:r>
          </w:p>
        </w:tc>
        <w:tc>
          <w:tcPr>
            <w:tcW w:w="1002" w:type="pct"/>
            <w:shd w:val="clear" w:color="auto" w:fill="auto"/>
            <w:noWrap w:val="0"/>
            <w:vAlign w:val="center"/>
          </w:tcPr>
          <w:p w14:paraId="224BE5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bCs/>
                <w:color w:val="auto"/>
                <w:sz w:val="21"/>
                <w:szCs w:val="21"/>
                <w:highlight w:val="none"/>
                <w:lang w:val="en-US" w:eastAsia="zh-CN"/>
              </w:rPr>
              <w:t>100</w:t>
            </w:r>
          </w:p>
        </w:tc>
        <w:tc>
          <w:tcPr>
            <w:tcW w:w="815" w:type="pct"/>
            <w:shd w:val="clear" w:color="auto" w:fill="auto"/>
            <w:noWrap w:val="0"/>
            <w:vAlign w:val="center"/>
          </w:tcPr>
          <w:p w14:paraId="164C2D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r>
      <w:tr w14:paraId="1D9F9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7F50C4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总大肠菌群数（MPN/L）</w:t>
            </w:r>
          </w:p>
        </w:tc>
        <w:tc>
          <w:tcPr>
            <w:tcW w:w="1257" w:type="pct"/>
            <w:noWrap w:val="0"/>
            <w:vAlign w:val="center"/>
          </w:tcPr>
          <w:p w14:paraId="1143D8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1169" w:type="pct"/>
            <w:noWrap w:val="0"/>
            <w:vAlign w:val="center"/>
          </w:tcPr>
          <w:p w14:paraId="0820A1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1002" w:type="pct"/>
            <w:shd w:val="clear" w:color="auto" w:fill="auto"/>
            <w:noWrap w:val="0"/>
            <w:vAlign w:val="center"/>
          </w:tcPr>
          <w:p w14:paraId="016DAB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c>
          <w:tcPr>
            <w:tcW w:w="815" w:type="pct"/>
            <w:shd w:val="clear" w:color="auto" w:fill="auto"/>
            <w:noWrap w:val="0"/>
            <w:vAlign w:val="center"/>
          </w:tcPr>
          <w:p w14:paraId="658428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p>
        </w:tc>
      </w:tr>
      <w:tr w14:paraId="2EE3C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4D0C0D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eastAsia="宋体" w:cs="Times New Roman"/>
                <w:bCs/>
                <w:color w:val="auto"/>
                <w:kern w:val="0"/>
                <w:sz w:val="21"/>
                <w:szCs w:val="21"/>
                <w:highlight w:val="none"/>
                <w:lang w:val="en-US" w:eastAsia="zh-CN"/>
              </w:rPr>
              <w:t>总氮</w:t>
            </w:r>
            <w:r>
              <w:rPr>
                <w:rFonts w:hint="eastAsia" w:ascii="Times New Roman" w:hAnsi="Times New Roman" w:eastAsia="宋体"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lang w:val="en-US" w:eastAsia="zh-CN"/>
              </w:rPr>
              <w:t>mg/L</w:t>
            </w:r>
            <w:r>
              <w:rPr>
                <w:rFonts w:hint="eastAsia" w:ascii="Times New Roman" w:hAnsi="Times New Roman" w:eastAsia="宋体" w:cs="Times New Roman"/>
                <w:bCs/>
                <w:color w:val="auto"/>
                <w:kern w:val="0"/>
                <w:sz w:val="21"/>
                <w:szCs w:val="21"/>
                <w:highlight w:val="none"/>
                <w:lang w:eastAsia="zh-CN"/>
              </w:rPr>
              <w:t>）</w:t>
            </w:r>
          </w:p>
        </w:tc>
        <w:tc>
          <w:tcPr>
            <w:tcW w:w="1257" w:type="pct"/>
            <w:noWrap w:val="0"/>
            <w:vAlign w:val="center"/>
          </w:tcPr>
          <w:p w14:paraId="301180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169" w:type="pct"/>
            <w:noWrap w:val="0"/>
            <w:vAlign w:val="center"/>
          </w:tcPr>
          <w:p w14:paraId="07FCF6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002" w:type="pct"/>
            <w:shd w:val="clear" w:color="auto" w:fill="auto"/>
            <w:noWrap w:val="0"/>
            <w:vAlign w:val="center"/>
          </w:tcPr>
          <w:p w14:paraId="12AA6B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c>
          <w:tcPr>
            <w:tcW w:w="815" w:type="pct"/>
            <w:shd w:val="clear" w:color="auto" w:fill="auto"/>
            <w:noWrap w:val="0"/>
            <w:vAlign w:val="center"/>
          </w:tcPr>
          <w:p w14:paraId="7753E7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r>
      <w:tr w14:paraId="6E3EF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7D172C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eastAsia="宋体" w:cs="Times New Roman"/>
                <w:bCs/>
                <w:color w:val="auto"/>
                <w:kern w:val="0"/>
                <w:sz w:val="21"/>
                <w:szCs w:val="21"/>
                <w:highlight w:val="none"/>
                <w:lang w:val="en-US" w:eastAsia="zh-CN"/>
              </w:rPr>
              <w:t>总磷</w:t>
            </w:r>
            <w:r>
              <w:rPr>
                <w:rFonts w:hint="eastAsia" w:ascii="Times New Roman" w:hAnsi="Times New Roman" w:eastAsia="宋体" w:cs="Times New Roman"/>
                <w:bCs/>
                <w:color w:val="auto"/>
                <w:kern w:val="0"/>
                <w:sz w:val="21"/>
                <w:szCs w:val="21"/>
                <w:highlight w:val="none"/>
                <w:lang w:eastAsia="zh-CN"/>
              </w:rPr>
              <w:t>（</w:t>
            </w:r>
            <w:r>
              <w:rPr>
                <w:rFonts w:hint="eastAsia" w:ascii="Times New Roman" w:hAnsi="Times New Roman" w:eastAsia="宋体" w:cs="Times New Roman"/>
                <w:bCs/>
                <w:color w:val="auto"/>
                <w:kern w:val="0"/>
                <w:sz w:val="21"/>
                <w:szCs w:val="21"/>
                <w:highlight w:val="none"/>
                <w:lang w:val="en-US" w:eastAsia="zh-CN"/>
              </w:rPr>
              <w:t>mg/L</w:t>
            </w:r>
            <w:r>
              <w:rPr>
                <w:rFonts w:hint="eastAsia" w:ascii="Times New Roman" w:hAnsi="Times New Roman" w:eastAsia="宋体" w:cs="Times New Roman"/>
                <w:bCs/>
                <w:color w:val="auto"/>
                <w:kern w:val="0"/>
                <w:sz w:val="21"/>
                <w:szCs w:val="21"/>
                <w:highlight w:val="none"/>
                <w:lang w:eastAsia="zh-CN"/>
              </w:rPr>
              <w:t>）</w:t>
            </w:r>
          </w:p>
        </w:tc>
        <w:tc>
          <w:tcPr>
            <w:tcW w:w="1257" w:type="pct"/>
            <w:noWrap w:val="0"/>
            <w:vAlign w:val="center"/>
          </w:tcPr>
          <w:p w14:paraId="63FC52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169" w:type="pct"/>
            <w:noWrap w:val="0"/>
            <w:vAlign w:val="center"/>
          </w:tcPr>
          <w:p w14:paraId="0713D8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002" w:type="pct"/>
            <w:shd w:val="clear" w:color="auto" w:fill="auto"/>
            <w:noWrap w:val="0"/>
            <w:vAlign w:val="center"/>
          </w:tcPr>
          <w:p w14:paraId="5D8870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c>
          <w:tcPr>
            <w:tcW w:w="815" w:type="pct"/>
            <w:shd w:val="clear" w:color="auto" w:fill="auto"/>
            <w:noWrap w:val="0"/>
            <w:vAlign w:val="center"/>
          </w:tcPr>
          <w:p w14:paraId="666D01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r>
      <w:tr w14:paraId="0BF72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pct"/>
            <w:noWrap w:val="0"/>
            <w:vAlign w:val="center"/>
          </w:tcPr>
          <w:p w14:paraId="6DA280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eastAsia" w:eastAsia="宋体" w:cs="Times New Roman"/>
                <w:bCs/>
                <w:color w:val="auto"/>
                <w:kern w:val="0"/>
                <w:sz w:val="21"/>
                <w:szCs w:val="21"/>
                <w:highlight w:val="none"/>
                <w:lang w:val="en-US" w:eastAsia="zh-CN"/>
              </w:rPr>
              <w:t>色度（稀释倍数）</w:t>
            </w:r>
          </w:p>
        </w:tc>
        <w:tc>
          <w:tcPr>
            <w:tcW w:w="1257" w:type="pct"/>
            <w:noWrap w:val="0"/>
            <w:vAlign w:val="center"/>
          </w:tcPr>
          <w:p w14:paraId="4B6E34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1169" w:type="pct"/>
            <w:noWrap w:val="0"/>
            <w:vAlign w:val="center"/>
          </w:tcPr>
          <w:p w14:paraId="5AB238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64</w:t>
            </w:r>
          </w:p>
        </w:tc>
        <w:tc>
          <w:tcPr>
            <w:tcW w:w="1002" w:type="pct"/>
            <w:shd w:val="clear" w:color="auto" w:fill="auto"/>
            <w:noWrap w:val="0"/>
            <w:vAlign w:val="center"/>
          </w:tcPr>
          <w:p w14:paraId="74472C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c>
          <w:tcPr>
            <w:tcW w:w="815" w:type="pct"/>
            <w:shd w:val="clear" w:color="auto" w:fill="auto"/>
            <w:noWrap w:val="0"/>
            <w:vAlign w:val="center"/>
          </w:tcPr>
          <w:p w14:paraId="4F7ADB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64</w:t>
            </w:r>
          </w:p>
        </w:tc>
      </w:tr>
    </w:tbl>
    <w:p w14:paraId="29133531">
      <w:pPr>
        <w:pageBreakBefore w:val="0"/>
        <w:kinsoku/>
        <w:wordWrap/>
        <w:topLinePunct w:val="0"/>
        <w:bidi w:val="0"/>
        <w:adjustRightInd/>
        <w:snapToGrid/>
        <w:ind w:left="0" w:leftChars="0"/>
        <w:rPr>
          <w:rFonts w:hint="eastAsia" w:ascii="Times New Roman" w:hAnsi="Times New Roman"/>
          <w:color w:val="auto"/>
          <w:lang w:val="en-US" w:eastAsia="zh-CN"/>
        </w:rPr>
      </w:pPr>
      <w:r>
        <w:rPr>
          <w:rFonts w:hint="eastAsia" w:ascii="Times New Roman" w:hAnsi="Times New Roman"/>
          <w:color w:val="auto"/>
          <w:lang w:val="en-US" w:eastAsia="zh-CN"/>
        </w:rPr>
        <w:t>（3）噪声排放标准</w:t>
      </w:r>
    </w:p>
    <w:p w14:paraId="58884E37">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eastAsia="仿宋_GB2312" w:cs="Times New Roman"/>
          <w:color w:val="auto"/>
          <w:sz w:val="24"/>
          <w:highlight w:val="none"/>
          <w:lang w:val="zh-CN"/>
        </w:rPr>
      </w:pPr>
      <w:r>
        <w:rPr>
          <w:rFonts w:hint="default" w:ascii="Times New Roman" w:hAnsi="Times New Roman" w:eastAsia="仿宋_GB2312" w:cs="Times New Roman"/>
          <w:color w:val="auto"/>
          <w:lang w:val="en-US" w:eastAsia="zh-CN"/>
        </w:rPr>
        <w:t>①</w:t>
      </w:r>
      <w:r>
        <w:rPr>
          <w:rFonts w:hint="eastAsia" w:ascii="Times New Roman" w:hAnsi="Times New Roman" w:eastAsia="仿宋_GB2312" w:cs="Times New Roman"/>
          <w:color w:val="auto"/>
          <w:lang w:val="en-US" w:eastAsia="zh-CN"/>
        </w:rPr>
        <w:t>施工期：</w:t>
      </w:r>
      <w:r>
        <w:rPr>
          <w:rFonts w:hint="default" w:ascii="Times New Roman" w:hAnsi="Times New Roman" w:eastAsia="仿宋_GB2312" w:cs="Times New Roman"/>
          <w:color w:val="auto"/>
          <w:sz w:val="24"/>
          <w:highlight w:val="none"/>
          <w:lang w:val="zh-CN"/>
        </w:rPr>
        <w:t>项目施工期建筑施工场界噪声排放执行《建筑施工噪声排放标准》（GB12523-2025）标准限值。标准值见表</w:t>
      </w:r>
      <w:r>
        <w:rPr>
          <w:rFonts w:hint="default" w:ascii="Times New Roman" w:hAnsi="Times New Roman" w:eastAsia="仿宋_GB2312" w:cs="Times New Roman"/>
          <w:color w:val="auto"/>
          <w:sz w:val="24"/>
          <w:highlight w:val="none"/>
        </w:rPr>
        <w:t>1.4-1</w:t>
      </w:r>
      <w:r>
        <w:rPr>
          <w:rFonts w:hint="eastAsia" w:cs="Times New Roman"/>
          <w:color w:val="auto"/>
          <w:sz w:val="24"/>
          <w:highlight w:val="none"/>
          <w:lang w:val="en-US" w:eastAsia="zh-CN"/>
        </w:rPr>
        <w:t>0</w:t>
      </w:r>
      <w:r>
        <w:rPr>
          <w:rFonts w:hint="default" w:ascii="Times New Roman" w:hAnsi="Times New Roman" w:eastAsia="仿宋_GB2312" w:cs="Times New Roman"/>
          <w:color w:val="auto"/>
          <w:sz w:val="24"/>
          <w:highlight w:val="none"/>
          <w:lang w:val="zh-CN"/>
        </w:rPr>
        <w:t>。</w:t>
      </w:r>
    </w:p>
    <w:p w14:paraId="4BF22FB3">
      <w:pPr>
        <w:pageBreakBefore w:val="0"/>
        <w:kinsoku/>
        <w:wordWrap/>
        <w:topLinePunct w:val="0"/>
        <w:bidi w:val="0"/>
        <w:adjustRightInd/>
        <w:snapToGrid/>
        <w:spacing w:line="240" w:lineRule="auto"/>
        <w:ind w:left="0" w:leftChars="0"/>
        <w:jc w:val="both"/>
        <w:rPr>
          <w:rFonts w:hint="default" w:ascii="Times New Roman" w:hAnsi="Times New Roman" w:cs="Times New Roman"/>
          <w:color w:val="auto"/>
          <w:kern w:val="1"/>
          <w:szCs w:val="16"/>
          <w:highlight w:val="none"/>
        </w:rPr>
      </w:pPr>
      <w:r>
        <w:rPr>
          <w:rFonts w:hint="default" w:ascii="Times New Roman" w:hAnsi="Times New Roman" w:eastAsia="宋体" w:cs="Times New Roman"/>
          <w:color w:val="auto"/>
          <w:sz w:val="21"/>
          <w:szCs w:val="21"/>
          <w:highlight w:val="none"/>
        </w:rPr>
        <w:t>表1.4-1</w:t>
      </w:r>
      <w:r>
        <w:rPr>
          <w:rFonts w:hint="eastAsia" w:eastAsia="宋体" w:cs="Times New Roman"/>
          <w:color w:val="auto"/>
          <w:sz w:val="21"/>
          <w:szCs w:val="21"/>
          <w:highlight w:val="none"/>
          <w:lang w:val="en-US" w:eastAsia="zh-CN"/>
        </w:rPr>
        <w:t>0</w:t>
      </w:r>
      <w:r>
        <w:rPr>
          <w:rFonts w:hint="default" w:ascii="Times New Roman" w:hAnsi="Times New Roman" w:cs="Times New Roman"/>
          <w:color w:val="auto"/>
          <w:kern w:val="1"/>
          <w:szCs w:val="16"/>
          <w:highlight w:val="none"/>
        </w:rPr>
        <w:t xml:space="preserve"> </w:t>
      </w:r>
      <w:r>
        <w:rPr>
          <w:rFonts w:hint="eastAsia" w:ascii="Times New Roman" w:hAnsi="Times New Roman" w:cs="Times New Roman"/>
          <w:color w:val="auto"/>
          <w:kern w:val="1"/>
          <w:szCs w:val="16"/>
          <w:highlight w:val="none"/>
          <w:lang w:val="en-US" w:eastAsia="zh-CN"/>
        </w:rPr>
        <w:t xml:space="preserve">   </w:t>
      </w:r>
      <w:r>
        <w:rPr>
          <w:rFonts w:hint="default" w:ascii="Times New Roman" w:hAnsi="Times New Roman" w:cs="Times New Roman"/>
          <w:color w:val="auto"/>
          <w:kern w:val="1"/>
          <w:szCs w:val="16"/>
          <w:highlight w:val="none"/>
        </w:rPr>
        <w:t xml:space="preserve"> </w:t>
      </w:r>
      <w:r>
        <w:rPr>
          <w:rFonts w:hint="eastAsia" w:cs="Times New Roman"/>
          <w:color w:val="auto"/>
          <w:kern w:val="1"/>
          <w:szCs w:val="16"/>
          <w:highlight w:val="none"/>
          <w:lang w:val="en-US" w:eastAsia="zh-CN"/>
        </w:rPr>
        <w:t xml:space="preserve">       </w:t>
      </w:r>
      <w:r>
        <w:rPr>
          <w:rFonts w:hint="eastAsia" w:ascii="Times New Roman" w:hAnsi="Times New Roman" w:eastAsia="宋体" w:cs="Times New Roman"/>
          <w:b/>
          <w:bCs/>
          <w:color w:val="auto"/>
          <w:szCs w:val="21"/>
          <w:highlight w:val="none"/>
          <w:lang w:val="en-US" w:eastAsia="zh-CN"/>
        </w:rPr>
        <w:t>建筑施工噪声排放标准</w:t>
      </w:r>
      <w:r>
        <w:rPr>
          <w:rFonts w:hint="eastAsia"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lang w:val="en-US" w:eastAsia="zh-CN"/>
        </w:rPr>
        <w:t xml:space="preserve">  单位：dB（A）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05"/>
        <w:gridCol w:w="4643"/>
      </w:tblGrid>
      <w:tr w14:paraId="3AFD9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948" w:type="dxa"/>
            <w:gridSpan w:val="2"/>
            <w:noWrap w:val="0"/>
            <w:vAlign w:val="center"/>
          </w:tcPr>
          <w:p w14:paraId="64B3D2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噪声限值</w:t>
            </w:r>
          </w:p>
        </w:tc>
      </w:tr>
      <w:tr w14:paraId="2F1DE5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05" w:type="dxa"/>
            <w:noWrap w:val="0"/>
            <w:vAlign w:val="center"/>
          </w:tcPr>
          <w:p w14:paraId="43CB0A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昼间</w:t>
            </w:r>
          </w:p>
        </w:tc>
        <w:tc>
          <w:tcPr>
            <w:tcW w:w="4643" w:type="dxa"/>
            <w:noWrap w:val="0"/>
            <w:vAlign w:val="center"/>
          </w:tcPr>
          <w:p w14:paraId="799FA3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夜间</w:t>
            </w:r>
          </w:p>
        </w:tc>
      </w:tr>
      <w:tr w14:paraId="50819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305" w:type="dxa"/>
            <w:noWrap w:val="0"/>
            <w:vAlign w:val="center"/>
          </w:tcPr>
          <w:p w14:paraId="3B2174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4643" w:type="dxa"/>
            <w:noWrap w:val="0"/>
            <w:vAlign w:val="center"/>
          </w:tcPr>
          <w:p w14:paraId="301E2D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r w14:paraId="6754A4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948" w:type="dxa"/>
            <w:gridSpan w:val="2"/>
            <w:noWrap w:val="0"/>
            <w:vAlign w:val="center"/>
          </w:tcPr>
          <w:p w14:paraId="37B37B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rPr>
            </w:pPr>
            <w:r>
              <w:rPr>
                <w:rFonts w:hint="eastAsia" w:eastAsia="宋体" w:cs="Times New Roman"/>
                <w:color w:val="000000" w:themeColor="text1"/>
                <w:sz w:val="21"/>
                <w:szCs w:val="21"/>
                <w:lang w:val="en-US" w:eastAsia="zh-CN"/>
                <w14:textFill>
                  <w14:solidFill>
                    <w14:schemeClr w14:val="tx1"/>
                  </w14:solidFill>
                </w14:textFill>
              </w:rPr>
              <w:t>备注：</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夜间场界噪声最大声级超过排放限值的幅度不得高于15dB(A)。</w:t>
            </w:r>
          </w:p>
        </w:tc>
      </w:tr>
    </w:tbl>
    <w:p w14:paraId="5FDDF37A">
      <w:pPr>
        <w:pageBreakBefore w:val="0"/>
        <w:kinsoku/>
        <w:wordWrap/>
        <w:topLinePunct w:val="0"/>
        <w:bidi w:val="0"/>
        <w:adjustRightInd/>
        <w:snapToGrid/>
        <w:ind w:left="0" w:leftChars="0"/>
        <w:rPr>
          <w:rFonts w:hint="eastAsia" w:ascii="Times New Roman" w:hAnsi="Times New Roman"/>
          <w:color w:val="auto"/>
          <w:lang w:val="en-US" w:eastAsia="zh-CN"/>
        </w:rPr>
      </w:pPr>
      <w:r>
        <w:rPr>
          <w:rFonts w:hint="default" w:ascii="Times New Roman" w:hAnsi="Times New Roman" w:eastAsia="仿宋_GB2312" w:cs="Times New Roman"/>
          <w:color w:val="auto"/>
          <w:lang w:val="en-US" w:eastAsia="zh-CN"/>
        </w:rPr>
        <w:t>②</w:t>
      </w:r>
      <w:r>
        <w:rPr>
          <w:rFonts w:hint="eastAsia" w:ascii="Times New Roman" w:hAnsi="Times New Roman" w:cs="Times New Roman"/>
          <w:color w:val="auto"/>
          <w:lang w:val="en-US" w:eastAsia="zh-CN"/>
        </w:rPr>
        <w:t>运营期：</w:t>
      </w:r>
      <w:r>
        <w:rPr>
          <w:rFonts w:hint="eastAsia" w:ascii="Times New Roman" w:hAnsi="Times New Roman"/>
          <w:color w:val="auto"/>
          <w:lang w:val="en-US" w:eastAsia="zh-CN"/>
        </w:rPr>
        <w:t>项目厂界噪声排放执行《工业企业厂界环境噪声排放标准》（GB12348-2008）3类标准</w:t>
      </w:r>
      <w:r>
        <w:rPr>
          <w:rFonts w:hint="eastAsia"/>
          <w:color w:val="auto"/>
          <w:lang w:val="en-US" w:eastAsia="zh-CN"/>
        </w:rPr>
        <w:t>，</w:t>
      </w:r>
      <w:r>
        <w:rPr>
          <w:rFonts w:hint="eastAsia" w:ascii="Times New Roman" w:hAnsi="Times New Roman"/>
          <w:color w:val="auto"/>
          <w:lang w:val="en-US" w:eastAsia="zh-CN"/>
        </w:rPr>
        <w:t>标准值见表1.4-1</w:t>
      </w:r>
      <w:r>
        <w:rPr>
          <w:rFonts w:hint="eastAsia"/>
          <w:color w:val="auto"/>
          <w:lang w:val="en-US" w:eastAsia="zh-CN"/>
        </w:rPr>
        <w:t>1</w:t>
      </w:r>
      <w:r>
        <w:rPr>
          <w:rFonts w:hint="eastAsia" w:ascii="Times New Roman" w:hAnsi="Times New Roman"/>
          <w:color w:val="auto"/>
          <w:lang w:val="en-US" w:eastAsia="zh-CN"/>
        </w:rPr>
        <w:t>。</w:t>
      </w:r>
    </w:p>
    <w:p w14:paraId="1B78059B">
      <w:pPr>
        <w:pageBreakBefore w:val="0"/>
        <w:kinsoku/>
        <w:wordWrap/>
        <w:topLinePunct w:val="0"/>
        <w:bidi w:val="0"/>
        <w:adjustRightInd/>
        <w:snapToGrid/>
        <w:spacing w:line="240" w:lineRule="auto"/>
        <w:ind w:left="0" w:leftChars="0" w:firstLine="420" w:firstLineChars="200"/>
        <w:jc w:val="both"/>
        <w:rPr>
          <w:rFonts w:hint="default" w:ascii="Times New Roman" w:hAnsi="Times New Roman" w:eastAsia="仿宋_GB2312" w:cs="Times New Roman"/>
          <w:b/>
          <w:bCs/>
          <w:color w:val="auto"/>
        </w:rPr>
      </w:pPr>
      <w:r>
        <w:rPr>
          <w:rFonts w:hint="default" w:ascii="Times New Roman" w:hAnsi="Times New Roman" w:eastAsia="宋体" w:cs="Times New Roman"/>
          <w:color w:val="auto"/>
          <w:sz w:val="21"/>
          <w:szCs w:val="21"/>
          <w:lang w:val="en-US" w:eastAsia="zh-CN"/>
        </w:rPr>
        <w:t>表</w:t>
      </w:r>
      <w:r>
        <w:rPr>
          <w:rFonts w:hint="eastAsia" w:ascii="Times New Roman" w:hAnsi="Times New Roman" w:eastAsia="宋体" w:cs="Times New Roman"/>
          <w:color w:val="auto"/>
          <w:sz w:val="21"/>
          <w:szCs w:val="21"/>
          <w:lang w:val="en-US" w:eastAsia="zh-CN"/>
        </w:rPr>
        <w:t>1.4-1</w:t>
      </w:r>
      <w:r>
        <w:rPr>
          <w:rFonts w:hint="eastAsia" w:eastAsia="宋体" w:cs="Times New Roman"/>
          <w:color w:val="auto"/>
          <w:sz w:val="21"/>
          <w:szCs w:val="21"/>
          <w:lang w:val="en-US" w:eastAsia="zh-CN"/>
        </w:rPr>
        <w:t>1</w:t>
      </w:r>
      <w:r>
        <w:rPr>
          <w:rFonts w:hint="default" w:ascii="Times New Roman" w:hAnsi="Times New Roman" w:eastAsia="仿宋_GB2312" w:cs="Times New Roman"/>
          <w:b/>
          <w:bCs/>
          <w:color w:val="auto"/>
        </w:rPr>
        <w:t xml:space="preserve">  </w:t>
      </w:r>
      <w:r>
        <w:rPr>
          <w:rFonts w:hint="eastAsia" w:ascii="Times New Roman" w:hAnsi="Times New Roman" w:cs="Times New Roman"/>
          <w:b/>
          <w:bCs/>
          <w:color w:val="auto"/>
          <w:lang w:val="en-US" w:eastAsia="zh-CN"/>
        </w:rPr>
        <w:t xml:space="preserve">  </w:t>
      </w:r>
      <w:r>
        <w:rPr>
          <w:rFonts w:hint="default" w:ascii="Times New Roman" w:hAnsi="Times New Roman" w:eastAsia="仿宋_GB2312" w:cs="Times New Roman"/>
          <w:b/>
          <w:bCs/>
          <w:color w:val="auto"/>
        </w:rPr>
        <w:t xml:space="preserve"> </w:t>
      </w:r>
      <w:r>
        <w:rPr>
          <w:rFonts w:hint="default" w:ascii="Times New Roman" w:hAnsi="Times New Roman" w:eastAsia="宋体" w:cs="Times New Roman"/>
          <w:b/>
          <w:bCs/>
          <w:color w:val="auto"/>
          <w:kern w:val="1"/>
          <w:sz w:val="24"/>
          <w:szCs w:val="24"/>
          <w:highlight w:val="none"/>
          <w:lang w:val="en-US" w:eastAsia="zh-CN" w:bidi="ar-SA"/>
        </w:rPr>
        <w:t>《工业企业厂界环境噪声排放标准》（GB12348-2008）</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8"/>
        <w:gridCol w:w="2675"/>
        <w:gridCol w:w="3245"/>
      </w:tblGrid>
      <w:tr w14:paraId="0ED41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vAlign w:val="center"/>
          </w:tcPr>
          <w:p w14:paraId="749497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声环境功能区类别</w:t>
            </w:r>
          </w:p>
        </w:tc>
        <w:tc>
          <w:tcPr>
            <w:tcW w:w="2731" w:type="dxa"/>
            <w:tcBorders>
              <w:tl2br w:val="nil"/>
              <w:tr2bl w:val="nil"/>
            </w:tcBorders>
            <w:vAlign w:val="center"/>
          </w:tcPr>
          <w:p w14:paraId="0287B8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3314" w:type="dxa"/>
            <w:tcBorders>
              <w:tl2br w:val="nil"/>
              <w:tr2bl w:val="nil"/>
            </w:tcBorders>
            <w:vAlign w:val="center"/>
          </w:tcPr>
          <w:p w14:paraId="7BF328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53C78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vAlign w:val="center"/>
          </w:tcPr>
          <w:p w14:paraId="124C8D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类</w:t>
            </w:r>
          </w:p>
        </w:tc>
        <w:tc>
          <w:tcPr>
            <w:tcW w:w="2731" w:type="dxa"/>
            <w:tcBorders>
              <w:tl2br w:val="nil"/>
              <w:tr2bl w:val="nil"/>
            </w:tcBorders>
            <w:vAlign w:val="center"/>
          </w:tcPr>
          <w:p w14:paraId="260285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p>
        </w:tc>
        <w:tc>
          <w:tcPr>
            <w:tcW w:w="3314" w:type="dxa"/>
            <w:tcBorders>
              <w:tl2br w:val="nil"/>
              <w:tr2bl w:val="nil"/>
            </w:tcBorders>
            <w:vAlign w:val="center"/>
          </w:tcPr>
          <w:p w14:paraId="185D50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p>
        </w:tc>
      </w:tr>
    </w:tbl>
    <w:p w14:paraId="748A504E">
      <w:pPr>
        <w:pageBreakBefore w:val="0"/>
        <w:kinsoku/>
        <w:wordWrap/>
        <w:topLinePunct w:val="0"/>
        <w:bidi w:val="0"/>
        <w:adjustRightInd/>
        <w:snapToGrid/>
        <w:ind w:left="0" w:leftChars="0"/>
        <w:rPr>
          <w:rFonts w:hint="eastAsia" w:ascii="Times New Roman" w:hAnsi="Times New Roman"/>
          <w:color w:val="auto"/>
          <w:lang w:val="en-US" w:eastAsia="zh-CN"/>
        </w:rPr>
      </w:pPr>
      <w:r>
        <w:rPr>
          <w:rFonts w:hint="eastAsia" w:ascii="Times New Roman" w:hAnsi="Times New Roman"/>
          <w:color w:val="auto"/>
          <w:lang w:val="en-US" w:eastAsia="zh-CN"/>
        </w:rPr>
        <w:t>（4）固体废物处置标准</w:t>
      </w:r>
    </w:p>
    <w:p w14:paraId="635D6F72">
      <w:pPr>
        <w:pageBreakBefore w:val="0"/>
        <w:kinsoku/>
        <w:wordWrap/>
        <w:topLinePunct w:val="0"/>
        <w:bidi w:val="0"/>
        <w:adjustRightInd/>
        <w:snapToGrid/>
        <w:ind w:left="0" w:leftChars="0"/>
        <w:rPr>
          <w:rFonts w:hint="eastAsia" w:ascii="Times New Roman" w:hAnsi="Times New Roman"/>
          <w:color w:val="auto"/>
          <w:lang w:val="en-US" w:eastAsia="zh-CN"/>
        </w:rPr>
      </w:pPr>
      <w:r>
        <w:rPr>
          <w:rFonts w:hint="eastAsia" w:ascii="Times New Roman" w:hAnsi="Times New Roman"/>
          <w:color w:val="auto"/>
          <w:lang w:val="en-US" w:eastAsia="zh-CN"/>
        </w:rPr>
        <w:t>本项目产生的</w:t>
      </w:r>
      <w:r>
        <w:rPr>
          <w:rFonts w:hint="eastAsia"/>
          <w:color w:val="auto"/>
          <w:lang w:val="en-US" w:eastAsia="zh-CN"/>
        </w:rPr>
        <w:t>一般工业</w:t>
      </w:r>
      <w:r>
        <w:rPr>
          <w:rFonts w:hint="eastAsia" w:ascii="Times New Roman" w:hAnsi="Times New Roman"/>
          <w:color w:val="auto"/>
          <w:lang w:val="en-US" w:eastAsia="zh-CN"/>
        </w:rPr>
        <w:t>固体废物贮存过程应满足防渗漏、防雨淋、防扬尘等环境保护要求</w:t>
      </w:r>
      <w:r>
        <w:rPr>
          <w:rFonts w:hint="eastAsia"/>
          <w:color w:val="auto"/>
          <w:lang w:val="en-US" w:eastAsia="zh-CN"/>
        </w:rPr>
        <w:t>；</w:t>
      </w:r>
      <w:r>
        <w:rPr>
          <w:rFonts w:hint="eastAsia" w:ascii="Times New Roman" w:hAnsi="Times New Roman" w:eastAsia="仿宋_GB2312" w:cs="Times New Roman"/>
          <w:color w:val="auto"/>
          <w:sz w:val="24"/>
          <w:highlight w:val="none"/>
          <w:lang w:val="en-US" w:eastAsia="zh-CN"/>
        </w:rPr>
        <w:t>危险废物贮存满足《危险废物贮存污染控制标准》（GB18597-2023）相关要求。</w:t>
      </w:r>
    </w:p>
    <w:p w14:paraId="4191074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eastAsia="黑体" w:cs="Times New Roman"/>
          <w:b/>
          <w:color w:val="auto"/>
          <w:sz w:val="28"/>
          <w:szCs w:val="28"/>
          <w:highlight w:val="none"/>
        </w:rPr>
      </w:pPr>
      <w:bookmarkStart w:id="216" w:name="_Toc14226"/>
      <w:bookmarkStart w:id="217" w:name="_Toc32404"/>
      <w:bookmarkStart w:id="218" w:name="_Toc12728"/>
      <w:bookmarkStart w:id="219" w:name="_Toc2815"/>
      <w:r>
        <w:rPr>
          <w:rFonts w:hint="default" w:ascii="Times New Roman" w:hAnsi="Times New Roman" w:eastAsia="黑体" w:cs="Times New Roman"/>
          <w:b/>
          <w:color w:val="auto"/>
          <w:sz w:val="28"/>
          <w:szCs w:val="28"/>
          <w:highlight w:val="none"/>
        </w:rPr>
        <w:t>1.5评价工作等级及评价范围</w:t>
      </w:r>
      <w:bookmarkEnd w:id="216"/>
      <w:bookmarkEnd w:id="217"/>
      <w:bookmarkEnd w:id="218"/>
      <w:bookmarkEnd w:id="219"/>
    </w:p>
    <w:p w14:paraId="689F110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bookmarkStart w:id="220" w:name="_Toc17830"/>
      <w:bookmarkStart w:id="221" w:name="_Toc3329"/>
      <w:r>
        <w:rPr>
          <w:rFonts w:hint="default" w:ascii="Times New Roman" w:hAnsi="Times New Roman" w:eastAsia="黑体" w:cs="Times New Roman"/>
          <w:b/>
          <w:color w:val="auto"/>
          <w:sz w:val="28"/>
          <w:szCs w:val="28"/>
          <w:highlight w:val="none"/>
        </w:rPr>
        <w:t>1.5.1环境空气</w:t>
      </w:r>
      <w:bookmarkEnd w:id="220"/>
      <w:bookmarkEnd w:id="221"/>
    </w:p>
    <w:p w14:paraId="6C08AEA8">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1.5.1.1环境影响识别与评级因子筛选</w:t>
      </w:r>
    </w:p>
    <w:p w14:paraId="296F4F78">
      <w:pPr>
        <w:pageBreakBefore w:val="0"/>
        <w:kinsoku/>
        <w:wordWrap/>
        <w:topLinePunct w:val="0"/>
        <w:bidi w:val="0"/>
        <w:adjustRightInd/>
        <w:snapToGrid/>
        <w:ind w:left="0" w:leftChars="0"/>
        <w:rPr>
          <w:rFonts w:hint="eastAsia" w:ascii="Times New Roman" w:hAnsi="Times New Roman"/>
          <w:color w:val="auto"/>
          <w:lang w:val="en-US" w:eastAsia="zh-CN"/>
        </w:rPr>
      </w:pPr>
      <w:r>
        <w:rPr>
          <w:rFonts w:hint="default" w:ascii="Times New Roman" w:hAnsi="Times New Roman"/>
          <w:color w:val="auto"/>
          <w:lang w:val="en-US" w:eastAsia="zh-CN"/>
        </w:rPr>
        <w:t>按《环境影响评价技术导则·大气环境》</w:t>
      </w:r>
      <w:r>
        <w:rPr>
          <w:rFonts w:hint="eastAsia" w:ascii="Times New Roman" w:hAnsi="Times New Roman"/>
          <w:color w:val="auto"/>
          <w:lang w:val="en-US" w:eastAsia="zh-CN"/>
        </w:rPr>
        <w:t>（</w:t>
      </w:r>
      <w:r>
        <w:rPr>
          <w:rFonts w:hint="default" w:ascii="Times New Roman" w:hAnsi="Times New Roman"/>
          <w:color w:val="auto"/>
          <w:lang w:val="en-US" w:eastAsia="zh-CN"/>
        </w:rPr>
        <w:t>HJ2.2-2018</w:t>
      </w:r>
      <w:r>
        <w:rPr>
          <w:rFonts w:hint="eastAsia" w:ascii="Times New Roman" w:hAnsi="Times New Roman"/>
          <w:color w:val="auto"/>
          <w:lang w:val="en-US" w:eastAsia="zh-CN"/>
        </w:rPr>
        <w:t>）</w:t>
      </w:r>
      <w:r>
        <w:rPr>
          <w:rFonts w:hint="default" w:ascii="Times New Roman" w:hAnsi="Times New Roman"/>
          <w:color w:val="auto"/>
          <w:lang w:val="en-US" w:eastAsia="zh-CN"/>
        </w:rPr>
        <w:t>的要求及工程分析识别大气环境影响因素，本项目的预测因子为</w:t>
      </w:r>
      <w:r>
        <w:rPr>
          <w:rFonts w:hint="default" w:ascii="Times New Roman" w:hAnsi="Times New Roman"/>
          <w:color w:val="auto"/>
          <w:lang w:val="zh-CN" w:eastAsia="zh-CN"/>
        </w:rPr>
        <w:t>NH</w:t>
      </w:r>
      <w:r>
        <w:rPr>
          <w:rFonts w:hint="default" w:ascii="Times New Roman" w:hAnsi="Times New Roman"/>
          <w:color w:val="auto"/>
          <w:vertAlign w:val="subscript"/>
          <w:lang w:val="zh-CN" w:eastAsia="zh-CN"/>
        </w:rPr>
        <w:t>3</w:t>
      </w:r>
      <w:r>
        <w:rPr>
          <w:rFonts w:hint="default" w:ascii="Times New Roman" w:hAnsi="Times New Roman"/>
          <w:color w:val="auto"/>
          <w:lang w:val="zh-CN" w:eastAsia="zh-CN"/>
        </w:rPr>
        <w:t>、H</w:t>
      </w:r>
      <w:r>
        <w:rPr>
          <w:rFonts w:hint="default" w:ascii="Times New Roman" w:hAnsi="Times New Roman"/>
          <w:color w:val="auto"/>
          <w:vertAlign w:val="subscript"/>
          <w:lang w:val="zh-CN" w:eastAsia="zh-CN"/>
        </w:rPr>
        <w:t>2</w:t>
      </w:r>
      <w:r>
        <w:rPr>
          <w:rFonts w:hint="default" w:ascii="Times New Roman" w:hAnsi="Times New Roman"/>
          <w:color w:val="auto"/>
          <w:lang w:val="zh-CN" w:eastAsia="zh-CN"/>
        </w:rPr>
        <w:t>S</w:t>
      </w:r>
      <w:r>
        <w:rPr>
          <w:rFonts w:hint="default" w:ascii="Times New Roman" w:hAnsi="Times New Roman"/>
          <w:color w:val="auto"/>
          <w:lang w:val="en-US" w:eastAsia="zh-CN"/>
        </w:rPr>
        <w:t>。</w:t>
      </w:r>
    </w:p>
    <w:p w14:paraId="0C2D73E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1.5.1.2评价工作等级筛选</w:t>
      </w:r>
    </w:p>
    <w:p w14:paraId="5AB702B1">
      <w:pPr>
        <w:pageBreakBefore w:val="0"/>
        <w:kinsoku/>
        <w:wordWrap/>
        <w:topLinePunct w:val="0"/>
        <w:bidi w:val="0"/>
        <w:adjustRightInd/>
        <w:snapToGrid/>
        <w:ind w:left="0" w:leftChars="0"/>
        <w:rPr>
          <w:rFonts w:hint="default" w:ascii="Times New Roman" w:hAnsi="Times New Roman"/>
          <w:color w:val="auto"/>
          <w:lang w:val="en-US" w:eastAsia="zh-CN"/>
        </w:rPr>
      </w:pPr>
      <w:r>
        <w:rPr>
          <w:rFonts w:hint="default" w:ascii="Times New Roman" w:hAnsi="Times New Roman"/>
          <w:color w:val="auto"/>
          <w:lang w:val="en-US" w:eastAsia="zh-CN"/>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0168DB53">
      <w:pPr>
        <w:pageBreakBefore w:val="0"/>
        <w:kinsoku/>
        <w:wordWrap/>
        <w:topLinePunct w:val="0"/>
        <w:bidi w:val="0"/>
        <w:adjustRightInd/>
        <w:snapToGrid/>
        <w:ind w:left="0" w:leftChars="0"/>
        <w:rPr>
          <w:rFonts w:hint="default" w:ascii="Times New Roman" w:hAnsi="Times New Roman"/>
          <w:color w:val="auto"/>
          <w:lang w:val="en-US" w:eastAsia="zh-CN"/>
        </w:rPr>
      </w:pPr>
      <w:r>
        <w:rPr>
          <w:rFonts w:hint="eastAsia" w:ascii="Times New Roman" w:hAnsi="Times New Roman"/>
          <w:color w:val="auto"/>
          <w:lang w:val="en-US" w:eastAsia="zh-CN"/>
        </w:rPr>
        <w:t>（1）</w:t>
      </w:r>
      <w:r>
        <w:rPr>
          <w:rFonts w:hint="default" w:ascii="Times New Roman" w:hAnsi="Times New Roman"/>
          <w:color w:val="auto"/>
          <w:lang w:val="en-US" w:eastAsia="zh-CN"/>
        </w:rPr>
        <w:t>评价工作等级判别表</w:t>
      </w:r>
    </w:p>
    <w:p w14:paraId="2F1F8861">
      <w:pPr>
        <w:pageBreakBefore w:val="0"/>
        <w:kinsoku/>
        <w:wordWrap/>
        <w:topLinePunct w:val="0"/>
        <w:bidi w:val="0"/>
        <w:adjustRightInd/>
        <w:snapToGrid/>
        <w:ind w:left="0" w:leftChars="0"/>
        <w:rPr>
          <w:rFonts w:hint="default" w:ascii="Times New Roman" w:hAnsi="Times New Roman"/>
          <w:color w:val="auto"/>
          <w:lang w:val="en-US" w:eastAsia="zh-CN"/>
        </w:rPr>
      </w:pPr>
      <w:r>
        <w:rPr>
          <w:rFonts w:hint="default" w:ascii="Times New Roman" w:hAnsi="Times New Roman"/>
          <w:color w:val="auto"/>
          <w:lang w:val="en-US" w:eastAsia="zh-CN"/>
        </w:rPr>
        <w:t>评价工作等级按照《环境影响评价技术导则·大气环境》（HJ2.2-2018）中表2的分级判据进行划分，具体划分要求见表1.5-1。</w:t>
      </w:r>
    </w:p>
    <w:p w14:paraId="33FF0E2F">
      <w:pPr>
        <w:pageBreakBefore w:val="0"/>
        <w:widowControl w:val="0"/>
        <w:kinsoku/>
        <w:wordWrap/>
        <w:topLinePunct w:val="0"/>
        <w:bidi w:val="0"/>
        <w:adjustRightInd/>
        <w:snapToGrid/>
        <w:spacing w:line="240" w:lineRule="auto"/>
        <w:ind w:left="0" w:leftChars="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Cs/>
          <w:color w:val="auto"/>
          <w:sz w:val="21"/>
          <w:szCs w:val="21"/>
          <w:highlight w:val="none"/>
        </w:rPr>
        <w:t>表1.5-1</w:t>
      </w:r>
      <w:r>
        <w:rPr>
          <w:rFonts w:hint="default"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评价工作等级划分依据</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196"/>
        <w:gridCol w:w="3888"/>
        <w:gridCol w:w="2704"/>
      </w:tblGrid>
      <w:tr w14:paraId="7E015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252" w:type="dxa"/>
            <w:noWrap w:val="0"/>
            <w:vAlign w:val="center"/>
          </w:tcPr>
          <w:p w14:paraId="3177C2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评价工作等级</w:t>
            </w:r>
          </w:p>
        </w:tc>
        <w:tc>
          <w:tcPr>
            <w:tcW w:w="3988" w:type="dxa"/>
            <w:noWrap w:val="0"/>
            <w:vAlign w:val="center"/>
          </w:tcPr>
          <w:p w14:paraId="347B3B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评价工作分级判据</w:t>
            </w:r>
          </w:p>
        </w:tc>
        <w:tc>
          <w:tcPr>
            <w:tcW w:w="2773" w:type="dxa"/>
            <w:noWrap w:val="0"/>
            <w:vAlign w:val="center"/>
          </w:tcPr>
          <w:p w14:paraId="6039AE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来源</w:t>
            </w:r>
          </w:p>
        </w:tc>
      </w:tr>
      <w:tr w14:paraId="53247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52" w:type="dxa"/>
            <w:noWrap w:val="0"/>
            <w:vAlign w:val="center"/>
          </w:tcPr>
          <w:p w14:paraId="021A2C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一级评价</w:t>
            </w:r>
          </w:p>
        </w:tc>
        <w:tc>
          <w:tcPr>
            <w:tcW w:w="3988" w:type="dxa"/>
            <w:noWrap w:val="0"/>
            <w:vAlign w:val="center"/>
          </w:tcPr>
          <w:p w14:paraId="4B3743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P</w:t>
            </w:r>
            <w:r>
              <w:rPr>
                <w:rFonts w:hint="default" w:ascii="Times New Roman" w:hAnsi="Times New Roman" w:eastAsia="宋体" w:cs="Times New Roman"/>
                <w:color w:val="auto"/>
                <w:sz w:val="21"/>
                <w:szCs w:val="21"/>
                <w:highlight w:val="none"/>
                <w:vertAlign w:val="subscript"/>
              </w:rPr>
              <w:t>max</w:t>
            </w:r>
            <w:r>
              <w:rPr>
                <w:rFonts w:hint="default" w:ascii="Times New Roman" w:hAnsi="Times New Roman" w:eastAsia="宋体" w:cs="Times New Roman"/>
                <w:bCs/>
                <w:color w:val="auto"/>
                <w:sz w:val="21"/>
                <w:szCs w:val="21"/>
                <w:highlight w:val="none"/>
              </w:rPr>
              <w:t>≥10%</w:t>
            </w:r>
          </w:p>
        </w:tc>
        <w:tc>
          <w:tcPr>
            <w:tcW w:w="2773" w:type="dxa"/>
            <w:vMerge w:val="restart"/>
            <w:noWrap w:val="0"/>
            <w:vAlign w:val="center"/>
          </w:tcPr>
          <w:p w14:paraId="599179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《环境影响评价技术导则·大气环境》（HJ2.2-2018）</w:t>
            </w:r>
          </w:p>
        </w:tc>
      </w:tr>
      <w:tr w14:paraId="47DFD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52" w:type="dxa"/>
            <w:noWrap w:val="0"/>
            <w:vAlign w:val="center"/>
          </w:tcPr>
          <w:p w14:paraId="2B62FB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二级评价</w:t>
            </w:r>
          </w:p>
        </w:tc>
        <w:tc>
          <w:tcPr>
            <w:tcW w:w="3988" w:type="dxa"/>
            <w:noWrap w:val="0"/>
            <w:vAlign w:val="center"/>
          </w:tcPr>
          <w:p w14:paraId="21916D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1%≤P</w:t>
            </w:r>
            <w:r>
              <w:rPr>
                <w:rFonts w:hint="default" w:ascii="Times New Roman" w:hAnsi="Times New Roman" w:eastAsia="宋体" w:cs="Times New Roman"/>
                <w:color w:val="auto"/>
                <w:sz w:val="21"/>
                <w:szCs w:val="21"/>
                <w:highlight w:val="none"/>
                <w:vertAlign w:val="subscript"/>
              </w:rPr>
              <w:t>max</w:t>
            </w:r>
            <w:r>
              <w:rPr>
                <w:rFonts w:hint="default" w:ascii="Times New Roman" w:hAnsi="Times New Roman" w:eastAsia="宋体" w:cs="Times New Roman"/>
                <w:bCs/>
                <w:color w:val="auto"/>
                <w:sz w:val="21"/>
                <w:szCs w:val="21"/>
                <w:highlight w:val="none"/>
              </w:rPr>
              <w:t>﹤10%</w:t>
            </w:r>
          </w:p>
        </w:tc>
        <w:tc>
          <w:tcPr>
            <w:tcW w:w="2773" w:type="dxa"/>
            <w:vMerge w:val="continue"/>
            <w:noWrap w:val="0"/>
            <w:vAlign w:val="center"/>
          </w:tcPr>
          <w:p w14:paraId="7DF197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p>
        </w:tc>
      </w:tr>
      <w:tr w14:paraId="29FB6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52" w:type="dxa"/>
            <w:noWrap w:val="0"/>
            <w:vAlign w:val="center"/>
          </w:tcPr>
          <w:p w14:paraId="0C062E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三级评价</w:t>
            </w:r>
          </w:p>
        </w:tc>
        <w:tc>
          <w:tcPr>
            <w:tcW w:w="3988" w:type="dxa"/>
            <w:noWrap w:val="0"/>
            <w:vAlign w:val="center"/>
          </w:tcPr>
          <w:p w14:paraId="73DC86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P</w:t>
            </w:r>
            <w:r>
              <w:rPr>
                <w:rFonts w:hint="default" w:ascii="Times New Roman" w:hAnsi="Times New Roman" w:eastAsia="宋体" w:cs="Times New Roman"/>
                <w:color w:val="auto"/>
                <w:sz w:val="21"/>
                <w:szCs w:val="21"/>
                <w:highlight w:val="none"/>
                <w:vertAlign w:val="subscript"/>
              </w:rPr>
              <w:t>max</w:t>
            </w:r>
            <w:r>
              <w:rPr>
                <w:rFonts w:hint="default" w:ascii="Times New Roman" w:hAnsi="Times New Roman" w:eastAsia="宋体" w:cs="Times New Roman"/>
                <w:bCs/>
                <w:color w:val="auto"/>
                <w:sz w:val="21"/>
                <w:szCs w:val="21"/>
                <w:highlight w:val="none"/>
              </w:rPr>
              <w:t>＜1%</w:t>
            </w:r>
          </w:p>
        </w:tc>
        <w:tc>
          <w:tcPr>
            <w:tcW w:w="2773" w:type="dxa"/>
            <w:vMerge w:val="continue"/>
            <w:noWrap w:val="0"/>
            <w:vAlign w:val="center"/>
          </w:tcPr>
          <w:p w14:paraId="01DA8A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rPr>
            </w:pPr>
          </w:p>
        </w:tc>
      </w:tr>
    </w:tbl>
    <w:p w14:paraId="3C34668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P</w:t>
      </w:r>
      <w:r>
        <w:rPr>
          <w:rFonts w:hint="default" w:ascii="Times New Roman" w:hAnsi="Times New Roman" w:eastAsia="仿宋_GB2312" w:cs="Times New Roman"/>
          <w:color w:val="auto"/>
          <w:sz w:val="24"/>
          <w:highlight w:val="none"/>
          <w:vertAlign w:val="subscript"/>
        </w:rPr>
        <w:t>max</w:t>
      </w:r>
      <w:r>
        <w:rPr>
          <w:rFonts w:hint="default" w:ascii="Times New Roman" w:hAnsi="Times New Roman" w:eastAsia="仿宋_GB2312" w:cs="Times New Roman"/>
          <w:color w:val="auto"/>
          <w:sz w:val="24"/>
          <w:highlight w:val="none"/>
        </w:rPr>
        <w:t>及D</w:t>
      </w:r>
      <w:r>
        <w:rPr>
          <w:rFonts w:hint="default" w:ascii="Times New Roman" w:hAnsi="Times New Roman" w:eastAsia="仿宋_GB2312" w:cs="Times New Roman"/>
          <w:color w:val="auto"/>
          <w:sz w:val="24"/>
          <w:highlight w:val="none"/>
          <w:vertAlign w:val="subscript"/>
        </w:rPr>
        <w:t>10%</w:t>
      </w:r>
      <w:r>
        <w:rPr>
          <w:rFonts w:hint="default" w:ascii="Times New Roman" w:hAnsi="Times New Roman" w:eastAsia="仿宋_GB2312" w:cs="Times New Roman"/>
          <w:color w:val="auto"/>
          <w:sz w:val="24"/>
          <w:highlight w:val="none"/>
        </w:rPr>
        <w:t>的确定</w:t>
      </w:r>
    </w:p>
    <w:p w14:paraId="5E2C538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根据项目污染源初步调查结果，分别计算项目排放主要污染物的最大地面浓度占标率Pi（第i个污染物），及第i个污染物的地面空气质量浓度达到标准限值的10%时，所对应的最远距离D</w:t>
      </w:r>
      <w:r>
        <w:rPr>
          <w:rFonts w:hint="default" w:ascii="Times New Roman" w:hAnsi="Times New Roman" w:eastAsia="仿宋_GB2312" w:cs="Times New Roman"/>
          <w:color w:val="auto"/>
          <w:sz w:val="24"/>
          <w:highlight w:val="none"/>
          <w:vertAlign w:val="subscript"/>
        </w:rPr>
        <w:t>10%</w:t>
      </w:r>
      <w:r>
        <w:rPr>
          <w:rFonts w:hint="default" w:ascii="Times New Roman" w:hAnsi="Times New Roman" w:eastAsia="仿宋_GB2312" w:cs="Times New Roman"/>
          <w:color w:val="auto"/>
          <w:sz w:val="24"/>
          <w:highlight w:val="none"/>
        </w:rPr>
        <w:t>。其中Pi定义为：</w:t>
      </w:r>
    </w:p>
    <w:p w14:paraId="0056E9D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GB2312" w:cs="Times New Roman"/>
          <w:color w:val="auto"/>
          <w:sz w:val="24"/>
          <w:highlight w:val="none"/>
        </w:rPr>
      </w:pPr>
      <w:r>
        <w:rPr>
          <w:rFonts w:hint="default" w:ascii="Times New Roman" w:hAnsi="Times New Roman" w:eastAsia="仿宋＿GB2312" w:cs="Times New Roman"/>
          <w:color w:val="auto"/>
          <w:sz w:val="24"/>
          <w:highlight w:val="none"/>
        </w:rPr>
        <w:pict>
          <v:shape id="Picture 266" o:spid="_x0000_s1026" o:spt="75" type="#_x0000_t75" style="position:absolute;left:0pt;margin-left:196.4pt;margin-top:0.25pt;height:35.15pt;width:81.2pt;mso-wrap-distance-bottom:0pt;mso-wrap-distance-left:9pt;mso-wrap-distance-right:9pt;mso-wrap-distance-top:0pt;z-index:251660288;mso-width-relative:page;mso-height-relative:page;" o:ole="t" filled="f" o:preferrelative="t" stroked="f" coordsize="21600,21600">
            <v:path/>
            <v:fill on="f" focussize="0,0"/>
            <v:stroke on="f"/>
            <v:imagedata r:id="rId45" o:title=""/>
            <o:lock v:ext="edit" grouping="f" rotation="f" text="f" aspectratio="t"/>
            <w10:wrap type="square" side="left"/>
          </v:shape>
          <o:OLEObject Type="Embed" ProgID="" ShapeID="Picture 266" DrawAspect="Content" ObjectID="_1468075726" r:id="rId44">
            <o:LockedField>false</o:LockedField>
          </o:OLEObject>
        </w:pict>
      </w:r>
    </w:p>
    <w:p w14:paraId="163C248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p>
    <w:p w14:paraId="06E25C3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式中：</w:t>
      </w:r>
    </w:p>
    <w:p w14:paraId="63B0871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P</w:t>
      </w:r>
      <w:r>
        <w:rPr>
          <w:rFonts w:hint="default" w:ascii="Times New Roman" w:hAnsi="Times New Roman" w:eastAsia="仿宋_GB2312" w:cs="Times New Roman"/>
          <w:color w:val="auto"/>
          <w:sz w:val="24"/>
          <w:highlight w:val="none"/>
          <w:vertAlign w:val="subscript"/>
        </w:rPr>
        <w:t>i</w:t>
      </w:r>
      <w:r>
        <w:rPr>
          <w:rFonts w:hint="default" w:ascii="Times New Roman" w:hAnsi="Times New Roman" w:eastAsia="仿宋_GB2312" w:cs="Times New Roman"/>
          <w:color w:val="auto"/>
          <w:sz w:val="24"/>
          <w:highlight w:val="none"/>
        </w:rPr>
        <w:t>－第i个污染物的最大地面空气质量浓度占标率，%；</w:t>
      </w:r>
    </w:p>
    <w:p w14:paraId="7AFE2F2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C</w:t>
      </w:r>
      <w:r>
        <w:rPr>
          <w:rFonts w:hint="default" w:ascii="Times New Roman" w:hAnsi="Times New Roman" w:eastAsia="仿宋_GB2312" w:cs="Times New Roman"/>
          <w:color w:val="auto"/>
          <w:sz w:val="24"/>
          <w:highlight w:val="none"/>
          <w:vertAlign w:val="subscript"/>
        </w:rPr>
        <w:t>i</w:t>
      </w:r>
      <w:r>
        <w:rPr>
          <w:rFonts w:hint="default" w:ascii="Times New Roman" w:hAnsi="Times New Roman" w:eastAsia="仿宋_GB2312" w:cs="Times New Roman"/>
          <w:color w:val="auto"/>
          <w:sz w:val="24"/>
          <w:highlight w:val="none"/>
        </w:rPr>
        <w:t>－采用估算模式计算出的第i个污染物的最大1h地面空气质量浓度，μg/m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w:t>
      </w:r>
    </w:p>
    <w:p w14:paraId="79E2099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C</w:t>
      </w:r>
      <w:r>
        <w:rPr>
          <w:rFonts w:hint="default" w:ascii="Times New Roman" w:hAnsi="Times New Roman" w:eastAsia="仿宋_GB2312" w:cs="Times New Roman"/>
          <w:color w:val="auto"/>
          <w:sz w:val="24"/>
          <w:highlight w:val="none"/>
          <w:vertAlign w:val="subscript"/>
        </w:rPr>
        <w:t>0i</w:t>
      </w:r>
      <w:r>
        <w:rPr>
          <w:rFonts w:hint="default" w:ascii="Times New Roman" w:hAnsi="Times New Roman" w:eastAsia="仿宋_GB2312" w:cs="Times New Roman"/>
          <w:color w:val="auto"/>
          <w:sz w:val="24"/>
          <w:highlight w:val="none"/>
        </w:rPr>
        <w:t>－第i个污染物的环境空气质量浓度标准，μg/m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w:t>
      </w:r>
    </w:p>
    <w:p w14:paraId="676443D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C</w:t>
      </w:r>
      <w:r>
        <w:rPr>
          <w:rFonts w:hint="default" w:ascii="Times New Roman" w:hAnsi="Times New Roman" w:eastAsia="仿宋_GB2312" w:cs="Times New Roman"/>
          <w:color w:val="auto"/>
          <w:sz w:val="24"/>
          <w:highlight w:val="none"/>
          <w:vertAlign w:val="subscript"/>
        </w:rPr>
        <w:t>0i</w:t>
      </w:r>
      <w:r>
        <w:rPr>
          <w:rFonts w:hint="default" w:ascii="Times New Roman" w:hAnsi="Times New Roman" w:eastAsia="仿宋_GB2312" w:cs="Times New Roman"/>
          <w:color w:val="auto"/>
          <w:sz w:val="24"/>
          <w:highlight w:val="none"/>
        </w:rPr>
        <w:t>一般选用GB3095中1h平均取样时间的二级标准的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14:paraId="5D9FBBE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污染物评价标准</w:t>
      </w:r>
    </w:p>
    <w:p w14:paraId="66B9722F">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lang w:val="en-US" w:eastAsia="zh-CN"/>
        </w:rPr>
      </w:pPr>
      <w:r>
        <w:rPr>
          <w:rFonts w:hint="default" w:ascii="Times New Roman" w:hAnsi="Times New Roman" w:eastAsia="仿宋_GB2312" w:cs="Times New Roman"/>
          <w:color w:val="auto"/>
          <w:sz w:val="24"/>
          <w:highlight w:val="none"/>
        </w:rPr>
        <w:t>污染物评价标准和来源见表1.5-2。</w:t>
      </w:r>
    </w:p>
    <w:p w14:paraId="21FB84E7">
      <w:pPr>
        <w:pStyle w:val="36"/>
        <w:pageBreakBefore w:val="0"/>
        <w:widowControl w:val="0"/>
        <w:kinsoku/>
        <w:wordWrap/>
        <w:topLinePunct w:val="0"/>
        <w:bidi w:val="0"/>
        <w:adjustRightInd/>
        <w:snapToGrid/>
        <w:spacing w:line="240" w:lineRule="auto"/>
        <w:ind w:left="0" w:leftChars="0"/>
        <w:jc w:val="both"/>
        <w:rPr>
          <w:rStyle w:val="37"/>
          <w:rFonts w:hint="default" w:ascii="Times New Roman" w:hAnsi="Times New Roman" w:eastAsia="宋体" w:cs="Times New Roman"/>
          <w:color w:val="auto"/>
          <w:sz w:val="21"/>
          <w:szCs w:val="21"/>
          <w:highlight w:val="none"/>
        </w:rPr>
      </w:pPr>
    </w:p>
    <w:p w14:paraId="57062477">
      <w:pPr>
        <w:pStyle w:val="36"/>
        <w:pageBreakBefore w:val="0"/>
        <w:widowControl w:val="0"/>
        <w:kinsoku/>
        <w:wordWrap/>
        <w:topLinePunct w:val="0"/>
        <w:bidi w:val="0"/>
        <w:adjustRightInd/>
        <w:snapToGrid/>
        <w:spacing w:line="240" w:lineRule="auto"/>
        <w:ind w:left="0" w:leftChars="0"/>
        <w:jc w:val="both"/>
        <w:rPr>
          <w:rStyle w:val="37"/>
          <w:rFonts w:hint="default" w:ascii="Times New Roman" w:hAnsi="Times New Roman" w:eastAsia="宋体" w:cs="Times New Roman"/>
          <w:b/>
          <w:bCs/>
          <w:color w:val="auto"/>
          <w:sz w:val="24"/>
          <w:highlight w:val="none"/>
        </w:rPr>
      </w:pPr>
      <w:r>
        <w:rPr>
          <w:rStyle w:val="37"/>
          <w:rFonts w:hint="default" w:ascii="Times New Roman" w:hAnsi="Times New Roman" w:eastAsia="宋体" w:cs="Times New Roman"/>
          <w:color w:val="auto"/>
          <w:sz w:val="21"/>
          <w:szCs w:val="21"/>
          <w:highlight w:val="none"/>
        </w:rPr>
        <w:t>表1.5-2</w:t>
      </w:r>
      <w:r>
        <w:rPr>
          <w:rStyle w:val="37"/>
          <w:rFonts w:hint="default" w:ascii="Times New Roman" w:hAnsi="Times New Roman" w:eastAsia="宋体" w:cs="Times New Roman"/>
          <w:color w:val="auto"/>
          <w:sz w:val="24"/>
          <w:highlight w:val="none"/>
        </w:rPr>
        <w:t xml:space="preserve">  </w:t>
      </w:r>
      <w:r>
        <w:rPr>
          <w:rStyle w:val="37"/>
          <w:rFonts w:hint="eastAsia" w:ascii="Times New Roman" w:hAnsi="Times New Roman" w:eastAsia="宋体" w:cs="Times New Roman"/>
          <w:color w:val="auto"/>
          <w:sz w:val="24"/>
          <w:highlight w:val="none"/>
          <w:lang w:val="en-US" w:eastAsia="zh-CN"/>
        </w:rPr>
        <w:t xml:space="preserve">                 </w:t>
      </w:r>
      <w:r>
        <w:rPr>
          <w:rStyle w:val="37"/>
          <w:rFonts w:hint="eastAsia" w:hAnsi="Times New Roman" w:eastAsia="宋体" w:cs="Times New Roman"/>
          <w:color w:val="auto"/>
          <w:sz w:val="24"/>
          <w:highlight w:val="none"/>
          <w:lang w:val="en-US" w:eastAsia="zh-CN"/>
        </w:rPr>
        <w:t xml:space="preserve"> </w:t>
      </w:r>
      <w:r>
        <w:rPr>
          <w:rStyle w:val="37"/>
          <w:rFonts w:hint="eastAsia" w:ascii="Times New Roman" w:hAnsi="Times New Roman" w:eastAsia="宋体" w:cs="Times New Roman"/>
          <w:color w:val="auto"/>
          <w:sz w:val="24"/>
          <w:highlight w:val="none"/>
          <w:lang w:val="en-US" w:eastAsia="zh-CN"/>
        </w:rPr>
        <w:t xml:space="preserve"> </w:t>
      </w:r>
      <w:r>
        <w:rPr>
          <w:rStyle w:val="37"/>
          <w:rFonts w:hint="default" w:ascii="Times New Roman" w:hAnsi="Times New Roman" w:eastAsia="宋体" w:cs="Times New Roman"/>
          <w:b/>
          <w:bCs/>
          <w:color w:val="auto"/>
          <w:sz w:val="24"/>
          <w:highlight w:val="none"/>
        </w:rPr>
        <w:t>污染物评价标准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245"/>
        <w:gridCol w:w="1247"/>
        <w:gridCol w:w="1360"/>
        <w:gridCol w:w="3638"/>
      </w:tblGrid>
      <w:tr w14:paraId="491A9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458" w:type="dxa"/>
            <w:noWrap w:val="0"/>
            <w:vAlign w:val="center"/>
          </w:tcPr>
          <w:p w14:paraId="03F25CB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1245" w:type="dxa"/>
            <w:noWrap w:val="0"/>
            <w:vAlign w:val="center"/>
          </w:tcPr>
          <w:p w14:paraId="45311C8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功能区</w:t>
            </w:r>
          </w:p>
        </w:tc>
        <w:tc>
          <w:tcPr>
            <w:tcW w:w="1247" w:type="dxa"/>
            <w:noWrap w:val="0"/>
            <w:vAlign w:val="center"/>
          </w:tcPr>
          <w:p w14:paraId="69F6D23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取值时间</w:t>
            </w:r>
          </w:p>
        </w:tc>
        <w:tc>
          <w:tcPr>
            <w:tcW w:w="1360" w:type="dxa"/>
            <w:noWrap w:val="0"/>
            <w:vAlign w:val="center"/>
          </w:tcPr>
          <w:p w14:paraId="23FCF91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p w14:paraId="014BAC3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rPr>
              <w:t>3</w:t>
            </w:r>
            <w:r>
              <w:rPr>
                <w:rFonts w:hint="eastAsia" w:eastAsia="宋体" w:cs="Times New Roman"/>
                <w:b/>
                <w:bCs/>
                <w:color w:val="auto"/>
                <w:sz w:val="21"/>
                <w:szCs w:val="21"/>
                <w:highlight w:val="none"/>
                <w:vertAlign w:val="superscript"/>
                <w:lang w:eastAsia="zh-CN"/>
              </w:rPr>
              <w:t>）</w:t>
            </w:r>
          </w:p>
        </w:tc>
        <w:tc>
          <w:tcPr>
            <w:tcW w:w="3638" w:type="dxa"/>
            <w:noWrap w:val="0"/>
            <w:vAlign w:val="center"/>
          </w:tcPr>
          <w:p w14:paraId="050328D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标准来源</w:t>
            </w:r>
          </w:p>
        </w:tc>
      </w:tr>
      <w:tr w14:paraId="2A227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8" w:type="dxa"/>
            <w:noWrap w:val="0"/>
            <w:vAlign w:val="center"/>
          </w:tcPr>
          <w:p w14:paraId="7623E39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245" w:type="dxa"/>
            <w:noWrap w:val="0"/>
            <w:vAlign w:val="center"/>
          </w:tcPr>
          <w:p w14:paraId="2F9E3A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二类限区</w:t>
            </w:r>
          </w:p>
        </w:tc>
        <w:tc>
          <w:tcPr>
            <w:tcW w:w="1247" w:type="dxa"/>
            <w:noWrap w:val="0"/>
            <w:vAlign w:val="center"/>
          </w:tcPr>
          <w:p w14:paraId="4254296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一小时</w:t>
            </w:r>
          </w:p>
        </w:tc>
        <w:tc>
          <w:tcPr>
            <w:tcW w:w="1360" w:type="dxa"/>
            <w:noWrap w:val="0"/>
            <w:vAlign w:val="center"/>
          </w:tcPr>
          <w:p w14:paraId="60EA986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3638" w:type="dxa"/>
            <w:vMerge w:val="restart"/>
            <w:noWrap w:val="0"/>
            <w:vAlign w:val="center"/>
          </w:tcPr>
          <w:p w14:paraId="00576FB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right"/>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参照执行</w:t>
            </w:r>
            <w:r>
              <w:rPr>
                <w:rFonts w:hint="default" w:ascii="Times New Roman" w:hAnsi="Times New Roman" w:eastAsia="宋体" w:cs="Times New Roman"/>
                <w:color w:val="auto"/>
                <w:sz w:val="21"/>
                <w:szCs w:val="21"/>
                <w:highlight w:val="none"/>
              </w:rPr>
              <w:t>《环境影响评价技术导则</w:t>
            </w:r>
            <w:r>
              <w:rPr>
                <w:rFonts w:hint="eastAsia"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大气环境》HJ2.2-2018附录D</w:t>
            </w:r>
          </w:p>
        </w:tc>
      </w:tr>
      <w:tr w14:paraId="58C70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8" w:type="dxa"/>
            <w:noWrap w:val="0"/>
            <w:vAlign w:val="center"/>
          </w:tcPr>
          <w:p w14:paraId="53750F2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245" w:type="dxa"/>
            <w:noWrap w:val="0"/>
            <w:vAlign w:val="center"/>
          </w:tcPr>
          <w:p w14:paraId="260199C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二类限区</w:t>
            </w:r>
          </w:p>
        </w:tc>
        <w:tc>
          <w:tcPr>
            <w:tcW w:w="1247" w:type="dxa"/>
            <w:noWrap w:val="0"/>
            <w:vAlign w:val="center"/>
          </w:tcPr>
          <w:p w14:paraId="7B35DB5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一小时</w:t>
            </w:r>
          </w:p>
        </w:tc>
        <w:tc>
          <w:tcPr>
            <w:tcW w:w="1360" w:type="dxa"/>
            <w:noWrap w:val="0"/>
            <w:vAlign w:val="center"/>
          </w:tcPr>
          <w:p w14:paraId="79D50A7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c>
          <w:tcPr>
            <w:tcW w:w="3638" w:type="dxa"/>
            <w:vMerge w:val="continue"/>
            <w:noWrap w:val="0"/>
            <w:vAlign w:val="center"/>
          </w:tcPr>
          <w:p w14:paraId="4AD3554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right"/>
              <w:textAlignment w:val="auto"/>
              <w:rPr>
                <w:rFonts w:hint="default" w:ascii="Times New Roman" w:hAnsi="Times New Roman" w:eastAsia="宋体" w:cs="Times New Roman"/>
                <w:color w:val="auto"/>
                <w:sz w:val="21"/>
                <w:szCs w:val="21"/>
                <w:highlight w:val="none"/>
              </w:rPr>
            </w:pPr>
          </w:p>
        </w:tc>
      </w:tr>
    </w:tbl>
    <w:p w14:paraId="6BA8836C">
      <w:pPr>
        <w:pageBreakBefore w:val="0"/>
        <w:widowControl w:val="0"/>
        <w:kinsoku/>
        <w:wordWrap/>
        <w:topLinePunct w:val="0"/>
        <w:bidi w:val="0"/>
        <w:adjustRightInd/>
        <w:snapToGrid/>
        <w:spacing w:line="360" w:lineRule="auto"/>
        <w:ind w:left="0" w:leftChars="0" w:firstLine="480" w:firstLineChars="200"/>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污染源参数</w:t>
      </w:r>
    </w:p>
    <w:p w14:paraId="0AD74924">
      <w:pPr>
        <w:pageBreakBefore w:val="0"/>
        <w:widowControl w:val="0"/>
        <w:kinsoku/>
        <w:wordWrap/>
        <w:topLinePunct w:val="0"/>
        <w:bidi w:val="0"/>
        <w:adjustRightInd/>
        <w:snapToGrid/>
        <w:spacing w:line="360" w:lineRule="auto"/>
        <w:ind w:left="0" w:leftChars="0" w:firstLine="480" w:firstLineChars="200"/>
        <w:rPr>
          <w:rFonts w:hint="default" w:ascii="Times New Roman" w:hAnsi="Times New Roman" w:eastAsia="仿宋＿GB2312" w:cs="Times New Roman"/>
          <w:color w:val="auto"/>
          <w:sz w:val="24"/>
          <w:szCs w:val="32"/>
          <w:highlight w:val="none"/>
        </w:rPr>
      </w:pPr>
      <w:r>
        <w:rPr>
          <w:rFonts w:hint="default" w:ascii="Times New Roman" w:hAnsi="Times New Roman" w:eastAsia="仿宋_GB2312" w:cs="Times New Roman"/>
          <w:color w:val="auto"/>
          <w:sz w:val="24"/>
          <w:highlight w:val="none"/>
        </w:rPr>
        <w:t>主要废气污染源排放参数见下表1.5-3~1.5-4：</w:t>
      </w:r>
    </w:p>
    <w:p w14:paraId="0739156B">
      <w:pPr>
        <w:pageBreakBefore w:val="0"/>
        <w:kinsoku/>
        <w:wordWrap/>
        <w:topLinePunct w:val="0"/>
        <w:bidi w:val="0"/>
        <w:adjustRightInd/>
        <w:snapToGrid/>
        <w:spacing w:line="240" w:lineRule="auto"/>
        <w:ind w:left="0" w:leftChars="0"/>
        <w:jc w:val="both"/>
        <w:rPr>
          <w:rFonts w:hint="default" w:ascii="Times New Roman" w:hAnsi="Times New Roman" w:cs="Times New Roman"/>
          <w:b/>
          <w:color w:val="auto"/>
          <w:sz w:val="24"/>
          <w:highlight w:val="none"/>
        </w:rPr>
      </w:pPr>
      <w:r>
        <w:rPr>
          <w:rStyle w:val="37"/>
          <w:rFonts w:hint="default" w:ascii="Times New Roman" w:hAnsi="Times New Roman" w:eastAsia="宋体" w:cs="Times New Roman"/>
          <w:color w:val="auto"/>
          <w:kern w:val="2"/>
          <w:sz w:val="21"/>
          <w:szCs w:val="21"/>
          <w:highlight w:val="none"/>
          <w:lang w:val="en-US" w:eastAsia="zh-CN"/>
        </w:rPr>
        <w:t xml:space="preserve">表1.5-3 </w:t>
      </w:r>
      <w:r>
        <w:rPr>
          <w:rStyle w:val="37"/>
          <w:rFonts w:hint="eastAsia" w:ascii="Times New Roman" w:hAnsi="Times New Roman" w:eastAsia="宋体" w:cs="Times New Roman"/>
          <w:color w:val="auto"/>
          <w:kern w:val="2"/>
          <w:sz w:val="21"/>
          <w:szCs w:val="21"/>
          <w:highlight w:val="none"/>
          <w:lang w:val="en-US" w:eastAsia="zh-CN"/>
        </w:rPr>
        <w:t xml:space="preserve">     </w:t>
      </w:r>
      <w:r>
        <w:rPr>
          <w:rFonts w:hint="default" w:ascii="Times New Roman" w:hAnsi="Times New Roman" w:eastAsia="仿宋＿GB2312" w:cs="Times New Roman"/>
          <w:bCs/>
          <w:color w:val="auto"/>
          <w:sz w:val="24"/>
          <w:highlight w:val="none"/>
        </w:rPr>
        <w:t xml:space="preserve"> </w:t>
      </w:r>
      <w:r>
        <w:rPr>
          <w:rFonts w:hint="eastAsia" w:eastAsia="仿宋＿GB2312" w:cs="Times New Roman"/>
          <w:bCs/>
          <w:color w:val="auto"/>
          <w:sz w:val="24"/>
          <w:highlight w:val="none"/>
          <w:lang w:val="en-US" w:eastAsia="zh-CN"/>
        </w:rPr>
        <w:t xml:space="preserve"> </w:t>
      </w:r>
      <w:r>
        <w:rPr>
          <w:rStyle w:val="37"/>
          <w:rFonts w:hint="default" w:ascii="Times New Roman" w:hAnsi="Times New Roman" w:eastAsia="宋体" w:cs="Times New Roman"/>
          <w:b/>
          <w:bCs/>
          <w:color w:val="auto"/>
          <w:kern w:val="2"/>
          <w:sz w:val="24"/>
          <w:szCs w:val="24"/>
          <w:highlight w:val="none"/>
          <w:lang w:val="en-US" w:eastAsia="zh-CN"/>
        </w:rPr>
        <w:t>（近）圆形面源污染物排放源强及参数一览表</w:t>
      </w:r>
    </w:p>
    <w:tbl>
      <w:tblPr>
        <w:tblStyle w:val="27"/>
        <w:tblW w:w="49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9"/>
        <w:gridCol w:w="802"/>
        <w:gridCol w:w="825"/>
        <w:gridCol w:w="721"/>
        <w:gridCol w:w="1006"/>
        <w:gridCol w:w="1002"/>
        <w:gridCol w:w="684"/>
        <w:gridCol w:w="692"/>
        <w:gridCol w:w="716"/>
        <w:gridCol w:w="669"/>
        <w:gridCol w:w="757"/>
      </w:tblGrid>
      <w:tr w14:paraId="2A5CD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57" w:type="pct"/>
            <w:vMerge w:val="restart"/>
            <w:noWrap w:val="0"/>
            <w:vAlign w:val="center"/>
          </w:tcPr>
          <w:p w14:paraId="5987B5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污染源名称</w:t>
            </w:r>
          </w:p>
        </w:tc>
        <w:tc>
          <w:tcPr>
            <w:tcW w:w="917" w:type="pct"/>
            <w:gridSpan w:val="2"/>
            <w:noWrap w:val="0"/>
            <w:vAlign w:val="center"/>
          </w:tcPr>
          <w:p w14:paraId="4252D0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面源中心点坐标</w:t>
            </w:r>
          </w:p>
        </w:tc>
        <w:tc>
          <w:tcPr>
            <w:tcW w:w="406" w:type="pct"/>
            <w:vMerge w:val="restart"/>
            <w:noWrap w:val="0"/>
            <w:vAlign w:val="center"/>
          </w:tcPr>
          <w:p w14:paraId="2FE8B5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海拔高度(m)</w:t>
            </w:r>
          </w:p>
        </w:tc>
        <w:tc>
          <w:tcPr>
            <w:tcW w:w="567" w:type="pct"/>
            <w:vMerge w:val="restart"/>
            <w:noWrap w:val="0"/>
            <w:vAlign w:val="center"/>
          </w:tcPr>
          <w:p w14:paraId="4397DB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面源有效排放高度(m)</w:t>
            </w:r>
          </w:p>
        </w:tc>
        <w:tc>
          <w:tcPr>
            <w:tcW w:w="565" w:type="pct"/>
            <w:vMerge w:val="restart"/>
            <w:noWrap w:val="0"/>
            <w:vAlign w:val="center"/>
          </w:tcPr>
          <w:p w14:paraId="7FB6F9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初始垂向扩散参数(m)</w:t>
            </w:r>
          </w:p>
        </w:tc>
        <w:tc>
          <w:tcPr>
            <w:tcW w:w="385" w:type="pct"/>
            <w:vMerge w:val="restart"/>
            <w:noWrap w:val="0"/>
            <w:vAlign w:val="center"/>
          </w:tcPr>
          <w:p w14:paraId="1A5EB9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圆形面源半径(m)</w:t>
            </w:r>
          </w:p>
        </w:tc>
        <w:tc>
          <w:tcPr>
            <w:tcW w:w="390" w:type="pct"/>
            <w:vMerge w:val="restart"/>
            <w:noWrap w:val="0"/>
            <w:vAlign w:val="center"/>
          </w:tcPr>
          <w:p w14:paraId="38BE38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年排放小时数</w:t>
            </w:r>
          </w:p>
        </w:tc>
        <w:tc>
          <w:tcPr>
            <w:tcW w:w="403" w:type="pct"/>
            <w:vMerge w:val="restart"/>
            <w:noWrap w:val="0"/>
            <w:vAlign w:val="center"/>
          </w:tcPr>
          <w:p w14:paraId="0F500D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排放工况</w:t>
            </w:r>
          </w:p>
        </w:tc>
        <w:tc>
          <w:tcPr>
            <w:tcW w:w="804" w:type="pct"/>
            <w:gridSpan w:val="2"/>
            <w:noWrap w:val="0"/>
            <w:vAlign w:val="center"/>
          </w:tcPr>
          <w:p w14:paraId="59F9A3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污染物排放速率（kg/h）</w:t>
            </w:r>
          </w:p>
        </w:tc>
      </w:tr>
      <w:tr w14:paraId="25ED0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7" w:type="pct"/>
            <w:vMerge w:val="continue"/>
            <w:noWrap w:val="0"/>
            <w:vAlign w:val="center"/>
          </w:tcPr>
          <w:p w14:paraId="764268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452" w:type="pct"/>
            <w:noWrap w:val="0"/>
            <w:vAlign w:val="center"/>
          </w:tcPr>
          <w:p w14:paraId="76E4C4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X</w:t>
            </w:r>
          </w:p>
        </w:tc>
        <w:tc>
          <w:tcPr>
            <w:tcW w:w="465" w:type="pct"/>
            <w:noWrap w:val="0"/>
            <w:vAlign w:val="center"/>
          </w:tcPr>
          <w:p w14:paraId="67497D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Y</w:t>
            </w:r>
          </w:p>
        </w:tc>
        <w:tc>
          <w:tcPr>
            <w:tcW w:w="406" w:type="pct"/>
            <w:vMerge w:val="continue"/>
            <w:noWrap w:val="0"/>
            <w:vAlign w:val="center"/>
          </w:tcPr>
          <w:p w14:paraId="59974C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567" w:type="pct"/>
            <w:vMerge w:val="continue"/>
            <w:noWrap w:val="0"/>
            <w:vAlign w:val="center"/>
          </w:tcPr>
          <w:p w14:paraId="6D7405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565" w:type="pct"/>
            <w:vMerge w:val="continue"/>
            <w:noWrap w:val="0"/>
            <w:vAlign w:val="center"/>
          </w:tcPr>
          <w:p w14:paraId="24E4BA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385" w:type="pct"/>
            <w:vMerge w:val="continue"/>
            <w:noWrap w:val="0"/>
            <w:vAlign w:val="center"/>
          </w:tcPr>
          <w:p w14:paraId="029628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390" w:type="pct"/>
            <w:vMerge w:val="continue"/>
            <w:noWrap w:val="0"/>
            <w:vAlign w:val="center"/>
          </w:tcPr>
          <w:p w14:paraId="332808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403" w:type="pct"/>
            <w:vMerge w:val="continue"/>
            <w:noWrap w:val="0"/>
            <w:vAlign w:val="center"/>
          </w:tcPr>
          <w:p w14:paraId="7F7EF0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377" w:type="pct"/>
            <w:noWrap w:val="0"/>
            <w:vAlign w:val="center"/>
          </w:tcPr>
          <w:p w14:paraId="150517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427" w:type="pct"/>
            <w:noWrap w:val="0"/>
            <w:vAlign w:val="center"/>
          </w:tcPr>
          <w:p w14:paraId="609F40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r>
      <w:tr w14:paraId="65B6E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7" w:type="pct"/>
            <w:noWrap w:val="0"/>
            <w:vAlign w:val="center"/>
          </w:tcPr>
          <w:p w14:paraId="488AB4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屠宰加工车间</w:t>
            </w:r>
          </w:p>
        </w:tc>
        <w:tc>
          <w:tcPr>
            <w:tcW w:w="452" w:type="pct"/>
            <w:noWrap w:val="0"/>
            <w:vAlign w:val="center"/>
          </w:tcPr>
          <w:p w14:paraId="2C3494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106.186605</w:t>
            </w:r>
          </w:p>
        </w:tc>
        <w:tc>
          <w:tcPr>
            <w:tcW w:w="465" w:type="pct"/>
            <w:noWrap w:val="0"/>
            <w:vAlign w:val="center"/>
          </w:tcPr>
          <w:p w14:paraId="514815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36.004912</w:t>
            </w:r>
          </w:p>
        </w:tc>
        <w:tc>
          <w:tcPr>
            <w:tcW w:w="406" w:type="pct"/>
            <w:noWrap w:val="0"/>
            <w:vAlign w:val="center"/>
          </w:tcPr>
          <w:p w14:paraId="5825E2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567" w:type="pct"/>
            <w:noWrap w:val="0"/>
            <w:vAlign w:val="center"/>
          </w:tcPr>
          <w:p w14:paraId="015DE3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12.5</w:t>
            </w:r>
          </w:p>
        </w:tc>
        <w:tc>
          <w:tcPr>
            <w:tcW w:w="565" w:type="pct"/>
            <w:noWrap w:val="0"/>
            <w:vAlign w:val="center"/>
          </w:tcPr>
          <w:p w14:paraId="38546A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5.8140</w:t>
            </w:r>
          </w:p>
        </w:tc>
        <w:tc>
          <w:tcPr>
            <w:tcW w:w="385" w:type="pct"/>
            <w:noWrap w:val="0"/>
            <w:vAlign w:val="center"/>
          </w:tcPr>
          <w:p w14:paraId="4EC30A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21.3</w:t>
            </w:r>
          </w:p>
        </w:tc>
        <w:tc>
          <w:tcPr>
            <w:tcW w:w="390" w:type="pct"/>
            <w:noWrap w:val="0"/>
            <w:vAlign w:val="center"/>
          </w:tcPr>
          <w:p w14:paraId="1CBC9F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2640</w:t>
            </w:r>
          </w:p>
        </w:tc>
        <w:tc>
          <w:tcPr>
            <w:tcW w:w="403" w:type="pct"/>
            <w:noWrap w:val="0"/>
            <w:vAlign w:val="center"/>
          </w:tcPr>
          <w:p w14:paraId="2913B5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正常排放</w:t>
            </w:r>
          </w:p>
        </w:tc>
        <w:tc>
          <w:tcPr>
            <w:tcW w:w="377" w:type="pct"/>
            <w:noWrap w:val="0"/>
            <w:vAlign w:val="center"/>
          </w:tcPr>
          <w:p w14:paraId="2F24A4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0.00076</w:t>
            </w:r>
          </w:p>
        </w:tc>
        <w:tc>
          <w:tcPr>
            <w:tcW w:w="427" w:type="pct"/>
            <w:noWrap w:val="0"/>
            <w:vAlign w:val="center"/>
          </w:tcPr>
          <w:p w14:paraId="4948F7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0.011</w:t>
            </w:r>
          </w:p>
        </w:tc>
      </w:tr>
      <w:tr w14:paraId="6AE28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7" w:type="pct"/>
            <w:noWrap w:val="0"/>
            <w:vAlign w:val="center"/>
          </w:tcPr>
          <w:p w14:paraId="7E74EC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待宰圈</w:t>
            </w:r>
          </w:p>
        </w:tc>
        <w:tc>
          <w:tcPr>
            <w:tcW w:w="452" w:type="pct"/>
            <w:noWrap w:val="0"/>
            <w:vAlign w:val="center"/>
          </w:tcPr>
          <w:p w14:paraId="231242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106.186712</w:t>
            </w:r>
          </w:p>
        </w:tc>
        <w:tc>
          <w:tcPr>
            <w:tcW w:w="465" w:type="pct"/>
            <w:noWrap w:val="0"/>
            <w:vAlign w:val="center"/>
          </w:tcPr>
          <w:p w14:paraId="6BD611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36.004938</w:t>
            </w:r>
          </w:p>
        </w:tc>
        <w:tc>
          <w:tcPr>
            <w:tcW w:w="406" w:type="pct"/>
            <w:noWrap w:val="0"/>
            <w:vAlign w:val="center"/>
          </w:tcPr>
          <w:p w14:paraId="4F8775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567" w:type="pct"/>
            <w:noWrap w:val="0"/>
            <w:vAlign w:val="center"/>
          </w:tcPr>
          <w:p w14:paraId="438E5C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12.5</w:t>
            </w:r>
          </w:p>
        </w:tc>
        <w:tc>
          <w:tcPr>
            <w:tcW w:w="565" w:type="pct"/>
            <w:noWrap w:val="0"/>
            <w:vAlign w:val="center"/>
          </w:tcPr>
          <w:p w14:paraId="2BEEF0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5.8140</w:t>
            </w:r>
          </w:p>
        </w:tc>
        <w:tc>
          <w:tcPr>
            <w:tcW w:w="385" w:type="pct"/>
            <w:noWrap w:val="0"/>
            <w:vAlign w:val="center"/>
          </w:tcPr>
          <w:p w14:paraId="064B05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9.8</w:t>
            </w:r>
          </w:p>
        </w:tc>
        <w:tc>
          <w:tcPr>
            <w:tcW w:w="390" w:type="pct"/>
            <w:noWrap w:val="0"/>
            <w:vAlign w:val="center"/>
          </w:tcPr>
          <w:p w14:paraId="6EB46C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7920</w:t>
            </w:r>
          </w:p>
        </w:tc>
        <w:tc>
          <w:tcPr>
            <w:tcW w:w="403" w:type="pct"/>
            <w:noWrap w:val="0"/>
            <w:vAlign w:val="center"/>
          </w:tcPr>
          <w:p w14:paraId="74F916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正常排放</w:t>
            </w:r>
          </w:p>
        </w:tc>
        <w:tc>
          <w:tcPr>
            <w:tcW w:w="377" w:type="pct"/>
            <w:noWrap w:val="0"/>
            <w:vAlign w:val="center"/>
          </w:tcPr>
          <w:p w14:paraId="78A341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0.000076</w:t>
            </w:r>
          </w:p>
        </w:tc>
        <w:tc>
          <w:tcPr>
            <w:tcW w:w="427" w:type="pct"/>
            <w:noWrap w:val="0"/>
            <w:vAlign w:val="center"/>
          </w:tcPr>
          <w:p w14:paraId="1B0E70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0.0011</w:t>
            </w:r>
          </w:p>
        </w:tc>
      </w:tr>
    </w:tbl>
    <w:p w14:paraId="6D1BADF7">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color w:val="auto"/>
          <w:sz w:val="24"/>
          <w:highlight w:val="none"/>
        </w:rPr>
      </w:pPr>
      <w:r>
        <w:rPr>
          <w:rStyle w:val="37"/>
          <w:rFonts w:hint="default" w:ascii="Times New Roman" w:hAnsi="Times New Roman" w:eastAsia="宋体" w:cs="Times New Roman"/>
          <w:color w:val="auto"/>
          <w:kern w:val="2"/>
          <w:sz w:val="21"/>
          <w:szCs w:val="21"/>
          <w:highlight w:val="none"/>
          <w:lang w:val="en-US" w:eastAsia="zh-CN"/>
        </w:rPr>
        <w:t>表1.5-4</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lang w:val="en-US" w:eastAsia="zh-CN"/>
        </w:rPr>
        <w:t xml:space="preserve">  </w:t>
      </w:r>
      <w:r>
        <w:rPr>
          <w:rFonts w:hint="eastAsia" w:cs="Times New Roman"/>
          <w:color w:val="auto"/>
          <w:sz w:val="24"/>
          <w:highlight w:val="none"/>
          <w:lang w:val="en-US" w:eastAsia="zh-CN"/>
        </w:rPr>
        <w:t xml:space="preserve">  </w:t>
      </w:r>
      <w:r>
        <w:rPr>
          <w:rFonts w:hint="eastAsia" w:ascii="Times New Roman" w:hAnsi="Times New Roman" w:cs="Times New Roman"/>
          <w:color w:val="auto"/>
          <w:sz w:val="24"/>
          <w:highlight w:val="none"/>
          <w:lang w:val="en-US" w:eastAsia="zh-CN"/>
        </w:rPr>
        <w:t xml:space="preserve">       </w:t>
      </w:r>
      <w:r>
        <w:rPr>
          <w:rStyle w:val="37"/>
          <w:rFonts w:hint="default" w:ascii="Times New Roman" w:hAnsi="Times New Roman" w:eastAsia="宋体" w:cs="Times New Roman"/>
          <w:b/>
          <w:bCs/>
          <w:color w:val="auto"/>
          <w:kern w:val="2"/>
          <w:sz w:val="24"/>
          <w:szCs w:val="24"/>
          <w:highlight w:val="none"/>
          <w:lang w:val="en-US" w:eastAsia="zh-CN"/>
        </w:rPr>
        <w:t>点源污染物排放源强及源参数一览表</w:t>
      </w:r>
    </w:p>
    <w:tbl>
      <w:tblPr>
        <w:tblStyle w:val="27"/>
        <w:tblW w:w="50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513"/>
        <w:gridCol w:w="1157"/>
        <w:gridCol w:w="1101"/>
        <w:gridCol w:w="845"/>
        <w:gridCol w:w="632"/>
        <w:gridCol w:w="610"/>
        <w:gridCol w:w="600"/>
        <w:gridCol w:w="708"/>
        <w:gridCol w:w="888"/>
        <w:gridCol w:w="800"/>
      </w:tblGrid>
      <w:tr w14:paraId="5492F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3" w:type="dxa"/>
            <w:vMerge w:val="restart"/>
            <w:noWrap w:val="0"/>
            <w:vAlign w:val="center"/>
          </w:tcPr>
          <w:p w14:paraId="742847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p w14:paraId="08061A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2258" w:type="dxa"/>
            <w:gridSpan w:val="2"/>
            <w:noWrap w:val="0"/>
            <w:vAlign w:val="center"/>
          </w:tcPr>
          <w:p w14:paraId="77AB53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排气筒底部中心坐标</w:t>
            </w:r>
          </w:p>
        </w:tc>
        <w:tc>
          <w:tcPr>
            <w:tcW w:w="845" w:type="dxa"/>
            <w:vMerge w:val="restart"/>
            <w:noWrap w:val="0"/>
            <w:vAlign w:val="center"/>
          </w:tcPr>
          <w:p w14:paraId="0B4AD4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排气筒底部海拔高度(m)</w:t>
            </w:r>
          </w:p>
        </w:tc>
        <w:tc>
          <w:tcPr>
            <w:tcW w:w="2550" w:type="dxa"/>
            <w:gridSpan w:val="4"/>
            <w:noWrap w:val="0"/>
            <w:vAlign w:val="center"/>
          </w:tcPr>
          <w:p w14:paraId="6937C1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排气筒参数</w:t>
            </w:r>
          </w:p>
        </w:tc>
        <w:tc>
          <w:tcPr>
            <w:tcW w:w="1688" w:type="dxa"/>
            <w:gridSpan w:val="2"/>
            <w:noWrap w:val="0"/>
            <w:vAlign w:val="center"/>
          </w:tcPr>
          <w:p w14:paraId="6FCD03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污染物排放速率（kg/h）</w:t>
            </w:r>
          </w:p>
        </w:tc>
      </w:tr>
      <w:tr w14:paraId="5C9BF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3" w:type="dxa"/>
            <w:vMerge w:val="continue"/>
            <w:noWrap w:val="0"/>
            <w:vAlign w:val="center"/>
          </w:tcPr>
          <w:p w14:paraId="60492E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57" w:type="dxa"/>
            <w:noWrap w:val="0"/>
            <w:vAlign w:val="center"/>
          </w:tcPr>
          <w:p w14:paraId="109A5F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eastAsia="宋体" w:cs="Times New Roman"/>
                <w:b/>
                <w:color w:val="auto"/>
                <w:sz w:val="21"/>
                <w:szCs w:val="21"/>
                <w:highlight w:val="none"/>
                <w:lang w:val="en-US" w:eastAsia="zh-CN"/>
              </w:rPr>
              <w:t>X</w:t>
            </w:r>
          </w:p>
        </w:tc>
        <w:tc>
          <w:tcPr>
            <w:tcW w:w="1101" w:type="dxa"/>
            <w:noWrap w:val="0"/>
            <w:vAlign w:val="center"/>
          </w:tcPr>
          <w:p w14:paraId="59D01C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eastAsia="宋体" w:cs="Times New Roman"/>
                <w:b/>
                <w:color w:val="auto"/>
                <w:sz w:val="21"/>
                <w:szCs w:val="21"/>
                <w:highlight w:val="none"/>
                <w:lang w:val="en-US" w:eastAsia="zh-CN"/>
              </w:rPr>
              <w:t>Y</w:t>
            </w:r>
          </w:p>
        </w:tc>
        <w:tc>
          <w:tcPr>
            <w:tcW w:w="845" w:type="dxa"/>
            <w:vMerge w:val="continue"/>
            <w:noWrap w:val="0"/>
            <w:vAlign w:val="center"/>
          </w:tcPr>
          <w:p w14:paraId="50C708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632" w:type="dxa"/>
            <w:noWrap w:val="0"/>
            <w:vAlign w:val="center"/>
          </w:tcPr>
          <w:p w14:paraId="39AC67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高度</w:t>
            </w:r>
          </w:p>
          <w:p w14:paraId="30E573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w:t>
            </w:r>
          </w:p>
        </w:tc>
        <w:tc>
          <w:tcPr>
            <w:tcW w:w="610" w:type="dxa"/>
            <w:noWrap w:val="0"/>
            <w:vAlign w:val="center"/>
          </w:tcPr>
          <w:p w14:paraId="24485E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内径</w:t>
            </w:r>
          </w:p>
          <w:p w14:paraId="17BEAC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w:t>
            </w:r>
          </w:p>
        </w:tc>
        <w:tc>
          <w:tcPr>
            <w:tcW w:w="600" w:type="dxa"/>
            <w:noWrap w:val="0"/>
            <w:vAlign w:val="center"/>
          </w:tcPr>
          <w:p w14:paraId="730C85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温度</w:t>
            </w:r>
          </w:p>
          <w:p w14:paraId="6F8486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w:t>
            </w:r>
          </w:p>
        </w:tc>
        <w:tc>
          <w:tcPr>
            <w:tcW w:w="708" w:type="dxa"/>
            <w:noWrap w:val="0"/>
            <w:vAlign w:val="center"/>
          </w:tcPr>
          <w:p w14:paraId="17C664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流速</w:t>
            </w:r>
          </w:p>
          <w:p w14:paraId="308EAF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(m/s)</w:t>
            </w:r>
          </w:p>
        </w:tc>
        <w:tc>
          <w:tcPr>
            <w:tcW w:w="888" w:type="dxa"/>
            <w:noWrap w:val="0"/>
            <w:vAlign w:val="center"/>
          </w:tcPr>
          <w:p w14:paraId="41C90F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800" w:type="dxa"/>
            <w:noWrap w:val="0"/>
            <w:vAlign w:val="center"/>
          </w:tcPr>
          <w:p w14:paraId="02AC84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r>
      <w:tr w14:paraId="7C21A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3" w:type="dxa"/>
            <w:noWrap w:val="0"/>
            <w:vAlign w:val="center"/>
          </w:tcPr>
          <w:p w14:paraId="0B786D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待宰圈</w:t>
            </w:r>
            <w:r>
              <w:rPr>
                <w:rFonts w:hint="eastAsia" w:ascii="Times New Roman" w:hAnsi="Times New Roman" w:eastAsia="宋体" w:cs="Times New Roman"/>
                <w:color w:val="auto"/>
                <w:sz w:val="21"/>
                <w:szCs w:val="21"/>
                <w:highlight w:val="none"/>
                <w:lang w:val="en-US" w:eastAsia="zh-CN"/>
              </w:rPr>
              <w:t>DA001</w:t>
            </w:r>
          </w:p>
        </w:tc>
        <w:tc>
          <w:tcPr>
            <w:tcW w:w="1157" w:type="dxa"/>
            <w:noWrap w:val="0"/>
            <w:vAlign w:val="center"/>
          </w:tcPr>
          <w:p w14:paraId="4A55D9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106.186594</w:t>
            </w:r>
          </w:p>
        </w:tc>
        <w:tc>
          <w:tcPr>
            <w:tcW w:w="1101" w:type="dxa"/>
            <w:noWrap w:val="0"/>
            <w:vAlign w:val="center"/>
          </w:tcPr>
          <w:p w14:paraId="1A05AA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36.004979</w:t>
            </w:r>
          </w:p>
        </w:tc>
        <w:tc>
          <w:tcPr>
            <w:tcW w:w="845" w:type="dxa"/>
            <w:noWrap w:val="0"/>
            <w:vAlign w:val="center"/>
          </w:tcPr>
          <w:p w14:paraId="1331DB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632" w:type="dxa"/>
            <w:noWrap w:val="0"/>
            <w:vAlign w:val="center"/>
          </w:tcPr>
          <w:p w14:paraId="3EF593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w:t>
            </w:r>
          </w:p>
        </w:tc>
        <w:tc>
          <w:tcPr>
            <w:tcW w:w="610" w:type="dxa"/>
            <w:noWrap w:val="0"/>
            <w:vAlign w:val="center"/>
          </w:tcPr>
          <w:p w14:paraId="221ED1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0.6</w:t>
            </w:r>
          </w:p>
        </w:tc>
        <w:tc>
          <w:tcPr>
            <w:tcW w:w="600" w:type="dxa"/>
            <w:noWrap w:val="0"/>
            <w:vAlign w:val="center"/>
          </w:tcPr>
          <w:p w14:paraId="6E3BC1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25</w:t>
            </w:r>
          </w:p>
        </w:tc>
        <w:tc>
          <w:tcPr>
            <w:tcW w:w="708" w:type="dxa"/>
            <w:noWrap w:val="0"/>
            <w:vAlign w:val="center"/>
          </w:tcPr>
          <w:p w14:paraId="1095B0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13.76</w:t>
            </w:r>
          </w:p>
        </w:tc>
        <w:tc>
          <w:tcPr>
            <w:tcW w:w="888" w:type="dxa"/>
            <w:noWrap w:val="0"/>
            <w:vAlign w:val="center"/>
          </w:tcPr>
          <w:p w14:paraId="61E56B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0.00027</w:t>
            </w:r>
          </w:p>
        </w:tc>
        <w:tc>
          <w:tcPr>
            <w:tcW w:w="800" w:type="dxa"/>
            <w:noWrap w:val="0"/>
            <w:vAlign w:val="center"/>
          </w:tcPr>
          <w:p w14:paraId="189938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0.0039</w:t>
            </w:r>
          </w:p>
        </w:tc>
      </w:tr>
      <w:tr w14:paraId="4AB24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3" w:type="dxa"/>
            <w:noWrap w:val="0"/>
            <w:vAlign w:val="center"/>
          </w:tcPr>
          <w:p w14:paraId="666A43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污水处理站DA002</w:t>
            </w:r>
          </w:p>
        </w:tc>
        <w:tc>
          <w:tcPr>
            <w:tcW w:w="1157" w:type="dxa"/>
            <w:noWrap w:val="0"/>
            <w:vAlign w:val="center"/>
          </w:tcPr>
          <w:p w14:paraId="44AAAC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106.187039</w:t>
            </w:r>
          </w:p>
        </w:tc>
        <w:tc>
          <w:tcPr>
            <w:tcW w:w="1101" w:type="dxa"/>
            <w:noWrap w:val="0"/>
            <w:vAlign w:val="center"/>
          </w:tcPr>
          <w:p w14:paraId="284837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36.004768</w:t>
            </w:r>
          </w:p>
        </w:tc>
        <w:tc>
          <w:tcPr>
            <w:tcW w:w="845" w:type="dxa"/>
            <w:noWrap w:val="0"/>
            <w:vAlign w:val="center"/>
          </w:tcPr>
          <w:p w14:paraId="2E3E04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632" w:type="dxa"/>
            <w:noWrap w:val="0"/>
            <w:vAlign w:val="center"/>
          </w:tcPr>
          <w:p w14:paraId="285D6D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w:t>
            </w:r>
          </w:p>
        </w:tc>
        <w:tc>
          <w:tcPr>
            <w:tcW w:w="610" w:type="dxa"/>
            <w:noWrap w:val="0"/>
            <w:vAlign w:val="center"/>
          </w:tcPr>
          <w:p w14:paraId="622F8A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0.2</w:t>
            </w:r>
          </w:p>
        </w:tc>
        <w:tc>
          <w:tcPr>
            <w:tcW w:w="600" w:type="dxa"/>
            <w:noWrap w:val="0"/>
            <w:vAlign w:val="center"/>
          </w:tcPr>
          <w:p w14:paraId="198036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25</w:t>
            </w:r>
          </w:p>
        </w:tc>
        <w:tc>
          <w:tcPr>
            <w:tcW w:w="708" w:type="dxa"/>
            <w:noWrap w:val="0"/>
            <w:vAlign w:val="center"/>
          </w:tcPr>
          <w:p w14:paraId="7E72EA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8.85</w:t>
            </w:r>
          </w:p>
        </w:tc>
        <w:tc>
          <w:tcPr>
            <w:tcW w:w="888" w:type="dxa"/>
            <w:noWrap w:val="0"/>
            <w:vAlign w:val="center"/>
          </w:tcPr>
          <w:p w14:paraId="40CD62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0.000053</w:t>
            </w:r>
          </w:p>
        </w:tc>
        <w:tc>
          <w:tcPr>
            <w:tcW w:w="800" w:type="dxa"/>
            <w:noWrap w:val="0"/>
            <w:vAlign w:val="center"/>
          </w:tcPr>
          <w:p w14:paraId="2A9BB6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0.0013</w:t>
            </w:r>
          </w:p>
        </w:tc>
      </w:tr>
    </w:tbl>
    <w:p w14:paraId="686A992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5</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项目参数</w:t>
      </w:r>
    </w:p>
    <w:p w14:paraId="45F3FF0C">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lang w:val="en-US" w:eastAsia="zh-CN"/>
        </w:rPr>
      </w:pPr>
      <w:r>
        <w:rPr>
          <w:rFonts w:hint="default" w:ascii="Times New Roman" w:hAnsi="Times New Roman" w:eastAsia="仿宋_GB2312" w:cs="Times New Roman"/>
          <w:color w:val="auto"/>
          <w:sz w:val="24"/>
          <w:highlight w:val="none"/>
        </w:rPr>
        <w:t>项目采用估算模型</w:t>
      </w:r>
      <w:r>
        <w:rPr>
          <w:rFonts w:hint="eastAsia" w:cs="Times New Roman"/>
          <w:color w:val="auto"/>
          <w:sz w:val="24"/>
          <w:highlight w:val="none"/>
          <w:lang w:eastAsia="zh-CN"/>
        </w:rPr>
        <w:t>参数</w:t>
      </w:r>
      <w:r>
        <w:rPr>
          <w:rFonts w:hint="default" w:ascii="Times New Roman" w:hAnsi="Times New Roman" w:eastAsia="仿宋_GB2312" w:cs="Times New Roman"/>
          <w:color w:val="auto"/>
          <w:sz w:val="24"/>
          <w:highlight w:val="none"/>
        </w:rPr>
        <w:t>见表1.5-5。</w:t>
      </w:r>
    </w:p>
    <w:p w14:paraId="77C104B7">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仿宋＿GB2312" w:cs="Times New Roman"/>
          <w:b/>
          <w:bCs/>
          <w:color w:val="auto"/>
          <w:sz w:val="24"/>
          <w:szCs w:val="20"/>
          <w:highlight w:val="none"/>
        </w:rPr>
      </w:pPr>
      <w:r>
        <w:rPr>
          <w:rStyle w:val="37"/>
          <w:rFonts w:hint="default" w:ascii="Times New Roman" w:hAnsi="Times New Roman" w:eastAsia="宋体" w:cs="Times New Roman"/>
          <w:color w:val="auto"/>
          <w:kern w:val="2"/>
          <w:sz w:val="21"/>
          <w:szCs w:val="21"/>
          <w:highlight w:val="none"/>
          <w:lang w:val="en-US" w:eastAsia="zh-CN"/>
        </w:rPr>
        <w:t>表1.5-5</w:t>
      </w:r>
      <w:r>
        <w:rPr>
          <w:rFonts w:hint="default" w:ascii="Times New Roman" w:hAnsi="Times New Roman" w:eastAsia="仿宋＿GB2312" w:cs="Times New Roman"/>
          <w:b/>
          <w:bCs/>
          <w:color w:val="auto"/>
          <w:sz w:val="24"/>
          <w:szCs w:val="20"/>
          <w:highlight w:val="none"/>
        </w:rPr>
        <w:t xml:space="preserve">  </w:t>
      </w:r>
      <w:r>
        <w:rPr>
          <w:rFonts w:hint="eastAsia" w:ascii="Times New Roman" w:hAnsi="Times New Roman" w:eastAsia="仿宋＿GB2312" w:cs="Times New Roman"/>
          <w:b/>
          <w:bCs/>
          <w:color w:val="auto"/>
          <w:sz w:val="24"/>
          <w:szCs w:val="20"/>
          <w:highlight w:val="none"/>
          <w:lang w:val="en-US" w:eastAsia="zh-CN"/>
        </w:rPr>
        <w:t xml:space="preserve">             </w:t>
      </w:r>
      <w:r>
        <w:rPr>
          <w:rStyle w:val="37"/>
          <w:rFonts w:hint="default" w:ascii="Times New Roman" w:hAnsi="Times New Roman" w:eastAsia="宋体" w:cs="Times New Roman"/>
          <w:b/>
          <w:bCs/>
          <w:color w:val="auto"/>
          <w:kern w:val="2"/>
          <w:sz w:val="24"/>
          <w:szCs w:val="24"/>
          <w:highlight w:val="none"/>
          <w:lang w:val="en-US" w:eastAsia="zh-CN"/>
        </w:rPr>
        <w:t>估算模型参数一览表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152"/>
        <w:gridCol w:w="1143"/>
        <w:gridCol w:w="4387"/>
      </w:tblGrid>
      <w:tr w14:paraId="16EA1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18" w:type="dxa"/>
            <w:gridSpan w:val="2"/>
            <w:tcBorders>
              <w:tl2br w:val="nil"/>
              <w:tr2bl w:val="nil"/>
            </w:tcBorders>
            <w:noWrap w:val="0"/>
            <w:vAlign w:val="center"/>
          </w:tcPr>
          <w:p w14:paraId="0290FBF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参数</w:t>
            </w:r>
          </w:p>
        </w:tc>
        <w:tc>
          <w:tcPr>
            <w:tcW w:w="1143" w:type="dxa"/>
            <w:tcBorders>
              <w:tl2br w:val="nil"/>
              <w:tr2bl w:val="nil"/>
            </w:tcBorders>
            <w:noWrap w:val="0"/>
            <w:vAlign w:val="center"/>
          </w:tcPr>
          <w:p w14:paraId="1FD5C4E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取值</w:t>
            </w:r>
          </w:p>
        </w:tc>
        <w:tc>
          <w:tcPr>
            <w:tcW w:w="4387" w:type="dxa"/>
            <w:tcBorders>
              <w:tl2br w:val="nil"/>
              <w:tr2bl w:val="nil"/>
            </w:tcBorders>
            <w:noWrap w:val="0"/>
            <w:vAlign w:val="center"/>
          </w:tcPr>
          <w:p w14:paraId="334AE51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参数来源</w:t>
            </w:r>
          </w:p>
        </w:tc>
      </w:tr>
      <w:tr w14:paraId="2B68D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6" w:type="dxa"/>
            <w:vMerge w:val="restart"/>
            <w:tcBorders>
              <w:tl2br w:val="nil"/>
              <w:tr2bl w:val="nil"/>
            </w:tcBorders>
            <w:noWrap w:val="0"/>
            <w:vAlign w:val="center"/>
          </w:tcPr>
          <w:p w14:paraId="28FD4C1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城市农村/选项</w:t>
            </w:r>
          </w:p>
        </w:tc>
        <w:tc>
          <w:tcPr>
            <w:tcW w:w="2152" w:type="dxa"/>
            <w:tcBorders>
              <w:tl2br w:val="nil"/>
              <w:tr2bl w:val="nil"/>
            </w:tcBorders>
            <w:noWrap w:val="0"/>
            <w:vAlign w:val="center"/>
          </w:tcPr>
          <w:p w14:paraId="6D247C6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城市/农村</w:t>
            </w:r>
          </w:p>
        </w:tc>
        <w:tc>
          <w:tcPr>
            <w:tcW w:w="1143" w:type="dxa"/>
            <w:tcBorders>
              <w:tl2br w:val="nil"/>
              <w:tr2bl w:val="nil"/>
            </w:tcBorders>
            <w:noWrap w:val="0"/>
            <w:vAlign w:val="center"/>
          </w:tcPr>
          <w:p w14:paraId="4D8DDCE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城市</w:t>
            </w:r>
          </w:p>
        </w:tc>
        <w:tc>
          <w:tcPr>
            <w:tcW w:w="4387" w:type="dxa"/>
            <w:tcBorders>
              <w:tl2br w:val="nil"/>
              <w:tr2bl w:val="nil"/>
            </w:tcBorders>
            <w:noWrap w:val="0"/>
            <w:vAlign w:val="center"/>
          </w:tcPr>
          <w:p w14:paraId="7F80048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项目位于固原经济开发区，3km范围内半数以上为城市建成区或规划区，因此选择城市。</w:t>
            </w:r>
          </w:p>
        </w:tc>
      </w:tr>
      <w:tr w14:paraId="2FCD6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6" w:type="dxa"/>
            <w:vMerge w:val="continue"/>
            <w:tcBorders>
              <w:tl2br w:val="nil"/>
              <w:tr2bl w:val="nil"/>
            </w:tcBorders>
            <w:noWrap w:val="0"/>
            <w:vAlign w:val="center"/>
          </w:tcPr>
          <w:p w14:paraId="6F4398B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2152" w:type="dxa"/>
            <w:tcBorders>
              <w:tl2br w:val="nil"/>
              <w:tr2bl w:val="nil"/>
            </w:tcBorders>
            <w:noWrap w:val="0"/>
            <w:vAlign w:val="center"/>
          </w:tcPr>
          <w:p w14:paraId="7A560C9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人口数</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城市人口数</w:t>
            </w:r>
            <w:r>
              <w:rPr>
                <w:rFonts w:hint="eastAsia" w:eastAsia="宋体" w:cs="Times New Roman"/>
                <w:color w:val="auto"/>
                <w:sz w:val="21"/>
                <w:szCs w:val="21"/>
                <w:highlight w:val="none"/>
                <w:lang w:eastAsia="zh-CN"/>
              </w:rPr>
              <w:t>）</w:t>
            </w:r>
          </w:p>
        </w:tc>
        <w:tc>
          <w:tcPr>
            <w:tcW w:w="1143" w:type="dxa"/>
            <w:tcBorders>
              <w:tl2br w:val="nil"/>
              <w:tr2bl w:val="nil"/>
            </w:tcBorders>
            <w:noWrap w:val="0"/>
            <w:vAlign w:val="center"/>
          </w:tcPr>
          <w:p w14:paraId="595F867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19461</w:t>
            </w:r>
          </w:p>
        </w:tc>
        <w:tc>
          <w:tcPr>
            <w:tcW w:w="4387" w:type="dxa"/>
            <w:tcBorders>
              <w:tl2br w:val="nil"/>
              <w:tr2bl w:val="nil"/>
            </w:tcBorders>
            <w:noWrap w:val="0"/>
            <w:vAlign w:val="center"/>
          </w:tcPr>
          <w:p w14:paraId="2E00397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宁夏回族自治区第七次全国人口普查公报</w:t>
            </w:r>
          </w:p>
        </w:tc>
      </w:tr>
      <w:tr w14:paraId="716C9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18" w:type="dxa"/>
            <w:gridSpan w:val="2"/>
            <w:tcBorders>
              <w:tl2br w:val="nil"/>
              <w:tr2bl w:val="nil"/>
            </w:tcBorders>
            <w:noWrap w:val="0"/>
            <w:vAlign w:val="center"/>
          </w:tcPr>
          <w:p w14:paraId="62F08F3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最高环境温度</w:t>
            </w:r>
          </w:p>
        </w:tc>
        <w:tc>
          <w:tcPr>
            <w:tcW w:w="1143" w:type="dxa"/>
            <w:tcBorders>
              <w:tl2br w:val="nil"/>
              <w:tr2bl w:val="nil"/>
            </w:tcBorders>
            <w:noWrap w:val="0"/>
            <w:vAlign w:val="center"/>
          </w:tcPr>
          <w:p w14:paraId="7819AF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vertAlign w:val="baseline"/>
                <w:lang w:val="en-US" w:eastAsia="zh-CN"/>
              </w:rPr>
              <w:t>34.4</w:t>
            </w:r>
          </w:p>
        </w:tc>
        <w:tc>
          <w:tcPr>
            <w:tcW w:w="4387" w:type="dxa"/>
            <w:vMerge w:val="restart"/>
            <w:tcBorders>
              <w:tl2br w:val="nil"/>
              <w:tr2bl w:val="nil"/>
            </w:tcBorders>
            <w:noWrap w:val="0"/>
            <w:vAlign w:val="center"/>
          </w:tcPr>
          <w:p w14:paraId="01C8BF4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固原气象站距离为25.8km</w:t>
            </w:r>
            <w:r>
              <w:rPr>
                <w:rFonts w:hint="eastAsia" w:ascii="Times New Roman" w:hAnsi="Times New Roman" w:eastAsia="宋体" w:cs="Times New Roman"/>
                <w:color w:val="auto"/>
                <w:sz w:val="21"/>
                <w:szCs w:val="21"/>
                <w:highlight w:val="none"/>
                <w:lang w:eastAsia="zh-CN"/>
              </w:rPr>
              <w:t>，根据固原市气象站200</w:t>
            </w: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eastAsia="zh-CN"/>
              </w:rPr>
              <w:t>-202</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eastAsia="zh-CN"/>
              </w:rPr>
              <w:t>年的气象统计数据</w:t>
            </w:r>
          </w:p>
        </w:tc>
      </w:tr>
      <w:tr w14:paraId="21140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18" w:type="dxa"/>
            <w:gridSpan w:val="2"/>
            <w:tcBorders>
              <w:tl2br w:val="nil"/>
              <w:tr2bl w:val="nil"/>
            </w:tcBorders>
            <w:noWrap w:val="0"/>
            <w:vAlign w:val="center"/>
          </w:tcPr>
          <w:p w14:paraId="641D2CA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最低环境温度</w:t>
            </w:r>
          </w:p>
        </w:tc>
        <w:tc>
          <w:tcPr>
            <w:tcW w:w="1143" w:type="dxa"/>
            <w:tcBorders>
              <w:tl2br w:val="nil"/>
              <w:tr2bl w:val="nil"/>
            </w:tcBorders>
            <w:noWrap w:val="0"/>
            <w:vAlign w:val="center"/>
          </w:tcPr>
          <w:p w14:paraId="6D8F83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vertAlign w:val="baseline"/>
                <w:lang w:val="en-US" w:eastAsia="zh-CN"/>
              </w:rPr>
              <w:t>-24.1</w:t>
            </w:r>
          </w:p>
        </w:tc>
        <w:tc>
          <w:tcPr>
            <w:tcW w:w="4387" w:type="dxa"/>
            <w:vMerge w:val="continue"/>
            <w:tcBorders>
              <w:tl2br w:val="nil"/>
              <w:tr2bl w:val="nil"/>
            </w:tcBorders>
            <w:noWrap w:val="0"/>
            <w:vAlign w:val="center"/>
          </w:tcPr>
          <w:p w14:paraId="6CCD562B">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5B69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18" w:type="dxa"/>
            <w:gridSpan w:val="2"/>
            <w:tcBorders>
              <w:tl2br w:val="nil"/>
              <w:tr2bl w:val="nil"/>
            </w:tcBorders>
            <w:noWrap w:val="0"/>
            <w:vAlign w:val="center"/>
          </w:tcPr>
          <w:p w14:paraId="49DBE35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土地利用类型</w:t>
            </w:r>
          </w:p>
        </w:tc>
        <w:tc>
          <w:tcPr>
            <w:tcW w:w="1143" w:type="dxa"/>
            <w:tcBorders>
              <w:tl2br w:val="nil"/>
              <w:tr2bl w:val="nil"/>
            </w:tcBorders>
            <w:noWrap w:val="0"/>
            <w:vAlign w:val="center"/>
          </w:tcPr>
          <w:p w14:paraId="65E4EB1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工业用地</w:t>
            </w:r>
          </w:p>
        </w:tc>
        <w:tc>
          <w:tcPr>
            <w:tcW w:w="4387" w:type="dxa"/>
            <w:tcBorders>
              <w:tl2br w:val="nil"/>
              <w:tr2bl w:val="nil"/>
            </w:tcBorders>
            <w:noWrap w:val="0"/>
            <w:vAlign w:val="center"/>
          </w:tcPr>
          <w:p w14:paraId="00D905E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土地利用类型</w:t>
            </w:r>
            <w:r>
              <w:rPr>
                <w:rFonts w:hint="eastAsia" w:eastAsia="宋体" w:cs="Times New Roman"/>
                <w:color w:val="auto"/>
                <w:sz w:val="21"/>
                <w:szCs w:val="21"/>
                <w:highlight w:val="none"/>
                <w:lang w:val="en-US" w:eastAsia="zh-CN"/>
              </w:rPr>
              <w:t>图见图1.5-1</w:t>
            </w:r>
          </w:p>
        </w:tc>
      </w:tr>
      <w:tr w14:paraId="3B4DD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18" w:type="dxa"/>
            <w:gridSpan w:val="2"/>
            <w:tcBorders>
              <w:tl2br w:val="nil"/>
              <w:tr2bl w:val="nil"/>
            </w:tcBorders>
            <w:noWrap w:val="0"/>
            <w:vAlign w:val="center"/>
          </w:tcPr>
          <w:p w14:paraId="4850E7F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区域湿度条件</w:t>
            </w:r>
          </w:p>
        </w:tc>
        <w:tc>
          <w:tcPr>
            <w:tcW w:w="1143" w:type="dxa"/>
            <w:tcBorders>
              <w:tl2br w:val="nil"/>
              <w:tr2bl w:val="nil"/>
            </w:tcBorders>
            <w:noWrap w:val="0"/>
            <w:vAlign w:val="center"/>
          </w:tcPr>
          <w:p w14:paraId="5374C8D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干燥</w:t>
            </w:r>
          </w:p>
        </w:tc>
        <w:tc>
          <w:tcPr>
            <w:tcW w:w="4387" w:type="dxa"/>
            <w:tcBorders>
              <w:tl2br w:val="nil"/>
              <w:tr2bl w:val="nil"/>
            </w:tcBorders>
            <w:noWrap w:val="0"/>
            <w:vAlign w:val="center"/>
          </w:tcPr>
          <w:p w14:paraId="2A5E13F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本项目处于中温带亚干旱大区</w:t>
            </w:r>
          </w:p>
        </w:tc>
      </w:tr>
      <w:tr w14:paraId="0916A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6" w:type="dxa"/>
            <w:vMerge w:val="restart"/>
            <w:tcBorders>
              <w:tl2br w:val="nil"/>
              <w:tr2bl w:val="nil"/>
            </w:tcBorders>
            <w:noWrap w:val="0"/>
            <w:vAlign w:val="center"/>
          </w:tcPr>
          <w:p w14:paraId="31B9553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是否考虑地形</w:t>
            </w:r>
          </w:p>
        </w:tc>
        <w:tc>
          <w:tcPr>
            <w:tcW w:w="2152" w:type="dxa"/>
            <w:tcBorders>
              <w:tl2br w:val="nil"/>
              <w:tr2bl w:val="nil"/>
            </w:tcBorders>
            <w:noWrap w:val="0"/>
            <w:vAlign w:val="center"/>
          </w:tcPr>
          <w:p w14:paraId="5529DFF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考虑地形</w:t>
            </w:r>
          </w:p>
        </w:tc>
        <w:tc>
          <w:tcPr>
            <w:tcW w:w="1143" w:type="dxa"/>
            <w:tcBorders>
              <w:tl2br w:val="nil"/>
              <w:tr2bl w:val="nil"/>
            </w:tcBorders>
            <w:noWrap w:val="0"/>
            <w:vAlign w:val="center"/>
          </w:tcPr>
          <w:p w14:paraId="4D8C8FF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4387" w:type="dxa"/>
            <w:vMerge w:val="restart"/>
            <w:tcBorders>
              <w:tl2br w:val="nil"/>
              <w:tr2bl w:val="nil"/>
            </w:tcBorders>
            <w:noWrap w:val="0"/>
            <w:vAlign w:val="center"/>
          </w:tcPr>
          <w:p w14:paraId="3233C21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本项目为环境影响报告书，需考虑地形参数</w:t>
            </w:r>
          </w:p>
        </w:tc>
      </w:tr>
      <w:tr w14:paraId="004F4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6" w:type="dxa"/>
            <w:vMerge w:val="continue"/>
            <w:tcBorders>
              <w:tl2br w:val="nil"/>
              <w:tr2bl w:val="nil"/>
            </w:tcBorders>
            <w:noWrap w:val="0"/>
            <w:vAlign w:val="center"/>
          </w:tcPr>
          <w:p w14:paraId="13541F2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2152" w:type="dxa"/>
            <w:tcBorders>
              <w:tl2br w:val="nil"/>
              <w:tr2bl w:val="nil"/>
            </w:tcBorders>
            <w:noWrap w:val="0"/>
            <w:vAlign w:val="center"/>
          </w:tcPr>
          <w:p w14:paraId="0C6B6B2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地形数据分辨率</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eastAsia" w:eastAsia="宋体" w:cs="Times New Roman"/>
                <w:color w:val="auto"/>
                <w:sz w:val="21"/>
                <w:szCs w:val="21"/>
                <w:highlight w:val="none"/>
                <w:lang w:eastAsia="zh-CN"/>
              </w:rPr>
              <w:t>）</w:t>
            </w:r>
          </w:p>
        </w:tc>
        <w:tc>
          <w:tcPr>
            <w:tcW w:w="1143" w:type="dxa"/>
            <w:tcBorders>
              <w:tl2br w:val="nil"/>
              <w:tr2bl w:val="nil"/>
            </w:tcBorders>
            <w:noWrap w:val="0"/>
            <w:vAlign w:val="center"/>
          </w:tcPr>
          <w:p w14:paraId="0F133C9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4387" w:type="dxa"/>
            <w:vMerge w:val="continue"/>
            <w:tcBorders>
              <w:tl2br w:val="nil"/>
              <w:tr2bl w:val="nil"/>
            </w:tcBorders>
            <w:noWrap w:val="0"/>
            <w:vAlign w:val="center"/>
          </w:tcPr>
          <w:p w14:paraId="2C06A2B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ADAE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6" w:type="dxa"/>
            <w:vMerge w:val="restart"/>
            <w:tcBorders>
              <w:tl2br w:val="nil"/>
              <w:tr2bl w:val="nil"/>
            </w:tcBorders>
            <w:noWrap w:val="0"/>
            <w:vAlign w:val="center"/>
          </w:tcPr>
          <w:p w14:paraId="1FA373E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是否考虑海岸线熏烟</w:t>
            </w:r>
          </w:p>
        </w:tc>
        <w:tc>
          <w:tcPr>
            <w:tcW w:w="2152" w:type="dxa"/>
            <w:tcBorders>
              <w:tl2br w:val="nil"/>
              <w:tr2bl w:val="nil"/>
            </w:tcBorders>
            <w:noWrap w:val="0"/>
            <w:vAlign w:val="center"/>
          </w:tcPr>
          <w:p w14:paraId="02AF049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考虑海岸线熏烟</w:t>
            </w:r>
          </w:p>
        </w:tc>
        <w:tc>
          <w:tcPr>
            <w:tcW w:w="1143" w:type="dxa"/>
            <w:tcBorders>
              <w:tl2br w:val="nil"/>
              <w:tr2bl w:val="nil"/>
            </w:tcBorders>
            <w:noWrap w:val="0"/>
            <w:vAlign w:val="center"/>
          </w:tcPr>
          <w:p w14:paraId="1EECEF4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c>
          <w:tcPr>
            <w:tcW w:w="4387" w:type="dxa"/>
            <w:vMerge w:val="restart"/>
            <w:tcBorders>
              <w:tl2br w:val="nil"/>
              <w:tr2bl w:val="nil"/>
            </w:tcBorders>
            <w:noWrap w:val="0"/>
            <w:vAlign w:val="center"/>
          </w:tcPr>
          <w:p w14:paraId="1E740E5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本项目周边无大型水体无需考虑岸边熏烟</w:t>
            </w:r>
          </w:p>
        </w:tc>
      </w:tr>
      <w:tr w14:paraId="784DA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6" w:type="dxa"/>
            <w:vMerge w:val="continue"/>
            <w:tcBorders>
              <w:tl2br w:val="nil"/>
              <w:tr2bl w:val="nil"/>
            </w:tcBorders>
            <w:noWrap w:val="0"/>
            <w:vAlign w:val="center"/>
          </w:tcPr>
          <w:p w14:paraId="7DFE8FC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2152" w:type="dxa"/>
            <w:tcBorders>
              <w:tl2br w:val="nil"/>
              <w:tr2bl w:val="nil"/>
            </w:tcBorders>
            <w:noWrap w:val="0"/>
            <w:vAlign w:val="center"/>
          </w:tcPr>
          <w:p w14:paraId="5110DBD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海岸线距离/km</w:t>
            </w:r>
          </w:p>
        </w:tc>
        <w:tc>
          <w:tcPr>
            <w:tcW w:w="1143" w:type="dxa"/>
            <w:tcBorders>
              <w:tl2br w:val="nil"/>
              <w:tr2bl w:val="nil"/>
            </w:tcBorders>
            <w:noWrap w:val="0"/>
            <w:vAlign w:val="center"/>
          </w:tcPr>
          <w:p w14:paraId="386E23A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387" w:type="dxa"/>
            <w:vMerge w:val="continue"/>
            <w:tcBorders>
              <w:tl2br w:val="nil"/>
              <w:tr2bl w:val="nil"/>
            </w:tcBorders>
            <w:noWrap w:val="0"/>
            <w:vAlign w:val="center"/>
          </w:tcPr>
          <w:p w14:paraId="12992FA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622E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6" w:type="dxa"/>
            <w:vMerge w:val="continue"/>
            <w:tcBorders>
              <w:tl2br w:val="nil"/>
              <w:tr2bl w:val="nil"/>
            </w:tcBorders>
            <w:noWrap w:val="0"/>
            <w:vAlign w:val="center"/>
          </w:tcPr>
          <w:p w14:paraId="11DF364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2152" w:type="dxa"/>
            <w:tcBorders>
              <w:tl2br w:val="nil"/>
              <w:tr2bl w:val="nil"/>
            </w:tcBorders>
            <w:noWrap w:val="0"/>
            <w:vAlign w:val="center"/>
          </w:tcPr>
          <w:p w14:paraId="07415B9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海岸线方向/</w:t>
            </w:r>
            <w:r>
              <w:rPr>
                <w:rFonts w:hint="default" w:ascii="Times New Roman" w:hAnsi="Times New Roman" w:eastAsia="宋体" w:cs="Times New Roman"/>
                <w:color w:val="auto"/>
                <w:sz w:val="21"/>
                <w:szCs w:val="21"/>
                <w:highlight w:val="none"/>
                <w:vertAlign w:val="superscript"/>
              </w:rPr>
              <w:t>o</w:t>
            </w:r>
          </w:p>
        </w:tc>
        <w:tc>
          <w:tcPr>
            <w:tcW w:w="1143" w:type="dxa"/>
            <w:tcBorders>
              <w:tl2br w:val="nil"/>
              <w:tr2bl w:val="nil"/>
            </w:tcBorders>
            <w:noWrap w:val="0"/>
            <w:vAlign w:val="center"/>
          </w:tcPr>
          <w:p w14:paraId="33A86D5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387" w:type="dxa"/>
            <w:vMerge w:val="continue"/>
            <w:tcBorders>
              <w:tl2br w:val="nil"/>
              <w:tr2bl w:val="nil"/>
            </w:tcBorders>
            <w:noWrap w:val="0"/>
            <w:vAlign w:val="center"/>
          </w:tcPr>
          <w:p w14:paraId="65FD53C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bl>
    <w:p w14:paraId="636C84B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6</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评价工作等级确定</w:t>
      </w:r>
    </w:p>
    <w:p w14:paraId="3DA511B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根据本项目废气污染源排放情况，估算大气污染物最大落地浓度C</w:t>
      </w:r>
      <w:r>
        <w:rPr>
          <w:rFonts w:hint="default" w:ascii="Times New Roman" w:hAnsi="Times New Roman" w:eastAsia="仿宋_GB2312" w:cs="Times New Roman"/>
          <w:color w:val="auto"/>
          <w:sz w:val="24"/>
          <w:highlight w:val="none"/>
          <w:vertAlign w:val="subscript"/>
        </w:rPr>
        <w:t>max</w:t>
      </w:r>
      <w:r>
        <w:rPr>
          <w:rFonts w:hint="default" w:ascii="Times New Roman" w:hAnsi="Times New Roman" w:eastAsia="仿宋_GB2312" w:cs="Times New Roman"/>
          <w:color w:val="auto"/>
          <w:sz w:val="24"/>
          <w:highlight w:val="none"/>
        </w:rPr>
        <w:t>（mg/m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）以及对应的占标率Pi（%）、达标准限值10%时所对应的最远距离D</w:t>
      </w:r>
      <w:r>
        <w:rPr>
          <w:rFonts w:hint="default" w:ascii="Times New Roman" w:hAnsi="Times New Roman" w:eastAsia="仿宋_GB2312" w:cs="Times New Roman"/>
          <w:color w:val="auto"/>
          <w:sz w:val="24"/>
          <w:highlight w:val="none"/>
          <w:vertAlign w:val="subscript"/>
        </w:rPr>
        <w:t>10%</w:t>
      </w:r>
      <w:r>
        <w:rPr>
          <w:rFonts w:hint="default" w:ascii="Times New Roman" w:hAnsi="Times New Roman" w:eastAsia="仿宋_GB2312" w:cs="Times New Roman"/>
          <w:color w:val="auto"/>
          <w:sz w:val="24"/>
          <w:highlight w:val="none"/>
        </w:rPr>
        <w:t>（m）。项目估算模式的计算结果见表1.5-6。</w:t>
      </w:r>
    </w:p>
    <w:p w14:paraId="53BD8DF3">
      <w:pPr>
        <w:pageBreakBefore w:val="0"/>
        <w:kinsoku/>
        <w:wordWrap/>
        <w:topLinePunct w:val="0"/>
        <w:bidi w:val="0"/>
        <w:adjustRightInd/>
        <w:snapToGrid/>
        <w:spacing w:line="240" w:lineRule="auto"/>
        <w:ind w:left="0" w:leftChars="0"/>
        <w:jc w:val="both"/>
        <w:rPr>
          <w:rFonts w:hint="default" w:ascii="Times New Roman" w:hAnsi="Times New Roman" w:cs="Times New Roman"/>
          <w:color w:val="auto"/>
          <w:highlight w:val="none"/>
        </w:rPr>
      </w:pPr>
      <w:r>
        <w:rPr>
          <w:rStyle w:val="37"/>
          <w:rFonts w:hint="default" w:ascii="Times New Roman" w:hAnsi="Times New Roman" w:eastAsia="宋体" w:cs="Times New Roman"/>
          <w:color w:val="auto"/>
          <w:kern w:val="2"/>
          <w:sz w:val="21"/>
          <w:szCs w:val="21"/>
          <w:highlight w:val="none"/>
          <w:lang w:val="en-US" w:eastAsia="zh-CN"/>
        </w:rPr>
        <w:t>表1.5-6</w:t>
      </w:r>
      <w:r>
        <w:rPr>
          <w:rFonts w:hint="default" w:ascii="Times New Roman" w:hAnsi="Times New Roman" w:eastAsia="仿宋＿GB2312" w:cs="Times New Roman"/>
          <w:color w:val="auto"/>
          <w:szCs w:val="16"/>
          <w:highlight w:val="none"/>
        </w:rPr>
        <w:t xml:space="preserve"> </w:t>
      </w:r>
      <w:r>
        <w:rPr>
          <w:rFonts w:hint="default" w:ascii="Times New Roman" w:hAnsi="Times New Roman" w:cs="Times New Roman"/>
          <w:color w:val="auto"/>
          <w:szCs w:val="16"/>
          <w:highlight w:val="none"/>
        </w:rPr>
        <w:t xml:space="preserve"> </w:t>
      </w:r>
      <w:r>
        <w:rPr>
          <w:rFonts w:hint="eastAsia" w:ascii="Times New Roman" w:hAnsi="Times New Roman" w:cs="Times New Roman"/>
          <w:color w:val="auto"/>
          <w:szCs w:val="16"/>
          <w:highlight w:val="none"/>
          <w:lang w:val="en-US" w:eastAsia="zh-CN"/>
        </w:rPr>
        <w:t xml:space="preserve">                 </w:t>
      </w:r>
      <w:r>
        <w:rPr>
          <w:rStyle w:val="37"/>
          <w:rFonts w:hint="default" w:ascii="Times New Roman" w:hAnsi="Times New Roman" w:eastAsia="宋体" w:cs="Times New Roman"/>
          <w:b/>
          <w:bCs/>
          <w:color w:val="auto"/>
          <w:kern w:val="2"/>
          <w:sz w:val="24"/>
          <w:szCs w:val="24"/>
          <w:highlight w:val="none"/>
          <w:lang w:val="en-US" w:eastAsia="zh-CN"/>
        </w:rPr>
        <w:t>估算模式计算结果表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076"/>
        <w:gridCol w:w="1688"/>
        <w:gridCol w:w="1365"/>
        <w:gridCol w:w="1307"/>
        <w:gridCol w:w="997"/>
        <w:gridCol w:w="1013"/>
      </w:tblGrid>
      <w:tr w14:paraId="77677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2" w:type="dxa"/>
            <w:noWrap w:val="0"/>
            <w:vAlign w:val="center"/>
          </w:tcPr>
          <w:p w14:paraId="237201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污染源名称</w:t>
            </w:r>
          </w:p>
        </w:tc>
        <w:tc>
          <w:tcPr>
            <w:tcW w:w="1076" w:type="dxa"/>
            <w:noWrap w:val="0"/>
            <w:vAlign w:val="center"/>
          </w:tcPr>
          <w:p w14:paraId="176308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评价因子</w:t>
            </w:r>
          </w:p>
        </w:tc>
        <w:tc>
          <w:tcPr>
            <w:tcW w:w="1688" w:type="dxa"/>
            <w:noWrap w:val="0"/>
            <w:vAlign w:val="center"/>
          </w:tcPr>
          <w:p w14:paraId="395BB1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评价标准(μg/m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365" w:type="dxa"/>
            <w:noWrap w:val="0"/>
            <w:vAlign w:val="center"/>
          </w:tcPr>
          <w:p w14:paraId="146808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w:t>
            </w:r>
            <w:r>
              <w:rPr>
                <w:rFonts w:hint="default" w:ascii="Times New Roman" w:hAnsi="Times New Roman" w:eastAsia="宋体" w:cs="Times New Roman"/>
                <w:b/>
                <w:bCs/>
                <w:color w:val="auto"/>
                <w:sz w:val="21"/>
                <w:szCs w:val="21"/>
                <w:highlight w:val="none"/>
                <w:vertAlign w:val="subscript"/>
              </w:rPr>
              <w:t>max</w:t>
            </w: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307" w:type="dxa"/>
            <w:noWrap w:val="0"/>
            <w:vAlign w:val="center"/>
          </w:tcPr>
          <w:p w14:paraId="08F4A3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w:t>
            </w:r>
            <w:r>
              <w:rPr>
                <w:rFonts w:hint="default" w:ascii="Times New Roman" w:hAnsi="Times New Roman" w:eastAsia="宋体" w:cs="Times New Roman"/>
                <w:b/>
                <w:bCs/>
                <w:color w:val="auto"/>
                <w:sz w:val="21"/>
                <w:szCs w:val="21"/>
                <w:highlight w:val="none"/>
                <w:vertAlign w:val="subscript"/>
              </w:rPr>
              <w:t>max</w:t>
            </w:r>
            <w:r>
              <w:rPr>
                <w:rFonts w:hint="default" w:ascii="Times New Roman" w:hAnsi="Times New Roman" w:eastAsia="宋体" w:cs="Times New Roman"/>
                <w:b/>
                <w:bCs/>
                <w:color w:val="auto"/>
                <w:sz w:val="21"/>
                <w:szCs w:val="21"/>
                <w:highlight w:val="none"/>
              </w:rPr>
              <w:t>(%)</w:t>
            </w:r>
          </w:p>
        </w:tc>
        <w:tc>
          <w:tcPr>
            <w:tcW w:w="997" w:type="dxa"/>
            <w:noWrap w:val="0"/>
            <w:vAlign w:val="center"/>
          </w:tcPr>
          <w:p w14:paraId="5FAC91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w:t>
            </w:r>
            <w:r>
              <w:rPr>
                <w:rFonts w:hint="default" w:ascii="Times New Roman" w:hAnsi="Times New Roman" w:eastAsia="宋体" w:cs="Times New Roman"/>
                <w:b/>
                <w:bCs/>
                <w:color w:val="auto"/>
                <w:sz w:val="21"/>
                <w:szCs w:val="21"/>
                <w:highlight w:val="none"/>
                <w:vertAlign w:val="subscript"/>
              </w:rPr>
              <w:t>10%</w:t>
            </w:r>
            <w:r>
              <w:rPr>
                <w:rFonts w:hint="default" w:ascii="Times New Roman" w:hAnsi="Times New Roman" w:eastAsia="宋体" w:cs="Times New Roman"/>
                <w:b/>
                <w:bCs/>
                <w:color w:val="auto"/>
                <w:sz w:val="21"/>
                <w:szCs w:val="21"/>
                <w:highlight w:val="none"/>
              </w:rPr>
              <w:t>(m)</w:t>
            </w:r>
          </w:p>
        </w:tc>
        <w:tc>
          <w:tcPr>
            <w:tcW w:w="1013" w:type="dxa"/>
            <w:noWrap w:val="0"/>
            <w:vAlign w:val="top"/>
          </w:tcPr>
          <w:p w14:paraId="7B89E712">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判定评价等级</w:t>
            </w:r>
          </w:p>
        </w:tc>
      </w:tr>
      <w:tr w14:paraId="0803D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2" w:type="dxa"/>
            <w:vMerge w:val="restart"/>
            <w:noWrap w:val="0"/>
            <w:vAlign w:val="center"/>
          </w:tcPr>
          <w:p w14:paraId="34152B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待宰圈</w:t>
            </w:r>
          </w:p>
        </w:tc>
        <w:tc>
          <w:tcPr>
            <w:tcW w:w="1076" w:type="dxa"/>
            <w:shd w:val="clear" w:color="auto" w:fill="auto"/>
            <w:noWrap w:val="0"/>
            <w:vAlign w:val="center"/>
          </w:tcPr>
          <w:p w14:paraId="1316D5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688" w:type="dxa"/>
            <w:shd w:val="clear" w:color="auto" w:fill="auto"/>
            <w:noWrap w:val="0"/>
            <w:vAlign w:val="center"/>
          </w:tcPr>
          <w:p w14:paraId="0042F9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200.0</w:t>
            </w:r>
          </w:p>
        </w:tc>
        <w:tc>
          <w:tcPr>
            <w:tcW w:w="1365" w:type="dxa"/>
            <w:shd w:val="clear" w:color="auto" w:fill="auto"/>
            <w:noWrap w:val="0"/>
            <w:vAlign w:val="center"/>
          </w:tcPr>
          <w:p w14:paraId="06DFE4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0.9972</w:t>
            </w:r>
          </w:p>
        </w:tc>
        <w:tc>
          <w:tcPr>
            <w:tcW w:w="1307" w:type="dxa"/>
            <w:shd w:val="clear" w:color="auto" w:fill="auto"/>
            <w:noWrap w:val="0"/>
            <w:vAlign w:val="center"/>
          </w:tcPr>
          <w:p w14:paraId="6BC51D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0.4986</w:t>
            </w:r>
          </w:p>
        </w:tc>
        <w:tc>
          <w:tcPr>
            <w:tcW w:w="997" w:type="dxa"/>
            <w:shd w:val="clear" w:color="auto" w:fill="auto"/>
            <w:noWrap w:val="0"/>
            <w:vAlign w:val="center"/>
          </w:tcPr>
          <w:p w14:paraId="659E0E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013" w:type="dxa"/>
            <w:vMerge w:val="restart"/>
            <w:noWrap w:val="0"/>
            <w:vAlign w:val="center"/>
          </w:tcPr>
          <w:p w14:paraId="339AA3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三级</w:t>
            </w:r>
          </w:p>
        </w:tc>
      </w:tr>
      <w:tr w14:paraId="37CB3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2" w:type="dxa"/>
            <w:vMerge w:val="continue"/>
            <w:noWrap w:val="0"/>
            <w:vAlign w:val="center"/>
          </w:tcPr>
          <w:p w14:paraId="2A1AAD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076" w:type="dxa"/>
            <w:shd w:val="clear" w:color="auto" w:fill="auto"/>
            <w:noWrap w:val="0"/>
            <w:vAlign w:val="center"/>
          </w:tcPr>
          <w:p w14:paraId="4FA06E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688" w:type="dxa"/>
            <w:shd w:val="clear" w:color="auto" w:fill="auto"/>
            <w:noWrap w:val="0"/>
            <w:vAlign w:val="center"/>
          </w:tcPr>
          <w:p w14:paraId="26ED3F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10.0</w:t>
            </w:r>
          </w:p>
        </w:tc>
        <w:tc>
          <w:tcPr>
            <w:tcW w:w="1365" w:type="dxa"/>
            <w:shd w:val="clear" w:color="auto" w:fill="auto"/>
            <w:noWrap w:val="0"/>
            <w:vAlign w:val="center"/>
          </w:tcPr>
          <w:p w14:paraId="0F3607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0.0689</w:t>
            </w:r>
          </w:p>
        </w:tc>
        <w:tc>
          <w:tcPr>
            <w:tcW w:w="1307" w:type="dxa"/>
            <w:shd w:val="clear" w:color="auto" w:fill="auto"/>
            <w:noWrap w:val="0"/>
            <w:vAlign w:val="center"/>
          </w:tcPr>
          <w:p w14:paraId="106982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0.6890</w:t>
            </w:r>
          </w:p>
        </w:tc>
        <w:tc>
          <w:tcPr>
            <w:tcW w:w="997" w:type="dxa"/>
            <w:shd w:val="clear" w:color="auto" w:fill="auto"/>
            <w:noWrap w:val="0"/>
            <w:vAlign w:val="center"/>
          </w:tcPr>
          <w:p w14:paraId="4CB9B7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013" w:type="dxa"/>
            <w:vMerge w:val="continue"/>
            <w:noWrap w:val="0"/>
            <w:vAlign w:val="center"/>
          </w:tcPr>
          <w:p w14:paraId="7284FE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14:paraId="6DFA9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2" w:type="dxa"/>
            <w:vMerge w:val="restart"/>
            <w:noWrap w:val="0"/>
            <w:vAlign w:val="center"/>
          </w:tcPr>
          <w:p w14:paraId="2AA697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屠宰加工车间</w:t>
            </w:r>
          </w:p>
        </w:tc>
        <w:tc>
          <w:tcPr>
            <w:tcW w:w="1076" w:type="dxa"/>
            <w:noWrap w:val="0"/>
            <w:vAlign w:val="center"/>
          </w:tcPr>
          <w:p w14:paraId="58468F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688" w:type="dxa"/>
            <w:noWrap w:val="0"/>
            <w:vAlign w:val="center"/>
          </w:tcPr>
          <w:p w14:paraId="1E386C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c>
          <w:tcPr>
            <w:tcW w:w="1365" w:type="dxa"/>
            <w:noWrap w:val="0"/>
            <w:vAlign w:val="center"/>
          </w:tcPr>
          <w:p w14:paraId="7E91D5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6.9833</w:t>
            </w:r>
          </w:p>
        </w:tc>
        <w:tc>
          <w:tcPr>
            <w:tcW w:w="1307" w:type="dxa"/>
            <w:noWrap w:val="0"/>
            <w:vAlign w:val="center"/>
          </w:tcPr>
          <w:p w14:paraId="65C20A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3.4916</w:t>
            </w:r>
          </w:p>
        </w:tc>
        <w:tc>
          <w:tcPr>
            <w:tcW w:w="997" w:type="dxa"/>
            <w:noWrap w:val="0"/>
            <w:vAlign w:val="center"/>
          </w:tcPr>
          <w:p w14:paraId="35B96E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13" w:type="dxa"/>
            <w:vMerge w:val="restart"/>
            <w:noWrap w:val="0"/>
            <w:vAlign w:val="center"/>
          </w:tcPr>
          <w:p w14:paraId="455F18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二级</w:t>
            </w:r>
          </w:p>
        </w:tc>
      </w:tr>
      <w:tr w14:paraId="29712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2" w:type="dxa"/>
            <w:vMerge w:val="continue"/>
            <w:noWrap w:val="0"/>
            <w:vAlign w:val="center"/>
          </w:tcPr>
          <w:p w14:paraId="44478747">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076" w:type="dxa"/>
            <w:noWrap w:val="0"/>
            <w:vAlign w:val="center"/>
          </w:tcPr>
          <w:p w14:paraId="1249AE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688" w:type="dxa"/>
            <w:noWrap w:val="0"/>
            <w:vAlign w:val="center"/>
          </w:tcPr>
          <w:p w14:paraId="06BC96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1365" w:type="dxa"/>
            <w:noWrap w:val="0"/>
            <w:vAlign w:val="center"/>
          </w:tcPr>
          <w:p w14:paraId="0ED0C5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0.4825</w:t>
            </w:r>
          </w:p>
        </w:tc>
        <w:tc>
          <w:tcPr>
            <w:tcW w:w="1307" w:type="dxa"/>
            <w:noWrap w:val="0"/>
            <w:vAlign w:val="center"/>
          </w:tcPr>
          <w:p w14:paraId="1BC906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4.8248</w:t>
            </w:r>
          </w:p>
        </w:tc>
        <w:tc>
          <w:tcPr>
            <w:tcW w:w="997" w:type="dxa"/>
            <w:noWrap w:val="0"/>
            <w:vAlign w:val="center"/>
          </w:tcPr>
          <w:p w14:paraId="24C2BB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13" w:type="dxa"/>
            <w:vMerge w:val="continue"/>
            <w:noWrap w:val="0"/>
            <w:vAlign w:val="center"/>
          </w:tcPr>
          <w:p w14:paraId="1B485E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14:paraId="14706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2" w:type="dxa"/>
            <w:vMerge w:val="restart"/>
            <w:shd w:val="clear" w:color="auto" w:fill="auto"/>
            <w:noWrap w:val="0"/>
            <w:vAlign w:val="center"/>
          </w:tcPr>
          <w:p w14:paraId="7BB3FE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待宰圈</w:t>
            </w:r>
            <w:r>
              <w:rPr>
                <w:rFonts w:hint="eastAsia" w:ascii="Times New Roman" w:hAnsi="Times New Roman" w:eastAsia="宋体" w:cs="Times New Roman"/>
                <w:color w:val="auto"/>
                <w:sz w:val="21"/>
                <w:szCs w:val="21"/>
                <w:highlight w:val="none"/>
                <w:lang w:val="en-US" w:eastAsia="zh-CN"/>
              </w:rPr>
              <w:t>DA001</w:t>
            </w:r>
          </w:p>
        </w:tc>
        <w:tc>
          <w:tcPr>
            <w:tcW w:w="1076" w:type="dxa"/>
            <w:noWrap w:val="0"/>
            <w:vAlign w:val="center"/>
          </w:tcPr>
          <w:p w14:paraId="27896F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688" w:type="dxa"/>
            <w:noWrap w:val="0"/>
            <w:vAlign w:val="center"/>
          </w:tcPr>
          <w:p w14:paraId="03EEF9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c>
          <w:tcPr>
            <w:tcW w:w="1365" w:type="dxa"/>
            <w:shd w:val="clear" w:color="auto" w:fill="auto"/>
            <w:noWrap w:val="0"/>
            <w:vAlign w:val="center"/>
          </w:tcPr>
          <w:p w14:paraId="3DAE9E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0.4194</w:t>
            </w:r>
          </w:p>
        </w:tc>
        <w:tc>
          <w:tcPr>
            <w:tcW w:w="1307" w:type="dxa"/>
            <w:shd w:val="clear" w:color="auto" w:fill="auto"/>
            <w:noWrap w:val="0"/>
            <w:vAlign w:val="center"/>
          </w:tcPr>
          <w:p w14:paraId="6C3049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0.2097</w:t>
            </w:r>
          </w:p>
        </w:tc>
        <w:tc>
          <w:tcPr>
            <w:tcW w:w="997" w:type="dxa"/>
            <w:shd w:val="clear" w:color="auto" w:fill="auto"/>
            <w:noWrap w:val="0"/>
            <w:vAlign w:val="center"/>
          </w:tcPr>
          <w:p w14:paraId="0CF15E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013" w:type="dxa"/>
            <w:vMerge w:val="restart"/>
            <w:noWrap w:val="0"/>
            <w:vAlign w:val="center"/>
          </w:tcPr>
          <w:p w14:paraId="065DF1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三级</w:t>
            </w:r>
          </w:p>
        </w:tc>
      </w:tr>
      <w:tr w14:paraId="4B84A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2" w:type="dxa"/>
            <w:vMerge w:val="continue"/>
            <w:shd w:val="clear" w:color="auto" w:fill="auto"/>
            <w:noWrap w:val="0"/>
            <w:vAlign w:val="center"/>
          </w:tcPr>
          <w:p w14:paraId="2EA89A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76" w:type="dxa"/>
            <w:noWrap w:val="0"/>
            <w:vAlign w:val="center"/>
          </w:tcPr>
          <w:p w14:paraId="05A6CF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688" w:type="dxa"/>
            <w:noWrap w:val="0"/>
            <w:vAlign w:val="center"/>
          </w:tcPr>
          <w:p w14:paraId="5A9B84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1365" w:type="dxa"/>
            <w:shd w:val="clear" w:color="auto" w:fill="auto"/>
            <w:noWrap w:val="0"/>
            <w:vAlign w:val="center"/>
          </w:tcPr>
          <w:p w14:paraId="285EE4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0.0290</w:t>
            </w:r>
          </w:p>
        </w:tc>
        <w:tc>
          <w:tcPr>
            <w:tcW w:w="1307" w:type="dxa"/>
            <w:shd w:val="clear" w:color="auto" w:fill="auto"/>
            <w:noWrap w:val="0"/>
            <w:vAlign w:val="center"/>
          </w:tcPr>
          <w:p w14:paraId="143439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0.2904</w:t>
            </w:r>
          </w:p>
        </w:tc>
        <w:tc>
          <w:tcPr>
            <w:tcW w:w="997" w:type="dxa"/>
            <w:shd w:val="clear" w:color="auto" w:fill="auto"/>
            <w:noWrap w:val="0"/>
            <w:vAlign w:val="center"/>
          </w:tcPr>
          <w:p w14:paraId="25EDC1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013" w:type="dxa"/>
            <w:vMerge w:val="continue"/>
            <w:noWrap w:val="0"/>
            <w:vAlign w:val="center"/>
          </w:tcPr>
          <w:p w14:paraId="5131E6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14:paraId="379EB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2" w:type="dxa"/>
            <w:vMerge w:val="restart"/>
            <w:noWrap w:val="0"/>
            <w:vAlign w:val="center"/>
          </w:tcPr>
          <w:p w14:paraId="0A2BB7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污水处理站DA002</w:t>
            </w:r>
          </w:p>
        </w:tc>
        <w:tc>
          <w:tcPr>
            <w:tcW w:w="1076" w:type="dxa"/>
            <w:noWrap w:val="0"/>
            <w:vAlign w:val="center"/>
          </w:tcPr>
          <w:p w14:paraId="5E7F96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688" w:type="dxa"/>
            <w:noWrap w:val="0"/>
            <w:vAlign w:val="center"/>
          </w:tcPr>
          <w:p w14:paraId="7B2233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c>
          <w:tcPr>
            <w:tcW w:w="1365" w:type="dxa"/>
            <w:shd w:val="clear" w:color="auto" w:fill="auto"/>
            <w:noWrap w:val="0"/>
            <w:vAlign w:val="center"/>
          </w:tcPr>
          <w:p w14:paraId="5F2E7F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0.1405</w:t>
            </w:r>
          </w:p>
        </w:tc>
        <w:tc>
          <w:tcPr>
            <w:tcW w:w="1307" w:type="dxa"/>
            <w:shd w:val="clear" w:color="auto" w:fill="auto"/>
            <w:noWrap w:val="0"/>
            <w:vAlign w:val="center"/>
          </w:tcPr>
          <w:p w14:paraId="4D2942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0.0702</w:t>
            </w:r>
          </w:p>
        </w:tc>
        <w:tc>
          <w:tcPr>
            <w:tcW w:w="997" w:type="dxa"/>
            <w:shd w:val="clear" w:color="auto" w:fill="auto"/>
            <w:noWrap w:val="0"/>
            <w:vAlign w:val="center"/>
          </w:tcPr>
          <w:p w14:paraId="295054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013" w:type="dxa"/>
            <w:vMerge w:val="restart"/>
            <w:noWrap w:val="0"/>
            <w:vAlign w:val="center"/>
          </w:tcPr>
          <w:p w14:paraId="097B1B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三级</w:t>
            </w:r>
          </w:p>
        </w:tc>
      </w:tr>
      <w:tr w14:paraId="35F68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2" w:type="dxa"/>
            <w:vMerge w:val="continue"/>
            <w:noWrap w:val="0"/>
            <w:vAlign w:val="center"/>
          </w:tcPr>
          <w:p w14:paraId="6ECD441B">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076" w:type="dxa"/>
            <w:noWrap w:val="0"/>
            <w:vAlign w:val="center"/>
          </w:tcPr>
          <w:p w14:paraId="427EA2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688" w:type="dxa"/>
            <w:noWrap w:val="0"/>
            <w:vAlign w:val="center"/>
          </w:tcPr>
          <w:p w14:paraId="2A0556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1365" w:type="dxa"/>
            <w:shd w:val="clear" w:color="auto" w:fill="auto"/>
            <w:noWrap w:val="0"/>
            <w:vAlign w:val="center"/>
          </w:tcPr>
          <w:p w14:paraId="678529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0.0057</w:t>
            </w:r>
          </w:p>
        </w:tc>
        <w:tc>
          <w:tcPr>
            <w:tcW w:w="1307" w:type="dxa"/>
            <w:shd w:val="clear" w:color="auto" w:fill="auto"/>
            <w:noWrap w:val="0"/>
            <w:vAlign w:val="center"/>
          </w:tcPr>
          <w:p w14:paraId="0B6858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0.0573</w:t>
            </w:r>
          </w:p>
        </w:tc>
        <w:tc>
          <w:tcPr>
            <w:tcW w:w="997" w:type="dxa"/>
            <w:shd w:val="clear" w:color="auto" w:fill="auto"/>
            <w:noWrap w:val="0"/>
            <w:vAlign w:val="center"/>
          </w:tcPr>
          <w:p w14:paraId="7694A4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013" w:type="dxa"/>
            <w:vMerge w:val="continue"/>
            <w:noWrap w:val="0"/>
            <w:vAlign w:val="center"/>
          </w:tcPr>
          <w:p w14:paraId="1200A53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bl>
    <w:p w14:paraId="6E6DCCF5">
      <w:pPr>
        <w:keepNext w:val="0"/>
        <w:keepLines w:val="0"/>
        <w:pageBreakBefore w:val="0"/>
        <w:widowControl w:val="0"/>
        <w:kinsoku/>
        <w:wordWrap/>
        <w:topLinePunct w:val="0"/>
        <w:autoSpaceDE/>
        <w:autoSpaceDN/>
        <w:bidi w:val="0"/>
        <w:adjustRightInd/>
        <w:snapToGrid/>
        <w:spacing w:line="360" w:lineRule="auto"/>
        <w:ind w:left="0" w:leftChars="0"/>
        <w:textAlignment w:val="auto"/>
        <w:rPr>
          <w:rFonts w:hint="default" w:ascii="Times New Roman" w:hAnsi="Times New Roman" w:eastAsia="仿宋_GB2312" w:cs="Times New Roman"/>
          <w:color w:val="auto"/>
          <w:sz w:val="24"/>
          <w:szCs w:val="32"/>
          <w:highlight w:val="none"/>
        </w:rPr>
      </w:pPr>
      <w:r>
        <w:rPr>
          <w:rFonts w:hint="default" w:ascii="Times New Roman" w:hAnsi="Times New Roman" w:eastAsia="仿宋_GB2312" w:cs="Times New Roman"/>
          <w:color w:val="auto"/>
          <w:sz w:val="24"/>
          <w:szCs w:val="32"/>
          <w:highlight w:val="none"/>
        </w:rPr>
        <w:t>估算得出：本项目P</w:t>
      </w:r>
      <w:r>
        <w:rPr>
          <w:rFonts w:hint="default" w:ascii="Times New Roman" w:hAnsi="Times New Roman" w:eastAsia="仿宋_GB2312" w:cs="Times New Roman"/>
          <w:color w:val="auto"/>
          <w:sz w:val="24"/>
          <w:szCs w:val="32"/>
          <w:highlight w:val="none"/>
          <w:vertAlign w:val="subscript"/>
        </w:rPr>
        <w:t>max</w:t>
      </w:r>
      <w:r>
        <w:rPr>
          <w:rFonts w:hint="default" w:ascii="Times New Roman" w:hAnsi="Times New Roman" w:eastAsia="仿宋_GB2312" w:cs="Times New Roman"/>
          <w:color w:val="auto"/>
          <w:sz w:val="24"/>
          <w:szCs w:val="32"/>
          <w:highlight w:val="none"/>
        </w:rPr>
        <w:t>最大值出现为屠宰精深加工车间排放的H</w:t>
      </w:r>
      <w:r>
        <w:rPr>
          <w:rFonts w:hint="default" w:ascii="Times New Roman" w:hAnsi="Times New Roman" w:eastAsia="仿宋_GB2312" w:cs="Times New Roman"/>
          <w:color w:val="auto"/>
          <w:sz w:val="24"/>
          <w:szCs w:val="32"/>
          <w:highlight w:val="none"/>
          <w:vertAlign w:val="subscript"/>
        </w:rPr>
        <w:t>2</w:t>
      </w:r>
      <w:r>
        <w:rPr>
          <w:rFonts w:hint="default" w:ascii="Times New Roman" w:hAnsi="Times New Roman" w:eastAsia="仿宋_GB2312" w:cs="Times New Roman"/>
          <w:color w:val="auto"/>
          <w:sz w:val="24"/>
          <w:szCs w:val="32"/>
          <w:highlight w:val="none"/>
        </w:rPr>
        <w:t>S，P</w:t>
      </w:r>
      <w:r>
        <w:rPr>
          <w:rFonts w:hint="default" w:ascii="Times New Roman" w:hAnsi="Times New Roman" w:eastAsia="仿宋_GB2312" w:cs="Times New Roman"/>
          <w:color w:val="auto"/>
          <w:sz w:val="24"/>
          <w:szCs w:val="32"/>
          <w:highlight w:val="none"/>
          <w:vertAlign w:val="subscript"/>
        </w:rPr>
        <w:t>max</w:t>
      </w:r>
      <w:r>
        <w:rPr>
          <w:rFonts w:hint="default" w:ascii="Times New Roman" w:hAnsi="Times New Roman" w:eastAsia="仿宋_GB2312" w:cs="Times New Roman"/>
          <w:color w:val="auto"/>
          <w:sz w:val="24"/>
          <w:szCs w:val="32"/>
          <w:highlight w:val="none"/>
        </w:rPr>
        <w:t>值为4.8248%，C</w:t>
      </w:r>
      <w:r>
        <w:rPr>
          <w:rFonts w:hint="default" w:ascii="Times New Roman" w:hAnsi="Times New Roman" w:eastAsia="仿宋_GB2312" w:cs="Times New Roman"/>
          <w:color w:val="auto"/>
          <w:sz w:val="24"/>
          <w:szCs w:val="32"/>
          <w:highlight w:val="none"/>
          <w:vertAlign w:val="subscript"/>
        </w:rPr>
        <w:t>max</w:t>
      </w:r>
      <w:r>
        <w:rPr>
          <w:rFonts w:hint="default" w:ascii="Times New Roman" w:hAnsi="Times New Roman" w:eastAsia="仿宋_GB2312" w:cs="Times New Roman"/>
          <w:color w:val="auto"/>
          <w:sz w:val="24"/>
          <w:szCs w:val="32"/>
          <w:highlight w:val="none"/>
        </w:rPr>
        <w:t>为</w:t>
      </w:r>
      <w:r>
        <w:rPr>
          <w:rFonts w:hint="eastAsia" w:cs="Times New Roman"/>
          <w:color w:val="auto"/>
          <w:sz w:val="24"/>
          <w:szCs w:val="32"/>
          <w:highlight w:val="none"/>
          <w:lang w:val="en-US" w:eastAsia="zh-CN"/>
        </w:rPr>
        <w:t>0.4825</w:t>
      </w:r>
      <w:r>
        <w:rPr>
          <w:rFonts w:hint="default" w:ascii="Times New Roman" w:hAnsi="Times New Roman" w:eastAsia="仿宋_GB2312" w:cs="Times New Roman"/>
          <w:color w:val="auto"/>
          <w:sz w:val="24"/>
          <w:highlight w:val="none"/>
        </w:rPr>
        <w:t>μg</w:t>
      </w:r>
      <w:r>
        <w:rPr>
          <w:rFonts w:hint="default" w:ascii="Times New Roman" w:hAnsi="Times New Roman" w:eastAsia="仿宋_GB2312" w:cs="Times New Roman"/>
          <w:color w:val="auto"/>
          <w:sz w:val="24"/>
          <w:szCs w:val="32"/>
          <w:highlight w:val="none"/>
        </w:rPr>
        <w:t>/m</w:t>
      </w:r>
      <w:r>
        <w:rPr>
          <w:rFonts w:hint="default" w:ascii="Times New Roman" w:hAnsi="Times New Roman" w:eastAsia="仿宋_GB2312" w:cs="Times New Roman"/>
          <w:color w:val="auto"/>
          <w:sz w:val="24"/>
          <w:szCs w:val="32"/>
          <w:highlight w:val="none"/>
          <w:vertAlign w:val="superscript"/>
        </w:rPr>
        <w:t>3</w:t>
      </w:r>
      <w:r>
        <w:rPr>
          <w:rFonts w:hint="default" w:ascii="Times New Roman" w:hAnsi="Times New Roman" w:eastAsia="仿宋_GB2312" w:cs="Times New Roman"/>
          <w:color w:val="auto"/>
          <w:sz w:val="24"/>
          <w:szCs w:val="32"/>
          <w:highlight w:val="none"/>
        </w:rPr>
        <w:t>，根据《环境影响评价技术导则 大气环境》</w:t>
      </w:r>
      <w:r>
        <w:rPr>
          <w:rFonts w:hint="eastAsia" w:cs="Times New Roman"/>
          <w:color w:val="auto"/>
          <w:sz w:val="24"/>
          <w:szCs w:val="32"/>
          <w:highlight w:val="none"/>
          <w:lang w:eastAsia="zh-CN"/>
        </w:rPr>
        <w:t>（</w:t>
      </w:r>
      <w:r>
        <w:rPr>
          <w:rFonts w:hint="default" w:ascii="Times New Roman" w:hAnsi="Times New Roman" w:eastAsia="仿宋_GB2312" w:cs="Times New Roman"/>
          <w:color w:val="auto"/>
          <w:sz w:val="24"/>
          <w:szCs w:val="32"/>
          <w:highlight w:val="none"/>
        </w:rPr>
        <w:t>HJ2.2-2018</w:t>
      </w:r>
      <w:r>
        <w:rPr>
          <w:rFonts w:hint="eastAsia" w:cs="Times New Roman"/>
          <w:color w:val="auto"/>
          <w:sz w:val="24"/>
          <w:szCs w:val="32"/>
          <w:highlight w:val="none"/>
          <w:lang w:eastAsia="zh-CN"/>
        </w:rPr>
        <w:t>）</w:t>
      </w:r>
      <w:r>
        <w:rPr>
          <w:rFonts w:hint="default" w:ascii="Times New Roman" w:hAnsi="Times New Roman" w:eastAsia="仿宋_GB2312" w:cs="Times New Roman"/>
          <w:color w:val="auto"/>
          <w:sz w:val="24"/>
          <w:szCs w:val="32"/>
          <w:highlight w:val="none"/>
        </w:rPr>
        <w:t>分级判据，确定本项目大气环境影响评价工作等级为</w:t>
      </w:r>
      <w:r>
        <w:rPr>
          <w:rFonts w:hint="eastAsia" w:cs="Times New Roman"/>
          <w:color w:val="auto"/>
          <w:sz w:val="24"/>
          <w:szCs w:val="32"/>
          <w:highlight w:val="none"/>
          <w:lang w:val="en-US" w:eastAsia="zh-CN"/>
        </w:rPr>
        <w:t>二</w:t>
      </w:r>
      <w:r>
        <w:rPr>
          <w:rFonts w:hint="default" w:ascii="Times New Roman" w:hAnsi="Times New Roman" w:eastAsia="仿宋_GB2312" w:cs="Times New Roman"/>
          <w:color w:val="auto"/>
          <w:sz w:val="24"/>
          <w:szCs w:val="32"/>
          <w:highlight w:val="none"/>
        </w:rPr>
        <w:t>级。</w:t>
      </w:r>
    </w:p>
    <w:p w14:paraId="167ED40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1.5.1.3评价范围</w:t>
      </w:r>
    </w:p>
    <w:p w14:paraId="11E6752F">
      <w:pPr>
        <w:keepNext w:val="0"/>
        <w:keepLines w:val="0"/>
        <w:pageBreakBefore w:val="0"/>
        <w:widowControl w:val="0"/>
        <w:kinsoku/>
        <w:wordWrap/>
        <w:topLinePunct w:val="0"/>
        <w:autoSpaceDE/>
        <w:autoSpaceDN/>
        <w:bidi w:val="0"/>
        <w:adjustRightInd/>
        <w:snapToGrid/>
        <w:spacing w:line="360" w:lineRule="auto"/>
        <w:ind w:left="0" w:leftChars="0"/>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仿宋_GB2312" w:cs="Times New Roman"/>
          <w:snapToGrid/>
          <w:color w:val="000000" w:themeColor="text1"/>
          <w:kern w:val="2"/>
          <w:sz w:val="24"/>
          <w:szCs w:val="24"/>
          <w:lang w:val="en-US" w:eastAsia="zh-CN" w:bidi="ar-SA"/>
          <w14:textFill>
            <w14:solidFill>
              <w14:schemeClr w14:val="tx1"/>
            </w14:solidFill>
          </w14:textFill>
        </w:rPr>
        <w:t>本项目大气评价等级为二级，经计算D</w:t>
      </w:r>
      <w:r>
        <w:rPr>
          <w:rFonts w:hint="eastAsia" w:ascii="Times New Roman" w:hAnsi="Times New Roman" w:eastAsia="仿宋_GB2312" w:cs="Times New Roman"/>
          <w:snapToGrid/>
          <w:color w:val="000000" w:themeColor="text1"/>
          <w:kern w:val="2"/>
          <w:sz w:val="24"/>
          <w:szCs w:val="24"/>
          <w:vertAlign w:val="subscript"/>
          <w:lang w:val="en-US" w:eastAsia="zh-CN" w:bidi="ar-SA"/>
          <w14:textFill>
            <w14:solidFill>
              <w14:schemeClr w14:val="tx1"/>
            </w14:solidFill>
          </w14:textFill>
        </w:rPr>
        <w:t>10%</w:t>
      </w:r>
      <w:r>
        <w:rPr>
          <w:rFonts w:hint="eastAsia" w:ascii="Times New Roman" w:hAnsi="Times New Roman" w:eastAsia="仿宋_GB2312" w:cs="Times New Roman"/>
          <w:snapToGrid/>
          <w:color w:val="000000" w:themeColor="text1"/>
          <w:kern w:val="2"/>
          <w:sz w:val="24"/>
          <w:szCs w:val="24"/>
          <w:lang w:val="en-US" w:eastAsia="zh-CN" w:bidi="ar-SA"/>
          <w14:textFill>
            <w14:solidFill>
              <w14:schemeClr w14:val="tx1"/>
            </w14:solidFill>
          </w14:textFill>
        </w:rPr>
        <w:t>不存在，根据《环境影响评价技术导则 大气环境》（HJ2.2-2018）的规定，</w:t>
      </w:r>
      <w:r>
        <w:rPr>
          <w:rFonts w:hint="eastAsia" w:cs="Times New Roman"/>
          <w:snapToGrid/>
          <w:color w:val="000000" w:themeColor="text1"/>
          <w:kern w:val="2"/>
          <w:sz w:val="24"/>
          <w:szCs w:val="24"/>
          <w:lang w:val="en-US" w:eastAsia="zh-CN" w:bidi="ar-SA"/>
          <w14:textFill>
            <w14:solidFill>
              <w14:schemeClr w14:val="tx1"/>
            </w14:solidFill>
          </w14:textFill>
        </w:rPr>
        <w:t>本</w:t>
      </w:r>
      <w:r>
        <w:rPr>
          <w:rFonts w:hint="eastAsia" w:ascii="Times New Roman" w:hAnsi="Times New Roman" w:eastAsia="仿宋_GB2312" w:cs="Times New Roman"/>
          <w:snapToGrid/>
          <w:color w:val="000000" w:themeColor="text1"/>
          <w:kern w:val="2"/>
          <w:sz w:val="24"/>
          <w:szCs w:val="24"/>
          <w:lang w:val="en-US" w:eastAsia="zh-CN" w:bidi="ar-SA"/>
          <w14:textFill>
            <w14:solidFill>
              <w14:schemeClr w14:val="tx1"/>
            </w14:solidFill>
          </w14:textFill>
        </w:rPr>
        <w:t>项目最终评价范围确定为以厂区为中心边长为5km×5km的矩形区域。</w:t>
      </w:r>
      <w:r>
        <w:rPr>
          <w:rFonts w:hint="default"/>
          <w:color w:val="000000" w:themeColor="text1"/>
          <w:lang w:val="en-US" w:eastAsia="zh-CN"/>
          <w14:textFill>
            <w14:solidFill>
              <w14:schemeClr w14:val="tx1"/>
            </w14:solidFill>
          </w14:textFill>
        </w:rPr>
        <w:t>项目大气评价范围见图1.5-</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w:t>
      </w:r>
    </w:p>
    <w:p w14:paraId="0AFDDB4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bookmarkStart w:id="222" w:name="_Toc5488"/>
      <w:r>
        <w:rPr>
          <w:rFonts w:hint="default" w:ascii="Times New Roman" w:hAnsi="Times New Roman" w:eastAsia="黑体" w:cs="Times New Roman"/>
          <w:b/>
          <w:color w:val="auto"/>
          <w:sz w:val="28"/>
          <w:szCs w:val="28"/>
          <w:highlight w:val="none"/>
        </w:rPr>
        <w:t>1.5.2地表水环境评价</w:t>
      </w:r>
      <w:bookmarkEnd w:id="222"/>
    </w:p>
    <w:p w14:paraId="30C8AC7D">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1.5.2.1评价等级</w:t>
      </w:r>
    </w:p>
    <w:p w14:paraId="71B48F63">
      <w:pPr>
        <w:keepNext w:val="0"/>
        <w:keepLines w:val="0"/>
        <w:pageBreakBefore w:val="0"/>
        <w:widowControl w:val="0"/>
        <w:kinsoku/>
        <w:wordWrap/>
        <w:overflowPunct w:val="0"/>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仿宋_GB2312" w:cs="Times New Roman"/>
          <w:color w:val="auto"/>
          <w:sz w:val="24"/>
          <w:szCs w:val="32"/>
          <w:highlight w:val="none"/>
        </w:rPr>
        <w:t>根据《环境影响评价技术导则</w:t>
      </w:r>
      <w:r>
        <w:rPr>
          <w:rFonts w:hint="default" w:ascii="Times New Roman" w:hAnsi="Times New Roman" w:eastAsia="仿宋_GB2312" w:cs="Times New Roman"/>
          <w:color w:val="auto"/>
          <w:sz w:val="24"/>
          <w:szCs w:val="32"/>
          <w:highlight w:val="none"/>
          <w:lang w:val="en-US" w:eastAsia="zh-CN"/>
        </w:rPr>
        <w:t xml:space="preserve"> </w:t>
      </w:r>
      <w:r>
        <w:rPr>
          <w:rFonts w:hint="default" w:ascii="Times New Roman" w:hAnsi="Times New Roman" w:eastAsia="仿宋_GB2312" w:cs="Times New Roman"/>
          <w:color w:val="auto"/>
          <w:sz w:val="24"/>
          <w:szCs w:val="32"/>
          <w:highlight w:val="none"/>
        </w:rPr>
        <w:t>地表水环境》（HJ2.3-2018）中规定，水污染影响型建设项目根据排放方式和废水排放量划分评价等级，判定依据见表1.5-7。</w:t>
      </w:r>
    </w:p>
    <w:p w14:paraId="48BE2BAD">
      <w:pPr>
        <w:pageBreakBefore w:val="0"/>
        <w:kinsoku/>
        <w:wordWrap/>
        <w:topLinePunct w:val="0"/>
        <w:bidi w:val="0"/>
        <w:adjustRightInd/>
        <w:snapToGrid/>
        <w:spacing w:line="240" w:lineRule="auto"/>
        <w:ind w:left="0" w:leftChars="0"/>
        <w:jc w:val="both"/>
        <w:rPr>
          <w:rFonts w:hint="default" w:ascii="Times New Roman" w:hAnsi="Times New Roman" w:eastAsia="宋体" w:cs="Times New Roman"/>
          <w:b/>
          <w:bCs/>
          <w:color w:val="auto"/>
          <w:sz w:val="24"/>
          <w:szCs w:val="20"/>
          <w:highlight w:val="none"/>
        </w:rPr>
      </w:pPr>
      <w:r>
        <w:rPr>
          <w:rFonts w:hint="default" w:ascii="Times New Roman" w:hAnsi="Times New Roman" w:eastAsia="宋体" w:cs="Times New Roman"/>
          <w:color w:val="auto"/>
          <w:sz w:val="21"/>
          <w:szCs w:val="21"/>
          <w:highlight w:val="none"/>
        </w:rPr>
        <w:t>表1.5-7</w:t>
      </w:r>
      <w:r>
        <w:rPr>
          <w:rFonts w:hint="default" w:ascii="Times New Roman" w:hAnsi="Times New Roman" w:eastAsia="宋体" w:cs="Times New Roman"/>
          <w:b/>
          <w:bCs/>
          <w:color w:val="auto"/>
          <w:sz w:val="24"/>
          <w:szCs w:val="20"/>
          <w:highlight w:val="none"/>
        </w:rPr>
        <w:t xml:space="preserve">  </w:t>
      </w:r>
      <w:r>
        <w:rPr>
          <w:rFonts w:hint="eastAsia" w:ascii="Times New Roman" w:hAnsi="Times New Roman" w:eastAsia="宋体" w:cs="Times New Roman"/>
          <w:b/>
          <w:bCs/>
          <w:color w:val="auto"/>
          <w:sz w:val="24"/>
          <w:szCs w:val="20"/>
          <w:highlight w:val="none"/>
          <w:lang w:val="en-US" w:eastAsia="zh-CN"/>
        </w:rPr>
        <w:t xml:space="preserve">          </w:t>
      </w:r>
      <w:r>
        <w:rPr>
          <w:rFonts w:hint="eastAsia" w:eastAsia="宋体" w:cs="Times New Roman"/>
          <w:b/>
          <w:bCs/>
          <w:color w:val="auto"/>
          <w:sz w:val="24"/>
          <w:szCs w:val="20"/>
          <w:highlight w:val="none"/>
          <w:lang w:val="en-US" w:eastAsia="zh-CN"/>
        </w:rPr>
        <w:t xml:space="preserve"> </w:t>
      </w:r>
      <w:r>
        <w:rPr>
          <w:rFonts w:hint="default" w:ascii="Times New Roman" w:hAnsi="Times New Roman" w:eastAsia="宋体" w:cs="Times New Roman"/>
          <w:b/>
          <w:bCs/>
          <w:color w:val="auto"/>
          <w:sz w:val="24"/>
          <w:szCs w:val="20"/>
          <w:highlight w:val="none"/>
        </w:rPr>
        <w:t>水污染影响型建设项目评价等级判定</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463"/>
        <w:gridCol w:w="4390"/>
      </w:tblGrid>
      <w:tr w14:paraId="6C857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8" w:type="dxa"/>
            <w:vMerge w:val="restart"/>
            <w:noWrap w:val="0"/>
            <w:vAlign w:val="center"/>
          </w:tcPr>
          <w:p w14:paraId="32A830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评价等级</w:t>
            </w:r>
          </w:p>
        </w:tc>
        <w:tc>
          <w:tcPr>
            <w:tcW w:w="7001" w:type="dxa"/>
            <w:gridSpan w:val="2"/>
            <w:noWrap w:val="0"/>
            <w:vAlign w:val="center"/>
          </w:tcPr>
          <w:p w14:paraId="05FC4D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判定依据</w:t>
            </w:r>
          </w:p>
        </w:tc>
      </w:tr>
      <w:tr w14:paraId="7A366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8" w:type="dxa"/>
            <w:vMerge w:val="continue"/>
            <w:noWrap w:val="0"/>
            <w:vAlign w:val="center"/>
          </w:tcPr>
          <w:p w14:paraId="7ACFA4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2515" w:type="dxa"/>
            <w:noWrap w:val="0"/>
            <w:vAlign w:val="center"/>
          </w:tcPr>
          <w:p w14:paraId="04EE99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排放方式</w:t>
            </w:r>
          </w:p>
        </w:tc>
        <w:tc>
          <w:tcPr>
            <w:tcW w:w="4486" w:type="dxa"/>
            <w:noWrap w:val="0"/>
            <w:vAlign w:val="center"/>
          </w:tcPr>
          <w:p w14:paraId="63E525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废水排放量Q/（m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w:t>
            </w:r>
          </w:p>
          <w:p w14:paraId="7627CC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水污染当量数W/（无量纲）</w:t>
            </w:r>
          </w:p>
        </w:tc>
      </w:tr>
      <w:tr w14:paraId="34C13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8" w:type="dxa"/>
            <w:noWrap w:val="0"/>
            <w:vAlign w:val="center"/>
          </w:tcPr>
          <w:p w14:paraId="68126A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w:t>
            </w:r>
          </w:p>
        </w:tc>
        <w:tc>
          <w:tcPr>
            <w:tcW w:w="2515" w:type="dxa"/>
            <w:noWrap w:val="0"/>
            <w:vAlign w:val="center"/>
          </w:tcPr>
          <w:p w14:paraId="6A46D5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直接排放</w:t>
            </w:r>
          </w:p>
        </w:tc>
        <w:tc>
          <w:tcPr>
            <w:tcW w:w="4486" w:type="dxa"/>
            <w:noWrap w:val="0"/>
            <w:vAlign w:val="center"/>
          </w:tcPr>
          <w:p w14:paraId="613045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Q≥20000或W≥600000</w:t>
            </w:r>
          </w:p>
        </w:tc>
      </w:tr>
      <w:tr w14:paraId="57618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8" w:type="dxa"/>
            <w:noWrap w:val="0"/>
            <w:vAlign w:val="center"/>
          </w:tcPr>
          <w:p w14:paraId="39A417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w:t>
            </w:r>
          </w:p>
        </w:tc>
        <w:tc>
          <w:tcPr>
            <w:tcW w:w="2515" w:type="dxa"/>
            <w:noWrap w:val="0"/>
            <w:vAlign w:val="center"/>
          </w:tcPr>
          <w:p w14:paraId="3DD6B0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直接排放</w:t>
            </w:r>
          </w:p>
        </w:tc>
        <w:tc>
          <w:tcPr>
            <w:tcW w:w="4486" w:type="dxa"/>
            <w:noWrap w:val="0"/>
            <w:vAlign w:val="center"/>
          </w:tcPr>
          <w:p w14:paraId="437F3B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r>
      <w:tr w14:paraId="18A26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8" w:type="dxa"/>
            <w:noWrap w:val="0"/>
            <w:vAlign w:val="center"/>
          </w:tcPr>
          <w:p w14:paraId="28BE65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三级A</w:t>
            </w:r>
          </w:p>
        </w:tc>
        <w:tc>
          <w:tcPr>
            <w:tcW w:w="2515" w:type="dxa"/>
            <w:noWrap w:val="0"/>
            <w:vAlign w:val="center"/>
          </w:tcPr>
          <w:p w14:paraId="07A7FB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直接排放</w:t>
            </w:r>
          </w:p>
        </w:tc>
        <w:tc>
          <w:tcPr>
            <w:tcW w:w="4486" w:type="dxa"/>
            <w:noWrap w:val="0"/>
            <w:vAlign w:val="center"/>
          </w:tcPr>
          <w:p w14:paraId="0E867E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Q&lt;200或W&lt;6000</w:t>
            </w:r>
          </w:p>
        </w:tc>
      </w:tr>
      <w:tr w14:paraId="70E85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8" w:type="dxa"/>
            <w:noWrap w:val="0"/>
            <w:vAlign w:val="center"/>
          </w:tcPr>
          <w:p w14:paraId="582C5A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三级B</w:t>
            </w:r>
          </w:p>
        </w:tc>
        <w:tc>
          <w:tcPr>
            <w:tcW w:w="2515" w:type="dxa"/>
            <w:noWrap w:val="0"/>
            <w:vAlign w:val="center"/>
          </w:tcPr>
          <w:p w14:paraId="58209C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间接排放</w:t>
            </w:r>
          </w:p>
        </w:tc>
        <w:tc>
          <w:tcPr>
            <w:tcW w:w="4486" w:type="dxa"/>
            <w:noWrap w:val="0"/>
            <w:vAlign w:val="center"/>
          </w:tcPr>
          <w:p w14:paraId="721772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46FF5B5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本项目产生的废水主要为屠宰废水</w:t>
      </w:r>
      <w:r>
        <w:rPr>
          <w:rFonts w:hint="eastAsia"/>
          <w:color w:val="auto"/>
          <w:lang w:val="en-US" w:eastAsia="zh-CN"/>
        </w:rPr>
        <w:t>、车辆冲洗废水</w:t>
      </w:r>
      <w:r>
        <w:rPr>
          <w:rFonts w:hint="eastAsia" w:ascii="Times New Roman" w:hAnsi="Times New Roman"/>
          <w:color w:val="auto"/>
        </w:rPr>
        <w:t>及生活污水</w:t>
      </w:r>
      <w:r>
        <w:rPr>
          <w:rFonts w:hint="eastAsia"/>
          <w:color w:val="auto"/>
          <w:lang w:eastAsia="zh-CN"/>
        </w:rPr>
        <w:t>，</w:t>
      </w:r>
      <w:r>
        <w:rPr>
          <w:rFonts w:hint="eastAsia"/>
          <w:color w:val="auto"/>
          <w:lang w:val="en-US" w:eastAsia="zh-CN"/>
        </w:rPr>
        <w:t>产生量为18927.88</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color w:val="auto"/>
          <w:lang w:eastAsia="zh-CN"/>
        </w:rPr>
        <w:t>。</w:t>
      </w:r>
      <w:r>
        <w:rPr>
          <w:rFonts w:hint="eastAsia"/>
          <w:color w:val="000000" w:themeColor="text1"/>
          <w:lang w:val="en-US" w:eastAsia="zh-CN"/>
          <w14:textFill>
            <w14:solidFill>
              <w14:schemeClr w14:val="tx1"/>
            </w14:solidFill>
          </w14:textFill>
        </w:rPr>
        <w:t>屠宰废水及车辆冲洗废水排入厂区污水处理站处理，达到《屠宰及肉类加工工业水污染物排放标准》（GB13457-2025）表1间接排放标准；生活污水经化粪池收集，均达到《污水综合排放标准》（GB8978-1996）三级排放标准及城区污水处理厂接管标准《污水排入城镇下水道水质标准》（GB/T31962-2015）A级排放标准后一起排至城区污水处理厂处理</w:t>
      </w:r>
      <w:r>
        <w:rPr>
          <w:rFonts w:hint="eastAsia" w:ascii="Times New Roman" w:hAnsi="Times New Roman"/>
          <w:color w:val="auto"/>
          <w:lang w:val="en-US" w:eastAsia="zh-CN"/>
        </w:rPr>
        <w:t>。</w:t>
      </w:r>
      <w:r>
        <w:rPr>
          <w:rFonts w:hint="default" w:ascii="Times New Roman" w:hAnsi="Times New Roman" w:eastAsia="仿宋_GB2312" w:cs="Times New Roman"/>
          <w:snapToGrid w:val="0"/>
          <w:color w:val="auto"/>
          <w:kern w:val="0"/>
          <w:sz w:val="24"/>
          <w:highlight w:val="none"/>
          <w:lang w:val="sq-AL"/>
        </w:rPr>
        <w:t>根据《环境影响评价技术导则·地表水环境》</w:t>
      </w:r>
      <w:r>
        <w:rPr>
          <w:rFonts w:hint="eastAsia" w:ascii="Times New Roman" w:hAnsi="Times New Roman" w:cs="Times New Roman"/>
          <w:snapToGrid w:val="0"/>
          <w:color w:val="auto"/>
          <w:kern w:val="0"/>
          <w:sz w:val="24"/>
          <w:highlight w:val="none"/>
          <w:lang w:val="sq-AL" w:eastAsia="zh-CN"/>
        </w:rPr>
        <w:t>（</w:t>
      </w:r>
      <w:r>
        <w:rPr>
          <w:rFonts w:hint="default" w:ascii="Times New Roman" w:hAnsi="Times New Roman" w:eastAsia="仿宋_GB2312" w:cs="Times New Roman"/>
          <w:snapToGrid w:val="0"/>
          <w:color w:val="auto"/>
          <w:kern w:val="0"/>
          <w:sz w:val="24"/>
          <w:highlight w:val="none"/>
          <w:lang w:val="sq-AL"/>
        </w:rPr>
        <w:t>HJ2.3-2018</w:t>
      </w:r>
      <w:r>
        <w:rPr>
          <w:rFonts w:hint="eastAsia" w:ascii="Times New Roman" w:hAnsi="Times New Roman" w:cs="Times New Roman"/>
          <w:snapToGrid w:val="0"/>
          <w:color w:val="auto"/>
          <w:kern w:val="0"/>
          <w:sz w:val="24"/>
          <w:highlight w:val="none"/>
          <w:lang w:val="sq-AL" w:eastAsia="zh-CN"/>
        </w:rPr>
        <w:t>）</w:t>
      </w:r>
      <w:r>
        <w:rPr>
          <w:rFonts w:hint="default" w:ascii="Times New Roman" w:hAnsi="Times New Roman" w:eastAsia="仿宋_GB2312" w:cs="Times New Roman"/>
          <w:snapToGrid w:val="0"/>
          <w:color w:val="auto"/>
          <w:kern w:val="0"/>
          <w:sz w:val="24"/>
          <w:highlight w:val="none"/>
          <w:lang w:val="sq-AL"/>
        </w:rPr>
        <w:t>中的规定，本项目地表水评价等级为三级B。</w:t>
      </w:r>
    </w:p>
    <w:p w14:paraId="0F756168">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1.5.2.2评价范围</w:t>
      </w:r>
    </w:p>
    <w:p w14:paraId="65EF5676">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eastAsia="仿宋_GB2312" w:cs="Times New Roman"/>
          <w:snapToGrid w:val="0"/>
          <w:color w:val="auto"/>
          <w:kern w:val="0"/>
          <w:sz w:val="24"/>
          <w:highlight w:val="none"/>
          <w:lang w:val="sq-AL"/>
        </w:rPr>
      </w:pPr>
      <w:r>
        <w:rPr>
          <w:rFonts w:hint="default" w:ascii="Times New Roman" w:hAnsi="Times New Roman" w:eastAsia="仿宋_GB2312" w:cs="Times New Roman"/>
          <w:snapToGrid w:val="0"/>
          <w:color w:val="auto"/>
          <w:kern w:val="0"/>
          <w:sz w:val="24"/>
          <w:highlight w:val="none"/>
          <w:lang w:val="sq-AL"/>
        </w:rPr>
        <w:t>根据《环境影响评价技术导则 地表水环境》</w:t>
      </w:r>
      <w:r>
        <w:rPr>
          <w:rFonts w:hint="eastAsia" w:cs="Times New Roman"/>
          <w:snapToGrid w:val="0"/>
          <w:color w:val="auto"/>
          <w:kern w:val="0"/>
          <w:sz w:val="24"/>
          <w:highlight w:val="none"/>
          <w:lang w:val="sq-AL" w:eastAsia="zh-CN"/>
        </w:rPr>
        <w:t>（</w:t>
      </w:r>
      <w:r>
        <w:rPr>
          <w:rFonts w:hint="default" w:ascii="Times New Roman" w:hAnsi="Times New Roman" w:eastAsia="仿宋_GB2312" w:cs="Times New Roman"/>
          <w:snapToGrid w:val="0"/>
          <w:color w:val="auto"/>
          <w:kern w:val="0"/>
          <w:sz w:val="24"/>
          <w:highlight w:val="none"/>
          <w:lang w:val="sq-AL"/>
        </w:rPr>
        <w:t>HJ2.3-2018</w:t>
      </w:r>
      <w:r>
        <w:rPr>
          <w:rFonts w:hint="eastAsia" w:cs="Times New Roman"/>
          <w:snapToGrid w:val="0"/>
          <w:color w:val="auto"/>
          <w:kern w:val="0"/>
          <w:sz w:val="24"/>
          <w:highlight w:val="none"/>
          <w:lang w:val="sq-AL" w:eastAsia="zh-CN"/>
        </w:rPr>
        <w:t>）</w:t>
      </w:r>
      <w:r>
        <w:rPr>
          <w:rFonts w:hint="default" w:ascii="Times New Roman" w:hAnsi="Times New Roman" w:eastAsia="仿宋_GB2312" w:cs="Times New Roman"/>
          <w:snapToGrid w:val="0"/>
          <w:color w:val="auto"/>
          <w:kern w:val="0"/>
          <w:sz w:val="24"/>
          <w:highlight w:val="none"/>
          <w:lang w:val="sq-AL"/>
        </w:rPr>
        <w:t>，三级B评价可不考虑评价时期，评价范围应满足其依托污水处理设施环境可行性的要求。因此，确定本次地表水环境影响评价范围为厂内废水产生节点至污水收集处理设施范围。</w:t>
      </w:r>
    </w:p>
    <w:p w14:paraId="510DA3ED">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1.5.2.3评价时期</w:t>
      </w:r>
    </w:p>
    <w:p w14:paraId="7B5B7BFC">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eastAsia="仿宋_GB2312" w:cs="Times New Roman"/>
          <w:snapToGrid w:val="0"/>
          <w:color w:val="auto"/>
          <w:kern w:val="0"/>
          <w:sz w:val="24"/>
          <w:highlight w:val="none"/>
          <w:lang w:val="sq-AL"/>
        </w:rPr>
      </w:pPr>
      <w:r>
        <w:rPr>
          <w:rFonts w:hint="default" w:ascii="Times New Roman" w:hAnsi="Times New Roman" w:eastAsia="仿宋_GB2312" w:cs="Times New Roman"/>
          <w:snapToGrid w:val="0"/>
          <w:color w:val="auto"/>
          <w:kern w:val="0"/>
          <w:sz w:val="24"/>
          <w:highlight w:val="none"/>
          <w:lang w:val="sq-AL"/>
        </w:rPr>
        <w:t>根据《环境影响评价技术导则·地表水环境》</w:t>
      </w:r>
      <w:r>
        <w:rPr>
          <w:rFonts w:hint="default" w:ascii="Times New Roman" w:hAnsi="Times New Roman" w:eastAsia="仿宋_GB2312" w:cs="Times New Roman"/>
          <w:snapToGrid w:val="0"/>
          <w:color w:val="auto"/>
          <w:kern w:val="0"/>
          <w:sz w:val="24"/>
          <w:highlight w:val="none"/>
          <w:lang w:val="sq-AL" w:eastAsia="zh-CN"/>
        </w:rPr>
        <w:t>（</w:t>
      </w:r>
      <w:r>
        <w:rPr>
          <w:rFonts w:hint="default" w:ascii="Times New Roman" w:hAnsi="Times New Roman" w:eastAsia="仿宋_GB2312" w:cs="Times New Roman"/>
          <w:snapToGrid w:val="0"/>
          <w:color w:val="auto"/>
          <w:kern w:val="0"/>
          <w:sz w:val="24"/>
          <w:highlight w:val="none"/>
          <w:lang w:val="sq-AL"/>
        </w:rPr>
        <w:t>HJ2.3-2018</w:t>
      </w:r>
      <w:r>
        <w:rPr>
          <w:rFonts w:hint="default" w:ascii="Times New Roman" w:hAnsi="Times New Roman" w:eastAsia="仿宋_GB2312" w:cs="Times New Roman"/>
          <w:snapToGrid w:val="0"/>
          <w:color w:val="auto"/>
          <w:kern w:val="0"/>
          <w:sz w:val="24"/>
          <w:highlight w:val="none"/>
          <w:lang w:val="sq-AL" w:eastAsia="zh-CN"/>
        </w:rPr>
        <w:t>）</w:t>
      </w:r>
      <w:r>
        <w:rPr>
          <w:rFonts w:hint="default" w:ascii="Times New Roman" w:hAnsi="Times New Roman" w:eastAsia="仿宋_GB2312" w:cs="Times New Roman"/>
          <w:snapToGrid w:val="0"/>
          <w:color w:val="auto"/>
          <w:kern w:val="0"/>
          <w:sz w:val="24"/>
          <w:highlight w:val="none"/>
          <w:lang w:val="sq-AL"/>
        </w:rPr>
        <w:t>中的规定，三级B评价，可不考虑评价时期。</w:t>
      </w:r>
    </w:p>
    <w:p w14:paraId="61F8EB89">
      <w:pPr>
        <w:pageBreakBefore w:val="0"/>
        <w:kinsoku/>
        <w:wordWrap/>
        <w:topLinePunct w:val="0"/>
        <w:bidi w:val="0"/>
        <w:adjustRightInd/>
        <w:snapToGrid/>
        <w:spacing w:line="360" w:lineRule="auto"/>
        <w:ind w:left="0" w:leftChars="0"/>
        <w:rPr>
          <w:rFonts w:hint="eastAsia" w:ascii="Times New Roman" w:hAnsi="Times New Roman"/>
          <w:color w:val="auto"/>
        </w:rPr>
      </w:pPr>
      <w:r>
        <w:rPr>
          <w:rFonts w:hint="default" w:ascii="Times New Roman" w:hAnsi="Times New Roman" w:eastAsia="仿宋_GB2312" w:cs="Times New Roman"/>
          <w:snapToGrid w:val="0"/>
          <w:color w:val="auto"/>
          <w:kern w:val="0"/>
          <w:sz w:val="24"/>
          <w:highlight w:val="none"/>
          <w:lang w:val="sq-AL"/>
        </w:rPr>
        <w:t>综合以上分析，本项目地表水环境评价等级为三级B，不进行水环境影响预测，主要评价项目水污染控制和水环境影响减缓措施有效性、可行性。</w:t>
      </w:r>
    </w:p>
    <w:p w14:paraId="68DF615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bookmarkStart w:id="223" w:name="_Toc23781"/>
      <w:r>
        <w:rPr>
          <w:rFonts w:hint="default" w:ascii="Times New Roman" w:hAnsi="Times New Roman" w:eastAsia="黑体" w:cs="Times New Roman"/>
          <w:b/>
          <w:color w:val="auto"/>
          <w:sz w:val="28"/>
          <w:szCs w:val="28"/>
          <w:highlight w:val="none"/>
        </w:rPr>
        <w:t>1.5.3地下水</w:t>
      </w:r>
      <w:bookmarkEnd w:id="223"/>
    </w:p>
    <w:p w14:paraId="63A236F3">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1.5.3.1评价等级</w:t>
      </w:r>
    </w:p>
    <w:p w14:paraId="7BCE0914">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eastAsia="仿宋_GB2312" w:cs="Times New Roman"/>
          <w:snapToGrid w:val="0"/>
          <w:color w:val="auto"/>
          <w:kern w:val="0"/>
          <w:sz w:val="24"/>
          <w:highlight w:val="none"/>
          <w:lang w:val="sq-AL"/>
        </w:rPr>
      </w:pPr>
      <w:r>
        <w:rPr>
          <w:rFonts w:hint="eastAsia" w:ascii="Times New Roman" w:hAnsi="Times New Roman" w:cs="Times New Roman"/>
          <w:snapToGrid w:val="0"/>
          <w:color w:val="auto"/>
          <w:kern w:val="0"/>
          <w:sz w:val="24"/>
          <w:highlight w:val="none"/>
          <w:lang w:val="sq-AL" w:eastAsia="zh-CN"/>
        </w:rPr>
        <w:t>（</w:t>
      </w:r>
      <w:r>
        <w:rPr>
          <w:rFonts w:hint="eastAsia" w:ascii="Times New Roman" w:hAnsi="Times New Roman" w:cs="Times New Roman"/>
          <w:snapToGrid w:val="0"/>
          <w:color w:val="auto"/>
          <w:kern w:val="0"/>
          <w:sz w:val="24"/>
          <w:highlight w:val="none"/>
          <w:lang w:val="en-US" w:eastAsia="zh-CN"/>
        </w:rPr>
        <w:t>1</w:t>
      </w:r>
      <w:r>
        <w:rPr>
          <w:rFonts w:hint="eastAsia" w:ascii="Times New Roman" w:hAnsi="Times New Roman" w:cs="Times New Roman"/>
          <w:snapToGrid w:val="0"/>
          <w:color w:val="auto"/>
          <w:kern w:val="0"/>
          <w:sz w:val="24"/>
          <w:highlight w:val="none"/>
          <w:lang w:val="sq-AL" w:eastAsia="zh-CN"/>
        </w:rPr>
        <w:t>）</w:t>
      </w:r>
      <w:r>
        <w:rPr>
          <w:rFonts w:hint="default" w:ascii="Times New Roman" w:hAnsi="Times New Roman" w:eastAsia="仿宋_GB2312" w:cs="Times New Roman"/>
          <w:snapToGrid w:val="0"/>
          <w:color w:val="auto"/>
          <w:kern w:val="0"/>
          <w:sz w:val="24"/>
          <w:highlight w:val="none"/>
          <w:lang w:val="sq-AL"/>
        </w:rPr>
        <w:t>地下水环境影响评价行业分类</w:t>
      </w:r>
    </w:p>
    <w:p w14:paraId="63549C47">
      <w:pPr>
        <w:pageBreakBefore w:val="0"/>
        <w:kinsoku/>
        <w:wordWrap/>
        <w:topLinePunct w:val="0"/>
        <w:bidi w:val="0"/>
        <w:adjustRightInd/>
        <w:snapToGrid/>
        <w:spacing w:line="360" w:lineRule="auto"/>
        <w:ind w:left="0" w:leftChars="0"/>
        <w:rPr>
          <w:rFonts w:hint="eastAsia" w:ascii="Times New Roman" w:hAnsi="Times New Roman"/>
          <w:color w:val="auto"/>
        </w:rPr>
      </w:pPr>
      <w:r>
        <w:rPr>
          <w:rFonts w:hint="eastAsia"/>
          <w:color w:val="auto"/>
          <w:lang w:val="en-US" w:eastAsia="zh-CN"/>
        </w:rPr>
        <w:t>本项目为牛羊肉屠宰精深加工项目，</w:t>
      </w:r>
      <w:r>
        <w:rPr>
          <w:rFonts w:hint="eastAsia" w:ascii="Times New Roman" w:hAnsi="Times New Roman"/>
          <w:color w:val="auto"/>
        </w:rPr>
        <w:t>年屠宰牛</w:t>
      </w:r>
      <w:r>
        <w:rPr>
          <w:rFonts w:hint="eastAsia"/>
          <w:color w:val="auto"/>
          <w:lang w:val="en-US" w:eastAsia="zh-CN"/>
        </w:rPr>
        <w:t>10000</w:t>
      </w:r>
      <w:r>
        <w:rPr>
          <w:rFonts w:hint="eastAsia" w:ascii="Times New Roman" w:hAnsi="Times New Roman"/>
          <w:color w:val="auto"/>
        </w:rPr>
        <w:t>头，屠宰羊</w:t>
      </w:r>
      <w:r>
        <w:rPr>
          <w:rFonts w:hint="eastAsia"/>
          <w:color w:val="auto"/>
          <w:lang w:val="en-US" w:eastAsia="zh-CN"/>
        </w:rPr>
        <w:t>15</w:t>
      </w:r>
      <w:r>
        <w:rPr>
          <w:rFonts w:hint="eastAsia" w:ascii="Times New Roman" w:hAnsi="Times New Roman"/>
          <w:color w:val="auto"/>
        </w:rPr>
        <w:t>万只</w:t>
      </w:r>
      <w:r>
        <w:rPr>
          <w:rFonts w:hint="eastAsia"/>
          <w:color w:val="auto"/>
          <w:lang w:eastAsia="zh-CN"/>
        </w:rPr>
        <w:t>。</w:t>
      </w:r>
      <w:r>
        <w:rPr>
          <w:rFonts w:hint="eastAsia" w:ascii="Times New Roman" w:hAnsi="Times New Roman"/>
          <w:color w:val="auto"/>
        </w:rPr>
        <w:t>根据《环境影响评价技术导则 地下水环境》（HJ610-2016）中附录A地下水环境影响评价行业分类表，本项目属于N轻工的98屠宰</w:t>
      </w:r>
      <w:r>
        <w:rPr>
          <w:rFonts w:hint="eastAsia" w:ascii="Times New Roman" w:hAnsi="Times New Roman"/>
          <w:color w:val="auto"/>
          <w:lang w:val="en-US" w:eastAsia="zh-CN"/>
        </w:rPr>
        <w:t>“年屠宰10万头畜类（或100万只禽类）及以上</w:t>
      </w:r>
      <w:r>
        <w:rPr>
          <w:rFonts w:hint="eastAsia" w:ascii="Times New Roman" w:hAnsi="Times New Roman"/>
          <w:color w:val="auto"/>
        </w:rPr>
        <w:t>”，地下水环境影响评价分类为</w:t>
      </w:r>
      <w:r>
        <w:rPr>
          <w:rFonts w:hint="default" w:ascii="Times New Roman" w:hAnsi="Times New Roman" w:cs="Times New Roman"/>
          <w:color w:val="auto"/>
        </w:rPr>
        <w:t>Ⅲ</w:t>
      </w:r>
      <w:r>
        <w:rPr>
          <w:rFonts w:hint="eastAsia" w:ascii="Times New Roman" w:hAnsi="Times New Roman"/>
          <w:color w:val="auto"/>
        </w:rPr>
        <w:t>类。</w:t>
      </w:r>
    </w:p>
    <w:p w14:paraId="6274056B">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cs="Times New Roman"/>
          <w:snapToGrid w:val="0"/>
          <w:color w:val="auto"/>
          <w:kern w:val="0"/>
          <w:sz w:val="24"/>
          <w:highlight w:val="none"/>
          <w:lang w:val="sq-AL" w:eastAsia="zh-CN"/>
        </w:rPr>
      </w:pPr>
      <w:r>
        <w:rPr>
          <w:rFonts w:hint="eastAsia" w:ascii="Times New Roman" w:hAnsi="Times New Roman" w:cs="Times New Roman"/>
          <w:snapToGrid w:val="0"/>
          <w:color w:val="auto"/>
          <w:kern w:val="0"/>
          <w:sz w:val="24"/>
          <w:highlight w:val="none"/>
          <w:lang w:val="sq-AL" w:eastAsia="zh-CN"/>
        </w:rPr>
        <w:t>（</w:t>
      </w:r>
      <w:r>
        <w:rPr>
          <w:rFonts w:hint="eastAsia" w:ascii="Times New Roman" w:hAnsi="Times New Roman" w:cs="Times New Roman"/>
          <w:snapToGrid w:val="0"/>
          <w:color w:val="auto"/>
          <w:kern w:val="0"/>
          <w:sz w:val="24"/>
          <w:highlight w:val="none"/>
          <w:lang w:val="en-US" w:eastAsia="zh-CN"/>
        </w:rPr>
        <w:t>2</w:t>
      </w:r>
      <w:r>
        <w:rPr>
          <w:rFonts w:hint="eastAsia" w:ascii="Times New Roman" w:hAnsi="Times New Roman" w:cs="Times New Roman"/>
          <w:snapToGrid w:val="0"/>
          <w:color w:val="auto"/>
          <w:kern w:val="0"/>
          <w:sz w:val="24"/>
          <w:highlight w:val="none"/>
          <w:lang w:val="sq-AL" w:eastAsia="zh-CN"/>
        </w:rPr>
        <w:t>）</w:t>
      </w:r>
      <w:r>
        <w:rPr>
          <w:rFonts w:hint="default" w:ascii="Times New Roman" w:hAnsi="Times New Roman" w:cs="Times New Roman"/>
          <w:snapToGrid w:val="0"/>
          <w:color w:val="auto"/>
          <w:kern w:val="0"/>
          <w:sz w:val="24"/>
          <w:highlight w:val="none"/>
          <w:lang w:val="sq-AL" w:eastAsia="zh-CN"/>
        </w:rPr>
        <w:t>水环境敏感程度</w:t>
      </w:r>
    </w:p>
    <w:p w14:paraId="7AB9EF05">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eastAsia="仿宋_GB2312" w:cs="Times New Roman"/>
          <w:snapToGrid w:val="0"/>
          <w:color w:val="auto"/>
          <w:kern w:val="0"/>
          <w:sz w:val="24"/>
          <w:highlight w:val="none"/>
          <w:lang w:val="sq-AL"/>
        </w:rPr>
      </w:pPr>
      <w:bookmarkStart w:id="224" w:name="OLE_LINK43"/>
      <w:bookmarkEnd w:id="224"/>
      <w:bookmarkStart w:id="225" w:name="OLE_LINK46"/>
      <w:r>
        <w:rPr>
          <w:rFonts w:hint="default" w:ascii="Times New Roman" w:hAnsi="Times New Roman" w:cs="Times New Roman"/>
          <w:snapToGrid w:val="0"/>
          <w:color w:val="auto"/>
          <w:kern w:val="0"/>
          <w:sz w:val="24"/>
          <w:highlight w:val="none"/>
          <w:lang w:val="sq-AL" w:eastAsia="zh-CN"/>
        </w:rPr>
        <w:t>根据《环境影响评价技术导则 地下水环境》（HJ610-2016），</w:t>
      </w:r>
      <w:bookmarkEnd w:id="225"/>
      <w:r>
        <w:rPr>
          <w:rFonts w:hint="default" w:ascii="Times New Roman" w:hAnsi="Times New Roman" w:cs="Times New Roman"/>
          <w:snapToGrid w:val="0"/>
          <w:color w:val="auto"/>
          <w:kern w:val="0"/>
          <w:sz w:val="24"/>
          <w:highlight w:val="none"/>
          <w:lang w:val="sq-AL" w:eastAsia="zh-CN"/>
        </w:rPr>
        <w:t>建设项目的地下水环境敏感程度可分为敏感、较敏感、不敏感，分级原则见表1.5-8。</w:t>
      </w:r>
    </w:p>
    <w:p w14:paraId="1EB39FC9">
      <w:pPr>
        <w:pageBreakBefore w:val="0"/>
        <w:widowControl w:val="0"/>
        <w:kinsoku/>
        <w:wordWrap/>
        <w:topLinePunct w:val="0"/>
        <w:bidi w:val="0"/>
        <w:adjustRightInd/>
        <w:snapToGrid/>
        <w:spacing w:line="240" w:lineRule="auto"/>
        <w:ind w:left="0" w:leftChars="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1"/>
          <w:szCs w:val="21"/>
          <w:highlight w:val="none"/>
        </w:rPr>
        <w:t xml:space="preserve">表1.5-8 </w:t>
      </w:r>
      <w:r>
        <w:rPr>
          <w:rFonts w:hint="default"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lang w:val="en-US" w:eastAsia="zh-CN"/>
        </w:rPr>
        <w:t xml:space="preserve">         </w:t>
      </w:r>
      <w:r>
        <w:rPr>
          <w:rFonts w:hint="eastAsia" w:eastAsia="宋体" w:cs="Times New Roman"/>
          <w:color w:val="auto"/>
          <w:highlight w:val="none"/>
          <w:lang w:val="en-US" w:eastAsia="zh-CN"/>
        </w:rPr>
        <w:t xml:space="preserve"> </w:t>
      </w:r>
      <w:r>
        <w:rPr>
          <w:rFonts w:hint="default" w:ascii="Times New Roman" w:hAnsi="Times New Roman" w:eastAsia="宋体" w:cs="Times New Roman"/>
          <w:b/>
          <w:bCs/>
          <w:color w:val="auto"/>
          <w:sz w:val="24"/>
          <w:highlight w:val="none"/>
        </w:rPr>
        <w:t>建设项目的地下水环境敏感程度分级表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98"/>
        <w:gridCol w:w="7750"/>
      </w:tblGrid>
      <w:tr w14:paraId="7DC45B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18" w:type="dxa"/>
            <w:noWrap w:val="0"/>
            <w:vAlign w:val="center"/>
          </w:tcPr>
          <w:p w14:paraId="79093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敏感程度</w:t>
            </w:r>
          </w:p>
        </w:tc>
        <w:tc>
          <w:tcPr>
            <w:tcW w:w="7901" w:type="dxa"/>
            <w:noWrap w:val="0"/>
            <w:vAlign w:val="center"/>
          </w:tcPr>
          <w:p w14:paraId="28652C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地下水环境敏感特征</w:t>
            </w:r>
          </w:p>
        </w:tc>
      </w:tr>
      <w:tr w14:paraId="374AB2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18" w:type="dxa"/>
            <w:noWrap w:val="0"/>
            <w:vAlign w:val="center"/>
          </w:tcPr>
          <w:p w14:paraId="178706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敏感</w:t>
            </w:r>
          </w:p>
        </w:tc>
        <w:tc>
          <w:tcPr>
            <w:tcW w:w="7901" w:type="dxa"/>
            <w:noWrap w:val="0"/>
            <w:vAlign w:val="center"/>
          </w:tcPr>
          <w:p w14:paraId="33B469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37F55B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18" w:type="dxa"/>
            <w:noWrap w:val="0"/>
            <w:vAlign w:val="center"/>
          </w:tcPr>
          <w:p w14:paraId="51FDA1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较敏感</w:t>
            </w:r>
          </w:p>
        </w:tc>
        <w:tc>
          <w:tcPr>
            <w:tcW w:w="7901" w:type="dxa"/>
            <w:noWrap w:val="0"/>
            <w:vAlign w:val="center"/>
          </w:tcPr>
          <w:p w14:paraId="2DA15B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a。</w:t>
            </w:r>
          </w:p>
        </w:tc>
      </w:tr>
      <w:tr w14:paraId="22DFE9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18" w:type="dxa"/>
            <w:noWrap w:val="0"/>
            <w:vAlign w:val="center"/>
          </w:tcPr>
          <w:p w14:paraId="1EE573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不敏感</w:t>
            </w:r>
          </w:p>
        </w:tc>
        <w:tc>
          <w:tcPr>
            <w:tcW w:w="7901" w:type="dxa"/>
            <w:noWrap w:val="0"/>
            <w:vAlign w:val="center"/>
          </w:tcPr>
          <w:p w14:paraId="22A7E0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上述地区之外的其它</w:t>
            </w:r>
          </w:p>
        </w:tc>
      </w:tr>
      <w:tr w14:paraId="2AFACC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119" w:type="dxa"/>
            <w:gridSpan w:val="2"/>
            <w:noWrap w:val="0"/>
            <w:vAlign w:val="center"/>
          </w:tcPr>
          <w:p w14:paraId="5DD0F8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注：a“环境敏感区”是指《</w:t>
            </w:r>
            <w:r>
              <w:rPr>
                <w:rFonts w:hint="eastAsia" w:eastAsia="宋体" w:cs="Times New Roman"/>
                <w:color w:val="auto"/>
                <w:sz w:val="21"/>
                <w:szCs w:val="21"/>
                <w:highlight w:val="none"/>
                <w:lang w:eastAsia="zh-CN"/>
              </w:rPr>
              <w:t>建设项目环境影响评价分类管理名录</w:t>
            </w:r>
            <w:r>
              <w:rPr>
                <w:rFonts w:hint="default" w:ascii="Times New Roman" w:hAnsi="Times New Roman" w:eastAsia="宋体" w:cs="Times New Roman"/>
                <w:color w:val="auto"/>
                <w:sz w:val="21"/>
                <w:szCs w:val="21"/>
                <w:highlight w:val="none"/>
              </w:rPr>
              <w:t>》中所界定的涉及地下水。</w:t>
            </w:r>
          </w:p>
        </w:tc>
      </w:tr>
    </w:tbl>
    <w:p w14:paraId="4EC0ADAC">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default" w:ascii="Times New Roman" w:hAnsi="Times New Roman" w:eastAsia="仿宋_GB2312" w:cs="Times New Roman"/>
          <w:snapToGrid w:val="0"/>
          <w:color w:val="auto"/>
          <w:kern w:val="0"/>
          <w:sz w:val="24"/>
          <w:highlight w:val="none"/>
          <w:lang w:val="sq-AL"/>
        </w:rPr>
        <w:t>本项目建设场地位于固原经济开发区轻工产业园</w:t>
      </w:r>
      <w:r>
        <w:rPr>
          <w:rFonts w:hint="eastAsia" w:cs="Times New Roman"/>
          <w:color w:val="auto"/>
          <w:kern w:val="2"/>
          <w:sz w:val="24"/>
          <w:szCs w:val="24"/>
          <w:lang w:val="en-US" w:eastAsia="zh-CN" w:bidi="ar-SA"/>
        </w:rPr>
        <w:t>（中河乡）</w:t>
      </w:r>
      <w:r>
        <w:rPr>
          <w:rFonts w:hint="default" w:ascii="Times New Roman" w:hAnsi="Times New Roman" w:eastAsia="仿宋_GB2312" w:cs="Times New Roman"/>
          <w:snapToGrid w:val="0"/>
          <w:color w:val="auto"/>
          <w:kern w:val="0"/>
          <w:sz w:val="24"/>
          <w:highlight w:val="none"/>
          <w:lang w:val="sq-AL"/>
        </w:rPr>
        <w:t>，</w:t>
      </w:r>
      <w:r>
        <w:rPr>
          <w:rFonts w:eastAsia="仿宋_GB2312" w:cs="Times New Roman" w:asciiTheme="minorHAnsi" w:hAnsiTheme="minorHAnsi"/>
          <w:color w:val="auto"/>
          <w:kern w:val="2"/>
          <w:sz w:val="24"/>
          <w:szCs w:val="21"/>
        </w:rPr>
        <w:t>所在区域周围无集中或分散水源地等敏感目标</w:t>
      </w:r>
      <w:r>
        <w:rPr>
          <w:rFonts w:hint="eastAsia" w:cs="Times New Roman" w:asciiTheme="minorHAnsi" w:hAnsiTheme="minorHAnsi"/>
          <w:color w:val="auto"/>
          <w:kern w:val="2"/>
          <w:sz w:val="24"/>
          <w:szCs w:val="21"/>
          <w:lang w:eastAsia="zh-CN"/>
        </w:rPr>
        <w:t>，</w:t>
      </w:r>
      <w:r>
        <w:rPr>
          <w:rFonts w:hint="default" w:ascii="Times New Roman" w:hAnsi="Times New Roman" w:eastAsia="仿宋_GB2312" w:cs="Times New Roman"/>
          <w:snapToGrid w:val="0"/>
          <w:color w:val="auto"/>
          <w:kern w:val="0"/>
          <w:sz w:val="24"/>
          <w:highlight w:val="none"/>
          <w:lang w:val="sq-AL"/>
        </w:rPr>
        <w:t>建设场地属于</w:t>
      </w:r>
      <w:r>
        <w:rPr>
          <w:rFonts w:hint="eastAsia" w:ascii="Times New Roman" w:hAnsi="Times New Roman" w:cs="Times New Roman"/>
          <w:snapToGrid w:val="0"/>
          <w:color w:val="auto"/>
          <w:kern w:val="0"/>
          <w:sz w:val="24"/>
          <w:highlight w:val="none"/>
          <w:lang w:val="en-US" w:eastAsia="zh-CN"/>
        </w:rPr>
        <w:t>不</w:t>
      </w:r>
      <w:r>
        <w:rPr>
          <w:rFonts w:hint="default" w:ascii="Times New Roman" w:hAnsi="Times New Roman" w:eastAsia="仿宋_GB2312" w:cs="Times New Roman"/>
          <w:snapToGrid w:val="0"/>
          <w:color w:val="auto"/>
          <w:kern w:val="0"/>
          <w:sz w:val="24"/>
          <w:highlight w:val="none"/>
          <w:lang w:val="sq-AL"/>
        </w:rPr>
        <w:t>敏感区域。</w:t>
      </w:r>
    </w:p>
    <w:p w14:paraId="02942655">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eastAsia="仿宋_GB2312" w:cs="Times New Roman"/>
          <w:snapToGrid w:val="0"/>
          <w:color w:val="auto"/>
          <w:kern w:val="0"/>
          <w:sz w:val="24"/>
          <w:highlight w:val="none"/>
          <w:lang w:val="sq-AL"/>
        </w:rPr>
      </w:pPr>
      <w:r>
        <w:rPr>
          <w:rFonts w:hint="eastAsia" w:ascii="Times New Roman" w:hAnsi="Times New Roman" w:cs="Times New Roman"/>
          <w:snapToGrid w:val="0"/>
          <w:color w:val="auto"/>
          <w:kern w:val="0"/>
          <w:sz w:val="24"/>
          <w:highlight w:val="none"/>
          <w:lang w:val="sq-AL" w:eastAsia="zh-CN"/>
        </w:rPr>
        <w:t>（</w:t>
      </w:r>
      <w:r>
        <w:rPr>
          <w:rFonts w:hint="eastAsia" w:ascii="Times New Roman" w:hAnsi="Times New Roman" w:cs="Times New Roman"/>
          <w:snapToGrid w:val="0"/>
          <w:color w:val="auto"/>
          <w:kern w:val="0"/>
          <w:sz w:val="24"/>
          <w:highlight w:val="none"/>
          <w:lang w:val="en-US" w:eastAsia="zh-CN"/>
        </w:rPr>
        <w:t>3</w:t>
      </w:r>
      <w:r>
        <w:rPr>
          <w:rFonts w:hint="eastAsia" w:ascii="Times New Roman" w:hAnsi="Times New Roman" w:cs="Times New Roman"/>
          <w:snapToGrid w:val="0"/>
          <w:color w:val="auto"/>
          <w:kern w:val="0"/>
          <w:sz w:val="24"/>
          <w:highlight w:val="none"/>
          <w:lang w:val="sq-AL" w:eastAsia="zh-CN"/>
        </w:rPr>
        <w:t>）</w:t>
      </w:r>
      <w:r>
        <w:rPr>
          <w:rFonts w:hint="default" w:ascii="Times New Roman" w:hAnsi="Times New Roman" w:eastAsia="仿宋_GB2312" w:cs="Times New Roman"/>
          <w:snapToGrid w:val="0"/>
          <w:color w:val="auto"/>
          <w:kern w:val="0"/>
          <w:sz w:val="24"/>
          <w:highlight w:val="none"/>
          <w:lang w:val="sq-AL"/>
        </w:rPr>
        <w:t>地下水评价等级判定</w:t>
      </w:r>
    </w:p>
    <w:p w14:paraId="0CEFCABD">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eastAsia="仿宋＿GB2312" w:cs="Times New Roman"/>
          <w:b/>
          <w:bCs/>
          <w:color w:val="auto"/>
          <w:sz w:val="24"/>
          <w:highlight w:val="none"/>
        </w:rPr>
      </w:pPr>
      <w:r>
        <w:rPr>
          <w:rFonts w:hint="default" w:ascii="Times New Roman" w:hAnsi="Times New Roman" w:eastAsia="仿宋_GB2312" w:cs="Times New Roman"/>
          <w:snapToGrid w:val="0"/>
          <w:color w:val="auto"/>
          <w:kern w:val="0"/>
          <w:sz w:val="24"/>
          <w:highlight w:val="none"/>
          <w:lang w:val="sq-AL"/>
        </w:rPr>
        <w:t>建设项目地下水环境影响评价工作等级分级判定表1.</w:t>
      </w:r>
      <w:r>
        <w:rPr>
          <w:rFonts w:hint="default" w:ascii="Times New Roman" w:hAnsi="Times New Roman" w:eastAsia="仿宋_GB2312" w:cs="Times New Roman"/>
          <w:snapToGrid w:val="0"/>
          <w:color w:val="auto"/>
          <w:kern w:val="0"/>
          <w:sz w:val="24"/>
          <w:highlight w:val="none"/>
        </w:rPr>
        <w:t>5-9</w:t>
      </w:r>
      <w:r>
        <w:rPr>
          <w:rFonts w:hint="default" w:ascii="Times New Roman" w:hAnsi="Times New Roman" w:eastAsia="仿宋＿GB2312" w:cs="Times New Roman"/>
          <w:color w:val="auto"/>
          <w:sz w:val="24"/>
          <w:highlight w:val="none"/>
        </w:rPr>
        <w:t>。</w:t>
      </w:r>
    </w:p>
    <w:p w14:paraId="6597F5F4">
      <w:pPr>
        <w:pageBreakBefore w:val="0"/>
        <w:widowControl w:val="0"/>
        <w:kinsoku/>
        <w:wordWrap/>
        <w:topLinePunct w:val="0"/>
        <w:bidi w:val="0"/>
        <w:adjustRightInd/>
        <w:snapToGrid/>
        <w:spacing w:line="240" w:lineRule="auto"/>
        <w:ind w:left="0" w:leftChars="0"/>
        <w:jc w:val="both"/>
        <w:rPr>
          <w:rFonts w:hint="default" w:ascii="Times New Roman" w:hAnsi="Times New Roman" w:cs="Times New Roman"/>
          <w:color w:val="auto"/>
          <w:szCs w:val="16"/>
          <w:highlight w:val="none"/>
        </w:rPr>
      </w:pPr>
      <w:r>
        <w:rPr>
          <w:rFonts w:hint="default" w:ascii="Times New Roman" w:hAnsi="Times New Roman" w:eastAsia="宋体" w:cs="Times New Roman"/>
          <w:color w:val="auto"/>
          <w:sz w:val="21"/>
          <w:szCs w:val="21"/>
          <w:highlight w:val="none"/>
        </w:rPr>
        <w:t>表1.5-9</w:t>
      </w:r>
      <w:r>
        <w:rPr>
          <w:rFonts w:hint="default" w:ascii="Times New Roman" w:hAnsi="Times New Roman" w:eastAsia="仿宋＿GB2312" w:cs="Times New Roman"/>
          <w:color w:val="auto"/>
          <w:szCs w:val="16"/>
          <w:highlight w:val="none"/>
        </w:rPr>
        <w:t xml:space="preserve"> </w:t>
      </w:r>
      <w:r>
        <w:rPr>
          <w:rFonts w:hint="eastAsia" w:ascii="Times New Roman" w:hAnsi="Times New Roman" w:eastAsia="仿宋＿GB2312" w:cs="Times New Roman"/>
          <w:color w:val="auto"/>
          <w:szCs w:val="16"/>
          <w:highlight w:val="none"/>
          <w:lang w:val="en-US" w:eastAsia="zh-CN"/>
        </w:rPr>
        <w:t xml:space="preserve">                </w:t>
      </w:r>
      <w:r>
        <w:rPr>
          <w:rFonts w:hint="default" w:ascii="Times New Roman" w:hAnsi="Times New Roman" w:cs="Times New Roman"/>
          <w:color w:val="auto"/>
          <w:szCs w:val="16"/>
          <w:highlight w:val="none"/>
        </w:rPr>
        <w:t xml:space="preserve"> </w:t>
      </w:r>
      <w:r>
        <w:rPr>
          <w:rFonts w:hint="default" w:ascii="Times New Roman" w:hAnsi="Times New Roman" w:eastAsia="宋体" w:cs="Times New Roman"/>
          <w:b/>
          <w:bCs/>
          <w:color w:val="auto"/>
          <w:sz w:val="24"/>
          <w:highlight w:val="none"/>
        </w:rPr>
        <w:t>建设项目评价工作等级分级表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434"/>
        <w:gridCol w:w="2039"/>
        <w:gridCol w:w="2237"/>
        <w:gridCol w:w="2238"/>
      </w:tblGrid>
      <w:tr w14:paraId="67E7D0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2527" w:type="dxa"/>
            <w:noWrap w:val="0"/>
            <w:vAlign w:val="center"/>
          </w:tcPr>
          <w:p w14:paraId="793047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eastAsia="宋体" w:cs="Times New Roman"/>
                <w:color w:val="auto"/>
                <w:sz w:val="21"/>
                <w:szCs w:val="21"/>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-1270</wp:posOffset>
                      </wp:positionV>
                      <wp:extent cx="1553210" cy="389890"/>
                      <wp:effectExtent l="1270" t="4445" r="7620" b="5715"/>
                      <wp:wrapNone/>
                      <wp:docPr id="2" name="直接连接符 2"/>
                      <wp:cNvGraphicFramePr/>
                      <a:graphic xmlns:a="http://schemas.openxmlformats.org/drawingml/2006/main">
                        <a:graphicData uri="http://schemas.microsoft.com/office/word/2010/wordprocessingShape">
                          <wps:wsp>
                            <wps:cNvCnPr/>
                            <wps:spPr>
                              <a:xfrm>
                                <a:off x="833755" y="1717675"/>
                                <a:ext cx="1553210" cy="389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25pt;margin-top:-0.1pt;height:30.7pt;width:122.3pt;z-index:251661312;mso-width-relative:page;mso-height-relative:page;" filled="f" stroked="t" coordsize="21600,21600" o:gfxdata="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Gcg51wAAAAgBAAAPAAAAAAAAAAEAIAAAACIAAABkcnMvZG93bnJldi54bWxQSwEC&#10;FAAUAAAACACHTuJAKGcllvUBAADBAwAADgAAAAAAAAABACAAAAAmAQAAZHJzL2Uyb0RvYy54bWxQ&#10;SwUGAAAAAAYABgBZAQAAjQU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color w:val="auto"/>
                <w:sz w:val="21"/>
                <w:szCs w:val="21"/>
                <w:highlight w:val="none"/>
              </w:rPr>
              <w:t>项目类别</w:t>
            </w:r>
          </w:p>
          <w:p w14:paraId="3C649C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环境敏感程度</w:t>
            </w:r>
          </w:p>
        </w:tc>
        <w:tc>
          <w:tcPr>
            <w:tcW w:w="2115" w:type="dxa"/>
            <w:noWrap w:val="0"/>
            <w:vAlign w:val="center"/>
          </w:tcPr>
          <w:p w14:paraId="6D937D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Ⅰ类项目</w:t>
            </w:r>
          </w:p>
        </w:tc>
        <w:tc>
          <w:tcPr>
            <w:tcW w:w="2322" w:type="dxa"/>
            <w:noWrap w:val="0"/>
            <w:vAlign w:val="center"/>
          </w:tcPr>
          <w:p w14:paraId="25D55B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Ⅱ类项目</w:t>
            </w:r>
          </w:p>
        </w:tc>
        <w:tc>
          <w:tcPr>
            <w:tcW w:w="2322" w:type="dxa"/>
            <w:noWrap w:val="0"/>
            <w:vAlign w:val="center"/>
          </w:tcPr>
          <w:p w14:paraId="61D7F9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Ⅲ类项目</w:t>
            </w:r>
          </w:p>
        </w:tc>
      </w:tr>
      <w:tr w14:paraId="0CC18C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2527" w:type="dxa"/>
            <w:noWrap w:val="0"/>
            <w:vAlign w:val="center"/>
          </w:tcPr>
          <w:p w14:paraId="199EF2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敏感</w:t>
            </w:r>
          </w:p>
        </w:tc>
        <w:tc>
          <w:tcPr>
            <w:tcW w:w="2115" w:type="dxa"/>
            <w:noWrap w:val="0"/>
            <w:vAlign w:val="center"/>
          </w:tcPr>
          <w:p w14:paraId="108580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2322" w:type="dxa"/>
            <w:noWrap w:val="0"/>
            <w:vAlign w:val="center"/>
          </w:tcPr>
          <w:p w14:paraId="532578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w:t>
            </w:r>
          </w:p>
        </w:tc>
        <w:tc>
          <w:tcPr>
            <w:tcW w:w="2322" w:type="dxa"/>
            <w:noWrap w:val="0"/>
            <w:vAlign w:val="center"/>
          </w:tcPr>
          <w:p w14:paraId="0394AD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二</w:t>
            </w:r>
          </w:p>
        </w:tc>
      </w:tr>
      <w:tr w14:paraId="7EE265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2527" w:type="dxa"/>
            <w:noWrap w:val="0"/>
            <w:vAlign w:val="center"/>
          </w:tcPr>
          <w:p w14:paraId="79F2A0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较敏感</w:t>
            </w:r>
          </w:p>
        </w:tc>
        <w:tc>
          <w:tcPr>
            <w:tcW w:w="2115" w:type="dxa"/>
            <w:noWrap w:val="0"/>
            <w:vAlign w:val="center"/>
          </w:tcPr>
          <w:p w14:paraId="76F970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w:t>
            </w:r>
          </w:p>
        </w:tc>
        <w:tc>
          <w:tcPr>
            <w:tcW w:w="2322" w:type="dxa"/>
            <w:noWrap w:val="0"/>
            <w:vAlign w:val="center"/>
          </w:tcPr>
          <w:p w14:paraId="076456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二</w:t>
            </w:r>
          </w:p>
        </w:tc>
        <w:tc>
          <w:tcPr>
            <w:tcW w:w="2322" w:type="dxa"/>
            <w:shd w:val="clear" w:color="auto" w:fill="auto"/>
            <w:noWrap w:val="0"/>
            <w:vAlign w:val="center"/>
          </w:tcPr>
          <w:p w14:paraId="1286EC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shd w:val="clear" w:color="auto"/>
              </w:rPr>
              <w:t>三</w:t>
            </w:r>
          </w:p>
        </w:tc>
      </w:tr>
      <w:tr w14:paraId="20185C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2527" w:type="dxa"/>
            <w:noWrap w:val="0"/>
            <w:vAlign w:val="center"/>
          </w:tcPr>
          <w:p w14:paraId="7BA36C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不敏感</w:t>
            </w:r>
          </w:p>
        </w:tc>
        <w:tc>
          <w:tcPr>
            <w:tcW w:w="2115" w:type="dxa"/>
            <w:noWrap w:val="0"/>
            <w:vAlign w:val="center"/>
          </w:tcPr>
          <w:p w14:paraId="1FC6D9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二</w:t>
            </w:r>
          </w:p>
        </w:tc>
        <w:tc>
          <w:tcPr>
            <w:tcW w:w="2322" w:type="dxa"/>
            <w:noWrap w:val="0"/>
            <w:vAlign w:val="center"/>
          </w:tcPr>
          <w:p w14:paraId="348377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三</w:t>
            </w:r>
          </w:p>
        </w:tc>
        <w:tc>
          <w:tcPr>
            <w:tcW w:w="2322" w:type="dxa"/>
            <w:shd w:val="clear" w:color="auto" w:fill="CFCECE" w:themeFill="background2" w:themeFillShade="E5"/>
            <w:noWrap w:val="0"/>
            <w:vAlign w:val="center"/>
          </w:tcPr>
          <w:p w14:paraId="183577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三</w:t>
            </w:r>
          </w:p>
        </w:tc>
      </w:tr>
    </w:tbl>
    <w:p w14:paraId="1A99F824">
      <w:pPr>
        <w:pageBreakBefore w:val="0"/>
        <w:kinsoku/>
        <w:wordWrap/>
        <w:overflowPunct w:val="0"/>
        <w:topLinePunct w:val="0"/>
        <w:bidi w:val="0"/>
        <w:adjustRightInd/>
        <w:snapToGrid/>
        <w:spacing w:line="360" w:lineRule="auto"/>
        <w:ind w:left="0" w:leftChars="0" w:firstLine="480" w:firstLineChars="200"/>
        <w:rPr>
          <w:rFonts w:hint="eastAsia" w:ascii="Times New Roman" w:hAnsi="Times New Roman" w:eastAsia="仿宋_GB2312" w:cs="Times New Roman"/>
          <w:snapToGrid w:val="0"/>
          <w:color w:val="auto"/>
          <w:kern w:val="0"/>
          <w:sz w:val="24"/>
          <w:highlight w:val="none"/>
          <w:lang w:val="sq-AL"/>
        </w:rPr>
      </w:pPr>
      <w:r>
        <w:rPr>
          <w:rFonts w:hint="default" w:ascii="Times New Roman" w:hAnsi="Times New Roman" w:eastAsia="仿宋_GB2312" w:cs="Times New Roman"/>
          <w:snapToGrid w:val="0"/>
          <w:color w:val="auto"/>
          <w:kern w:val="0"/>
          <w:sz w:val="24"/>
          <w:highlight w:val="none"/>
          <w:lang w:val="sq-AL"/>
        </w:rPr>
        <w:t>根据表1.5-</w:t>
      </w:r>
      <w:r>
        <w:rPr>
          <w:rFonts w:hint="eastAsia" w:ascii="Times New Roman" w:hAnsi="Times New Roman" w:eastAsia="仿宋_GB2312" w:cs="Times New Roman"/>
          <w:snapToGrid w:val="0"/>
          <w:color w:val="auto"/>
          <w:kern w:val="0"/>
          <w:sz w:val="24"/>
          <w:highlight w:val="none"/>
          <w:lang w:val="en-US" w:eastAsia="zh-CN"/>
        </w:rPr>
        <w:t>9</w:t>
      </w:r>
      <w:r>
        <w:rPr>
          <w:rFonts w:hint="default" w:ascii="Times New Roman" w:hAnsi="Times New Roman" w:eastAsia="仿宋_GB2312" w:cs="Times New Roman"/>
          <w:snapToGrid w:val="0"/>
          <w:color w:val="auto"/>
          <w:kern w:val="0"/>
          <w:sz w:val="24"/>
          <w:highlight w:val="none"/>
          <w:lang w:val="sq-AL"/>
        </w:rPr>
        <w:t>可知，本项目地下水环境影响评价等级为三级。</w:t>
      </w:r>
    </w:p>
    <w:p w14:paraId="0CB9F35C">
      <w:pPr>
        <w:pStyle w:val="23"/>
        <w:keepNext w:val="0"/>
        <w:keepLines w:val="0"/>
        <w:pageBreakBefore w:val="0"/>
        <w:widowControl w:val="0"/>
        <w:kinsoku/>
        <w:wordWrap/>
        <w:overflowPunct/>
        <w:topLinePunct w:val="0"/>
        <w:autoSpaceDE/>
        <w:autoSpaceDN/>
        <w:bidi w:val="0"/>
        <w:adjustRightInd/>
        <w:snapToGrid/>
        <w:spacing w:after="0" w:line="396"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1.5.3.2评价范围</w:t>
      </w:r>
    </w:p>
    <w:p w14:paraId="1486CDF3">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eastAsia="仿宋_GB2312" w:cs="Times New Roman"/>
          <w:color w:val="auto"/>
          <w:sz w:val="24"/>
          <w:szCs w:val="32"/>
          <w:highlight w:val="none"/>
        </w:rPr>
      </w:pPr>
      <w:r>
        <w:rPr>
          <w:rFonts w:hint="default" w:ascii="Times New Roman" w:hAnsi="Times New Roman" w:eastAsia="仿宋_GB2312" w:cs="Times New Roman"/>
          <w:color w:val="auto"/>
          <w:sz w:val="24"/>
          <w:szCs w:val="32"/>
          <w:highlight w:val="none"/>
        </w:rPr>
        <w:t>根据《环境影响评价技术导则 地下水环境》（HJ610-2016），采用导则中推荐的查表法确定项目的地下水评价范围，地下水环境现状调查评价范围参照表见表1.5-10。</w:t>
      </w:r>
    </w:p>
    <w:p w14:paraId="70EDEDF0">
      <w:pPr>
        <w:pageBreakBefore w:val="0"/>
        <w:widowControl w:val="0"/>
        <w:kinsoku/>
        <w:wordWrap/>
        <w:topLinePunct w:val="0"/>
        <w:bidi w:val="0"/>
        <w:adjustRightInd/>
        <w:snapToGrid/>
        <w:spacing w:line="240" w:lineRule="auto"/>
        <w:ind w:left="0" w:leftChars="0"/>
        <w:jc w:val="both"/>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1"/>
          <w:szCs w:val="21"/>
          <w:highlight w:val="none"/>
        </w:rPr>
        <w:t>表1.5-10</w:t>
      </w:r>
      <w:r>
        <w:rPr>
          <w:rFonts w:hint="default" w:ascii="Times New Roman" w:hAnsi="Times New Roman" w:eastAsia="仿宋＿GB2312" w:cs="Times New Roman"/>
          <w:color w:val="auto"/>
          <w:szCs w:val="16"/>
          <w:highlight w:val="none"/>
        </w:rPr>
        <w:t xml:space="preserve"> </w:t>
      </w:r>
      <w:r>
        <w:rPr>
          <w:rFonts w:hint="eastAsia" w:ascii="Times New Roman" w:hAnsi="Times New Roman" w:eastAsia="仿宋＿GB2312" w:cs="Times New Roman"/>
          <w:color w:val="auto"/>
          <w:szCs w:val="16"/>
          <w:highlight w:val="none"/>
          <w:lang w:val="en-US" w:eastAsia="zh-CN"/>
        </w:rPr>
        <w:t xml:space="preserve">        </w:t>
      </w:r>
      <w:r>
        <w:rPr>
          <w:rFonts w:hint="default" w:ascii="Times New Roman" w:hAnsi="Times New Roman" w:eastAsia="仿宋＿GB2312" w:cs="Times New Roman"/>
          <w:color w:val="auto"/>
          <w:szCs w:val="16"/>
          <w:highlight w:val="none"/>
        </w:rPr>
        <w:t xml:space="preserve"> </w:t>
      </w:r>
      <w:r>
        <w:rPr>
          <w:rFonts w:hint="default" w:ascii="Times New Roman" w:hAnsi="Times New Roman" w:eastAsia="宋体" w:cs="Times New Roman"/>
          <w:b/>
          <w:bCs/>
          <w:color w:val="auto"/>
          <w:sz w:val="24"/>
          <w:highlight w:val="none"/>
        </w:rPr>
        <w:t>地下水环境现状调查评价范围参照表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81"/>
        <w:gridCol w:w="2983"/>
        <w:gridCol w:w="2984"/>
      </w:tblGrid>
      <w:tr w14:paraId="3F51F0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018" w:type="dxa"/>
            <w:noWrap w:val="0"/>
            <w:vAlign w:val="center"/>
          </w:tcPr>
          <w:p w14:paraId="5ED07B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评价等级</w:t>
            </w:r>
          </w:p>
        </w:tc>
        <w:tc>
          <w:tcPr>
            <w:tcW w:w="3020" w:type="dxa"/>
            <w:noWrap w:val="0"/>
            <w:vAlign w:val="center"/>
          </w:tcPr>
          <w:p w14:paraId="05C707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调查评价面积（</w:t>
            </w:r>
            <w:r>
              <w:rPr>
                <w:rFonts w:hint="default" w:ascii="Times New Roman" w:hAnsi="Times New Roman" w:eastAsia="宋体" w:cs="Times New Roman"/>
                <w:color w:val="auto"/>
                <w:sz w:val="21"/>
                <w:szCs w:val="21"/>
                <w:highlight w:val="none"/>
              </w:rPr>
              <w:t>k</w:t>
            </w:r>
            <w:r>
              <w:rPr>
                <w:rFonts w:hint="default" w:ascii="Times New Roman" w:hAnsi="Times New Roman" w:eastAsia="宋体" w:cs="Times New Roman"/>
                <w:b/>
                <w:color w:val="auto"/>
                <w:sz w:val="21"/>
                <w:szCs w:val="21"/>
                <w:highlight w:val="none"/>
              </w:rPr>
              <w:t>m</w:t>
            </w:r>
            <w:r>
              <w:rPr>
                <w:rFonts w:hint="default" w:ascii="Times New Roman" w:hAnsi="Times New Roman" w:eastAsia="宋体" w:cs="Times New Roman"/>
                <w:b/>
                <w:color w:val="auto"/>
                <w:sz w:val="21"/>
                <w:szCs w:val="21"/>
                <w:highlight w:val="none"/>
                <w:vertAlign w:val="superscript"/>
              </w:rPr>
              <w:t>2</w:t>
            </w:r>
            <w:r>
              <w:rPr>
                <w:rFonts w:hint="default" w:ascii="Times New Roman" w:hAnsi="Times New Roman" w:eastAsia="宋体" w:cs="Times New Roman"/>
                <w:b/>
                <w:color w:val="auto"/>
                <w:sz w:val="21"/>
                <w:szCs w:val="21"/>
                <w:highlight w:val="none"/>
              </w:rPr>
              <w:t>）</w:t>
            </w:r>
          </w:p>
        </w:tc>
        <w:tc>
          <w:tcPr>
            <w:tcW w:w="3020" w:type="dxa"/>
            <w:noWrap w:val="0"/>
            <w:vAlign w:val="center"/>
          </w:tcPr>
          <w:p w14:paraId="11EED2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7A3DB7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018" w:type="dxa"/>
            <w:noWrap w:val="0"/>
            <w:vAlign w:val="center"/>
          </w:tcPr>
          <w:p w14:paraId="7CCF22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3020" w:type="dxa"/>
            <w:noWrap w:val="0"/>
            <w:vAlign w:val="center"/>
          </w:tcPr>
          <w:p w14:paraId="655A60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3020" w:type="dxa"/>
            <w:vMerge w:val="restart"/>
            <w:noWrap w:val="0"/>
            <w:vAlign w:val="center"/>
          </w:tcPr>
          <w:p w14:paraId="153279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应包括重要地下水环境保护目标，必要时适当扩大范围</w:t>
            </w:r>
          </w:p>
        </w:tc>
      </w:tr>
      <w:tr w14:paraId="5E8228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018" w:type="dxa"/>
            <w:noWrap w:val="0"/>
            <w:vAlign w:val="center"/>
          </w:tcPr>
          <w:p w14:paraId="18429F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3020" w:type="dxa"/>
            <w:noWrap w:val="0"/>
            <w:vAlign w:val="center"/>
          </w:tcPr>
          <w:p w14:paraId="152BD6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3020" w:type="dxa"/>
            <w:vMerge w:val="continue"/>
            <w:noWrap w:val="0"/>
            <w:vAlign w:val="center"/>
          </w:tcPr>
          <w:p w14:paraId="5E6C5A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14:paraId="04BBD0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018" w:type="dxa"/>
            <w:noWrap w:val="0"/>
            <w:vAlign w:val="center"/>
          </w:tcPr>
          <w:p w14:paraId="30B8D7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3020" w:type="dxa"/>
            <w:noWrap w:val="0"/>
            <w:vAlign w:val="center"/>
          </w:tcPr>
          <w:p w14:paraId="1672F4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020" w:type="dxa"/>
            <w:vMerge w:val="continue"/>
            <w:noWrap w:val="0"/>
            <w:vAlign w:val="center"/>
          </w:tcPr>
          <w:p w14:paraId="1F368C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bl>
    <w:p w14:paraId="2DCD4ACA">
      <w:pPr>
        <w:pageBreakBefore w:val="0"/>
        <w:kinsoku/>
        <w:wordWrap/>
        <w:topLinePunct w:val="0"/>
        <w:bidi w:val="0"/>
        <w:adjustRightInd/>
        <w:snapToGrid/>
        <w:ind w:left="0" w:leftChars="0"/>
        <w:jc w:val="lef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本项目地下水影响评价等级为三级，根据导则（HJ630.13-2016）“8.2.2.1”中关于评价范围的确定方法和依据，在结合本项目实际情况及周围环境特征的基础上，本次评价地下水评价范围采用《环境影响评价技术导则·地下水环境》（HJ630.13-2016）中公式计算法确定地下水评价范围，因此，本次在满足上述调查评价范围原则的前提下，采用公式法划定调查评价区边界，计算如下：</w:t>
      </w:r>
    </w:p>
    <w:p w14:paraId="41ABF594">
      <w:pPr>
        <w:pageBreakBefore w:val="0"/>
        <w:kinsoku/>
        <w:wordWrap/>
        <w:topLinePunct w:val="0"/>
        <w:bidi w:val="0"/>
        <w:adjustRightInd/>
        <w:snapToGrid/>
        <w:ind w:left="0" w:leftChars="0"/>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position w:val="-12"/>
          <w:sz w:val="24"/>
          <w:lang w:eastAsia="zh-CN"/>
        </w:rPr>
        <w:object>
          <v:shape id="_x0000_i1026" o:spt="75" type="#_x0000_t75" style="height:18pt;width:100pt;" o:ole="t" filled="f" o:preferrelative="t" stroked="f" coordsize="21600,21600">
            <v:path/>
            <v:fill on="f" focussize="0,0"/>
            <v:stroke on="f"/>
            <v:imagedata r:id="rId47" o:title=""/>
            <o:lock v:ext="edit" aspectratio="t"/>
            <w10:wrap type="none"/>
            <w10:anchorlock/>
          </v:shape>
          <o:OLEObject Type="Embed" ProgID="Equation.KSEE3" ShapeID="_x0000_i1026" DrawAspect="Content" ObjectID="_1468075727" r:id="rId46">
            <o:LockedField>false</o:LockedField>
          </o:OLEObject>
        </w:object>
      </w:r>
    </w:p>
    <w:p w14:paraId="2189FAA7">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式中：L—下游迁移距离，m；</w:t>
      </w:r>
    </w:p>
    <w:p w14:paraId="2FC67CDE">
      <w:pPr>
        <w:pStyle w:val="2"/>
        <w:keepNext w:val="0"/>
        <w:keepLines w:val="0"/>
        <w:pageBreakBefore w:val="0"/>
        <w:widowControl w:val="0"/>
        <w:kinsoku/>
        <w:wordWrap/>
        <w:overflowPunct/>
        <w:topLinePunct w:val="0"/>
        <w:autoSpaceDE/>
        <w:autoSpaceDN/>
        <w:bidi w:val="0"/>
        <w:adjustRightInd/>
        <w:snapToGrid/>
        <w:ind w:left="0" w:leftChars="0" w:firstLine="1200" w:firstLineChars="50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ɑ—变化系数，ɑ≥1，一般取2；</w:t>
      </w:r>
    </w:p>
    <w:p w14:paraId="4F4DA981">
      <w:pPr>
        <w:pStyle w:val="2"/>
        <w:keepNext w:val="0"/>
        <w:keepLines w:val="0"/>
        <w:pageBreakBefore w:val="0"/>
        <w:widowControl w:val="0"/>
        <w:kinsoku/>
        <w:wordWrap/>
        <w:overflowPunct/>
        <w:topLinePunct w:val="0"/>
        <w:autoSpaceDE/>
        <w:autoSpaceDN/>
        <w:bidi w:val="0"/>
        <w:adjustRightInd/>
        <w:snapToGrid/>
        <w:ind w:left="0" w:leftChars="0" w:firstLine="1200" w:firstLineChars="500"/>
        <w:textAlignment w:val="auto"/>
        <w:rPr>
          <w:rFonts w:hint="eastAsia"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K—渗透系数，m/d，</w:t>
      </w:r>
      <w:r>
        <w:rPr>
          <w:rFonts w:hint="eastAsia"/>
          <w:color w:val="auto"/>
        </w:rPr>
        <w:t>根据固原市地下水调查结果，轻工产业园含水层为砾石含水层，</w:t>
      </w:r>
      <w:r>
        <w:rPr>
          <w:rFonts w:hint="eastAsia"/>
          <w:color w:val="auto"/>
          <w:lang w:val="en-US" w:eastAsia="zh-CN"/>
        </w:rPr>
        <w:t>由</w:t>
      </w:r>
      <w:r>
        <w:rPr>
          <w:rFonts w:hint="eastAsia"/>
          <w:color w:val="auto"/>
        </w:rPr>
        <w:t>抽水试验</w:t>
      </w:r>
      <w:r>
        <w:rPr>
          <w:rFonts w:hint="eastAsia"/>
          <w:color w:val="auto"/>
          <w:lang w:val="en-US" w:eastAsia="zh-CN"/>
        </w:rPr>
        <w:t>可知</w:t>
      </w:r>
      <w:r>
        <w:rPr>
          <w:rFonts w:hint="eastAsia"/>
          <w:color w:val="auto"/>
        </w:rPr>
        <w:t>渗透系数</w:t>
      </w:r>
      <w:r>
        <w:rPr>
          <w:rFonts w:hint="eastAsia"/>
          <w:color w:val="auto"/>
          <w:lang w:val="en-US" w:eastAsia="zh-CN"/>
        </w:rPr>
        <w:t>为</w:t>
      </w:r>
      <w:r>
        <w:rPr>
          <w:rFonts w:hint="eastAsia"/>
          <w:color w:val="auto"/>
        </w:rPr>
        <w:t>1.46m/d</w:t>
      </w:r>
      <w:r>
        <w:rPr>
          <w:rFonts w:hint="eastAsia"/>
          <w:color w:val="auto"/>
          <w:lang w:eastAsia="zh-CN"/>
        </w:rPr>
        <w:t>；</w:t>
      </w:r>
    </w:p>
    <w:p w14:paraId="63158A7C">
      <w:pPr>
        <w:pStyle w:val="2"/>
        <w:keepNext w:val="0"/>
        <w:keepLines w:val="0"/>
        <w:pageBreakBefore w:val="0"/>
        <w:widowControl w:val="0"/>
        <w:kinsoku/>
        <w:wordWrap/>
        <w:overflowPunct/>
        <w:topLinePunct w:val="0"/>
        <w:autoSpaceDE/>
        <w:autoSpaceDN/>
        <w:bidi w:val="0"/>
        <w:adjustRightInd/>
        <w:snapToGrid/>
        <w:ind w:left="0" w:leftChars="0" w:firstLine="1200" w:firstLineChars="50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I—水力坡度，无量纲，项目区周边地形平坦，</w:t>
      </w:r>
      <w:r>
        <w:rPr>
          <w:rFonts w:hint="eastAsia" w:cs="Times New Roman"/>
          <w:color w:val="auto"/>
          <w:lang w:val="en-US" w:eastAsia="zh-CN"/>
        </w:rPr>
        <w:t>根据</w:t>
      </w:r>
      <w:r>
        <w:rPr>
          <w:rFonts w:hint="default" w:ascii="Times New Roman" w:hAnsi="Times New Roman" w:eastAsia="仿宋_GB2312" w:cs="Times New Roman"/>
          <w:color w:val="auto"/>
          <w:lang w:val="en-US" w:eastAsia="zh-CN"/>
        </w:rPr>
        <w:t>项目所在区域水文地质</w:t>
      </w:r>
      <w:r>
        <w:rPr>
          <w:rFonts w:hint="eastAsia" w:cs="Times New Roman"/>
          <w:color w:val="auto"/>
          <w:lang w:val="en-US" w:eastAsia="zh-CN"/>
        </w:rPr>
        <w:t>资料</w:t>
      </w:r>
      <w:r>
        <w:rPr>
          <w:rFonts w:hint="default" w:ascii="Times New Roman" w:hAnsi="Times New Roman" w:eastAsia="仿宋_GB2312" w:cs="Times New Roman"/>
          <w:color w:val="auto"/>
          <w:lang w:val="en-US" w:eastAsia="zh-CN"/>
        </w:rPr>
        <w:t>可知</w:t>
      </w:r>
      <w:r>
        <w:rPr>
          <w:rFonts w:hint="eastAsia" w:cs="Times New Roman"/>
          <w:color w:val="auto"/>
          <w:lang w:val="en-US" w:eastAsia="zh-CN"/>
        </w:rPr>
        <w:t>，</w:t>
      </w:r>
      <w:r>
        <w:rPr>
          <w:rFonts w:hint="default" w:ascii="Times New Roman" w:hAnsi="Times New Roman" w:eastAsia="仿宋_GB2312" w:cs="Times New Roman"/>
          <w:color w:val="auto"/>
          <w:lang w:val="en-US" w:eastAsia="zh-CN"/>
        </w:rPr>
        <w:t>水力坡度为</w:t>
      </w:r>
      <w:r>
        <w:rPr>
          <w:rFonts w:hint="eastAsia" w:cs="Times New Roman"/>
          <w:color w:val="auto"/>
          <w:lang w:val="en-US" w:eastAsia="zh-CN"/>
        </w:rPr>
        <w:t>5</w:t>
      </w:r>
      <w:r>
        <w:rPr>
          <w:rFonts w:hint="default" w:ascii="Times New Roman" w:hAnsi="Times New Roman" w:eastAsia="仿宋_GB2312" w:cs="Times New Roman"/>
          <w:color w:val="auto"/>
          <w:lang w:val="en-US" w:eastAsia="zh-CN"/>
        </w:rPr>
        <w:t>‰；</w:t>
      </w:r>
    </w:p>
    <w:p w14:paraId="21ED75B1">
      <w:pPr>
        <w:pStyle w:val="2"/>
        <w:keepNext w:val="0"/>
        <w:keepLines w:val="0"/>
        <w:pageBreakBefore w:val="0"/>
        <w:widowControl w:val="0"/>
        <w:kinsoku/>
        <w:wordWrap/>
        <w:overflowPunct/>
        <w:topLinePunct w:val="0"/>
        <w:autoSpaceDE/>
        <w:autoSpaceDN/>
        <w:bidi w:val="0"/>
        <w:adjustRightInd/>
        <w:snapToGrid/>
        <w:ind w:left="0" w:leftChars="0" w:firstLine="1200" w:firstLineChars="50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T—质点迁移天数，</w:t>
      </w:r>
      <w:r>
        <w:rPr>
          <w:rFonts w:hint="eastAsia" w:cs="Times New Roman"/>
          <w:color w:val="auto"/>
          <w:lang w:val="en-US" w:eastAsia="zh-CN"/>
        </w:rPr>
        <w:t>不小于5000d，本次</w:t>
      </w:r>
      <w:r>
        <w:rPr>
          <w:rFonts w:hint="default" w:ascii="Times New Roman" w:hAnsi="Times New Roman" w:eastAsia="仿宋_GB2312" w:cs="Times New Roman"/>
          <w:color w:val="auto"/>
          <w:lang w:val="en-US" w:eastAsia="zh-CN"/>
        </w:rPr>
        <w:t>取</w:t>
      </w:r>
      <w:r>
        <w:rPr>
          <w:rFonts w:hint="eastAsia" w:cs="Times New Roman"/>
          <w:color w:val="auto"/>
          <w:lang w:val="en-US" w:eastAsia="zh-CN"/>
        </w:rPr>
        <w:t>73</w:t>
      </w:r>
      <w:r>
        <w:rPr>
          <w:rFonts w:hint="default" w:ascii="Times New Roman" w:hAnsi="Times New Roman" w:eastAsia="仿宋_GB2312" w:cs="Times New Roman"/>
          <w:color w:val="auto"/>
          <w:lang w:val="en-US" w:eastAsia="zh-CN"/>
        </w:rPr>
        <w:t>00d；</w:t>
      </w:r>
    </w:p>
    <w:p w14:paraId="0C0A2194">
      <w:pPr>
        <w:pageBreakBefore w:val="0"/>
        <w:kinsoku/>
        <w:wordWrap/>
        <w:topLinePunct w:val="0"/>
        <w:bidi w:val="0"/>
        <w:adjustRightInd/>
        <w:snapToGrid/>
        <w:ind w:left="0" w:leftChars="0" w:firstLine="1200" w:firstLineChars="5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lang w:val="en-US" w:eastAsia="zh-CN"/>
        </w:rPr>
        <w:t>n</w:t>
      </w:r>
      <w:r>
        <w:rPr>
          <w:rFonts w:hint="default" w:ascii="Times New Roman" w:hAnsi="Times New Roman" w:eastAsia="仿宋_GB2312" w:cs="Times New Roman"/>
          <w:color w:val="auto"/>
          <w:vertAlign w:val="subscript"/>
          <w:lang w:val="en-US" w:eastAsia="zh-CN"/>
        </w:rPr>
        <w:t>e</w:t>
      </w:r>
      <w:r>
        <w:rPr>
          <w:rFonts w:hint="default" w:ascii="Times New Roman" w:hAnsi="Times New Roman" w:eastAsia="仿宋_GB2312" w:cs="Times New Roman"/>
          <w:color w:val="auto"/>
          <w:vertAlign w:val="baseline"/>
          <w:lang w:val="en-US" w:eastAsia="zh-CN"/>
        </w:rPr>
        <w:t>—有效空隙度，根据《宁夏固原经济开发区“一区三园”总体规划修编（2022-2035年）环境影响报告书》及场地调查结果，本项目n取0.04。</w:t>
      </w:r>
    </w:p>
    <w:p w14:paraId="7382AE6A">
      <w:pPr>
        <w:pageBreakBefore w:val="0"/>
        <w:kinsoku/>
        <w:wordWrap/>
        <w:topLinePunct w:val="0"/>
        <w:bidi w:val="0"/>
        <w:adjustRightInd/>
        <w:snapToGrid/>
        <w:ind w:left="0" w:leftChars="0"/>
        <w:rPr>
          <w:rFonts w:hint="default"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经计算，L为</w:t>
      </w:r>
      <w:r>
        <w:rPr>
          <w:rFonts w:hint="eastAsia" w:cs="Times New Roman"/>
          <w:color w:val="auto"/>
          <w:sz w:val="24"/>
          <w:highlight w:val="none"/>
          <w:lang w:val="en-US" w:eastAsia="zh-CN"/>
        </w:rPr>
        <w:t>266</w:t>
      </w:r>
      <w:r>
        <w:rPr>
          <w:rFonts w:hint="default" w:ascii="Times New Roman" w:hAnsi="Times New Roman" w:eastAsia="仿宋_GB2312" w:cs="Times New Roman"/>
          <w:color w:val="auto"/>
          <w:sz w:val="24"/>
          <w:highlight w:val="none"/>
          <w:lang w:val="en-US" w:eastAsia="zh-CN"/>
        </w:rPr>
        <w:t>m。评价范围至少包含场地下游</w:t>
      </w:r>
      <w:r>
        <w:rPr>
          <w:rFonts w:hint="eastAsia" w:cs="Times New Roman"/>
          <w:color w:val="auto"/>
          <w:sz w:val="24"/>
          <w:highlight w:val="none"/>
          <w:lang w:val="en-US" w:eastAsia="zh-CN"/>
        </w:rPr>
        <w:t>266</w:t>
      </w:r>
      <w:r>
        <w:rPr>
          <w:rFonts w:hint="default" w:ascii="Times New Roman" w:hAnsi="Times New Roman" w:eastAsia="仿宋_GB2312" w:cs="Times New Roman"/>
          <w:color w:val="auto"/>
          <w:sz w:val="24"/>
          <w:highlight w:val="none"/>
          <w:lang w:val="en-US" w:eastAsia="zh-CN"/>
        </w:rPr>
        <w:t>m，地下水流向两侧不小于</w:t>
      </w:r>
      <w:r>
        <w:rPr>
          <w:rFonts w:hint="eastAsia" w:cs="Times New Roman"/>
          <w:color w:val="auto"/>
          <w:sz w:val="24"/>
          <w:highlight w:val="none"/>
          <w:lang w:val="en-US" w:eastAsia="zh-CN"/>
        </w:rPr>
        <w:t>133</w:t>
      </w:r>
      <w:r>
        <w:rPr>
          <w:rFonts w:hint="default" w:ascii="Times New Roman" w:hAnsi="Times New Roman" w:eastAsia="仿宋_GB2312" w:cs="Times New Roman"/>
          <w:color w:val="auto"/>
          <w:sz w:val="24"/>
          <w:highlight w:val="none"/>
          <w:lang w:val="en-US" w:eastAsia="zh-CN"/>
        </w:rPr>
        <w:t>m；考虑整体水文地质单元边界</w:t>
      </w:r>
      <w:r>
        <w:rPr>
          <w:rFonts w:hint="eastAsia" w:cs="Times New Roman"/>
          <w:color w:val="auto"/>
          <w:sz w:val="24"/>
          <w:highlight w:val="none"/>
          <w:lang w:val="en-US" w:eastAsia="zh-CN"/>
        </w:rPr>
        <w:t>，确定拟建项目地下水评价范围为上游（南）外扩1000m，下游（北）外扩2000m，</w:t>
      </w:r>
      <w:r>
        <w:rPr>
          <w:rFonts w:hint="default" w:ascii="Times New Roman" w:hAnsi="Times New Roman" w:eastAsia="仿宋_GB2312" w:cs="Times New Roman"/>
          <w:color w:val="auto"/>
          <w:sz w:val="24"/>
        </w:rPr>
        <w:t>厂址</w:t>
      </w:r>
      <w:r>
        <w:rPr>
          <w:rFonts w:hint="eastAsia" w:cs="Times New Roman"/>
          <w:color w:val="auto"/>
          <w:sz w:val="24"/>
          <w:lang w:val="en-US" w:eastAsia="zh-CN"/>
        </w:rPr>
        <w:t>侧游（东）</w:t>
      </w:r>
      <w:r>
        <w:rPr>
          <w:rFonts w:hint="default" w:ascii="Times New Roman" w:hAnsi="Times New Roman" w:eastAsia="仿宋_GB2312" w:cs="Times New Roman"/>
          <w:color w:val="auto"/>
          <w:sz w:val="24"/>
        </w:rPr>
        <w:t>外扩</w:t>
      </w:r>
      <w:r>
        <w:rPr>
          <w:rFonts w:hint="eastAsia" w:cs="Times New Roman"/>
          <w:color w:val="auto"/>
          <w:sz w:val="24"/>
          <w:lang w:val="en-US" w:eastAsia="zh-CN"/>
        </w:rPr>
        <w:t>1000</w:t>
      </w:r>
      <w:r>
        <w:rPr>
          <w:rFonts w:hint="default" w:ascii="Times New Roman" w:hAnsi="Times New Roman" w:eastAsia="仿宋_GB2312" w:cs="Times New Roman"/>
          <w:color w:val="auto"/>
          <w:sz w:val="24"/>
        </w:rPr>
        <w:t>m，厂址</w:t>
      </w:r>
      <w:r>
        <w:rPr>
          <w:rFonts w:hint="eastAsia" w:cs="Times New Roman"/>
          <w:color w:val="auto"/>
          <w:sz w:val="24"/>
          <w:lang w:val="en-US" w:eastAsia="zh-CN"/>
        </w:rPr>
        <w:t>侧游（西）边界为400m处的大营河，</w:t>
      </w:r>
      <w:r>
        <w:rPr>
          <w:rFonts w:hint="default" w:ascii="Times New Roman" w:hAnsi="Times New Roman" w:eastAsia="仿宋_GB2312" w:cs="Times New Roman"/>
          <w:color w:val="auto"/>
          <w:sz w:val="24"/>
        </w:rPr>
        <w:t>最终确定本项目</w:t>
      </w:r>
      <w:r>
        <w:rPr>
          <w:rFonts w:hint="eastAsia" w:cs="Times New Roman"/>
          <w:color w:val="auto"/>
          <w:sz w:val="24"/>
          <w:lang w:val="en-US" w:eastAsia="zh-CN"/>
        </w:rPr>
        <w:t>评价面积约4.2067km</w:t>
      </w:r>
      <w:r>
        <w:rPr>
          <w:rFonts w:hint="eastAsia" w:cs="Times New Roman"/>
          <w:color w:val="auto"/>
          <w:sz w:val="24"/>
          <w:vertAlign w:val="superscript"/>
          <w:lang w:val="en-US" w:eastAsia="zh-CN"/>
        </w:rPr>
        <w:t>2</w:t>
      </w:r>
      <w:r>
        <w:rPr>
          <w:rFonts w:hint="eastAsia" w:cs="Times New Roman"/>
          <w:color w:val="auto"/>
          <w:sz w:val="24"/>
          <w:lang w:val="en-US" w:eastAsia="zh-CN"/>
        </w:rPr>
        <w:t>。</w:t>
      </w:r>
    </w:p>
    <w:p w14:paraId="40A2C1DC">
      <w:pPr>
        <w:pageBreakBefore w:val="0"/>
        <w:kinsoku/>
        <w:wordWrap/>
        <w:topLinePunct w:val="0"/>
        <w:bidi w:val="0"/>
        <w:adjustRightInd/>
        <w:snapToGrid/>
        <w:ind w:left="0" w:leftChars="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项目地下水评价范围见图1.5-</w:t>
      </w:r>
      <w:r>
        <w:rPr>
          <w:rFonts w:hint="eastAsia" w:cs="Times New Roman"/>
          <w:color w:val="auto"/>
          <w:sz w:val="24"/>
          <w:highlight w:val="none"/>
          <w:lang w:val="en-US" w:eastAsia="zh-CN"/>
        </w:rPr>
        <w:t>2</w:t>
      </w:r>
      <w:r>
        <w:rPr>
          <w:rFonts w:hint="default" w:ascii="Times New Roman" w:hAnsi="Times New Roman" w:eastAsia="仿宋_GB2312" w:cs="Times New Roman"/>
          <w:color w:val="auto"/>
          <w:sz w:val="24"/>
          <w:highlight w:val="none"/>
        </w:rPr>
        <w:t>。</w:t>
      </w:r>
    </w:p>
    <w:p w14:paraId="1E2822D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r>
        <w:rPr>
          <w:rFonts w:hint="default" w:ascii="Times New Roman" w:hAnsi="Times New Roman" w:eastAsia="黑体" w:cs="Times New Roman"/>
          <w:b/>
          <w:color w:val="auto"/>
          <w:sz w:val="28"/>
          <w:szCs w:val="28"/>
          <w:highlight w:val="none"/>
        </w:rPr>
        <w:t>1.5.4声环境</w:t>
      </w:r>
    </w:p>
    <w:p w14:paraId="4CD624E1">
      <w:pPr>
        <w:pStyle w:val="23"/>
        <w:keepNext w:val="0"/>
        <w:keepLines w:val="0"/>
        <w:pageBreakBefore w:val="0"/>
        <w:widowControl w:val="0"/>
        <w:kinsoku/>
        <w:wordWrap/>
        <w:overflowPunct/>
        <w:topLinePunct w:val="0"/>
        <w:autoSpaceDE/>
        <w:autoSpaceDN/>
        <w:bidi w:val="0"/>
        <w:adjustRightInd/>
        <w:snapToGrid/>
        <w:spacing w:after="0" w:line="396"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1.5.4.1评价等级</w:t>
      </w:r>
    </w:p>
    <w:p w14:paraId="43D36E17">
      <w:pPr>
        <w:pageBreakBefore w:val="0"/>
        <w:kinsoku/>
        <w:wordWrap/>
        <w:overflowPunct w:val="0"/>
        <w:topLinePunct w:val="0"/>
        <w:bidi w:val="0"/>
        <w:adjustRightInd/>
        <w:snapToGrid/>
        <w:spacing w:line="360" w:lineRule="auto"/>
        <w:ind w:left="0" w:leftChars="0" w:firstLine="480" w:firstLineChars="200"/>
        <w:rPr>
          <w:rFonts w:hint="default" w:ascii="Times New Roman" w:hAnsi="Times New Roman" w:eastAsia="仿宋_GB2312" w:cs="Times New Roman"/>
          <w:color w:val="auto"/>
          <w:sz w:val="24"/>
          <w:szCs w:val="32"/>
          <w:highlight w:val="none"/>
        </w:rPr>
      </w:pPr>
      <w:r>
        <w:rPr>
          <w:rFonts w:hint="default" w:ascii="Times New Roman" w:hAnsi="Times New Roman" w:eastAsia="仿宋_GB2312" w:cs="Times New Roman"/>
          <w:color w:val="auto"/>
          <w:sz w:val="24"/>
          <w:szCs w:val="32"/>
          <w:highlight w:val="none"/>
        </w:rPr>
        <w:t>根据《环境影响评价技术导则 声环境》（HJ2.4-20</w:t>
      </w:r>
      <w:r>
        <w:rPr>
          <w:rFonts w:hint="default" w:ascii="Times New Roman" w:hAnsi="Times New Roman" w:eastAsia="仿宋_GB2312" w:cs="Times New Roman"/>
          <w:color w:val="auto"/>
          <w:sz w:val="24"/>
          <w:szCs w:val="32"/>
          <w:highlight w:val="none"/>
          <w:lang w:val="en-US" w:eastAsia="zh-CN"/>
        </w:rPr>
        <w:t>21</w:t>
      </w:r>
      <w:r>
        <w:rPr>
          <w:rFonts w:hint="default" w:ascii="Times New Roman" w:hAnsi="Times New Roman" w:eastAsia="仿宋_GB2312" w:cs="Times New Roman"/>
          <w:color w:val="auto"/>
          <w:sz w:val="24"/>
          <w:szCs w:val="32"/>
          <w:highlight w:val="none"/>
        </w:rPr>
        <w:t>）中规定的评价工作等级划分依据，将声环境影响评价工作分为一、二、三级，划分依据见表1.5-11。</w:t>
      </w:r>
    </w:p>
    <w:p w14:paraId="1C02F0D5">
      <w:pPr>
        <w:pageBreakBefore w:val="0"/>
        <w:widowControl w:val="0"/>
        <w:kinsoku/>
        <w:wordWrap/>
        <w:topLinePunct w:val="0"/>
        <w:bidi w:val="0"/>
        <w:adjustRightInd/>
        <w:snapToGrid/>
        <w:spacing w:line="240" w:lineRule="auto"/>
        <w:ind w:left="0" w:leftChars="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1"/>
          <w:szCs w:val="21"/>
          <w:highlight w:val="none"/>
        </w:rPr>
        <w:t>表1.5-11</w:t>
      </w:r>
      <w:r>
        <w:rPr>
          <w:rFonts w:hint="default" w:ascii="Times New Roman" w:hAnsi="Times New Roman" w:eastAsia="宋体" w:cs="Times New Roman"/>
          <w:color w:val="auto"/>
          <w:szCs w:val="16"/>
          <w:highlight w:val="none"/>
        </w:rPr>
        <w:t xml:space="preserve"> </w:t>
      </w:r>
      <w:r>
        <w:rPr>
          <w:rFonts w:hint="eastAsia" w:ascii="Times New Roman" w:hAnsi="Times New Roman" w:eastAsia="宋体" w:cs="Times New Roman"/>
          <w:color w:val="auto"/>
          <w:szCs w:val="16"/>
          <w:highlight w:val="none"/>
          <w:lang w:val="en-US" w:eastAsia="zh-CN"/>
        </w:rPr>
        <w:t xml:space="preserve">        </w:t>
      </w:r>
      <w:r>
        <w:rPr>
          <w:rFonts w:hint="eastAsia" w:eastAsia="宋体" w:cs="Times New Roman"/>
          <w:color w:val="auto"/>
          <w:szCs w:val="16"/>
          <w:highlight w:val="none"/>
          <w:lang w:val="en-US" w:eastAsia="zh-CN"/>
        </w:rPr>
        <w:t xml:space="preserve"> </w:t>
      </w:r>
      <w:r>
        <w:rPr>
          <w:rFonts w:hint="default" w:ascii="Times New Roman" w:hAnsi="Times New Roman" w:eastAsia="宋体" w:cs="Times New Roman"/>
          <w:color w:val="auto"/>
          <w:szCs w:val="16"/>
          <w:highlight w:val="none"/>
        </w:rPr>
        <w:t xml:space="preserve"> </w:t>
      </w:r>
      <w:r>
        <w:rPr>
          <w:rFonts w:hint="default" w:ascii="Times New Roman" w:hAnsi="Times New Roman" w:eastAsia="宋体" w:cs="Times New Roman"/>
          <w:b/>
          <w:bCs/>
          <w:color w:val="auto"/>
          <w:sz w:val="24"/>
          <w:highlight w:val="none"/>
        </w:rPr>
        <w:t>声环境影响评价工作级别划分依据表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82"/>
        <w:gridCol w:w="7806"/>
      </w:tblGrid>
      <w:tr w14:paraId="28457F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996" w:type="dxa"/>
            <w:noWrap w:val="0"/>
            <w:vAlign w:val="center"/>
          </w:tcPr>
          <w:p w14:paraId="3C1302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pacing w:val="16"/>
                <w:sz w:val="21"/>
                <w:szCs w:val="21"/>
                <w:highlight w:val="none"/>
              </w:rPr>
            </w:pPr>
            <w:r>
              <w:rPr>
                <w:rFonts w:hint="default" w:ascii="Times New Roman" w:hAnsi="Times New Roman" w:eastAsia="宋体" w:cs="Times New Roman"/>
                <w:b/>
                <w:color w:val="auto"/>
                <w:sz w:val="21"/>
                <w:szCs w:val="21"/>
                <w:highlight w:val="none"/>
              </w:rPr>
              <w:t>评价等级</w:t>
            </w:r>
          </w:p>
        </w:tc>
        <w:tc>
          <w:tcPr>
            <w:tcW w:w="7923" w:type="dxa"/>
            <w:noWrap w:val="0"/>
            <w:vAlign w:val="center"/>
          </w:tcPr>
          <w:p w14:paraId="15A800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pacing w:val="16"/>
                <w:sz w:val="21"/>
                <w:szCs w:val="21"/>
                <w:highlight w:val="none"/>
              </w:rPr>
            </w:pPr>
            <w:r>
              <w:rPr>
                <w:rFonts w:hint="default" w:ascii="Times New Roman" w:hAnsi="Times New Roman" w:eastAsia="宋体" w:cs="Times New Roman"/>
                <w:b/>
                <w:color w:val="auto"/>
                <w:sz w:val="21"/>
                <w:szCs w:val="21"/>
                <w:highlight w:val="none"/>
              </w:rPr>
              <w:t>评价工作分级判据</w:t>
            </w:r>
          </w:p>
        </w:tc>
      </w:tr>
      <w:tr w14:paraId="6C885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996" w:type="dxa"/>
            <w:noWrap w:val="0"/>
            <w:vAlign w:val="center"/>
          </w:tcPr>
          <w:p w14:paraId="0E5402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一级</w:t>
            </w:r>
          </w:p>
        </w:tc>
        <w:tc>
          <w:tcPr>
            <w:tcW w:w="7923" w:type="dxa"/>
            <w:noWrap w:val="0"/>
            <w:vAlign w:val="center"/>
          </w:tcPr>
          <w:p w14:paraId="38852FE3">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范围内有适用于GB3096规定的0类声环境功能区域，以及对噪声有特别限制要求的保护区等敏感目标，或建设项目建设前后评价范围内敏感目标噪声级增高量达5dB(A)以上（不含5dB(A)），或受影响人口数量显著增多时。</w:t>
            </w:r>
          </w:p>
        </w:tc>
      </w:tr>
      <w:tr w14:paraId="0D965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996" w:type="dxa"/>
            <w:noWrap w:val="0"/>
            <w:vAlign w:val="center"/>
          </w:tcPr>
          <w:p w14:paraId="624E81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二级</w:t>
            </w:r>
          </w:p>
        </w:tc>
        <w:tc>
          <w:tcPr>
            <w:tcW w:w="7923" w:type="dxa"/>
            <w:noWrap w:val="0"/>
            <w:vAlign w:val="center"/>
          </w:tcPr>
          <w:p w14:paraId="37F19067">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建设项目所处的声环境功能区为GB3096规定的1类、2类地区，或建设项目建设前后评价范围内敏感目标噪声级增高量达3dB(A)～5dB(A)（含5dB(A)），或受噪声影响人口数量增加较多时。</w:t>
            </w:r>
          </w:p>
        </w:tc>
      </w:tr>
      <w:tr w14:paraId="6E555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996" w:type="dxa"/>
            <w:noWrap w:val="0"/>
            <w:vAlign w:val="center"/>
          </w:tcPr>
          <w:p w14:paraId="437562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三级</w:t>
            </w:r>
          </w:p>
        </w:tc>
        <w:tc>
          <w:tcPr>
            <w:tcW w:w="7923" w:type="dxa"/>
            <w:noWrap w:val="0"/>
            <w:vAlign w:val="center"/>
          </w:tcPr>
          <w:p w14:paraId="32E27208">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建设项目所处的声环境功能区为GB3096规定的3类、4类地区，或建设项目建设前后评价范围内敏感目标噪声级增高量在3dB(A</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以下（不含3dB(A)），且受影响人口数量变化不大时。</w:t>
            </w:r>
          </w:p>
        </w:tc>
      </w:tr>
      <w:tr w14:paraId="12711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996" w:type="dxa"/>
            <w:noWrap w:val="0"/>
            <w:vAlign w:val="center"/>
          </w:tcPr>
          <w:p w14:paraId="007131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w:t>
            </w:r>
          </w:p>
        </w:tc>
        <w:tc>
          <w:tcPr>
            <w:tcW w:w="7923" w:type="dxa"/>
            <w:noWrap w:val="0"/>
            <w:vAlign w:val="center"/>
          </w:tcPr>
          <w:p w14:paraId="4E29441D">
            <w:pPr>
              <w:keepNext w:val="0"/>
              <w:keepLines w:val="0"/>
              <w:pageBreakBefore w:val="0"/>
              <w:widowControl w:val="0"/>
              <w:kinsoku/>
              <w:wordWrap/>
              <w:overflowPunct/>
              <w:topLinePunct w:val="0"/>
              <w:autoSpaceDE/>
              <w:autoSpaceDN/>
              <w:bidi w:val="0"/>
              <w:adjustRightInd/>
              <w:snapToGrid/>
              <w:spacing w:line="312" w:lineRule="auto"/>
              <w:ind w:left="0" w:leftChars="0" w:firstLine="422" w:firstLineChars="200"/>
              <w:jc w:val="left"/>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本项目声环境评价等级为</w:t>
            </w:r>
            <w:r>
              <w:rPr>
                <w:rFonts w:hint="eastAsia" w:eastAsia="宋体" w:cs="Times New Roman"/>
                <w:b/>
                <w:color w:val="auto"/>
                <w:sz w:val="21"/>
                <w:szCs w:val="21"/>
                <w:highlight w:val="none"/>
                <w:lang w:val="en-US" w:eastAsia="zh-CN"/>
              </w:rPr>
              <w:t>三</w:t>
            </w:r>
            <w:r>
              <w:rPr>
                <w:rFonts w:hint="default" w:ascii="Times New Roman" w:hAnsi="Times New Roman" w:eastAsia="宋体" w:cs="Times New Roman"/>
                <w:b/>
                <w:color w:val="auto"/>
                <w:sz w:val="21"/>
                <w:szCs w:val="21"/>
                <w:highlight w:val="none"/>
              </w:rPr>
              <w:t>级</w:t>
            </w:r>
          </w:p>
        </w:tc>
      </w:tr>
    </w:tbl>
    <w:p w14:paraId="1D6692B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仿宋_GB2312" w:cs="Times New Roman"/>
          <w:color w:val="auto"/>
          <w:sz w:val="24"/>
          <w:szCs w:val="32"/>
          <w:highlight w:val="none"/>
        </w:rPr>
      </w:pPr>
      <w:r>
        <w:rPr>
          <w:rFonts w:hint="default" w:ascii="Times New Roman" w:hAnsi="Times New Roman" w:eastAsia="仿宋_GB2312" w:cs="Times New Roman"/>
          <w:color w:val="auto"/>
          <w:sz w:val="24"/>
          <w:szCs w:val="32"/>
          <w:highlight w:val="none"/>
        </w:rPr>
        <w:t>本项目</w:t>
      </w:r>
      <w:r>
        <w:rPr>
          <w:rFonts w:hint="eastAsia" w:cs="Times New Roman"/>
          <w:color w:val="auto"/>
          <w:sz w:val="24"/>
          <w:szCs w:val="32"/>
          <w:highlight w:val="none"/>
          <w:lang w:val="en-US" w:eastAsia="zh-CN"/>
        </w:rPr>
        <w:t>所在区域</w:t>
      </w:r>
      <w:r>
        <w:rPr>
          <w:rFonts w:hint="eastAsia" w:cs="Times New Roman"/>
          <w:color w:val="auto"/>
          <w:sz w:val="24"/>
          <w:highlight w:val="none"/>
          <w:lang w:val="en-US" w:eastAsia="zh-CN"/>
        </w:rPr>
        <w:t>为</w:t>
      </w:r>
      <w:r>
        <w:rPr>
          <w:rFonts w:hint="default" w:ascii="Times New Roman" w:hAnsi="Times New Roman" w:eastAsia="仿宋_GB2312" w:cs="Times New Roman"/>
          <w:color w:val="auto"/>
          <w:sz w:val="24"/>
          <w:highlight w:val="none"/>
        </w:rPr>
        <w:t>《声环境质量标准》（GB3096-2008）中</w:t>
      </w:r>
      <w:r>
        <w:rPr>
          <w:rFonts w:hint="eastAsia" w:cs="Times New Roman"/>
          <w:color w:val="auto"/>
          <w:sz w:val="24"/>
          <w:highlight w:val="none"/>
          <w:lang w:val="en-US" w:eastAsia="zh-CN"/>
        </w:rPr>
        <w:t>3类声环境功能区</w:t>
      </w:r>
      <w:r>
        <w:rPr>
          <w:rFonts w:hint="default" w:ascii="Times New Roman" w:hAnsi="Times New Roman" w:eastAsia="仿宋_GB2312" w:cs="Times New Roman"/>
          <w:color w:val="auto"/>
          <w:sz w:val="24"/>
          <w:highlight w:val="none"/>
        </w:rPr>
        <w:t>。</w:t>
      </w:r>
      <w:r>
        <w:rPr>
          <w:rFonts w:hint="default" w:ascii="Times New Roman" w:hAnsi="Times New Roman" w:eastAsia="仿宋_GB2312" w:cs="Times New Roman"/>
          <w:color w:val="auto"/>
          <w:sz w:val="24"/>
          <w:szCs w:val="32"/>
          <w:highlight w:val="none"/>
        </w:rPr>
        <w:t>根据评价工作级别划分依据，本次声环境影响评价工作等级确定为</w:t>
      </w:r>
      <w:r>
        <w:rPr>
          <w:rFonts w:hint="eastAsia" w:cs="Times New Roman"/>
          <w:color w:val="auto"/>
          <w:sz w:val="24"/>
          <w:szCs w:val="32"/>
          <w:highlight w:val="none"/>
          <w:lang w:val="en-US" w:eastAsia="zh-CN"/>
        </w:rPr>
        <w:t>三</w:t>
      </w:r>
      <w:r>
        <w:rPr>
          <w:rFonts w:hint="default" w:ascii="Times New Roman" w:hAnsi="Times New Roman" w:eastAsia="仿宋_GB2312" w:cs="Times New Roman"/>
          <w:color w:val="auto"/>
          <w:sz w:val="24"/>
          <w:szCs w:val="32"/>
          <w:highlight w:val="none"/>
        </w:rPr>
        <w:t>级。</w:t>
      </w:r>
    </w:p>
    <w:p w14:paraId="500A883E">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1.5.4.2评价范围</w:t>
      </w:r>
    </w:p>
    <w:p w14:paraId="6531FC6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default" w:ascii="Times New Roman" w:hAnsi="Times New Roman" w:eastAsia="仿宋_GB2312" w:cs="Times New Roman"/>
          <w:color w:val="auto"/>
          <w:sz w:val="24"/>
          <w:szCs w:val="32"/>
          <w:highlight w:val="none"/>
        </w:rPr>
        <w:t>根据《环境影响评价技术导则·声环境》（HJ2.4-20</w:t>
      </w:r>
      <w:r>
        <w:rPr>
          <w:rFonts w:hint="eastAsia" w:ascii="Times New Roman" w:hAnsi="Times New Roman" w:eastAsia="仿宋_GB2312" w:cs="Times New Roman"/>
          <w:color w:val="auto"/>
          <w:sz w:val="24"/>
          <w:szCs w:val="32"/>
          <w:highlight w:val="none"/>
          <w:lang w:val="en-US" w:eastAsia="zh-CN"/>
        </w:rPr>
        <w:t>21</w:t>
      </w:r>
      <w:r>
        <w:rPr>
          <w:rFonts w:hint="default" w:ascii="Times New Roman" w:hAnsi="Times New Roman" w:eastAsia="仿宋_GB2312" w:cs="Times New Roman"/>
          <w:color w:val="auto"/>
          <w:sz w:val="24"/>
          <w:szCs w:val="32"/>
          <w:highlight w:val="none"/>
        </w:rPr>
        <w:t>）规定，评价范围为本项目厂界外200m内区域。</w:t>
      </w:r>
    </w:p>
    <w:p w14:paraId="16530D5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bookmarkStart w:id="226" w:name="_Toc22682"/>
      <w:r>
        <w:rPr>
          <w:rFonts w:hint="default" w:ascii="Times New Roman" w:hAnsi="Times New Roman" w:eastAsia="黑体" w:cs="Times New Roman"/>
          <w:b/>
          <w:color w:val="auto"/>
          <w:sz w:val="28"/>
          <w:szCs w:val="28"/>
          <w:highlight w:val="none"/>
        </w:rPr>
        <w:t>1.5.5土壤环境评价等级及范围</w:t>
      </w:r>
      <w:bookmarkEnd w:id="226"/>
    </w:p>
    <w:p w14:paraId="5D9B53F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根据《环境影响评价技术导则 土壤环境（试行）》（HJ964-2018）附录A，项目所属行业为附录A中的“其他行业”，土壤环境影响评价项目类别为IV类，根据《环境影响评价技术导则 土壤环境（试行）》（HJ964-2018）4.2.2，IV类建设项目可不开展土壤环境影响评价。</w:t>
      </w:r>
    </w:p>
    <w:p w14:paraId="663192A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r>
        <w:rPr>
          <w:rFonts w:hint="default" w:ascii="Times New Roman" w:hAnsi="Times New Roman" w:eastAsia="黑体" w:cs="Times New Roman"/>
          <w:b/>
          <w:color w:val="auto"/>
          <w:sz w:val="28"/>
          <w:szCs w:val="28"/>
          <w:highlight w:val="none"/>
        </w:rPr>
        <w:t>1.5.6生态环境</w:t>
      </w:r>
    </w:p>
    <w:p w14:paraId="1631434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lang w:val="en-US"/>
        </w:rPr>
      </w:pPr>
      <w:r>
        <w:rPr>
          <w:rFonts w:hint="default" w:ascii="Times New Roman" w:hAnsi="Times New Roman" w:eastAsia="仿宋_GB2312" w:cs="Times New Roman"/>
          <w:color w:val="auto"/>
          <w:sz w:val="24"/>
          <w:highlight w:val="none"/>
        </w:rPr>
        <w:t>根据《环境影响评价技术导则 生态影响》</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HJ19-2022</w:t>
      </w:r>
      <w:r>
        <w:rPr>
          <w:rFonts w:hint="eastAsia" w:cs="Times New Roman"/>
          <w:color w:val="auto"/>
          <w:sz w:val="24"/>
          <w:highlight w:val="none"/>
          <w:lang w:eastAsia="zh-CN"/>
        </w:rPr>
        <w:t>）</w:t>
      </w:r>
      <w:r>
        <w:rPr>
          <w:rFonts w:hint="eastAsia" w:cs="Times New Roman"/>
          <w:color w:val="auto"/>
          <w:sz w:val="24"/>
          <w:highlight w:val="none"/>
          <w:lang w:val="en-US" w:eastAsia="zh-CN"/>
        </w:rPr>
        <w:t>中6.1.8：“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14:paraId="2B51AF1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lang w:val="en-US" w:eastAsia="zh-CN"/>
        </w:rPr>
      </w:pPr>
      <w:r>
        <w:rPr>
          <w:rFonts w:hint="eastAsia" w:cs="Times New Roman"/>
          <w:color w:val="auto"/>
          <w:sz w:val="24"/>
          <w:highlight w:val="none"/>
          <w:lang w:val="en-US" w:eastAsia="zh-CN"/>
        </w:rPr>
        <w:t>本项目为牛羊肉屠宰加工项目，位于</w:t>
      </w:r>
      <w:r>
        <w:rPr>
          <w:rFonts w:hint="eastAsia" w:ascii="Times New Roman" w:hAnsi="Times New Roman"/>
          <w:color w:val="auto"/>
        </w:rPr>
        <w:t>固原经济开发区轻工产业园</w:t>
      </w:r>
      <w:r>
        <w:rPr>
          <w:rFonts w:hint="eastAsia" w:cs="Times New Roman"/>
          <w:color w:val="auto"/>
          <w:kern w:val="2"/>
          <w:sz w:val="24"/>
          <w:szCs w:val="24"/>
          <w:lang w:val="en-US" w:eastAsia="zh-CN" w:bidi="ar-SA"/>
        </w:rPr>
        <w:t>（中河乡）</w:t>
      </w:r>
      <w:r>
        <w:rPr>
          <w:rFonts w:hint="eastAsia" w:ascii="Times New Roman" w:hAnsi="Times New Roman"/>
          <w:color w:val="auto"/>
          <w:lang w:eastAsia="zh-CN"/>
        </w:rPr>
        <w:t>，轻工产业园重点发展纺织、食品、轻工等产业，辅助发展装备制造、建材产业。</w:t>
      </w:r>
      <w:r>
        <w:rPr>
          <w:rFonts w:hint="eastAsia" w:ascii="Times New Roman" w:hAnsi="Times New Roman"/>
          <w:color w:val="auto"/>
          <w:lang w:val="en-US" w:eastAsia="zh-CN"/>
        </w:rPr>
        <w:t>项目符合《宁夏固原经济开发区“一区三园”总体规划修编（2022-2035年）环境影响报告书》相关要求，且项目周边不涉及生态敏感区，因此不确定评价等级，直接进行生态影响简单分析。</w:t>
      </w:r>
    </w:p>
    <w:p w14:paraId="47D714F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bookmarkStart w:id="227" w:name="_Toc17336"/>
      <w:r>
        <w:rPr>
          <w:rFonts w:hint="default" w:ascii="Times New Roman" w:hAnsi="Times New Roman" w:eastAsia="黑体" w:cs="Times New Roman"/>
          <w:b/>
          <w:color w:val="auto"/>
          <w:sz w:val="28"/>
          <w:szCs w:val="28"/>
          <w:highlight w:val="none"/>
        </w:rPr>
        <w:t>1.5.7环境风险</w:t>
      </w:r>
      <w:bookmarkEnd w:id="227"/>
    </w:p>
    <w:p w14:paraId="3333CDD6">
      <w:pPr>
        <w:pStyle w:val="40"/>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cs="Times New Roman"/>
          <w:color w:val="auto"/>
          <w:highlight w:val="none"/>
        </w:rPr>
      </w:pP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1</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风险评价等级划分依据</w:t>
      </w:r>
    </w:p>
    <w:p w14:paraId="260C23B6">
      <w:pPr>
        <w:pStyle w:val="40"/>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根据《建设项目环境风险评价技术导则》（HJ169-2018），环境风险评价工作等级根据建设项目涉及的物质及工艺系统危险性和所在地的环境敏感性确定环境风险潜势，按照表1.5-1</w:t>
      </w:r>
      <w:r>
        <w:rPr>
          <w:rFonts w:hint="eastAsia" w:ascii="Times New Roman" w:cs="Times New Roman"/>
          <w:color w:val="auto"/>
          <w:highlight w:val="none"/>
          <w:lang w:val="en-US" w:eastAsia="zh-CN"/>
        </w:rPr>
        <w:t>2</w:t>
      </w:r>
      <w:r>
        <w:rPr>
          <w:rFonts w:hint="default" w:ascii="Times New Roman" w:hAnsi="Times New Roman" w:cs="Times New Roman"/>
          <w:color w:val="auto"/>
          <w:highlight w:val="none"/>
        </w:rPr>
        <w:t>确定评价工作等级。风险潜势为Ⅳ及以上，进行一级评级；风险潜势为Ⅲ，进行二级评价；风险潜势为Ⅱ，进行三级评价；风险潜势为Ⅰ，可开展简单分析。</w:t>
      </w:r>
    </w:p>
    <w:p w14:paraId="47D2BDFB">
      <w:pPr>
        <w:pStyle w:val="36"/>
        <w:keepNext w:val="0"/>
        <w:keepLines w:val="0"/>
        <w:pageBreakBefore w:val="0"/>
        <w:widowControl w:val="0"/>
        <w:kinsoku/>
        <w:wordWrap/>
        <w:topLinePunct w:val="0"/>
        <w:bidi w:val="0"/>
        <w:adjustRightInd/>
        <w:snapToGrid/>
        <w:spacing w:line="240" w:lineRule="auto"/>
        <w:ind w:left="0" w:leftChars="0"/>
        <w:jc w:val="both"/>
        <w:rPr>
          <w:rStyle w:val="37"/>
          <w:rFonts w:hint="default" w:ascii="Times New Roman" w:hAnsi="Times New Roman" w:eastAsia="宋体" w:cs="Times New Roman"/>
          <w:color w:val="auto"/>
          <w:sz w:val="24"/>
          <w:highlight w:val="none"/>
        </w:rPr>
      </w:pPr>
      <w:r>
        <w:rPr>
          <w:rStyle w:val="37"/>
          <w:rFonts w:hint="default" w:ascii="Times New Roman" w:hAnsi="Times New Roman" w:eastAsia="宋体" w:cs="Times New Roman"/>
          <w:color w:val="auto"/>
          <w:sz w:val="21"/>
          <w:szCs w:val="21"/>
          <w:highlight w:val="none"/>
        </w:rPr>
        <w:t>表1.5-1</w:t>
      </w:r>
      <w:r>
        <w:rPr>
          <w:rStyle w:val="37"/>
          <w:rFonts w:hint="eastAsia" w:ascii="Times New Roman" w:hAnsi="Times New Roman" w:eastAsia="宋体" w:cs="Times New Roman"/>
          <w:color w:val="auto"/>
          <w:sz w:val="21"/>
          <w:szCs w:val="21"/>
          <w:highlight w:val="none"/>
          <w:lang w:val="en-US" w:eastAsia="zh-CN"/>
        </w:rPr>
        <w:t>2</w:t>
      </w:r>
      <w:r>
        <w:rPr>
          <w:rStyle w:val="37"/>
          <w:rFonts w:hint="eastAsia" w:ascii="Times New Roman" w:hAnsi="Times New Roman" w:eastAsia="宋体" w:cs="Times New Roman"/>
          <w:color w:val="auto"/>
          <w:szCs w:val="21"/>
          <w:highlight w:val="none"/>
          <w:lang w:val="en-US" w:eastAsia="zh-CN"/>
        </w:rPr>
        <w:t xml:space="preserve">               </w:t>
      </w:r>
      <w:r>
        <w:rPr>
          <w:rStyle w:val="37"/>
          <w:rFonts w:hint="default" w:ascii="Times New Roman" w:hAnsi="Times New Roman" w:eastAsia="宋体" w:cs="Times New Roman"/>
          <w:b/>
          <w:bCs/>
          <w:color w:val="auto"/>
          <w:sz w:val="24"/>
          <w:highlight w:val="none"/>
        </w:rPr>
        <w:t xml:space="preserve">  环境风险评价等级评判表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12"/>
        <w:gridCol w:w="1723"/>
        <w:gridCol w:w="1974"/>
        <w:gridCol w:w="1873"/>
        <w:gridCol w:w="1766"/>
      </w:tblGrid>
      <w:tr w14:paraId="584D5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35" w:type="dxa"/>
            <w:noWrap w:val="0"/>
            <w:vAlign w:val="center"/>
          </w:tcPr>
          <w:p w14:paraId="1A3C87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环境风险潜势</w:t>
            </w:r>
          </w:p>
        </w:tc>
        <w:tc>
          <w:tcPr>
            <w:tcW w:w="1748" w:type="dxa"/>
            <w:noWrap w:val="0"/>
            <w:vAlign w:val="center"/>
          </w:tcPr>
          <w:p w14:paraId="0EEB8E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Ⅳ、Ⅳ</w:t>
            </w:r>
            <w:r>
              <w:rPr>
                <w:rFonts w:hint="default" w:ascii="Times New Roman" w:hAnsi="Times New Roman" w:eastAsia="宋体" w:cs="Times New Roman"/>
                <w:b/>
                <w:color w:val="auto"/>
                <w:sz w:val="21"/>
                <w:szCs w:val="21"/>
                <w:highlight w:val="none"/>
                <w:vertAlign w:val="superscript"/>
              </w:rPr>
              <w:t>+</w:t>
            </w:r>
          </w:p>
        </w:tc>
        <w:tc>
          <w:tcPr>
            <w:tcW w:w="2003" w:type="dxa"/>
            <w:noWrap w:val="0"/>
            <w:vAlign w:val="center"/>
          </w:tcPr>
          <w:p w14:paraId="006982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Ⅲ</w:t>
            </w:r>
          </w:p>
        </w:tc>
        <w:tc>
          <w:tcPr>
            <w:tcW w:w="1900" w:type="dxa"/>
            <w:noWrap w:val="0"/>
            <w:vAlign w:val="center"/>
          </w:tcPr>
          <w:p w14:paraId="4BC5FE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Ⅱ</w:t>
            </w:r>
          </w:p>
        </w:tc>
        <w:tc>
          <w:tcPr>
            <w:tcW w:w="1792" w:type="dxa"/>
            <w:noWrap w:val="0"/>
            <w:vAlign w:val="center"/>
          </w:tcPr>
          <w:p w14:paraId="2AAD54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Ⅰ</w:t>
            </w:r>
          </w:p>
        </w:tc>
      </w:tr>
      <w:tr w14:paraId="7EBEB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35" w:type="dxa"/>
            <w:noWrap w:val="0"/>
            <w:vAlign w:val="center"/>
          </w:tcPr>
          <w:p w14:paraId="4D703E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1748" w:type="dxa"/>
            <w:noWrap w:val="0"/>
            <w:vAlign w:val="center"/>
          </w:tcPr>
          <w:p w14:paraId="27A92B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2003" w:type="dxa"/>
            <w:noWrap w:val="0"/>
            <w:vAlign w:val="center"/>
          </w:tcPr>
          <w:p w14:paraId="74342D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1900" w:type="dxa"/>
            <w:noWrap w:val="0"/>
            <w:vAlign w:val="center"/>
          </w:tcPr>
          <w:p w14:paraId="5F1467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792" w:type="dxa"/>
            <w:noWrap w:val="0"/>
            <w:vAlign w:val="center"/>
          </w:tcPr>
          <w:p w14:paraId="666B35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r>
              <w:rPr>
                <w:rFonts w:hint="default" w:ascii="Times New Roman" w:hAnsi="Times New Roman" w:eastAsia="宋体" w:cs="Times New Roman"/>
                <w:color w:val="auto"/>
                <w:sz w:val="21"/>
                <w:szCs w:val="21"/>
                <w:highlight w:val="none"/>
                <w:vertAlign w:val="superscript"/>
              </w:rPr>
              <w:t>a</w:t>
            </w:r>
          </w:p>
        </w:tc>
      </w:tr>
      <w:tr w14:paraId="33777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078" w:type="dxa"/>
            <w:gridSpan w:val="5"/>
            <w:noWrap w:val="0"/>
            <w:vAlign w:val="center"/>
          </w:tcPr>
          <w:p w14:paraId="6A23D1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vertAlign w:val="superscript"/>
              </w:rPr>
              <w:t xml:space="preserve">a </w:t>
            </w:r>
            <w:r>
              <w:rPr>
                <w:rFonts w:hint="default" w:ascii="Times New Roman" w:hAnsi="Times New Roman" w:eastAsia="宋体" w:cs="Times New Roman"/>
                <w:color w:val="auto"/>
                <w:sz w:val="21"/>
                <w:szCs w:val="21"/>
                <w:highlight w:val="none"/>
              </w:rPr>
              <w:t>是相对于详细评价工作内容而言，在描述危险物质、环境影响途径、环境危害后果、风险防范措施等方面给出定性的说明。见附录A。</w:t>
            </w:r>
          </w:p>
        </w:tc>
      </w:tr>
    </w:tbl>
    <w:p w14:paraId="39381724">
      <w:pPr>
        <w:pStyle w:val="40"/>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highlight w:val="none"/>
        </w:rPr>
      </w:pP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2</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环境风险潜势判定</w:t>
      </w:r>
    </w:p>
    <w:p w14:paraId="7756790C">
      <w:pPr>
        <w:pStyle w:val="40"/>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建设项目环境风险潜势划分为Ⅰ、Ⅱ、Ⅲ、Ⅳ/Ⅳ</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级。</w:t>
      </w:r>
    </w:p>
    <w:p w14:paraId="63122000">
      <w:pPr>
        <w:pStyle w:val="1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rPr>
          <w:rFonts w:hint="default" w:ascii="Times New Roman" w:hAnsi="Times New Roman" w:eastAsia="仿宋_GB2312" w:cs="Times New Roman"/>
          <w:color w:val="auto"/>
          <w:spacing w:val="0"/>
          <w:kern w:val="2"/>
          <w:sz w:val="24"/>
          <w:szCs w:val="24"/>
          <w:highlight w:val="none"/>
        </w:rPr>
      </w:pPr>
      <w:r>
        <w:rPr>
          <w:rFonts w:hint="default" w:ascii="Times New Roman" w:hAnsi="Times New Roman" w:eastAsia="仿宋_GB2312" w:cs="Times New Roman"/>
          <w:color w:val="auto"/>
          <w:spacing w:val="0"/>
          <w:kern w:val="24"/>
          <w:sz w:val="24"/>
          <w:highlight w:val="none"/>
        </w:rPr>
        <w:t>本项目为</w:t>
      </w:r>
      <w:r>
        <w:rPr>
          <w:rFonts w:hint="eastAsia" w:cs="Times New Roman"/>
          <w:color w:val="auto"/>
          <w:spacing w:val="0"/>
          <w:kern w:val="24"/>
          <w:sz w:val="24"/>
          <w:highlight w:val="none"/>
          <w:lang w:val="en-US" w:eastAsia="zh-CN"/>
        </w:rPr>
        <w:t>牛羊</w:t>
      </w:r>
      <w:r>
        <w:rPr>
          <w:rFonts w:hint="default" w:ascii="Times New Roman" w:hAnsi="Times New Roman" w:eastAsia="仿宋_GB2312" w:cs="Times New Roman"/>
          <w:color w:val="auto"/>
          <w:spacing w:val="0"/>
          <w:kern w:val="24"/>
          <w:sz w:val="24"/>
          <w:highlight w:val="none"/>
        </w:rPr>
        <w:t>屠宰</w:t>
      </w:r>
      <w:r>
        <w:rPr>
          <w:rFonts w:hint="eastAsia" w:cs="Times New Roman"/>
          <w:color w:val="auto"/>
          <w:spacing w:val="0"/>
          <w:kern w:val="24"/>
          <w:sz w:val="24"/>
          <w:highlight w:val="none"/>
          <w:lang w:val="en-US" w:eastAsia="zh-CN"/>
        </w:rPr>
        <w:t>加工</w:t>
      </w:r>
      <w:r>
        <w:rPr>
          <w:rFonts w:hint="default" w:ascii="Times New Roman" w:hAnsi="Times New Roman" w:eastAsia="仿宋_GB2312" w:cs="Times New Roman"/>
          <w:color w:val="auto"/>
          <w:spacing w:val="0"/>
          <w:kern w:val="24"/>
          <w:sz w:val="24"/>
          <w:highlight w:val="none"/>
        </w:rPr>
        <w:t>项目，</w:t>
      </w:r>
      <w:r>
        <w:rPr>
          <w:rFonts w:hint="default" w:ascii="Times New Roman" w:hAnsi="Times New Roman" w:eastAsia="仿宋_GB2312" w:cs="Times New Roman"/>
          <w:color w:val="auto"/>
          <w:spacing w:val="0"/>
          <w:kern w:val="2"/>
          <w:sz w:val="24"/>
          <w:szCs w:val="24"/>
          <w:highlight w:val="none"/>
        </w:rPr>
        <w:t>针对企业的生产原料、燃料、辅助生产物料等，对照《建设项目环境风险评价技术导则》（HJ169-2018）附录B环境风险物质，</w:t>
      </w:r>
      <w:r>
        <w:rPr>
          <w:rFonts w:hint="default" w:ascii="Times New Roman" w:hAnsi="Times New Roman" w:eastAsia="仿宋_GB2312" w:cs="Times New Roman"/>
          <w:color w:val="auto"/>
          <w:spacing w:val="0"/>
          <w:kern w:val="2"/>
          <w:sz w:val="24"/>
          <w:szCs w:val="24"/>
          <w:highlight w:val="none"/>
          <w:lang w:eastAsia="zh-CN"/>
        </w:rPr>
        <w:t>本项目消毒剂过氧乙酸、次氯酸钠</w:t>
      </w:r>
      <w:r>
        <w:rPr>
          <w:rFonts w:hint="eastAsia" w:cs="Times New Roman"/>
          <w:color w:val="auto"/>
          <w:spacing w:val="0"/>
          <w:kern w:val="2"/>
          <w:sz w:val="24"/>
          <w:szCs w:val="24"/>
          <w:highlight w:val="none"/>
          <w:lang w:val="en-US" w:eastAsia="zh-CN"/>
        </w:rPr>
        <w:t>及危废废机油</w:t>
      </w:r>
      <w:r>
        <w:rPr>
          <w:rFonts w:hint="default" w:ascii="Times New Roman" w:hAnsi="Times New Roman" w:eastAsia="仿宋_GB2312" w:cs="Times New Roman"/>
          <w:color w:val="auto"/>
          <w:spacing w:val="0"/>
          <w:kern w:val="2"/>
          <w:sz w:val="24"/>
          <w:szCs w:val="24"/>
          <w:highlight w:val="none"/>
        </w:rPr>
        <w:t>为环境风险物质，该项目危险物质数量与临界量比值情况具体见表1.5-1</w:t>
      </w:r>
      <w:r>
        <w:rPr>
          <w:rFonts w:hint="eastAsia" w:ascii="Times New Roman" w:hAnsi="Times New Roman" w:cs="Times New Roman"/>
          <w:color w:val="auto"/>
          <w:spacing w:val="0"/>
          <w:kern w:val="2"/>
          <w:sz w:val="24"/>
          <w:szCs w:val="24"/>
          <w:highlight w:val="none"/>
          <w:lang w:val="en-US" w:eastAsia="zh-CN"/>
        </w:rPr>
        <w:t>3</w:t>
      </w:r>
      <w:r>
        <w:rPr>
          <w:rFonts w:hint="default" w:ascii="Times New Roman" w:hAnsi="Times New Roman" w:eastAsia="仿宋_GB2312" w:cs="Times New Roman"/>
          <w:color w:val="auto"/>
          <w:spacing w:val="0"/>
          <w:kern w:val="2"/>
          <w:sz w:val="24"/>
          <w:szCs w:val="24"/>
          <w:highlight w:val="none"/>
        </w:rPr>
        <w:t>。</w:t>
      </w:r>
    </w:p>
    <w:p w14:paraId="57797223">
      <w:pPr>
        <w:keepNext w:val="0"/>
        <w:keepLines w:val="0"/>
        <w:pageBreakBefore w:val="0"/>
        <w:kinsoku/>
        <w:wordWrap/>
        <w:overflowPunct w:val="0"/>
        <w:topLinePunct w:val="0"/>
        <w:bidi w:val="0"/>
        <w:adjustRightInd/>
        <w:snapToGrid/>
        <w:spacing w:line="240" w:lineRule="auto"/>
        <w:ind w:left="0" w:leftChars="0" w:firstLine="420"/>
        <w:jc w:val="both"/>
        <w:rPr>
          <w:rFonts w:hint="default" w:ascii="Times New Roman" w:hAnsi="Times New Roman" w:cs="Times New Roman"/>
          <w:b/>
          <w:bCs/>
          <w:color w:val="auto"/>
          <w:highlight w:val="none"/>
        </w:rPr>
      </w:pPr>
      <w:r>
        <w:rPr>
          <w:rStyle w:val="37"/>
          <w:rFonts w:hint="default" w:ascii="Times New Roman" w:hAnsi="Times New Roman" w:eastAsia="宋体" w:cs="Times New Roman"/>
          <w:color w:val="auto"/>
          <w:kern w:val="2"/>
          <w:sz w:val="21"/>
          <w:szCs w:val="21"/>
          <w:highlight w:val="none"/>
          <w:lang w:val="en-US" w:eastAsia="zh-CN"/>
        </w:rPr>
        <w:t>表1.5-1</w:t>
      </w:r>
      <w:r>
        <w:rPr>
          <w:rStyle w:val="37"/>
          <w:rFonts w:hint="eastAsia" w:ascii="Times New Roman" w:hAnsi="Times New Roman" w:eastAsia="宋体" w:cs="Times New Roman"/>
          <w:color w:val="auto"/>
          <w:kern w:val="2"/>
          <w:sz w:val="21"/>
          <w:szCs w:val="21"/>
          <w:highlight w:val="none"/>
          <w:lang w:val="en-US" w:eastAsia="zh-CN"/>
        </w:rPr>
        <w:t>3</w:t>
      </w:r>
      <w:r>
        <w:rPr>
          <w:rFonts w:hint="default" w:ascii="Times New Roman" w:hAnsi="Times New Roman" w:cs="Times New Roman"/>
          <w:iCs/>
          <w:color w:val="auto"/>
          <w:highlight w:val="none"/>
        </w:rPr>
        <w:t xml:space="preserve"> </w:t>
      </w:r>
      <w:r>
        <w:rPr>
          <w:rFonts w:hint="eastAsia" w:cs="Times New Roman"/>
          <w:iCs/>
          <w:color w:val="auto"/>
          <w:highlight w:val="none"/>
          <w:lang w:val="en-US" w:eastAsia="zh-CN"/>
        </w:rPr>
        <w:t xml:space="preserve">     </w:t>
      </w:r>
      <w:r>
        <w:rPr>
          <w:rFonts w:hint="default" w:ascii="Times New Roman" w:hAnsi="Times New Roman" w:cs="Times New Roman"/>
          <w:iCs/>
          <w:color w:val="auto"/>
          <w:highlight w:val="none"/>
        </w:rPr>
        <w:t xml:space="preserve"> </w:t>
      </w:r>
      <w:r>
        <w:rPr>
          <w:rStyle w:val="37"/>
          <w:rFonts w:hint="default" w:ascii="Times New Roman" w:hAnsi="Times New Roman" w:eastAsia="宋体" w:cs="Times New Roman"/>
          <w:b/>
          <w:bCs/>
          <w:color w:val="auto"/>
          <w:kern w:val="2"/>
          <w:sz w:val="24"/>
          <w:szCs w:val="24"/>
          <w:highlight w:val="none"/>
          <w:lang w:val="en-US" w:eastAsia="zh-CN"/>
        </w:rPr>
        <w:t>本项目危险物质数量与临界量比值（Q）计算</w:t>
      </w:r>
    </w:p>
    <w:tbl>
      <w:tblPr>
        <w:tblStyle w:val="27"/>
        <w:tblW w:w="48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791"/>
        <w:gridCol w:w="1817"/>
        <w:gridCol w:w="1767"/>
        <w:gridCol w:w="1515"/>
        <w:gridCol w:w="1134"/>
      </w:tblGrid>
      <w:tr w14:paraId="62C07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noWrap w:val="0"/>
            <w:vAlign w:val="center"/>
          </w:tcPr>
          <w:p w14:paraId="68D73668">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序号</w:t>
            </w:r>
          </w:p>
        </w:tc>
        <w:tc>
          <w:tcPr>
            <w:tcW w:w="1859" w:type="dxa"/>
            <w:noWrap w:val="0"/>
            <w:vAlign w:val="center"/>
          </w:tcPr>
          <w:p w14:paraId="3DC285D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物质名称</w:t>
            </w:r>
          </w:p>
        </w:tc>
        <w:tc>
          <w:tcPr>
            <w:tcW w:w="1886" w:type="dxa"/>
            <w:noWrap w:val="0"/>
            <w:vAlign w:val="center"/>
          </w:tcPr>
          <w:p w14:paraId="04EBA14B">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CAS</w:t>
            </w:r>
          </w:p>
        </w:tc>
        <w:tc>
          <w:tcPr>
            <w:tcW w:w="1834" w:type="dxa"/>
            <w:noWrap w:val="0"/>
            <w:vAlign w:val="center"/>
          </w:tcPr>
          <w:p w14:paraId="7BEDC3BA">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存在量（t）</w:t>
            </w:r>
          </w:p>
        </w:tc>
        <w:tc>
          <w:tcPr>
            <w:tcW w:w="1573" w:type="dxa"/>
            <w:noWrap w:val="0"/>
            <w:vAlign w:val="center"/>
          </w:tcPr>
          <w:p w14:paraId="0C94FE3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临界量（t）</w:t>
            </w:r>
          </w:p>
        </w:tc>
        <w:tc>
          <w:tcPr>
            <w:tcW w:w="1177" w:type="dxa"/>
            <w:noWrap w:val="0"/>
            <w:vAlign w:val="center"/>
          </w:tcPr>
          <w:p w14:paraId="07867F06">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Q</w:t>
            </w:r>
          </w:p>
        </w:tc>
      </w:tr>
      <w:tr w14:paraId="092F6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noWrap w:val="0"/>
            <w:vAlign w:val="center"/>
          </w:tcPr>
          <w:p w14:paraId="2614249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w:t>
            </w:r>
          </w:p>
        </w:tc>
        <w:tc>
          <w:tcPr>
            <w:tcW w:w="1859" w:type="dxa"/>
            <w:noWrap w:val="0"/>
            <w:vAlign w:val="center"/>
          </w:tcPr>
          <w:p w14:paraId="1F147896">
            <w:pPr>
              <w:keepNext w:val="0"/>
              <w:keepLines w:val="0"/>
              <w:pageBreakBefore w:val="0"/>
              <w:widowControl/>
              <w:kinsoku/>
              <w:wordWrap/>
              <w:overflowPunct/>
              <w:topLinePunct w:val="0"/>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val="0"/>
                <w:bCs w:val="0"/>
                <w:color w:val="auto"/>
                <w:kern w:val="0"/>
                <w:sz w:val="21"/>
                <w:szCs w:val="21"/>
                <w:highlight w:val="none"/>
                <w:lang w:val="en-GB" w:eastAsia="zh-CN"/>
              </w:rPr>
              <w:t>过氧乙酸</w:t>
            </w:r>
          </w:p>
        </w:tc>
        <w:tc>
          <w:tcPr>
            <w:tcW w:w="1886" w:type="dxa"/>
            <w:noWrap w:val="0"/>
            <w:vAlign w:val="center"/>
          </w:tcPr>
          <w:p w14:paraId="29745F36">
            <w:pPr>
              <w:pStyle w:val="17"/>
              <w:keepNext w:val="0"/>
              <w:keepLines w:val="0"/>
              <w:pageBreakBefore w:val="0"/>
              <w:widowControl/>
              <w:kinsoku/>
              <w:wordWrap/>
              <w:overflowPunct/>
              <w:topLinePunct w:val="0"/>
              <w:bidi w:val="0"/>
              <w:adjustRightInd/>
              <w:snapToGrid/>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auto"/>
                <w:kern w:val="0"/>
                <w:sz w:val="21"/>
                <w:szCs w:val="21"/>
                <w:highlight w:val="none"/>
                <w:lang w:val="en-GB"/>
              </w:rPr>
            </w:pPr>
            <w:r>
              <w:rPr>
                <w:rFonts w:hint="default" w:ascii="Times New Roman" w:hAnsi="Times New Roman" w:eastAsia="宋体" w:cs="Times New Roman"/>
                <w:b w:val="0"/>
                <w:bCs w:val="0"/>
                <w:snapToGrid w:val="0"/>
                <w:color w:val="auto"/>
                <w:kern w:val="0"/>
                <w:sz w:val="21"/>
                <w:szCs w:val="21"/>
                <w:highlight w:val="none"/>
                <w:lang w:val="en-US" w:eastAsia="zh-CN"/>
              </w:rPr>
              <w:t>79-21-0</w:t>
            </w:r>
          </w:p>
        </w:tc>
        <w:tc>
          <w:tcPr>
            <w:tcW w:w="1834" w:type="dxa"/>
            <w:noWrap w:val="0"/>
            <w:vAlign w:val="center"/>
          </w:tcPr>
          <w:p w14:paraId="48384026">
            <w:pPr>
              <w:pStyle w:val="17"/>
              <w:keepNext w:val="0"/>
              <w:keepLines w:val="0"/>
              <w:pageBreakBefore w:val="0"/>
              <w:widowControl/>
              <w:kinsoku/>
              <w:wordWrap/>
              <w:overflowPunct/>
              <w:topLinePunct w:val="0"/>
              <w:autoSpaceDE w:val="0"/>
              <w:autoSpaceDN w:val="0"/>
              <w:bidi w:val="0"/>
              <w:adjustRightInd/>
              <w:snapToGrid/>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val="en-US" w:eastAsia="zh-CN"/>
              </w:rPr>
              <w:t>3</w:t>
            </w:r>
          </w:p>
        </w:tc>
        <w:tc>
          <w:tcPr>
            <w:tcW w:w="1573" w:type="dxa"/>
            <w:noWrap w:val="0"/>
            <w:vAlign w:val="center"/>
          </w:tcPr>
          <w:p w14:paraId="518E3964">
            <w:pPr>
              <w:pStyle w:val="17"/>
              <w:keepNext w:val="0"/>
              <w:keepLines w:val="0"/>
              <w:pageBreakBefore w:val="0"/>
              <w:widowControl/>
              <w:kinsoku/>
              <w:wordWrap/>
              <w:overflowPunct/>
              <w:topLinePunct w:val="0"/>
              <w:bidi w:val="0"/>
              <w:adjustRightInd/>
              <w:snapToGrid/>
              <w:spacing w:after="0" w:line="240" w:lineRule="auto"/>
              <w:ind w:left="0" w:leftChars="0" w:firstLine="0" w:firstLineChars="0"/>
              <w:contextualSpacing/>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5</w:t>
            </w:r>
          </w:p>
        </w:tc>
        <w:tc>
          <w:tcPr>
            <w:tcW w:w="1177" w:type="dxa"/>
            <w:noWrap w:val="0"/>
            <w:vAlign w:val="center"/>
          </w:tcPr>
          <w:p w14:paraId="6BCEE313">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0.6</w:t>
            </w:r>
          </w:p>
        </w:tc>
      </w:tr>
      <w:tr w14:paraId="0383E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noWrap w:val="0"/>
            <w:vAlign w:val="center"/>
          </w:tcPr>
          <w:p w14:paraId="2EB7CD9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2</w:t>
            </w:r>
          </w:p>
        </w:tc>
        <w:tc>
          <w:tcPr>
            <w:tcW w:w="1859" w:type="dxa"/>
            <w:noWrap w:val="0"/>
            <w:vAlign w:val="center"/>
          </w:tcPr>
          <w:p w14:paraId="53E23814">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次氯酸钠</w:t>
            </w:r>
          </w:p>
        </w:tc>
        <w:tc>
          <w:tcPr>
            <w:tcW w:w="1886" w:type="dxa"/>
            <w:noWrap w:val="0"/>
            <w:vAlign w:val="center"/>
          </w:tcPr>
          <w:p w14:paraId="35864EB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7681-52-9</w:t>
            </w:r>
          </w:p>
        </w:tc>
        <w:tc>
          <w:tcPr>
            <w:tcW w:w="1834" w:type="dxa"/>
            <w:noWrap w:val="0"/>
            <w:vAlign w:val="center"/>
          </w:tcPr>
          <w:p w14:paraId="5231229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1</w:t>
            </w:r>
          </w:p>
        </w:tc>
        <w:tc>
          <w:tcPr>
            <w:tcW w:w="1573" w:type="dxa"/>
            <w:noWrap w:val="0"/>
            <w:vAlign w:val="center"/>
          </w:tcPr>
          <w:p w14:paraId="345A2EE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5</w:t>
            </w:r>
          </w:p>
        </w:tc>
        <w:tc>
          <w:tcPr>
            <w:tcW w:w="1177" w:type="dxa"/>
            <w:noWrap w:val="0"/>
            <w:vAlign w:val="center"/>
          </w:tcPr>
          <w:p w14:paraId="085DEB57">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0.2</w:t>
            </w:r>
          </w:p>
        </w:tc>
      </w:tr>
      <w:tr w14:paraId="35FE6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noWrap w:val="0"/>
            <w:vAlign w:val="center"/>
          </w:tcPr>
          <w:p w14:paraId="69BF77FC">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3</w:t>
            </w:r>
          </w:p>
        </w:tc>
        <w:tc>
          <w:tcPr>
            <w:tcW w:w="1859" w:type="dxa"/>
            <w:noWrap w:val="0"/>
            <w:vAlign w:val="center"/>
          </w:tcPr>
          <w:p w14:paraId="65F6921D">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废机油</w:t>
            </w:r>
          </w:p>
        </w:tc>
        <w:tc>
          <w:tcPr>
            <w:tcW w:w="1886" w:type="dxa"/>
            <w:noWrap w:val="0"/>
            <w:vAlign w:val="center"/>
          </w:tcPr>
          <w:p w14:paraId="6E405A0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w:t>
            </w:r>
          </w:p>
        </w:tc>
        <w:tc>
          <w:tcPr>
            <w:tcW w:w="1834" w:type="dxa"/>
            <w:noWrap w:val="0"/>
            <w:vAlign w:val="center"/>
          </w:tcPr>
          <w:p w14:paraId="5089A992">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0.64</w:t>
            </w:r>
          </w:p>
        </w:tc>
        <w:tc>
          <w:tcPr>
            <w:tcW w:w="1573" w:type="dxa"/>
            <w:noWrap w:val="0"/>
            <w:vAlign w:val="center"/>
          </w:tcPr>
          <w:p w14:paraId="58D03CB9">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2500</w:t>
            </w:r>
          </w:p>
        </w:tc>
        <w:tc>
          <w:tcPr>
            <w:tcW w:w="1177" w:type="dxa"/>
            <w:noWrap w:val="0"/>
            <w:vAlign w:val="center"/>
          </w:tcPr>
          <w:p w14:paraId="1643BAA0">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0.000256</w:t>
            </w:r>
          </w:p>
        </w:tc>
      </w:tr>
      <w:tr w14:paraId="18753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516" w:type="dxa"/>
            <w:gridSpan w:val="3"/>
            <w:noWrap w:val="0"/>
            <w:vAlign w:val="center"/>
          </w:tcPr>
          <w:p w14:paraId="14CC119F">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合计（Q）</w:t>
            </w:r>
          </w:p>
        </w:tc>
        <w:tc>
          <w:tcPr>
            <w:tcW w:w="4584" w:type="dxa"/>
            <w:gridSpan w:val="3"/>
            <w:noWrap w:val="0"/>
            <w:vAlign w:val="center"/>
          </w:tcPr>
          <w:p w14:paraId="38FB3F21">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rPr>
              <w:t>0.8</w:t>
            </w:r>
            <w:r>
              <w:rPr>
                <w:rFonts w:hint="eastAsia" w:eastAsia="宋体" w:cs="Times New Roman"/>
                <w:b/>
                <w:bCs/>
                <w:color w:val="auto"/>
                <w:kern w:val="0"/>
                <w:sz w:val="21"/>
                <w:szCs w:val="21"/>
                <w:highlight w:val="none"/>
                <w:lang w:val="en-US" w:eastAsia="zh-CN"/>
              </w:rPr>
              <w:t>00256</w:t>
            </w:r>
          </w:p>
        </w:tc>
      </w:tr>
    </w:tbl>
    <w:p w14:paraId="411F4AA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_GB2312" w:cs="Times New Roman"/>
          <w:color w:val="auto"/>
          <w:sz w:val="24"/>
          <w:highlight w:val="none"/>
          <w:lang w:val="zh-CN"/>
        </w:rPr>
      </w:pPr>
      <w:r>
        <w:rPr>
          <w:rFonts w:hint="default" w:ascii="Times New Roman" w:hAnsi="Times New Roman" w:eastAsia="仿宋_GB2312" w:cs="Times New Roman"/>
          <w:color w:val="auto"/>
          <w:sz w:val="24"/>
          <w:highlight w:val="none"/>
          <w:lang w:val="zh-CN"/>
        </w:rPr>
        <w:t>由计算可知，本项目</w:t>
      </w:r>
      <w:r>
        <w:rPr>
          <w:rFonts w:hint="default" w:ascii="Times New Roman" w:hAnsi="Times New Roman" w:eastAsia="仿宋_GB2312" w:cs="Times New Roman"/>
          <w:color w:val="auto"/>
          <w:sz w:val="24"/>
          <w:highlight w:val="none"/>
        </w:rPr>
        <w:t>Q值</w:t>
      </w:r>
      <w:r>
        <w:rPr>
          <w:rFonts w:hint="default" w:ascii="Times New Roman" w:hAnsi="Times New Roman" w:eastAsia="仿宋_GB2312" w:cs="Times New Roman"/>
          <w:color w:val="auto"/>
          <w:sz w:val="24"/>
          <w:highlight w:val="none"/>
          <w:lang w:val="zh-CN"/>
        </w:rPr>
        <w:t>为0.800256，因此本项目危险物质数量与临界量比值Q=</w:t>
      </w:r>
      <w:r>
        <w:rPr>
          <w:rFonts w:hint="default" w:ascii="Times New Roman" w:hAnsi="Times New Roman" w:eastAsia="仿宋_GB2312" w:cs="Times New Roman"/>
          <w:color w:val="auto"/>
          <w:sz w:val="24"/>
          <w:highlight w:val="none"/>
        </w:rPr>
        <w:t>0.8</w:t>
      </w:r>
      <w:r>
        <w:rPr>
          <w:rFonts w:hint="eastAsia" w:cs="Times New Roman"/>
          <w:color w:val="auto"/>
          <w:sz w:val="24"/>
          <w:highlight w:val="none"/>
          <w:lang w:val="en-US" w:eastAsia="zh-CN"/>
        </w:rPr>
        <w:t>00256</w:t>
      </w:r>
      <w:r>
        <w:rPr>
          <w:rFonts w:hint="default" w:ascii="Times New Roman" w:hAnsi="Times New Roman" w:eastAsia="仿宋_GB2312" w:cs="Times New Roman"/>
          <w:color w:val="auto"/>
          <w:sz w:val="24"/>
          <w:highlight w:val="none"/>
          <w:lang w:val="zh-CN"/>
        </w:rPr>
        <w:t>＜1，风险潜势为I。</w:t>
      </w:r>
    </w:p>
    <w:p w14:paraId="43FF73B3">
      <w:pPr>
        <w:pStyle w:val="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rPr>
      </w:pP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3</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评价等级、评价范围确定</w:t>
      </w:r>
    </w:p>
    <w:p w14:paraId="334DF869">
      <w:pPr>
        <w:pStyle w:val="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8"/>
          <w:highlight w:val="none"/>
        </w:rPr>
      </w:pPr>
      <w:r>
        <w:rPr>
          <w:rFonts w:hint="default" w:ascii="Times New Roman" w:hAnsi="Times New Roman" w:cs="Times New Roman"/>
          <w:color w:val="auto"/>
          <w:highlight w:val="none"/>
        </w:rPr>
        <w:t>建设项目环境风险潜势为Ⅰ，根据表1.5-1</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环境风险评价等级判定可知，项目环境风险评价等级为进行简单分析。</w:t>
      </w:r>
    </w:p>
    <w:p w14:paraId="4FEE59E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eastAsia="黑体" w:cs="Times New Roman"/>
          <w:b/>
          <w:bCs/>
          <w:color w:val="auto"/>
          <w:sz w:val="28"/>
          <w:szCs w:val="28"/>
          <w:highlight w:val="none"/>
        </w:rPr>
      </w:pPr>
      <w:bookmarkStart w:id="228" w:name="_Toc7628"/>
      <w:bookmarkStart w:id="229" w:name="_Toc2664"/>
      <w:bookmarkStart w:id="230" w:name="_Toc1251"/>
      <w:bookmarkStart w:id="231" w:name="_Toc19407"/>
      <w:bookmarkStart w:id="232" w:name="_Toc1310"/>
      <w:bookmarkStart w:id="233" w:name="_Toc27743"/>
      <w:bookmarkStart w:id="234" w:name="_Toc212"/>
      <w:bookmarkStart w:id="235" w:name="_Toc17691"/>
      <w:r>
        <w:rPr>
          <w:rFonts w:hint="default" w:ascii="Times New Roman" w:hAnsi="Times New Roman" w:eastAsia="黑体" w:cs="Times New Roman"/>
          <w:b/>
          <w:bCs/>
          <w:color w:val="auto"/>
          <w:sz w:val="28"/>
          <w:szCs w:val="28"/>
          <w:highlight w:val="none"/>
        </w:rPr>
        <w:t>1.6环境保护目标</w:t>
      </w:r>
      <w:bookmarkEnd w:id="228"/>
      <w:bookmarkEnd w:id="229"/>
      <w:bookmarkEnd w:id="230"/>
      <w:bookmarkEnd w:id="231"/>
      <w:bookmarkEnd w:id="232"/>
      <w:bookmarkEnd w:id="233"/>
      <w:bookmarkEnd w:id="234"/>
      <w:bookmarkEnd w:id="235"/>
    </w:p>
    <w:p w14:paraId="6046B323">
      <w:pPr>
        <w:pStyle w:val="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cs="Times New Roman"/>
          <w:color w:val="auto"/>
          <w:highlight w:val="none"/>
          <w:lang w:eastAsia="zh-CN"/>
        </w:rPr>
      </w:pPr>
      <w:r>
        <w:rPr>
          <w:rFonts w:hint="default" w:ascii="Times New Roman" w:cs="Times New Roman"/>
          <w:color w:val="auto"/>
          <w:highlight w:val="none"/>
          <w:lang w:eastAsia="zh-CN"/>
        </w:rPr>
        <w:t>项目位于固原经济开发区轻工产业园</w:t>
      </w:r>
      <w:r>
        <w:rPr>
          <w:rFonts w:hint="default" w:ascii="Times New Roman" w:cs="Times New Roman"/>
          <w:color w:val="auto"/>
          <w:highlight w:val="none"/>
          <w:lang w:val="en-US" w:eastAsia="zh-CN"/>
        </w:rPr>
        <w:t>（中河乡）</w:t>
      </w:r>
      <w:r>
        <w:rPr>
          <w:rFonts w:hint="default" w:ascii="Times New Roman" w:cs="Times New Roman"/>
          <w:color w:val="auto"/>
          <w:highlight w:val="none"/>
          <w:lang w:eastAsia="zh-CN"/>
        </w:rPr>
        <w:t>。</w:t>
      </w:r>
      <w:r>
        <w:rPr>
          <w:rFonts w:hint="eastAsia" w:ascii="Times New Roman" w:hAnsi="Times New Roman"/>
          <w:color w:val="auto"/>
        </w:rPr>
        <w:t>项目北侧、西侧、东侧均为空地，南侧为</w:t>
      </w:r>
      <w:r>
        <w:rPr>
          <w:rFonts w:hint="eastAsia"/>
          <w:color w:val="auto"/>
        </w:rPr>
        <w:t>宁夏伊鑫瑞肉制品销售有限公司</w:t>
      </w:r>
      <w:r>
        <w:rPr>
          <w:rFonts w:hint="eastAsia" w:ascii="Times New Roman" w:hAnsi="Times New Roman"/>
          <w:color w:val="auto"/>
        </w:rPr>
        <w:t>。</w:t>
      </w:r>
    </w:p>
    <w:p w14:paraId="52BF806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bookmarkStart w:id="236" w:name="_Toc19617"/>
      <w:bookmarkStart w:id="237" w:name="_Toc29632"/>
      <w:r>
        <w:rPr>
          <w:rFonts w:hint="default" w:ascii="Times New Roman" w:hAnsi="Times New Roman" w:eastAsia="黑体" w:cs="Times New Roman"/>
          <w:b/>
          <w:color w:val="auto"/>
          <w:sz w:val="28"/>
          <w:szCs w:val="28"/>
          <w:highlight w:val="none"/>
        </w:rPr>
        <w:t>1.6.1大气环境保护目标</w:t>
      </w:r>
      <w:bookmarkEnd w:id="236"/>
      <w:bookmarkEnd w:id="237"/>
    </w:p>
    <w:p w14:paraId="043878F5">
      <w:pPr>
        <w:pageBreakBefore w:val="0"/>
        <w:widowControl w:val="0"/>
        <w:kinsoku/>
        <w:wordWrap/>
        <w:topLinePunct w:val="0"/>
        <w:bidi w:val="0"/>
        <w:adjustRightInd/>
        <w:snapToGrid/>
        <w:spacing w:line="360" w:lineRule="auto"/>
        <w:ind w:left="0" w:leftChars="0" w:firstLine="480" w:firstLineChars="200"/>
        <w:rPr>
          <w:rFonts w:hint="default" w:ascii="Times New Roman" w:hAnsi="Times New Roman" w:eastAsia="宋体" w:cs="Times New Roman"/>
          <w:color w:val="auto"/>
          <w:sz w:val="21"/>
          <w:szCs w:val="21"/>
          <w:highlight w:val="none"/>
        </w:rPr>
      </w:pPr>
      <w:bookmarkStart w:id="238" w:name="_Toc19843"/>
      <w:r>
        <w:rPr>
          <w:rFonts w:hint="default" w:ascii="Times New Roman" w:hAnsi="Times New Roman" w:eastAsia="仿宋_GB2312" w:cs="Times New Roman"/>
          <w:color w:val="auto"/>
          <w:sz w:val="24"/>
          <w:highlight w:val="none"/>
        </w:rPr>
        <w:t>本</w:t>
      </w:r>
      <w:r>
        <w:rPr>
          <w:rFonts w:hint="default" w:ascii="Times New Roman" w:hAnsi="Times New Roman" w:eastAsia="仿宋_GB2312" w:cs="Times New Roman"/>
          <w:bCs/>
          <w:color w:val="auto"/>
          <w:kern w:val="2"/>
          <w:sz w:val="24"/>
          <w:szCs w:val="24"/>
          <w:highlight w:val="none"/>
          <w:lang w:val="en-US" w:eastAsia="zh-CN" w:bidi="en-US"/>
        </w:rPr>
        <w:t>次评价环境空气评价范围为以厂址为中心边长为5km的矩形区域作为评价范围，项目大气环境保护目标见表1.6-1</w:t>
      </w:r>
      <w:r>
        <w:rPr>
          <w:rFonts w:hint="eastAsia" w:cs="Times New Roman"/>
          <w:bCs/>
          <w:color w:val="auto"/>
          <w:kern w:val="2"/>
          <w:sz w:val="24"/>
          <w:szCs w:val="24"/>
          <w:highlight w:val="none"/>
          <w:lang w:val="en-US" w:eastAsia="zh-CN" w:bidi="en-US"/>
        </w:rPr>
        <w:t>，</w:t>
      </w:r>
      <w:r>
        <w:rPr>
          <w:rFonts w:hint="default" w:ascii="Times New Roman" w:hAnsi="Times New Roman" w:eastAsia="仿宋_GB2312" w:cs="Times New Roman"/>
          <w:bCs/>
          <w:color w:val="auto"/>
          <w:kern w:val="2"/>
          <w:sz w:val="24"/>
          <w:szCs w:val="24"/>
          <w:highlight w:val="none"/>
          <w:lang w:val="en-US" w:eastAsia="zh-CN" w:bidi="en-US"/>
        </w:rPr>
        <w:t>见图1.</w:t>
      </w:r>
      <w:r>
        <w:rPr>
          <w:rFonts w:hint="eastAsia" w:cs="Times New Roman"/>
          <w:bCs/>
          <w:color w:val="auto"/>
          <w:kern w:val="2"/>
          <w:sz w:val="24"/>
          <w:szCs w:val="24"/>
          <w:highlight w:val="none"/>
          <w:lang w:val="en-US" w:eastAsia="zh-CN" w:bidi="en-US"/>
        </w:rPr>
        <w:t>5</w:t>
      </w:r>
      <w:r>
        <w:rPr>
          <w:rFonts w:hint="default" w:ascii="Times New Roman" w:hAnsi="Times New Roman" w:eastAsia="仿宋_GB2312" w:cs="Times New Roman"/>
          <w:bCs/>
          <w:color w:val="auto"/>
          <w:kern w:val="2"/>
          <w:sz w:val="24"/>
          <w:szCs w:val="24"/>
          <w:highlight w:val="none"/>
          <w:lang w:val="en-US" w:eastAsia="zh-CN" w:bidi="en-US"/>
        </w:rPr>
        <w:t>-</w:t>
      </w:r>
      <w:r>
        <w:rPr>
          <w:rFonts w:hint="eastAsia" w:cs="Times New Roman"/>
          <w:bCs/>
          <w:color w:val="auto"/>
          <w:kern w:val="2"/>
          <w:sz w:val="24"/>
          <w:szCs w:val="24"/>
          <w:highlight w:val="none"/>
          <w:lang w:val="en-US" w:eastAsia="zh-CN" w:bidi="en-US"/>
        </w:rPr>
        <w:t>2</w:t>
      </w:r>
      <w:r>
        <w:rPr>
          <w:rFonts w:hint="default" w:ascii="Times New Roman" w:hAnsi="Times New Roman" w:eastAsia="仿宋_GB2312" w:cs="Times New Roman"/>
          <w:bCs/>
          <w:color w:val="auto"/>
          <w:kern w:val="2"/>
          <w:sz w:val="24"/>
          <w:szCs w:val="24"/>
          <w:highlight w:val="none"/>
          <w:lang w:val="en-US" w:eastAsia="zh-CN" w:bidi="en-US"/>
        </w:rPr>
        <w:t>。</w:t>
      </w:r>
    </w:p>
    <w:p w14:paraId="15A1E3EF">
      <w:pPr>
        <w:pStyle w:val="40"/>
        <w:pageBreakBefore w:val="0"/>
        <w:widowControl w:val="0"/>
        <w:kinsoku/>
        <w:wordWrap/>
        <w:topLinePunct w:val="0"/>
        <w:bidi w:val="0"/>
        <w:adjustRightInd/>
        <w:snapToGrid/>
        <w:spacing w:line="240" w:lineRule="auto"/>
        <w:ind w:left="0" w:leftChars="0" w:firstLine="420" w:firstLineChars="200"/>
        <w:jc w:val="both"/>
        <w:rPr>
          <w:rFonts w:hint="default" w:ascii="Times New Roman" w:hAnsi="Times New Roman" w:eastAsia="宋体" w:cs="Times New Roman"/>
          <w:color w:val="auto"/>
          <w:sz w:val="21"/>
          <w:szCs w:val="21"/>
          <w:highlight w:val="none"/>
        </w:rPr>
      </w:pPr>
    </w:p>
    <w:p w14:paraId="55F45D6C">
      <w:pPr>
        <w:pStyle w:val="40"/>
        <w:pageBreakBefore w:val="0"/>
        <w:widowControl w:val="0"/>
        <w:kinsoku/>
        <w:wordWrap/>
        <w:topLinePunct w:val="0"/>
        <w:bidi w:val="0"/>
        <w:adjustRightInd/>
        <w:snapToGrid/>
        <w:spacing w:line="240" w:lineRule="auto"/>
        <w:ind w:left="0" w:leftChars="0" w:firstLine="420"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sz w:val="21"/>
          <w:szCs w:val="21"/>
          <w:highlight w:val="none"/>
        </w:rPr>
        <w:t>表1.6-1</w:t>
      </w:r>
      <w:r>
        <w:rPr>
          <w:rFonts w:hint="default" w:ascii="Times New Roman" w:hAnsi="Times New Roman" w:eastAsia="宋体" w:cs="Times New Roman"/>
          <w:b/>
          <w:color w:val="auto"/>
          <w:highlight w:val="none"/>
        </w:rPr>
        <w:t xml:space="preserve"> </w:t>
      </w:r>
      <w:r>
        <w:rPr>
          <w:rFonts w:hint="eastAsia" w:asci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 xml:space="preserve"> </w:t>
      </w:r>
      <w:r>
        <w:rPr>
          <w:rFonts w:hint="eastAsia" w:asci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项目大气环境保护目标一览表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2"/>
        <w:gridCol w:w="1581"/>
        <w:gridCol w:w="1447"/>
        <w:gridCol w:w="1071"/>
        <w:gridCol w:w="1725"/>
        <w:gridCol w:w="707"/>
        <w:gridCol w:w="688"/>
        <w:gridCol w:w="1037"/>
      </w:tblGrid>
      <w:tr w14:paraId="0DEEF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restart"/>
            <w:noWrap w:val="0"/>
            <w:vAlign w:val="center"/>
          </w:tcPr>
          <w:p w14:paraId="20B0172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w:t>
            </w:r>
          </w:p>
          <w:p w14:paraId="339AAA3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要素</w:t>
            </w:r>
          </w:p>
        </w:tc>
        <w:tc>
          <w:tcPr>
            <w:tcW w:w="3028" w:type="dxa"/>
            <w:gridSpan w:val="2"/>
            <w:noWrap w:val="0"/>
            <w:vAlign w:val="center"/>
          </w:tcPr>
          <w:p w14:paraId="4440BF0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snapToGrid w:val="0"/>
                <w:color w:val="auto"/>
                <w:kern w:val="0"/>
                <w:sz w:val="21"/>
                <w:szCs w:val="21"/>
                <w:highlight w:val="none"/>
              </w:rPr>
              <w:t>坐标（经纬度）</w:t>
            </w:r>
          </w:p>
        </w:tc>
        <w:tc>
          <w:tcPr>
            <w:tcW w:w="1071" w:type="dxa"/>
            <w:vMerge w:val="restart"/>
            <w:noWrap w:val="0"/>
            <w:vAlign w:val="center"/>
          </w:tcPr>
          <w:p w14:paraId="160CD19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保护对象</w:t>
            </w:r>
          </w:p>
        </w:tc>
        <w:tc>
          <w:tcPr>
            <w:tcW w:w="1725" w:type="dxa"/>
            <w:vMerge w:val="restart"/>
            <w:noWrap w:val="0"/>
            <w:vAlign w:val="center"/>
          </w:tcPr>
          <w:p w14:paraId="0B4D9F0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保护内容</w:t>
            </w:r>
          </w:p>
        </w:tc>
        <w:tc>
          <w:tcPr>
            <w:tcW w:w="707" w:type="dxa"/>
            <w:vMerge w:val="restart"/>
            <w:noWrap w:val="0"/>
            <w:vAlign w:val="center"/>
          </w:tcPr>
          <w:p w14:paraId="416C7CA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w:t>
            </w:r>
          </w:p>
          <w:p w14:paraId="262800F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功能区</w:t>
            </w:r>
          </w:p>
        </w:tc>
        <w:tc>
          <w:tcPr>
            <w:tcW w:w="688" w:type="dxa"/>
            <w:vMerge w:val="restart"/>
            <w:noWrap w:val="0"/>
            <w:vAlign w:val="center"/>
          </w:tcPr>
          <w:p w14:paraId="169B914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037" w:type="dxa"/>
            <w:vMerge w:val="restart"/>
            <w:noWrap w:val="0"/>
            <w:vAlign w:val="center"/>
          </w:tcPr>
          <w:p w14:paraId="0DDD530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距厂界最近距离/m</w:t>
            </w:r>
          </w:p>
        </w:tc>
      </w:tr>
      <w:tr w14:paraId="36B17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tcBorders>
              <w:bottom w:val="single" w:color="auto" w:sz="4" w:space="0"/>
            </w:tcBorders>
            <w:noWrap w:val="0"/>
            <w:vAlign w:val="center"/>
          </w:tcPr>
          <w:p w14:paraId="614DB9F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1581" w:type="dxa"/>
            <w:noWrap w:val="0"/>
            <w:vAlign w:val="center"/>
          </w:tcPr>
          <w:p w14:paraId="5BE275F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1447" w:type="dxa"/>
            <w:noWrap w:val="0"/>
            <w:vAlign w:val="center"/>
          </w:tcPr>
          <w:p w14:paraId="40D1287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1071" w:type="dxa"/>
            <w:vMerge w:val="continue"/>
            <w:noWrap w:val="0"/>
            <w:vAlign w:val="center"/>
          </w:tcPr>
          <w:p w14:paraId="0B2AFC4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1725" w:type="dxa"/>
            <w:vMerge w:val="continue"/>
            <w:noWrap w:val="0"/>
            <w:vAlign w:val="center"/>
          </w:tcPr>
          <w:p w14:paraId="7EF172E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707" w:type="dxa"/>
            <w:vMerge w:val="continue"/>
            <w:noWrap w:val="0"/>
            <w:vAlign w:val="center"/>
          </w:tcPr>
          <w:p w14:paraId="73215B0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688" w:type="dxa"/>
            <w:vMerge w:val="continue"/>
            <w:noWrap w:val="0"/>
            <w:vAlign w:val="center"/>
          </w:tcPr>
          <w:p w14:paraId="04CB5E6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1037" w:type="dxa"/>
            <w:vMerge w:val="continue"/>
            <w:noWrap w:val="0"/>
            <w:vAlign w:val="center"/>
          </w:tcPr>
          <w:p w14:paraId="42251CD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r>
      <w:tr w14:paraId="6837E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restart"/>
            <w:tcBorders>
              <w:top w:val="single" w:color="auto" w:sz="4" w:space="0"/>
            </w:tcBorders>
            <w:noWrap w:val="0"/>
            <w:vAlign w:val="center"/>
          </w:tcPr>
          <w:p w14:paraId="6E91D9D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p w14:paraId="5B5DB82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tc>
        <w:tc>
          <w:tcPr>
            <w:tcW w:w="1581" w:type="dxa"/>
            <w:noWrap w:val="0"/>
            <w:vAlign w:val="center"/>
          </w:tcPr>
          <w:p w14:paraId="56735F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106°11′2.375″</w:t>
            </w:r>
          </w:p>
        </w:tc>
        <w:tc>
          <w:tcPr>
            <w:tcW w:w="1447" w:type="dxa"/>
            <w:noWrap w:val="0"/>
            <w:vAlign w:val="center"/>
          </w:tcPr>
          <w:p w14:paraId="2C40B8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36°0′7.738″</w:t>
            </w:r>
          </w:p>
        </w:tc>
        <w:tc>
          <w:tcPr>
            <w:tcW w:w="1071" w:type="dxa"/>
            <w:noWrap w:val="0"/>
            <w:vAlign w:val="center"/>
          </w:tcPr>
          <w:p w14:paraId="167FEA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油坊沟村</w:t>
            </w:r>
          </w:p>
        </w:tc>
        <w:tc>
          <w:tcPr>
            <w:tcW w:w="1725" w:type="dxa"/>
            <w:noWrap w:val="0"/>
            <w:vAlign w:val="center"/>
          </w:tcPr>
          <w:p w14:paraId="7B4BDC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居民，约100户</w:t>
            </w:r>
          </w:p>
        </w:tc>
        <w:tc>
          <w:tcPr>
            <w:tcW w:w="707" w:type="dxa"/>
            <w:vMerge w:val="restart"/>
            <w:noWrap w:val="0"/>
            <w:vAlign w:val="center"/>
          </w:tcPr>
          <w:p w14:paraId="4F34DB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《环境空气质量标准》（GB3095-2026）二类区</w:t>
            </w:r>
          </w:p>
        </w:tc>
        <w:tc>
          <w:tcPr>
            <w:tcW w:w="688" w:type="dxa"/>
            <w:noWrap w:val="0"/>
            <w:vAlign w:val="center"/>
          </w:tcPr>
          <w:p w14:paraId="38868C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1037" w:type="dxa"/>
            <w:noWrap w:val="0"/>
            <w:vAlign w:val="center"/>
          </w:tcPr>
          <w:p w14:paraId="56D807F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140</w:t>
            </w:r>
          </w:p>
        </w:tc>
      </w:tr>
      <w:tr w14:paraId="30BD2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4B97900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072069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106°9′54.416″</w:t>
            </w:r>
          </w:p>
        </w:tc>
        <w:tc>
          <w:tcPr>
            <w:tcW w:w="1447" w:type="dxa"/>
            <w:noWrap w:val="0"/>
            <w:vAlign w:val="center"/>
          </w:tcPr>
          <w:p w14:paraId="621457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36°0′29.947″</w:t>
            </w:r>
          </w:p>
        </w:tc>
        <w:tc>
          <w:tcPr>
            <w:tcW w:w="1071" w:type="dxa"/>
            <w:noWrap w:val="0"/>
            <w:vAlign w:val="center"/>
          </w:tcPr>
          <w:p w14:paraId="57BE8C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上潘家庄</w:t>
            </w:r>
          </w:p>
        </w:tc>
        <w:tc>
          <w:tcPr>
            <w:tcW w:w="1725" w:type="dxa"/>
            <w:noWrap w:val="0"/>
            <w:vAlign w:val="center"/>
          </w:tcPr>
          <w:p w14:paraId="5BC78B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居民，约50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32EEC1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59B814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w:t>
            </w:r>
          </w:p>
        </w:tc>
        <w:tc>
          <w:tcPr>
            <w:tcW w:w="1037" w:type="dxa"/>
            <w:noWrap w:val="0"/>
            <w:vAlign w:val="center"/>
          </w:tcPr>
          <w:p w14:paraId="49C0F7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2000</w:t>
            </w:r>
          </w:p>
        </w:tc>
      </w:tr>
      <w:tr w14:paraId="0DB62D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0126873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4F82F3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106°10′19.194″</w:t>
            </w:r>
          </w:p>
        </w:tc>
        <w:tc>
          <w:tcPr>
            <w:tcW w:w="1447" w:type="dxa"/>
            <w:noWrap w:val="0"/>
            <w:vAlign w:val="center"/>
          </w:tcPr>
          <w:p w14:paraId="43CD3D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36°0′30.990″</w:t>
            </w:r>
          </w:p>
        </w:tc>
        <w:tc>
          <w:tcPr>
            <w:tcW w:w="1071" w:type="dxa"/>
            <w:noWrap w:val="0"/>
            <w:vAlign w:val="center"/>
          </w:tcPr>
          <w:p w14:paraId="1796CF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潘家庄</w:t>
            </w:r>
          </w:p>
        </w:tc>
        <w:tc>
          <w:tcPr>
            <w:tcW w:w="1725" w:type="dxa"/>
            <w:noWrap w:val="0"/>
            <w:vAlign w:val="center"/>
          </w:tcPr>
          <w:p w14:paraId="5FC0C5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居民，约150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74EAAF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7DD3DD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w:t>
            </w:r>
          </w:p>
        </w:tc>
        <w:tc>
          <w:tcPr>
            <w:tcW w:w="1037" w:type="dxa"/>
            <w:noWrap w:val="0"/>
            <w:vAlign w:val="center"/>
          </w:tcPr>
          <w:p w14:paraId="107DA1A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1346</w:t>
            </w:r>
          </w:p>
        </w:tc>
      </w:tr>
      <w:tr w14:paraId="16CA84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1324B97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093EA2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106°10′30.259″</w:t>
            </w:r>
          </w:p>
        </w:tc>
        <w:tc>
          <w:tcPr>
            <w:tcW w:w="1447" w:type="dxa"/>
            <w:noWrap w:val="0"/>
            <w:vAlign w:val="center"/>
          </w:tcPr>
          <w:p w14:paraId="0BB34A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36°0′47.405″</w:t>
            </w:r>
          </w:p>
        </w:tc>
        <w:tc>
          <w:tcPr>
            <w:tcW w:w="1071" w:type="dxa"/>
            <w:noWrap w:val="0"/>
            <w:vAlign w:val="center"/>
          </w:tcPr>
          <w:p w14:paraId="7D13F0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下潘家庄</w:t>
            </w:r>
          </w:p>
        </w:tc>
        <w:tc>
          <w:tcPr>
            <w:tcW w:w="1725" w:type="dxa"/>
            <w:noWrap w:val="0"/>
            <w:vAlign w:val="center"/>
          </w:tcPr>
          <w:p w14:paraId="53AC25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eastAsia" w:eastAsia="宋体" w:cs="Times New Roman"/>
                <w:color w:val="auto"/>
                <w:sz w:val="21"/>
                <w:szCs w:val="21"/>
                <w:highlight w:val="none"/>
                <w:lang w:val="en-US" w:eastAsia="zh-CN"/>
              </w:rPr>
              <w:t>居民，约200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0857ED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217664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w:t>
            </w:r>
          </w:p>
        </w:tc>
        <w:tc>
          <w:tcPr>
            <w:tcW w:w="1037" w:type="dxa"/>
            <w:noWrap w:val="0"/>
            <w:vAlign w:val="center"/>
          </w:tcPr>
          <w:p w14:paraId="4592A0F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1394</w:t>
            </w:r>
          </w:p>
        </w:tc>
      </w:tr>
      <w:tr w14:paraId="0F581A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4A6D25B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38E058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106°10′12.067″</w:t>
            </w:r>
          </w:p>
        </w:tc>
        <w:tc>
          <w:tcPr>
            <w:tcW w:w="1447" w:type="dxa"/>
            <w:noWrap w:val="0"/>
            <w:vAlign w:val="center"/>
          </w:tcPr>
          <w:p w14:paraId="5369E5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35°59′33.595″</w:t>
            </w:r>
          </w:p>
        </w:tc>
        <w:tc>
          <w:tcPr>
            <w:tcW w:w="1071" w:type="dxa"/>
            <w:noWrap w:val="0"/>
            <w:vAlign w:val="center"/>
          </w:tcPr>
          <w:p w14:paraId="6D0720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孙家庄</w:t>
            </w:r>
          </w:p>
        </w:tc>
        <w:tc>
          <w:tcPr>
            <w:tcW w:w="1725" w:type="dxa"/>
            <w:noWrap w:val="0"/>
            <w:vAlign w:val="center"/>
          </w:tcPr>
          <w:p w14:paraId="61DA61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eastAsia" w:eastAsia="宋体" w:cs="Times New Roman"/>
                <w:color w:val="auto"/>
                <w:sz w:val="21"/>
                <w:szCs w:val="21"/>
                <w:highlight w:val="none"/>
                <w:lang w:val="en-US" w:eastAsia="zh-CN"/>
              </w:rPr>
              <w:t>居民，约350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2DB163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661807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SW</w:t>
            </w:r>
          </w:p>
        </w:tc>
        <w:tc>
          <w:tcPr>
            <w:tcW w:w="1037" w:type="dxa"/>
            <w:noWrap w:val="0"/>
            <w:vAlign w:val="center"/>
          </w:tcPr>
          <w:p w14:paraId="080DBF0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1800</w:t>
            </w:r>
          </w:p>
        </w:tc>
      </w:tr>
      <w:tr w14:paraId="47969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1B11672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1B18F1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106°11′6.758″</w:t>
            </w:r>
          </w:p>
        </w:tc>
        <w:tc>
          <w:tcPr>
            <w:tcW w:w="1447" w:type="dxa"/>
            <w:noWrap w:val="0"/>
            <w:vAlign w:val="center"/>
          </w:tcPr>
          <w:p w14:paraId="6ACE58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35°58′53.812″</w:t>
            </w:r>
          </w:p>
        </w:tc>
        <w:tc>
          <w:tcPr>
            <w:tcW w:w="1071" w:type="dxa"/>
            <w:noWrap w:val="0"/>
            <w:vAlign w:val="center"/>
          </w:tcPr>
          <w:p w14:paraId="32906F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吴庄村</w:t>
            </w:r>
          </w:p>
        </w:tc>
        <w:tc>
          <w:tcPr>
            <w:tcW w:w="1725" w:type="dxa"/>
            <w:noWrap w:val="0"/>
            <w:vAlign w:val="center"/>
          </w:tcPr>
          <w:p w14:paraId="3F1C3F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eastAsia" w:eastAsia="宋体" w:cs="Times New Roman"/>
                <w:color w:val="auto"/>
                <w:sz w:val="21"/>
                <w:szCs w:val="21"/>
                <w:highlight w:val="none"/>
                <w:lang w:val="en-US" w:eastAsia="zh-CN"/>
              </w:rPr>
              <w:t>居民，约2000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591F12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555C98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w:t>
            </w:r>
          </w:p>
        </w:tc>
        <w:tc>
          <w:tcPr>
            <w:tcW w:w="1037" w:type="dxa"/>
            <w:noWrap w:val="0"/>
            <w:vAlign w:val="center"/>
          </w:tcPr>
          <w:p w14:paraId="05F5DF1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2110</w:t>
            </w:r>
          </w:p>
        </w:tc>
      </w:tr>
      <w:tr w14:paraId="63DD10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14E2A1D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26E2E4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106°11′47.661″</w:t>
            </w:r>
          </w:p>
        </w:tc>
        <w:tc>
          <w:tcPr>
            <w:tcW w:w="1447" w:type="dxa"/>
            <w:noWrap w:val="0"/>
            <w:vAlign w:val="center"/>
          </w:tcPr>
          <w:p w14:paraId="1506E8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36°0′7.197″</w:t>
            </w:r>
          </w:p>
        </w:tc>
        <w:tc>
          <w:tcPr>
            <w:tcW w:w="1071" w:type="dxa"/>
            <w:noWrap w:val="0"/>
            <w:vAlign w:val="center"/>
          </w:tcPr>
          <w:p w14:paraId="75E5F6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上苦井儿</w:t>
            </w:r>
          </w:p>
        </w:tc>
        <w:tc>
          <w:tcPr>
            <w:tcW w:w="1725" w:type="dxa"/>
            <w:noWrap w:val="0"/>
            <w:vAlign w:val="center"/>
          </w:tcPr>
          <w:p w14:paraId="57F391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居民，约600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7FF891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56F07A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E</w:t>
            </w:r>
          </w:p>
        </w:tc>
        <w:tc>
          <w:tcPr>
            <w:tcW w:w="1037" w:type="dxa"/>
            <w:noWrap w:val="0"/>
            <w:vAlign w:val="center"/>
          </w:tcPr>
          <w:p w14:paraId="4E40B77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400</w:t>
            </w:r>
          </w:p>
        </w:tc>
      </w:tr>
      <w:tr w14:paraId="6B970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276896C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53B369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106°11′36.228″</w:t>
            </w:r>
          </w:p>
        </w:tc>
        <w:tc>
          <w:tcPr>
            <w:tcW w:w="1447" w:type="dxa"/>
            <w:noWrap w:val="0"/>
            <w:vAlign w:val="center"/>
          </w:tcPr>
          <w:p w14:paraId="5DCCA0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36°0′6.966″</w:t>
            </w:r>
          </w:p>
        </w:tc>
        <w:tc>
          <w:tcPr>
            <w:tcW w:w="1071" w:type="dxa"/>
            <w:noWrap w:val="0"/>
            <w:vAlign w:val="center"/>
          </w:tcPr>
          <w:p w14:paraId="4DF51B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苦井村</w:t>
            </w:r>
          </w:p>
        </w:tc>
        <w:tc>
          <w:tcPr>
            <w:tcW w:w="1725" w:type="dxa"/>
            <w:noWrap w:val="0"/>
            <w:vAlign w:val="center"/>
          </w:tcPr>
          <w:p w14:paraId="47F376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居民，约1200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02409C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201BCA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E</w:t>
            </w:r>
          </w:p>
        </w:tc>
        <w:tc>
          <w:tcPr>
            <w:tcW w:w="1037" w:type="dxa"/>
            <w:noWrap w:val="0"/>
            <w:vAlign w:val="center"/>
          </w:tcPr>
          <w:p w14:paraId="5E63EA6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650</w:t>
            </w:r>
          </w:p>
        </w:tc>
      </w:tr>
      <w:tr w14:paraId="604E6F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40B0D06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161346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106°12′1.367″</w:t>
            </w:r>
          </w:p>
        </w:tc>
        <w:tc>
          <w:tcPr>
            <w:tcW w:w="1447" w:type="dxa"/>
            <w:noWrap w:val="0"/>
            <w:vAlign w:val="center"/>
          </w:tcPr>
          <w:p w14:paraId="1BDE24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36°0′19.591″</w:t>
            </w:r>
          </w:p>
        </w:tc>
        <w:tc>
          <w:tcPr>
            <w:tcW w:w="1071" w:type="dxa"/>
            <w:noWrap w:val="0"/>
            <w:vAlign w:val="center"/>
          </w:tcPr>
          <w:p w14:paraId="6A16FD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下苦井儿</w:t>
            </w:r>
          </w:p>
        </w:tc>
        <w:tc>
          <w:tcPr>
            <w:tcW w:w="1725" w:type="dxa"/>
            <w:noWrap w:val="0"/>
            <w:vAlign w:val="center"/>
          </w:tcPr>
          <w:p w14:paraId="214620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居民，约500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6B8B54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3BE29B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E</w:t>
            </w:r>
          </w:p>
        </w:tc>
        <w:tc>
          <w:tcPr>
            <w:tcW w:w="1037" w:type="dxa"/>
            <w:noWrap w:val="0"/>
            <w:vAlign w:val="center"/>
          </w:tcPr>
          <w:p w14:paraId="54B55A3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1260</w:t>
            </w:r>
          </w:p>
        </w:tc>
      </w:tr>
      <w:tr w14:paraId="4F9D1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4E6DE70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7E9E51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106°12′20.839″</w:t>
            </w:r>
          </w:p>
        </w:tc>
        <w:tc>
          <w:tcPr>
            <w:tcW w:w="1447" w:type="dxa"/>
            <w:noWrap w:val="0"/>
            <w:vAlign w:val="center"/>
          </w:tcPr>
          <w:p w14:paraId="180A5C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35°59′9.687″</w:t>
            </w:r>
          </w:p>
        </w:tc>
        <w:tc>
          <w:tcPr>
            <w:tcW w:w="1071" w:type="dxa"/>
            <w:noWrap w:val="0"/>
            <w:vAlign w:val="center"/>
          </w:tcPr>
          <w:p w14:paraId="01E60F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深沟村</w:t>
            </w:r>
          </w:p>
        </w:tc>
        <w:tc>
          <w:tcPr>
            <w:tcW w:w="1725" w:type="dxa"/>
            <w:noWrap w:val="0"/>
            <w:vAlign w:val="center"/>
          </w:tcPr>
          <w:p w14:paraId="245A2F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居民，约2800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0F49FC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0ADD5A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SE</w:t>
            </w:r>
          </w:p>
        </w:tc>
        <w:tc>
          <w:tcPr>
            <w:tcW w:w="1037" w:type="dxa"/>
            <w:noWrap w:val="0"/>
            <w:vAlign w:val="center"/>
          </w:tcPr>
          <w:p w14:paraId="66FD514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2280</w:t>
            </w:r>
          </w:p>
        </w:tc>
      </w:tr>
      <w:tr w14:paraId="188D5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22D801C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79C048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106°10′34.932″</w:t>
            </w:r>
          </w:p>
        </w:tc>
        <w:tc>
          <w:tcPr>
            <w:tcW w:w="1447" w:type="dxa"/>
            <w:noWrap w:val="0"/>
            <w:vAlign w:val="center"/>
          </w:tcPr>
          <w:p w14:paraId="4185D1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36°1′27.187″</w:t>
            </w:r>
          </w:p>
        </w:tc>
        <w:tc>
          <w:tcPr>
            <w:tcW w:w="1071" w:type="dxa"/>
            <w:noWrap w:val="0"/>
            <w:vAlign w:val="center"/>
          </w:tcPr>
          <w:p w14:paraId="77C875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中河村</w:t>
            </w:r>
          </w:p>
        </w:tc>
        <w:tc>
          <w:tcPr>
            <w:tcW w:w="1725" w:type="dxa"/>
            <w:noWrap w:val="0"/>
            <w:vAlign w:val="center"/>
          </w:tcPr>
          <w:p w14:paraId="40D55C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居民，约3200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13D88A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4B832D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NW</w:t>
            </w:r>
          </w:p>
        </w:tc>
        <w:tc>
          <w:tcPr>
            <w:tcW w:w="1037" w:type="dxa"/>
            <w:noWrap w:val="0"/>
            <w:vAlign w:val="center"/>
          </w:tcPr>
          <w:p w14:paraId="4BB9508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1900</w:t>
            </w:r>
          </w:p>
        </w:tc>
      </w:tr>
      <w:tr w14:paraId="5EC10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7662F37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5D1F3F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106°11′26.090″</w:t>
            </w:r>
          </w:p>
        </w:tc>
        <w:tc>
          <w:tcPr>
            <w:tcW w:w="1447" w:type="dxa"/>
            <w:noWrap w:val="0"/>
            <w:vAlign w:val="center"/>
          </w:tcPr>
          <w:p w14:paraId="64566F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36°1′32.479″</w:t>
            </w:r>
          </w:p>
        </w:tc>
        <w:tc>
          <w:tcPr>
            <w:tcW w:w="1071" w:type="dxa"/>
            <w:noWrap w:val="0"/>
            <w:vAlign w:val="center"/>
          </w:tcPr>
          <w:p w14:paraId="5A7CD6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大营城</w:t>
            </w:r>
          </w:p>
        </w:tc>
        <w:tc>
          <w:tcPr>
            <w:tcW w:w="1725" w:type="dxa"/>
            <w:noWrap w:val="0"/>
            <w:vAlign w:val="center"/>
          </w:tcPr>
          <w:p w14:paraId="626D11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707" w:type="dxa"/>
            <w:vMerge w:val="continue"/>
            <w:noWrap w:val="0"/>
            <w:vAlign w:val="center"/>
          </w:tcPr>
          <w:p w14:paraId="6EE46B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09DFDF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N</w:t>
            </w:r>
          </w:p>
        </w:tc>
        <w:tc>
          <w:tcPr>
            <w:tcW w:w="1037" w:type="dxa"/>
            <w:noWrap w:val="0"/>
            <w:vAlign w:val="center"/>
          </w:tcPr>
          <w:p w14:paraId="58B87B6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2300</w:t>
            </w:r>
          </w:p>
        </w:tc>
      </w:tr>
      <w:tr w14:paraId="1C874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4AB9F6C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017094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106°12′24.798″</w:t>
            </w:r>
          </w:p>
        </w:tc>
        <w:tc>
          <w:tcPr>
            <w:tcW w:w="1447" w:type="dxa"/>
            <w:noWrap w:val="0"/>
            <w:vAlign w:val="center"/>
          </w:tcPr>
          <w:p w14:paraId="4CA691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36°1′29.698″</w:t>
            </w:r>
          </w:p>
        </w:tc>
        <w:tc>
          <w:tcPr>
            <w:tcW w:w="1071" w:type="dxa"/>
            <w:noWrap w:val="0"/>
            <w:vAlign w:val="center"/>
          </w:tcPr>
          <w:p w14:paraId="55F339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庙湾村</w:t>
            </w:r>
          </w:p>
        </w:tc>
        <w:tc>
          <w:tcPr>
            <w:tcW w:w="1725" w:type="dxa"/>
            <w:noWrap w:val="0"/>
            <w:vAlign w:val="center"/>
          </w:tcPr>
          <w:p w14:paraId="02D04C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居民，约3500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20170F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217F15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NE</w:t>
            </w:r>
          </w:p>
        </w:tc>
        <w:tc>
          <w:tcPr>
            <w:tcW w:w="1037" w:type="dxa"/>
            <w:noWrap w:val="0"/>
            <w:vAlign w:val="center"/>
          </w:tcPr>
          <w:p w14:paraId="7F74E91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2200</w:t>
            </w:r>
          </w:p>
        </w:tc>
      </w:tr>
      <w:tr w14:paraId="342C2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03F2033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21557D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106°9′42.424″</w:t>
            </w:r>
          </w:p>
        </w:tc>
        <w:tc>
          <w:tcPr>
            <w:tcW w:w="1447" w:type="dxa"/>
            <w:noWrap w:val="0"/>
            <w:vAlign w:val="center"/>
          </w:tcPr>
          <w:p w14:paraId="6F0C04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35°59′35.371″</w:t>
            </w:r>
          </w:p>
        </w:tc>
        <w:tc>
          <w:tcPr>
            <w:tcW w:w="1071" w:type="dxa"/>
            <w:noWrap w:val="0"/>
            <w:vAlign w:val="center"/>
          </w:tcPr>
          <w:p w14:paraId="7ED89E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后磨河</w:t>
            </w:r>
          </w:p>
        </w:tc>
        <w:tc>
          <w:tcPr>
            <w:tcW w:w="1725" w:type="dxa"/>
            <w:noWrap w:val="0"/>
            <w:vAlign w:val="center"/>
          </w:tcPr>
          <w:p w14:paraId="7C3317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居民，约120</w:t>
            </w:r>
            <w:r>
              <w:rPr>
                <w:rFonts w:hint="eastAsia" w:eastAsia="宋体" w:cs="Times New Roman"/>
                <w:color w:val="auto"/>
                <w:spacing w:val="-1"/>
                <w:sz w:val="21"/>
                <w:szCs w:val="21"/>
                <w:highlight w:val="none"/>
                <w:lang w:val="en-US" w:eastAsia="zh-CN"/>
              </w:rPr>
              <w:t>户</w:t>
            </w:r>
          </w:p>
        </w:tc>
        <w:tc>
          <w:tcPr>
            <w:tcW w:w="707" w:type="dxa"/>
            <w:vMerge w:val="continue"/>
            <w:noWrap w:val="0"/>
            <w:vAlign w:val="center"/>
          </w:tcPr>
          <w:p w14:paraId="7D7D99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506124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SW</w:t>
            </w:r>
          </w:p>
        </w:tc>
        <w:tc>
          <w:tcPr>
            <w:tcW w:w="1037" w:type="dxa"/>
            <w:noWrap w:val="0"/>
            <w:vAlign w:val="center"/>
          </w:tcPr>
          <w:p w14:paraId="56115E2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2479</w:t>
            </w:r>
          </w:p>
        </w:tc>
      </w:tr>
      <w:tr w14:paraId="0C304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2" w:type="dxa"/>
            <w:vMerge w:val="continue"/>
            <w:noWrap w:val="0"/>
            <w:vAlign w:val="center"/>
          </w:tcPr>
          <w:p w14:paraId="006ADD9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81" w:type="dxa"/>
            <w:noWrap w:val="0"/>
            <w:vAlign w:val="center"/>
          </w:tcPr>
          <w:p w14:paraId="441F62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106°12′39.841″</w:t>
            </w:r>
          </w:p>
        </w:tc>
        <w:tc>
          <w:tcPr>
            <w:tcW w:w="1447" w:type="dxa"/>
            <w:noWrap w:val="0"/>
            <w:vAlign w:val="center"/>
          </w:tcPr>
          <w:p w14:paraId="6DE24F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36°0′34.195″</w:t>
            </w:r>
          </w:p>
        </w:tc>
        <w:tc>
          <w:tcPr>
            <w:tcW w:w="1071" w:type="dxa"/>
            <w:noWrap w:val="0"/>
            <w:vAlign w:val="center"/>
          </w:tcPr>
          <w:p w14:paraId="4A4DDB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长城村</w:t>
            </w:r>
          </w:p>
        </w:tc>
        <w:tc>
          <w:tcPr>
            <w:tcW w:w="1725" w:type="dxa"/>
            <w:noWrap w:val="0"/>
            <w:vAlign w:val="center"/>
          </w:tcPr>
          <w:p w14:paraId="347BDD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居民，约150户</w:t>
            </w:r>
          </w:p>
        </w:tc>
        <w:tc>
          <w:tcPr>
            <w:tcW w:w="707" w:type="dxa"/>
            <w:vMerge w:val="continue"/>
            <w:noWrap w:val="0"/>
            <w:vAlign w:val="center"/>
          </w:tcPr>
          <w:p w14:paraId="3B2A3E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688" w:type="dxa"/>
            <w:noWrap w:val="0"/>
            <w:vAlign w:val="center"/>
          </w:tcPr>
          <w:p w14:paraId="33155B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E</w:t>
            </w:r>
          </w:p>
        </w:tc>
        <w:tc>
          <w:tcPr>
            <w:tcW w:w="1037" w:type="dxa"/>
            <w:noWrap w:val="0"/>
            <w:vAlign w:val="center"/>
          </w:tcPr>
          <w:p w14:paraId="6EE800F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1920</w:t>
            </w:r>
          </w:p>
        </w:tc>
      </w:tr>
    </w:tbl>
    <w:p w14:paraId="40374AA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r>
        <w:rPr>
          <w:rFonts w:hint="default" w:ascii="Times New Roman" w:hAnsi="Times New Roman" w:eastAsia="黑体" w:cs="Times New Roman"/>
          <w:b/>
          <w:color w:val="auto"/>
          <w:sz w:val="28"/>
          <w:szCs w:val="28"/>
          <w:highlight w:val="none"/>
        </w:rPr>
        <w:t>1.6.2地表水环境保护目标</w:t>
      </w:r>
      <w:bookmarkEnd w:id="238"/>
    </w:p>
    <w:p w14:paraId="24BFC35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本项目所在区域主要地表水体为</w:t>
      </w:r>
      <w:r>
        <w:rPr>
          <w:rFonts w:hint="eastAsia" w:cs="Times New Roman"/>
          <w:color w:val="auto"/>
          <w:sz w:val="24"/>
          <w:highlight w:val="none"/>
          <w:lang w:val="en-US" w:eastAsia="zh-CN"/>
        </w:rPr>
        <w:t>潘家庄水库</w:t>
      </w:r>
      <w:r>
        <w:rPr>
          <w:rFonts w:hint="default" w:ascii="Times New Roman" w:hAnsi="Times New Roman" w:eastAsia="仿宋_GB2312" w:cs="Times New Roman"/>
          <w:color w:val="auto"/>
          <w:sz w:val="24"/>
          <w:highlight w:val="none"/>
        </w:rPr>
        <w:t>和</w:t>
      </w:r>
      <w:r>
        <w:rPr>
          <w:rFonts w:hint="eastAsia" w:cs="Times New Roman"/>
          <w:color w:val="auto"/>
          <w:sz w:val="24"/>
          <w:highlight w:val="none"/>
          <w:lang w:val="en-US" w:eastAsia="zh-CN"/>
        </w:rPr>
        <w:t>大营河</w:t>
      </w:r>
      <w:r>
        <w:rPr>
          <w:rFonts w:hint="default" w:ascii="Times New Roman" w:hAnsi="Times New Roman" w:eastAsia="仿宋_GB2312" w:cs="Times New Roman"/>
          <w:color w:val="auto"/>
          <w:sz w:val="24"/>
          <w:highlight w:val="none"/>
        </w:rPr>
        <w:t>。项目地表水环境保护目标见表1.</w:t>
      </w:r>
      <w:r>
        <w:rPr>
          <w:rFonts w:hint="eastAsia" w:cs="Times New Roman"/>
          <w:color w:val="auto"/>
          <w:sz w:val="24"/>
          <w:highlight w:val="none"/>
          <w:lang w:val="en-US" w:eastAsia="zh-CN"/>
        </w:rPr>
        <w:t>6</w:t>
      </w:r>
      <w:r>
        <w:rPr>
          <w:rFonts w:hint="default" w:ascii="Times New Roman" w:hAnsi="Times New Roman" w:eastAsia="仿宋_GB2312" w:cs="Times New Roman"/>
          <w:color w:val="auto"/>
          <w:sz w:val="24"/>
          <w:highlight w:val="none"/>
        </w:rPr>
        <w:t>-</w:t>
      </w:r>
      <w:r>
        <w:rPr>
          <w:rFonts w:hint="eastAsia" w:cs="Times New Roman"/>
          <w:color w:val="auto"/>
          <w:sz w:val="24"/>
          <w:highlight w:val="none"/>
          <w:lang w:val="en-US" w:eastAsia="zh-CN"/>
        </w:rPr>
        <w:t>2，图1.5-2</w:t>
      </w:r>
      <w:r>
        <w:rPr>
          <w:rFonts w:hint="default" w:ascii="Times New Roman" w:hAnsi="Times New Roman" w:eastAsia="仿宋_GB2312" w:cs="Times New Roman"/>
          <w:color w:val="auto"/>
          <w:sz w:val="24"/>
          <w:highlight w:val="none"/>
        </w:rPr>
        <w:t>。</w:t>
      </w:r>
      <w:bookmarkStart w:id="239" w:name="_Toc20658"/>
      <w:bookmarkStart w:id="240" w:name="_Toc674"/>
    </w:p>
    <w:p w14:paraId="1B909562">
      <w:pPr>
        <w:pStyle w:val="40"/>
        <w:pageBreakBefore w:val="0"/>
        <w:widowControl w:val="0"/>
        <w:kinsoku/>
        <w:wordWrap/>
        <w:topLinePunct w:val="0"/>
        <w:bidi w:val="0"/>
        <w:adjustRightInd/>
        <w:snapToGrid/>
        <w:spacing w:line="240" w:lineRule="auto"/>
        <w:ind w:left="0" w:leftChars="0" w:firstLine="420"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sz w:val="21"/>
          <w:szCs w:val="21"/>
          <w:highlight w:val="none"/>
        </w:rPr>
        <w:t>表1.6-2</w:t>
      </w:r>
      <w:r>
        <w:rPr>
          <w:rFonts w:hint="default" w:ascii="Times New Roman" w:hAnsi="Times New Roman" w:eastAsia="宋体" w:cs="Times New Roman"/>
          <w:b/>
          <w:color w:val="auto"/>
          <w:highlight w:val="none"/>
        </w:rPr>
        <w:t xml:space="preserve">  </w:t>
      </w:r>
      <w:r>
        <w:rPr>
          <w:rFonts w:hint="eastAsia" w:asci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项目地表水环境保护目标一览表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422"/>
        <w:gridCol w:w="1486"/>
        <w:gridCol w:w="2644"/>
        <w:gridCol w:w="951"/>
        <w:gridCol w:w="1259"/>
      </w:tblGrid>
      <w:tr w14:paraId="1DB69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pct"/>
            <w:noWrap w:val="0"/>
            <w:vAlign w:val="center"/>
          </w:tcPr>
          <w:p w14:paraId="6461E08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环境要素</w:t>
            </w:r>
          </w:p>
        </w:tc>
        <w:tc>
          <w:tcPr>
            <w:tcW w:w="794" w:type="pct"/>
            <w:noWrap w:val="0"/>
            <w:vAlign w:val="center"/>
          </w:tcPr>
          <w:p w14:paraId="6B905C1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保护目标</w:t>
            </w:r>
          </w:p>
        </w:tc>
        <w:tc>
          <w:tcPr>
            <w:tcW w:w="830" w:type="pct"/>
            <w:noWrap w:val="0"/>
            <w:vAlign w:val="center"/>
          </w:tcPr>
          <w:p w14:paraId="755DED7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保护内容</w:t>
            </w:r>
          </w:p>
        </w:tc>
        <w:tc>
          <w:tcPr>
            <w:tcW w:w="1477" w:type="pct"/>
            <w:noWrap w:val="0"/>
            <w:vAlign w:val="center"/>
          </w:tcPr>
          <w:p w14:paraId="1181E51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环境功能区</w:t>
            </w:r>
          </w:p>
        </w:tc>
        <w:tc>
          <w:tcPr>
            <w:tcW w:w="531" w:type="pct"/>
            <w:noWrap w:val="0"/>
            <w:vAlign w:val="center"/>
          </w:tcPr>
          <w:p w14:paraId="5B58C55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703" w:type="pct"/>
            <w:noWrap w:val="0"/>
            <w:vAlign w:val="center"/>
          </w:tcPr>
          <w:p w14:paraId="2A824C8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距厂界最近距离/m</w:t>
            </w:r>
          </w:p>
        </w:tc>
      </w:tr>
      <w:tr w14:paraId="59B1A0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pct"/>
            <w:vMerge w:val="restart"/>
            <w:noWrap w:val="0"/>
            <w:vAlign w:val="center"/>
          </w:tcPr>
          <w:p w14:paraId="71815A4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794" w:type="pct"/>
            <w:noWrap w:val="0"/>
            <w:vAlign w:val="center"/>
          </w:tcPr>
          <w:p w14:paraId="2ECA28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潘家庄水库</w:t>
            </w:r>
          </w:p>
        </w:tc>
        <w:tc>
          <w:tcPr>
            <w:tcW w:w="830" w:type="pct"/>
            <w:noWrap w:val="0"/>
            <w:vAlign w:val="center"/>
          </w:tcPr>
          <w:p w14:paraId="58F660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地表水体</w:t>
            </w:r>
          </w:p>
        </w:tc>
        <w:tc>
          <w:tcPr>
            <w:tcW w:w="1477" w:type="pct"/>
            <w:vMerge w:val="restart"/>
            <w:noWrap w:val="0"/>
            <w:vAlign w:val="center"/>
          </w:tcPr>
          <w:p w14:paraId="2C351F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《地表水环境质量标准》（GB3838-2002）Ⅳ类标准</w:t>
            </w:r>
          </w:p>
        </w:tc>
        <w:tc>
          <w:tcPr>
            <w:tcW w:w="531" w:type="pct"/>
            <w:noWrap w:val="0"/>
            <w:vAlign w:val="center"/>
          </w:tcPr>
          <w:p w14:paraId="65F166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w:t>
            </w:r>
          </w:p>
        </w:tc>
        <w:tc>
          <w:tcPr>
            <w:tcW w:w="703" w:type="pct"/>
            <w:noWrap w:val="0"/>
            <w:vAlign w:val="center"/>
          </w:tcPr>
          <w:p w14:paraId="71B5D40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ascii="Times New Roman" w:eastAsia="宋体" w:cs="Times New Roman"/>
                <w:color w:val="auto"/>
                <w:sz w:val="21"/>
                <w:szCs w:val="21"/>
                <w:highlight w:val="none"/>
                <w:lang w:val="en-US" w:eastAsia="zh-CN"/>
              </w:rPr>
              <w:t>476</w:t>
            </w:r>
          </w:p>
        </w:tc>
      </w:tr>
      <w:tr w14:paraId="778B5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pct"/>
            <w:vMerge w:val="continue"/>
            <w:noWrap w:val="0"/>
            <w:vAlign w:val="center"/>
          </w:tcPr>
          <w:p w14:paraId="05C9347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794" w:type="pct"/>
            <w:noWrap w:val="0"/>
            <w:vAlign w:val="center"/>
          </w:tcPr>
          <w:p w14:paraId="01013F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大营河</w:t>
            </w:r>
          </w:p>
        </w:tc>
        <w:tc>
          <w:tcPr>
            <w:tcW w:w="830" w:type="pct"/>
            <w:noWrap w:val="0"/>
            <w:vAlign w:val="center"/>
          </w:tcPr>
          <w:p w14:paraId="4B0002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地表水体</w:t>
            </w:r>
          </w:p>
        </w:tc>
        <w:tc>
          <w:tcPr>
            <w:tcW w:w="1477" w:type="pct"/>
            <w:vMerge w:val="continue"/>
            <w:noWrap w:val="0"/>
            <w:vAlign w:val="center"/>
          </w:tcPr>
          <w:p w14:paraId="0C8E75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531" w:type="pct"/>
            <w:noWrap w:val="0"/>
            <w:vAlign w:val="center"/>
          </w:tcPr>
          <w:p w14:paraId="16B773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w:t>
            </w:r>
          </w:p>
        </w:tc>
        <w:tc>
          <w:tcPr>
            <w:tcW w:w="703" w:type="pct"/>
            <w:noWrap w:val="0"/>
            <w:vAlign w:val="center"/>
          </w:tcPr>
          <w:p w14:paraId="41903CA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400</w:t>
            </w:r>
          </w:p>
        </w:tc>
      </w:tr>
    </w:tbl>
    <w:p w14:paraId="2F9E0FD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r>
        <w:rPr>
          <w:rFonts w:hint="default" w:ascii="Times New Roman" w:hAnsi="Times New Roman" w:eastAsia="黑体" w:cs="Times New Roman"/>
          <w:b/>
          <w:color w:val="auto"/>
          <w:sz w:val="28"/>
          <w:szCs w:val="28"/>
          <w:highlight w:val="none"/>
        </w:rPr>
        <w:t>1.6.3地下水环境保护目标</w:t>
      </w:r>
      <w:bookmarkEnd w:id="239"/>
      <w:bookmarkEnd w:id="240"/>
    </w:p>
    <w:p w14:paraId="6ACB7E6C">
      <w:pPr>
        <w:pStyle w:val="2"/>
        <w:pageBreakBefore w:val="0"/>
        <w:kinsoku/>
        <w:wordWrap/>
        <w:topLinePunct w:val="0"/>
        <w:bidi w:val="0"/>
        <w:adjustRightInd/>
        <w:snapToGrid/>
        <w:ind w:left="0" w:leftChars="0"/>
        <w:rPr>
          <w:rFonts w:hint="default" w:ascii="Times New Roman" w:hAnsi="Times New Roman" w:eastAsia="仿宋_GB2312" w:cs="Times New Roman"/>
          <w:snapToGrid/>
          <w:color w:val="auto"/>
          <w:kern w:val="2"/>
          <w:sz w:val="24"/>
          <w:szCs w:val="24"/>
          <w:highlight w:val="none"/>
          <w:lang w:val="en-US" w:eastAsia="zh-CN" w:bidi="ar-SA"/>
        </w:rPr>
      </w:pPr>
      <w:r>
        <w:rPr>
          <w:rFonts w:hint="default" w:ascii="Times New Roman" w:hAnsi="Times New Roman" w:eastAsia="仿宋_GB2312" w:cs="Times New Roman"/>
          <w:snapToGrid/>
          <w:color w:val="auto"/>
          <w:kern w:val="2"/>
          <w:sz w:val="24"/>
          <w:szCs w:val="24"/>
          <w:highlight w:val="none"/>
          <w:lang w:val="en-US" w:eastAsia="zh-CN" w:bidi="ar-SA"/>
        </w:rPr>
        <w:t>根据《环境影响评价技术导则 地下水环境》（HJ610-2016）中地下水保护目标：潜水含水层和可能受建设项目影响且具有饮用水开发利用价值的含水层，集中式饮用水水源和分散式饮用水源地，以及建设项目环境影响评价分类管理名录中所界定的涉及地下水的环境敏感区。</w:t>
      </w:r>
    </w:p>
    <w:p w14:paraId="740E28A8">
      <w:pPr>
        <w:pStyle w:val="2"/>
        <w:pageBreakBefore w:val="0"/>
        <w:kinsoku/>
        <w:wordWrap/>
        <w:topLinePunct w:val="0"/>
        <w:bidi w:val="0"/>
        <w:adjustRightInd/>
        <w:snapToGrid/>
        <w:ind w:left="0" w:leftChars="0"/>
        <w:rPr>
          <w:rFonts w:hint="default" w:ascii="Times New Roman" w:hAnsi="Times New Roman" w:eastAsia="仿宋_GB2312" w:cs="Times New Roman"/>
          <w:color w:val="auto"/>
        </w:rPr>
      </w:pPr>
      <w:r>
        <w:rPr>
          <w:rFonts w:hint="default" w:ascii="Times New Roman" w:hAnsi="Times New Roman" w:eastAsia="仿宋_GB2312" w:cs="Times New Roman"/>
          <w:snapToGrid/>
          <w:color w:val="auto"/>
          <w:kern w:val="2"/>
          <w:sz w:val="24"/>
          <w:szCs w:val="24"/>
          <w:highlight w:val="none"/>
          <w:lang w:val="en-US" w:eastAsia="zh-CN" w:bidi="ar-SA"/>
        </w:rPr>
        <w:t>地下水环境保护目标为评价范围内的潜水含水层，保护要求执行《地下水质量标准》（GB/T14848-2017）中Ⅲ类标准。</w:t>
      </w:r>
    </w:p>
    <w:p w14:paraId="70880F1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黑体" w:cs="Times New Roman"/>
          <w:b/>
          <w:color w:val="auto"/>
          <w:sz w:val="28"/>
          <w:szCs w:val="28"/>
          <w:highlight w:val="none"/>
        </w:rPr>
      </w:pPr>
      <w:bookmarkStart w:id="241" w:name="_Toc11385"/>
      <w:bookmarkStart w:id="242" w:name="_Toc10063"/>
      <w:r>
        <w:rPr>
          <w:rFonts w:hint="default" w:ascii="Times New Roman" w:hAnsi="Times New Roman" w:eastAsia="黑体" w:cs="Times New Roman"/>
          <w:b/>
          <w:color w:val="auto"/>
          <w:sz w:val="28"/>
          <w:szCs w:val="28"/>
          <w:highlight w:val="none"/>
        </w:rPr>
        <w:t>1.6.4声环境保护目标</w:t>
      </w:r>
      <w:bookmarkEnd w:id="241"/>
      <w:bookmarkEnd w:id="242"/>
    </w:p>
    <w:p w14:paraId="457C2EDA">
      <w:pPr>
        <w:pageBreakBefore w:val="0"/>
        <w:widowControl w:val="0"/>
        <w:kinsoku/>
        <w:wordWrap/>
        <w:topLinePunct w:val="0"/>
        <w:bidi w:val="0"/>
        <w:adjustRightInd/>
        <w:snapToGrid/>
        <w:spacing w:line="360" w:lineRule="auto"/>
        <w:ind w:left="0" w:leftChars="0" w:firstLine="480" w:firstLine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本项目</w:t>
      </w:r>
      <w:r>
        <w:rPr>
          <w:rFonts w:hint="eastAsia" w:cs="Times New Roman"/>
          <w:color w:val="auto"/>
          <w:sz w:val="24"/>
          <w:highlight w:val="none"/>
          <w:lang w:val="en-US" w:eastAsia="zh-CN"/>
        </w:rPr>
        <w:t>所在区域</w:t>
      </w:r>
      <w:r>
        <w:rPr>
          <w:rFonts w:hint="default" w:ascii="Times New Roman" w:hAnsi="Times New Roman" w:eastAsia="仿宋_GB2312" w:cs="Times New Roman"/>
          <w:color w:val="auto"/>
          <w:sz w:val="24"/>
          <w:highlight w:val="none"/>
        </w:rPr>
        <w:t>声环境评价范围内环境保护目标</w:t>
      </w:r>
      <w:r>
        <w:rPr>
          <w:rFonts w:hint="eastAsia" w:cs="Times New Roman"/>
          <w:color w:val="auto"/>
          <w:sz w:val="24"/>
          <w:highlight w:val="none"/>
          <w:lang w:val="en-US" w:eastAsia="zh-CN"/>
        </w:rPr>
        <w:t>主要为油坊沟村，具体见表1.6-3，图1.5-2</w:t>
      </w:r>
      <w:r>
        <w:rPr>
          <w:rFonts w:hint="default" w:ascii="Times New Roman" w:hAnsi="Times New Roman" w:eastAsia="仿宋_GB2312" w:cs="Times New Roman"/>
          <w:color w:val="auto"/>
          <w:sz w:val="24"/>
          <w:highlight w:val="none"/>
        </w:rPr>
        <w:t>。</w:t>
      </w:r>
    </w:p>
    <w:p w14:paraId="666C55C6">
      <w:pPr>
        <w:pStyle w:val="40"/>
        <w:pageBreakBefore w:val="0"/>
        <w:widowControl w:val="0"/>
        <w:kinsoku/>
        <w:wordWrap/>
        <w:topLinePunct w:val="0"/>
        <w:bidi w:val="0"/>
        <w:adjustRightInd/>
        <w:snapToGrid/>
        <w:spacing w:line="240" w:lineRule="auto"/>
        <w:ind w:left="0" w:leftChars="0" w:firstLine="420"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sz w:val="21"/>
          <w:szCs w:val="21"/>
          <w:highlight w:val="none"/>
        </w:rPr>
        <w:t>表1.6-1</w:t>
      </w:r>
      <w:r>
        <w:rPr>
          <w:rFonts w:hint="default" w:ascii="Times New Roman" w:hAnsi="Times New Roman" w:eastAsia="宋体" w:cs="Times New Roman"/>
          <w:b/>
          <w:color w:val="auto"/>
          <w:highlight w:val="none"/>
        </w:rPr>
        <w:t xml:space="preserve"> </w:t>
      </w:r>
      <w:r>
        <w:rPr>
          <w:rFonts w:hint="eastAsia" w:asci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 xml:space="preserve"> </w:t>
      </w:r>
      <w:r>
        <w:rPr>
          <w:rFonts w:hint="eastAsia" w:asci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项目</w:t>
      </w:r>
      <w:r>
        <w:rPr>
          <w:rFonts w:hint="eastAsia" w:ascii="Times New Roman" w:eastAsia="宋体" w:cs="Times New Roman"/>
          <w:b/>
          <w:color w:val="auto"/>
          <w:highlight w:val="none"/>
          <w:lang w:val="en-US" w:eastAsia="zh-CN"/>
        </w:rPr>
        <w:t>声</w:t>
      </w:r>
      <w:r>
        <w:rPr>
          <w:rFonts w:hint="default" w:ascii="Times New Roman" w:hAnsi="Times New Roman" w:eastAsia="宋体" w:cs="Times New Roman"/>
          <w:b/>
          <w:color w:val="auto"/>
          <w:highlight w:val="none"/>
        </w:rPr>
        <w:t>环境保护目标一览表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2"/>
        <w:gridCol w:w="871"/>
        <w:gridCol w:w="786"/>
        <w:gridCol w:w="1037"/>
        <w:gridCol w:w="1391"/>
        <w:gridCol w:w="2389"/>
        <w:gridCol w:w="745"/>
        <w:gridCol w:w="1037"/>
      </w:tblGrid>
      <w:tr w14:paraId="0F2EB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79" w:type="dxa"/>
            <w:vMerge w:val="restart"/>
            <w:noWrap w:val="0"/>
            <w:vAlign w:val="center"/>
          </w:tcPr>
          <w:p w14:paraId="74DA6B2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w:t>
            </w:r>
          </w:p>
          <w:p w14:paraId="6063B25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要素</w:t>
            </w:r>
          </w:p>
        </w:tc>
        <w:tc>
          <w:tcPr>
            <w:tcW w:w="1625" w:type="dxa"/>
            <w:gridSpan w:val="2"/>
            <w:noWrap w:val="0"/>
            <w:vAlign w:val="center"/>
          </w:tcPr>
          <w:p w14:paraId="20BECE4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snapToGrid w:val="0"/>
                <w:color w:val="auto"/>
                <w:kern w:val="0"/>
                <w:sz w:val="21"/>
                <w:szCs w:val="21"/>
                <w:highlight w:val="none"/>
              </w:rPr>
              <w:t>坐标（经纬度）</w:t>
            </w:r>
          </w:p>
        </w:tc>
        <w:tc>
          <w:tcPr>
            <w:tcW w:w="1016" w:type="dxa"/>
            <w:vMerge w:val="restart"/>
            <w:noWrap w:val="0"/>
            <w:vAlign w:val="center"/>
          </w:tcPr>
          <w:p w14:paraId="0D434CE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保护对象</w:t>
            </w:r>
          </w:p>
        </w:tc>
        <w:tc>
          <w:tcPr>
            <w:tcW w:w="1363" w:type="dxa"/>
            <w:vMerge w:val="restart"/>
            <w:noWrap w:val="0"/>
            <w:vAlign w:val="center"/>
          </w:tcPr>
          <w:p w14:paraId="1143561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保护内容</w:t>
            </w:r>
          </w:p>
        </w:tc>
        <w:tc>
          <w:tcPr>
            <w:tcW w:w="2341" w:type="dxa"/>
            <w:vMerge w:val="restart"/>
            <w:noWrap w:val="0"/>
            <w:vAlign w:val="center"/>
          </w:tcPr>
          <w:p w14:paraId="525BF2A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eastAsia" w:ascii="Times New Roman" w:eastAsia="宋体" w:cs="Times New Roman"/>
                <w:b/>
                <w:color w:val="auto"/>
                <w:sz w:val="21"/>
                <w:szCs w:val="21"/>
                <w:highlight w:val="none"/>
                <w:lang w:val="en-US" w:eastAsia="zh-CN"/>
              </w:rPr>
              <w:t>声</w:t>
            </w:r>
            <w:r>
              <w:rPr>
                <w:rFonts w:hint="default" w:ascii="Times New Roman" w:hAnsi="Times New Roman" w:eastAsia="宋体" w:cs="Times New Roman"/>
                <w:b/>
                <w:color w:val="auto"/>
                <w:sz w:val="21"/>
                <w:szCs w:val="21"/>
                <w:highlight w:val="none"/>
              </w:rPr>
              <w:t>环境</w:t>
            </w:r>
          </w:p>
          <w:p w14:paraId="57F9055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功能区</w:t>
            </w:r>
          </w:p>
        </w:tc>
        <w:tc>
          <w:tcPr>
            <w:tcW w:w="730" w:type="dxa"/>
            <w:vMerge w:val="restart"/>
            <w:noWrap w:val="0"/>
            <w:vAlign w:val="center"/>
          </w:tcPr>
          <w:p w14:paraId="5C6A333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016" w:type="dxa"/>
            <w:vMerge w:val="restart"/>
            <w:noWrap w:val="0"/>
            <w:vAlign w:val="center"/>
          </w:tcPr>
          <w:p w14:paraId="4ECDBC8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距厂界最近距离/m</w:t>
            </w:r>
          </w:p>
        </w:tc>
      </w:tr>
      <w:tr w14:paraId="5ED27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79" w:type="dxa"/>
            <w:vMerge w:val="continue"/>
            <w:tcBorders>
              <w:bottom w:val="single" w:color="auto" w:sz="4" w:space="0"/>
            </w:tcBorders>
            <w:noWrap w:val="0"/>
            <w:vAlign w:val="center"/>
          </w:tcPr>
          <w:p w14:paraId="1C62BE3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855" w:type="dxa"/>
            <w:noWrap w:val="0"/>
            <w:vAlign w:val="center"/>
          </w:tcPr>
          <w:p w14:paraId="57779E7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770" w:type="dxa"/>
            <w:noWrap w:val="0"/>
            <w:vAlign w:val="center"/>
          </w:tcPr>
          <w:p w14:paraId="0346F6B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1016" w:type="dxa"/>
            <w:vMerge w:val="continue"/>
            <w:noWrap w:val="0"/>
            <w:vAlign w:val="center"/>
          </w:tcPr>
          <w:p w14:paraId="320A1E8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1363" w:type="dxa"/>
            <w:vMerge w:val="continue"/>
            <w:noWrap w:val="0"/>
            <w:vAlign w:val="center"/>
          </w:tcPr>
          <w:p w14:paraId="70CA029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2341" w:type="dxa"/>
            <w:vMerge w:val="continue"/>
            <w:noWrap w:val="0"/>
            <w:vAlign w:val="center"/>
          </w:tcPr>
          <w:p w14:paraId="4FDE679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730" w:type="dxa"/>
            <w:vMerge w:val="continue"/>
            <w:noWrap w:val="0"/>
            <w:vAlign w:val="center"/>
          </w:tcPr>
          <w:p w14:paraId="7E639B2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1016" w:type="dxa"/>
            <w:vMerge w:val="continue"/>
            <w:noWrap w:val="0"/>
            <w:vAlign w:val="center"/>
          </w:tcPr>
          <w:p w14:paraId="76F0255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r>
      <w:tr w14:paraId="3A926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79" w:type="dxa"/>
            <w:tcBorders>
              <w:top w:val="single" w:color="auto" w:sz="4" w:space="0"/>
            </w:tcBorders>
            <w:noWrap w:val="0"/>
            <w:vAlign w:val="center"/>
          </w:tcPr>
          <w:p w14:paraId="38F1D21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eastAsia="宋体" w:cs="Times New Roman"/>
                <w:color w:val="auto"/>
                <w:sz w:val="21"/>
                <w:szCs w:val="21"/>
                <w:highlight w:val="none"/>
                <w:lang w:val="en-US" w:eastAsia="zh-CN"/>
              </w:rPr>
              <w:t>声</w:t>
            </w:r>
            <w:r>
              <w:rPr>
                <w:rFonts w:hint="default" w:ascii="Times New Roman" w:hAnsi="Times New Roman" w:eastAsia="宋体" w:cs="Times New Roman"/>
                <w:color w:val="auto"/>
                <w:sz w:val="21"/>
                <w:szCs w:val="21"/>
                <w:highlight w:val="none"/>
              </w:rPr>
              <w:t>环境</w:t>
            </w:r>
          </w:p>
        </w:tc>
        <w:tc>
          <w:tcPr>
            <w:tcW w:w="855" w:type="dxa"/>
            <w:noWrap w:val="0"/>
            <w:vAlign w:val="center"/>
          </w:tcPr>
          <w:p w14:paraId="4590A9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106°11′2.375″</w:t>
            </w:r>
          </w:p>
        </w:tc>
        <w:tc>
          <w:tcPr>
            <w:tcW w:w="770" w:type="dxa"/>
            <w:noWrap w:val="0"/>
            <w:vAlign w:val="center"/>
          </w:tcPr>
          <w:p w14:paraId="4056F4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36°0′7.738″</w:t>
            </w:r>
          </w:p>
        </w:tc>
        <w:tc>
          <w:tcPr>
            <w:tcW w:w="1016" w:type="dxa"/>
            <w:noWrap w:val="0"/>
            <w:vAlign w:val="center"/>
          </w:tcPr>
          <w:p w14:paraId="1157FB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油坊沟村</w:t>
            </w:r>
          </w:p>
        </w:tc>
        <w:tc>
          <w:tcPr>
            <w:tcW w:w="1363" w:type="dxa"/>
            <w:noWrap w:val="0"/>
            <w:vAlign w:val="center"/>
          </w:tcPr>
          <w:p w14:paraId="34C55F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居民，约40户</w:t>
            </w:r>
          </w:p>
        </w:tc>
        <w:tc>
          <w:tcPr>
            <w:tcW w:w="2341" w:type="dxa"/>
            <w:noWrap w:val="0"/>
            <w:vAlign w:val="center"/>
          </w:tcPr>
          <w:p w14:paraId="128FCD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《声环境质量标准》（GB3096-2008）</w:t>
            </w:r>
            <w:r>
              <w:rPr>
                <w:rFonts w:hint="eastAsia" w:eastAsia="宋体" w:cs="Times New Roman"/>
                <w:color w:val="auto"/>
                <w:spacing w:val="-1"/>
                <w:sz w:val="21"/>
                <w:szCs w:val="21"/>
                <w:highlight w:val="none"/>
                <w:lang w:val="en-US" w:eastAsia="zh-CN"/>
              </w:rPr>
              <w:t>2</w:t>
            </w:r>
            <w:r>
              <w:rPr>
                <w:rFonts w:hint="default" w:ascii="Times New Roman" w:hAnsi="Times New Roman" w:eastAsia="宋体" w:cs="Times New Roman"/>
                <w:color w:val="auto"/>
                <w:spacing w:val="-1"/>
                <w:sz w:val="21"/>
                <w:szCs w:val="21"/>
                <w:highlight w:val="none"/>
              </w:rPr>
              <w:t>类区</w:t>
            </w:r>
          </w:p>
        </w:tc>
        <w:tc>
          <w:tcPr>
            <w:tcW w:w="730" w:type="dxa"/>
            <w:noWrap w:val="0"/>
            <w:vAlign w:val="center"/>
          </w:tcPr>
          <w:p w14:paraId="2D57AF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w:t>
            </w:r>
          </w:p>
        </w:tc>
        <w:tc>
          <w:tcPr>
            <w:tcW w:w="1016" w:type="dxa"/>
            <w:noWrap w:val="0"/>
            <w:vAlign w:val="center"/>
          </w:tcPr>
          <w:p w14:paraId="6C5D673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140</w:t>
            </w:r>
          </w:p>
        </w:tc>
      </w:tr>
    </w:tbl>
    <w:p w14:paraId="7A2A1048">
      <w:pPr>
        <w:pageBreakBefore w:val="0"/>
        <w:kinsoku/>
        <w:wordWrap/>
        <w:topLinePunct w:val="0"/>
        <w:bidi w:val="0"/>
        <w:adjustRightInd/>
        <w:snapToGrid/>
        <w:ind w:left="0" w:leftChars="0"/>
        <w:rPr>
          <w:color w:val="auto"/>
          <w:sz w:val="16"/>
          <w:szCs w:val="16"/>
        </w:rPr>
      </w:pP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948"/>
      </w:tblGrid>
      <w:tr w14:paraId="793629D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948" w:type="dxa"/>
            <w:tcBorders>
              <w:tl2br w:val="nil"/>
              <w:tr2bl w:val="nil"/>
            </w:tcBorders>
            <w:vAlign w:val="center"/>
          </w:tcPr>
          <w:p w14:paraId="0F688D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_GB2312"/>
                <w:color w:val="auto"/>
                <w:sz w:val="16"/>
                <w:szCs w:val="16"/>
                <w:vertAlign w:val="baseline"/>
                <w:lang w:eastAsia="zh-CN"/>
              </w:rPr>
            </w:pPr>
            <w:r>
              <w:rPr>
                <w:sz w:val="24"/>
              </w:rPr>
              <mc:AlternateContent>
                <mc:Choice Requires="wps">
                  <w:drawing>
                    <wp:anchor distT="0" distB="0" distL="114300" distR="114300" simplePos="0" relativeHeight="251696128" behindDoc="0" locked="0" layoutInCell="1" allowOverlap="1">
                      <wp:simplePos x="0" y="0"/>
                      <wp:positionH relativeFrom="column">
                        <wp:posOffset>1725295</wp:posOffset>
                      </wp:positionH>
                      <wp:positionV relativeFrom="paragraph">
                        <wp:posOffset>3156585</wp:posOffset>
                      </wp:positionV>
                      <wp:extent cx="1487170" cy="279400"/>
                      <wp:effectExtent l="603885" t="0" r="0" b="0"/>
                      <wp:wrapNone/>
                      <wp:docPr id="39" name="矩形 39"/>
                      <wp:cNvGraphicFramePr/>
                      <a:graphic xmlns:a="http://schemas.openxmlformats.org/drawingml/2006/main">
                        <a:graphicData uri="http://schemas.microsoft.com/office/word/2010/wordprocessingShape">
                          <wps:wsp>
                            <wps:cNvSpPr/>
                            <wps:spPr>
                              <a:xfrm rot="16200000">
                                <a:off x="3381375" y="5047615"/>
                                <a:ext cx="1487170" cy="279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354F94A">
                                  <w:pPr>
                                    <w:spacing w:line="240" w:lineRule="auto"/>
                                    <w:ind w:left="0" w:leftChars="0" w:firstLine="0" w:firstLineChars="0"/>
                                    <w:jc w:val="center"/>
                                    <w:rPr>
                                      <w:rFonts w:hint="default" w:ascii="Times New Roman" w:hAnsi="Times New Roman" w:cs="Times New Roman" w:eastAsiaTheme="minorEastAsia"/>
                                      <w:b/>
                                      <w:bCs/>
                                      <w:color w:val="000000" w:themeColor="text1"/>
                                      <w:sz w:val="15"/>
                                      <w:szCs w:val="15"/>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15"/>
                                      <w:szCs w:val="15"/>
                                      <w:lang w:val="en-US" w:eastAsia="zh-CN"/>
                                      <w14:textFill>
                                        <w14:solidFill>
                                          <w14:schemeClr w14:val="tx1"/>
                                        </w14:solidFill>
                                      </w14:textFill>
                                    </w:rPr>
                                    <w:t>地下水流向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85pt;margin-top:248.55pt;height:22pt;width:117.1pt;rotation:-5898240f;z-index:251696128;v-text-anchor:middle;mso-width-relative:page;mso-height-relative:page;" filled="f" stroked="f" coordsize="21600,21600" o:gfxdata="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sELvXYAAAACwEAAA8AAAAAAAAAAQAgAAAAIgAAAGRycy9k&#10;b3ducmV2LnhtbFBLAQIUABQAAAAIAIdO4kAJmHjodAIAAMoEAAAOAAAAAAAAAAEAIAAAACcBAABk&#10;cnMvZTJvRG9jLnhtbFBLBQYAAAAABgAGAFkBAAANBgAAAAA=&#10;">
                      <v:fill on="f" focussize="0,0"/>
                      <v:stroke on="f" weight="1pt" miterlimit="8" joinstyle="miter"/>
                      <v:imagedata o:title=""/>
                      <o:lock v:ext="edit" aspectratio="f"/>
                      <v:textbox>
                        <w:txbxContent>
                          <w:p w14:paraId="2354F94A">
                            <w:pPr>
                              <w:spacing w:line="240" w:lineRule="auto"/>
                              <w:ind w:left="0" w:leftChars="0" w:firstLine="0" w:firstLineChars="0"/>
                              <w:jc w:val="center"/>
                              <w:rPr>
                                <w:rFonts w:hint="default" w:ascii="Times New Roman" w:hAnsi="Times New Roman" w:cs="Times New Roman" w:eastAsiaTheme="minorEastAsia"/>
                                <w:b/>
                                <w:bCs/>
                                <w:color w:val="000000" w:themeColor="text1"/>
                                <w:sz w:val="15"/>
                                <w:szCs w:val="15"/>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15"/>
                                <w:szCs w:val="15"/>
                                <w:lang w:val="en-US" w:eastAsia="zh-CN"/>
                                <w14:textFill>
                                  <w14:solidFill>
                                    <w14:schemeClr w14:val="tx1"/>
                                  </w14:solidFill>
                                </w14:textFill>
                              </w:rPr>
                              <w:t>地下水流向</w:t>
                            </w:r>
                          </w:p>
                        </w:txbxContent>
                      </v:textbox>
                    </v:rect>
                  </w:pict>
                </mc:Fallback>
              </mc:AlternateContent>
            </w:r>
            <w:r>
              <w:rPr>
                <w:rFonts w:hint="eastAsia" w:eastAsia="仿宋_GB2312"/>
                <w:color w:val="auto"/>
                <w:sz w:val="16"/>
                <w:szCs w:val="16"/>
                <w:vertAlign w:val="baseline"/>
                <w:lang w:eastAsia="zh-CN"/>
              </w:rPr>
              <w:drawing>
                <wp:inline distT="0" distB="0" distL="114300" distR="114300">
                  <wp:extent cx="5544185" cy="5208270"/>
                  <wp:effectExtent l="0" t="0" r="18415" b="11430"/>
                  <wp:docPr id="6" name="图片 6" descr="34059cf35e86f3a179d31e5c72430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4059cf35e86f3a179d31e5c72430d86"/>
                          <pic:cNvPicPr>
                            <a:picLocks noChangeAspect="1"/>
                          </pic:cNvPicPr>
                        </pic:nvPicPr>
                        <pic:blipFill>
                          <a:blip r:embed="rId48"/>
                          <a:stretch>
                            <a:fillRect/>
                          </a:stretch>
                        </pic:blipFill>
                        <pic:spPr>
                          <a:xfrm>
                            <a:off x="0" y="0"/>
                            <a:ext cx="5544185" cy="5208270"/>
                          </a:xfrm>
                          <a:prstGeom prst="rect">
                            <a:avLst/>
                          </a:prstGeom>
                        </pic:spPr>
                      </pic:pic>
                    </a:graphicData>
                  </a:graphic>
                </wp:inline>
              </w:drawing>
            </w: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2355850</wp:posOffset>
                      </wp:positionH>
                      <wp:positionV relativeFrom="paragraph">
                        <wp:posOffset>1835150</wp:posOffset>
                      </wp:positionV>
                      <wp:extent cx="71120" cy="2016760"/>
                      <wp:effectExtent l="10795" t="0" r="70485" b="2540"/>
                      <wp:wrapNone/>
                      <wp:docPr id="38" name="直接箭头连接符 38"/>
                      <wp:cNvGraphicFramePr/>
                      <a:graphic xmlns:a="http://schemas.openxmlformats.org/drawingml/2006/main">
                        <a:graphicData uri="http://schemas.microsoft.com/office/word/2010/wordprocessingShape">
                          <wps:wsp>
                            <wps:cNvCnPr/>
                            <wps:spPr>
                              <a:xfrm flipV="1">
                                <a:off x="0" y="0"/>
                                <a:ext cx="71120" cy="2016760"/>
                              </a:xfrm>
                              <a:prstGeom prst="straightConnector1">
                                <a:avLst/>
                              </a:prstGeom>
                              <a:ln w="22225">
                                <a:solidFill>
                                  <a:srgbClr val="28DF58"/>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5.5pt;margin-top:144.5pt;height:158.8pt;width:5.6pt;z-index:251695104;mso-width-relative:page;mso-height-relative:page;" filled="f" stroked="t" coordsize="21600,21600" o:gfxdata="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HMHNNsAAAALAQAADwAA&#10;AAAAAAABACAAAAAiAAAAZHJzL2Rvd25yZXYueG1sUEsBAhQAFAAAAAgAh07iQBECDM0TAgAA7wMA&#10;AA4AAAAAAAAAAQAgAAAAKgEAAGRycy9lMm9Eb2MueG1sUEsFBgAAAAAGAAYAWQEAAK8FAAAAAA==&#10;">
                      <v:fill on="f" focussize="0,0"/>
                      <v:stroke weight="1.75pt" color="#28DF58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-19050</wp:posOffset>
                      </wp:positionH>
                      <wp:positionV relativeFrom="paragraph">
                        <wp:posOffset>4448810</wp:posOffset>
                      </wp:positionV>
                      <wp:extent cx="786765" cy="836930"/>
                      <wp:effectExtent l="0" t="0" r="13335" b="1270"/>
                      <wp:wrapNone/>
                      <wp:docPr id="37" name="矩形 37"/>
                      <wp:cNvGraphicFramePr/>
                      <a:graphic xmlns:a="http://schemas.openxmlformats.org/drawingml/2006/main">
                        <a:graphicData uri="http://schemas.microsoft.com/office/word/2010/wordprocessingShape">
                          <wps:wsp>
                            <wps:cNvSpPr/>
                            <wps:spPr>
                              <a:xfrm>
                                <a:off x="0" y="0"/>
                                <a:ext cx="786765" cy="836930"/>
                              </a:xfrm>
                              <a:prstGeom prst="rect">
                                <a:avLst/>
                              </a:prstGeom>
                              <a:blipFill rotWithShape="1">
                                <a:blip r:embed="rId49"/>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350.3pt;height:65.9pt;width:61.95pt;z-index:251691008;v-text-anchor:middle;mso-width-relative:page;mso-height-relative:page;" filled="t" stroked="f" coordsize="21600,21600" o:gfxdata="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">
                      <v:fill type="frame" on="t" focussize="0,0" recolor="t" rotate="t" r:id="rId49"/>
                      <v:stroke on="f" weight="1pt" miterlimit="8" joinstyle="miter"/>
                      <v:imagedata o:title=""/>
                      <o:lock v:ext="edit" aspectratio="f"/>
                    </v:rect>
                  </w:pict>
                </mc:Fallback>
              </mc:AlternateContent>
            </w:r>
          </w:p>
        </w:tc>
      </w:tr>
    </w:tbl>
    <w:p w14:paraId="3E9CD50E">
      <w:pPr>
        <w:pageBreakBefore w:val="0"/>
        <w:kinsoku/>
        <w:wordWrap/>
        <w:topLinePunct w:val="0"/>
        <w:bidi w:val="0"/>
        <w:adjustRightInd/>
        <w:snapToGrid/>
        <w:ind w:left="0" w:leftChars="0" w:firstLine="0" w:firstLineChars="0"/>
        <w:jc w:val="center"/>
        <w:rPr>
          <w:color w:val="auto"/>
          <w:sz w:val="16"/>
          <w:szCs w:val="16"/>
        </w:rPr>
      </w:pPr>
      <w:r>
        <w:rPr>
          <w:rFonts w:hint="default" w:ascii="Times New Roman" w:hAnsi="Times New Roman" w:eastAsia="宋体" w:cs="Times New Roman"/>
          <w:b/>
          <w:bCs/>
          <w:color w:val="auto"/>
          <w:lang w:val="en-US" w:eastAsia="zh-CN"/>
        </w:rPr>
        <w:t>图1.5-</w:t>
      </w:r>
      <w:r>
        <w:rPr>
          <w:rFonts w:hint="eastAsia" w:eastAsia="宋体" w:cs="Times New Roman"/>
          <w:b/>
          <w:bCs/>
          <w:color w:val="auto"/>
          <w:lang w:val="en-US" w:eastAsia="zh-CN"/>
        </w:rPr>
        <w:t>2</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sz w:val="24"/>
          <w:szCs w:val="24"/>
        </w:rPr>
        <w:t>项目环境影响评价范围</w:t>
      </w:r>
      <w:r>
        <w:rPr>
          <w:rFonts w:hint="eastAsia" w:eastAsia="宋体" w:cs="Times New Roman"/>
          <w:b/>
          <w:bCs/>
          <w:color w:val="auto"/>
          <w:sz w:val="24"/>
          <w:szCs w:val="24"/>
          <w:lang w:val="en-US" w:eastAsia="zh-CN"/>
        </w:rPr>
        <w:t>及环境保护目标</w:t>
      </w:r>
      <w:r>
        <w:rPr>
          <w:rFonts w:hint="default" w:ascii="Times New Roman" w:hAnsi="Times New Roman" w:eastAsia="宋体" w:cs="Times New Roman"/>
          <w:b/>
          <w:bCs/>
          <w:color w:val="auto"/>
          <w:sz w:val="24"/>
          <w:szCs w:val="24"/>
          <w:lang w:val="en-US" w:eastAsia="zh-CN"/>
        </w:rPr>
        <w:t>图</w:t>
      </w:r>
    </w:p>
    <w:p w14:paraId="2FA87905">
      <w:pPr>
        <w:pageBreakBefore w:val="0"/>
        <w:kinsoku/>
        <w:wordWrap/>
        <w:topLinePunct w:val="0"/>
        <w:bidi w:val="0"/>
        <w:adjustRightInd/>
        <w:snapToGrid/>
        <w:ind w:left="0" w:leftChars="0"/>
        <w:rPr>
          <w:color w:val="auto"/>
          <w:sz w:val="16"/>
          <w:szCs w:val="16"/>
        </w:rPr>
      </w:pPr>
    </w:p>
    <w:p w14:paraId="34039BD6">
      <w:pPr>
        <w:pageBreakBefore w:val="0"/>
        <w:kinsoku/>
        <w:wordWrap/>
        <w:topLinePunct w:val="0"/>
        <w:bidi w:val="0"/>
        <w:adjustRightInd/>
        <w:snapToGrid/>
        <w:ind w:left="0" w:leftChars="0" w:firstLine="0" w:firstLineChars="0"/>
        <w:rPr>
          <w:rFonts w:hint="default" w:ascii="Times New Roman" w:hAnsi="Times New Roman" w:eastAsia="黑体" w:cs="Times New Roman"/>
          <w:b/>
          <w:bCs/>
          <w:color w:val="auto"/>
          <w:kern w:val="0"/>
          <w:sz w:val="28"/>
          <w:szCs w:val="28"/>
          <w:highlight w:val="none"/>
        </w:rPr>
      </w:pPr>
      <w:r>
        <w:rPr>
          <w:color w:val="auto"/>
          <w:sz w:val="16"/>
          <w:szCs w:val="16"/>
        </w:rPr>
        <w:br w:type="page"/>
      </w:r>
      <w:bookmarkStart w:id="243" w:name="_Toc26802"/>
      <w:bookmarkStart w:id="244" w:name="_Toc7353"/>
      <w:r>
        <w:rPr>
          <w:rFonts w:hint="default" w:ascii="Times New Roman" w:hAnsi="Times New Roman" w:eastAsia="黑体" w:cs="Times New Roman"/>
          <w:b/>
          <w:bCs/>
          <w:color w:val="auto"/>
          <w:kern w:val="0"/>
          <w:sz w:val="28"/>
          <w:szCs w:val="28"/>
          <w:highlight w:val="none"/>
        </w:rPr>
        <w:t>2建设项目概况及工程分析</w:t>
      </w:r>
      <w:bookmarkEnd w:id="243"/>
      <w:bookmarkEnd w:id="244"/>
    </w:p>
    <w:p w14:paraId="187D8F2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eastAsia="黑体" w:cs="Times New Roman"/>
          <w:b/>
          <w:bCs/>
          <w:color w:val="auto"/>
          <w:sz w:val="28"/>
          <w:szCs w:val="28"/>
          <w:highlight w:val="none"/>
        </w:rPr>
      </w:pPr>
      <w:bookmarkStart w:id="245" w:name="_Toc5141"/>
      <w:bookmarkStart w:id="246" w:name="_Toc20409"/>
      <w:bookmarkStart w:id="247" w:name="_Toc13872"/>
      <w:bookmarkStart w:id="248" w:name="_Toc31154"/>
      <w:bookmarkStart w:id="249" w:name="_Toc9881"/>
      <w:bookmarkStart w:id="250" w:name="_Toc24394"/>
      <w:bookmarkStart w:id="251" w:name="_Toc14938"/>
      <w:bookmarkStart w:id="252" w:name="_Toc25023"/>
      <w:r>
        <w:rPr>
          <w:rFonts w:hint="default" w:ascii="Times New Roman" w:hAnsi="Times New Roman" w:eastAsia="黑体" w:cs="Times New Roman"/>
          <w:b/>
          <w:bCs/>
          <w:color w:val="auto"/>
          <w:sz w:val="28"/>
          <w:szCs w:val="28"/>
          <w:highlight w:val="none"/>
        </w:rPr>
        <w:t>2.</w:t>
      </w:r>
      <w:r>
        <w:rPr>
          <w:rFonts w:hint="default" w:ascii="Times New Roman" w:hAnsi="Times New Roman" w:eastAsia="黑体" w:cs="Times New Roman"/>
          <w:b/>
          <w:bCs/>
          <w:color w:val="auto"/>
          <w:sz w:val="28"/>
          <w:szCs w:val="28"/>
          <w:highlight w:val="none"/>
          <w:lang w:val="en-US" w:eastAsia="zh-CN"/>
        </w:rPr>
        <w:t>1</w:t>
      </w:r>
      <w:r>
        <w:rPr>
          <w:rFonts w:hint="default" w:ascii="Times New Roman" w:hAnsi="Times New Roman" w:eastAsia="黑体" w:cs="Times New Roman"/>
          <w:b/>
          <w:bCs/>
          <w:color w:val="auto"/>
          <w:sz w:val="28"/>
          <w:szCs w:val="28"/>
          <w:highlight w:val="none"/>
        </w:rPr>
        <w:t>项目概况</w:t>
      </w:r>
      <w:bookmarkEnd w:id="245"/>
      <w:bookmarkEnd w:id="246"/>
      <w:bookmarkEnd w:id="247"/>
      <w:bookmarkEnd w:id="248"/>
      <w:bookmarkEnd w:id="249"/>
      <w:bookmarkEnd w:id="250"/>
      <w:bookmarkEnd w:id="251"/>
      <w:bookmarkEnd w:id="252"/>
    </w:p>
    <w:p w14:paraId="4C8386BC">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2"/>
        <w:rPr>
          <w:rFonts w:hint="default" w:ascii="Times New Roman" w:hAnsi="Times New Roman" w:eastAsia="黑体" w:cs="Times New Roman"/>
          <w:b/>
          <w:color w:val="auto"/>
          <w:sz w:val="28"/>
          <w:szCs w:val="28"/>
          <w:highlight w:val="none"/>
        </w:rPr>
      </w:pPr>
      <w:bookmarkStart w:id="253" w:name="_Toc7709"/>
      <w:r>
        <w:rPr>
          <w:rFonts w:hint="default" w:ascii="Times New Roman" w:hAnsi="Times New Roman" w:eastAsia="黑体" w:cs="Times New Roman"/>
          <w:b/>
          <w:color w:val="auto"/>
          <w:sz w:val="28"/>
          <w:szCs w:val="28"/>
          <w:highlight w:val="none"/>
        </w:rPr>
        <w:t>2.</w:t>
      </w:r>
      <w:r>
        <w:rPr>
          <w:rFonts w:hint="default" w:ascii="Times New Roman" w:hAnsi="Times New Roman" w:eastAsia="黑体" w:cs="Times New Roman"/>
          <w:b/>
          <w:color w:val="auto"/>
          <w:sz w:val="28"/>
          <w:szCs w:val="28"/>
          <w:highlight w:val="none"/>
          <w:lang w:val="en-US" w:eastAsia="zh-CN"/>
        </w:rPr>
        <w:t>1</w:t>
      </w:r>
      <w:r>
        <w:rPr>
          <w:rFonts w:hint="default" w:ascii="Times New Roman" w:hAnsi="Times New Roman" w:eastAsia="黑体" w:cs="Times New Roman"/>
          <w:b/>
          <w:color w:val="auto"/>
          <w:sz w:val="28"/>
          <w:szCs w:val="28"/>
          <w:highlight w:val="none"/>
        </w:rPr>
        <w:t>.1项目</w:t>
      </w:r>
      <w:bookmarkEnd w:id="253"/>
      <w:r>
        <w:rPr>
          <w:rFonts w:hint="default" w:ascii="Times New Roman" w:hAnsi="Times New Roman" w:eastAsia="黑体" w:cs="Times New Roman"/>
          <w:b/>
          <w:color w:val="auto"/>
          <w:sz w:val="28"/>
          <w:szCs w:val="28"/>
          <w:highlight w:val="none"/>
        </w:rPr>
        <w:t>基本情况</w:t>
      </w:r>
    </w:p>
    <w:p w14:paraId="09EF3D5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项目名称：固原市科财牛羊屠宰精深加工项目</w:t>
      </w:r>
    </w:p>
    <w:p w14:paraId="58A0D61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建设单位：固原市科财肉制品加工有限公司</w:t>
      </w:r>
    </w:p>
    <w:p w14:paraId="59EB8BD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建设性质：新建</w:t>
      </w:r>
    </w:p>
    <w:p w14:paraId="44EA2FB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占地面积：项目总用地面积为67</w:t>
      </w:r>
      <w:r>
        <w:rPr>
          <w:rFonts w:hint="eastAsia"/>
          <w:color w:val="auto"/>
          <w:lang w:val="en-US" w:eastAsia="zh-CN"/>
        </w:rPr>
        <w:t>02m</w:t>
      </w:r>
      <w:r>
        <w:rPr>
          <w:rFonts w:hint="eastAsia"/>
          <w:color w:val="auto"/>
          <w:vertAlign w:val="superscript"/>
          <w:lang w:val="en-US" w:eastAsia="zh-CN"/>
        </w:rPr>
        <w:t>2</w:t>
      </w:r>
      <w:r>
        <w:rPr>
          <w:rFonts w:hint="eastAsia" w:ascii="Times New Roman" w:hAnsi="Times New Roman"/>
          <w:color w:val="auto"/>
        </w:rPr>
        <w:t>，约10</w:t>
      </w:r>
      <w:r>
        <w:rPr>
          <w:rFonts w:hint="eastAsia"/>
          <w:color w:val="auto"/>
          <w:lang w:val="en-US" w:eastAsia="zh-CN"/>
        </w:rPr>
        <w:t>.05</w:t>
      </w:r>
      <w:r>
        <w:rPr>
          <w:rFonts w:hint="eastAsia" w:ascii="Times New Roman" w:hAnsi="Times New Roman"/>
          <w:color w:val="auto"/>
        </w:rPr>
        <w:t>亩。</w:t>
      </w:r>
    </w:p>
    <w:p w14:paraId="0E93AD1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项目总投资：</w:t>
      </w:r>
      <w:r>
        <w:rPr>
          <w:rFonts w:hint="eastAsia"/>
          <w:color w:val="auto"/>
          <w:lang w:val="en-US" w:eastAsia="zh-CN"/>
        </w:rPr>
        <w:t>2500</w:t>
      </w:r>
      <w:r>
        <w:rPr>
          <w:rFonts w:hint="eastAsia" w:ascii="Times New Roman" w:hAnsi="Times New Roman"/>
          <w:color w:val="auto"/>
        </w:rPr>
        <w:t>万元</w:t>
      </w:r>
    </w:p>
    <w:p w14:paraId="426EE04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行业类别：</w:t>
      </w:r>
      <w:r>
        <w:rPr>
          <w:rFonts w:hint="eastAsia"/>
          <w:color w:val="auto"/>
          <w:lang w:val="en-US" w:eastAsia="zh-CN"/>
        </w:rPr>
        <w:t>C</w:t>
      </w:r>
      <w:r>
        <w:rPr>
          <w:rFonts w:hint="eastAsia" w:ascii="Times New Roman" w:hAnsi="Times New Roman"/>
          <w:color w:val="auto"/>
        </w:rPr>
        <w:t>1351牲畜屠宰</w:t>
      </w:r>
    </w:p>
    <w:p w14:paraId="249AC6F4">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仿宋_GB2312"/>
          <w:color w:val="auto"/>
          <w:lang w:val="en-US" w:eastAsia="zh-CN"/>
        </w:rPr>
      </w:pPr>
      <w:r>
        <w:rPr>
          <w:rFonts w:hint="eastAsia" w:ascii="Times New Roman" w:hAnsi="Times New Roman"/>
          <w:color w:val="auto"/>
        </w:rPr>
        <w:t>建设地点</w:t>
      </w:r>
      <w:r>
        <w:rPr>
          <w:rFonts w:hint="eastAsia"/>
          <w:color w:val="auto"/>
          <w:lang w:eastAsia="zh-CN"/>
        </w:rPr>
        <w:t>：</w:t>
      </w:r>
      <w:r>
        <w:rPr>
          <w:rFonts w:hint="eastAsia" w:ascii="Times New Roman" w:hAnsi="Times New Roman"/>
          <w:color w:val="auto"/>
        </w:rPr>
        <w:t>项目位于</w:t>
      </w:r>
      <w:r>
        <w:rPr>
          <w:rFonts w:hint="eastAsia"/>
          <w:color w:val="auto"/>
          <w:lang w:val="en-US" w:eastAsia="zh-CN"/>
        </w:rPr>
        <w:t>宁夏固原市</w:t>
      </w:r>
      <w:r>
        <w:rPr>
          <w:rFonts w:hint="eastAsia" w:ascii="Times New Roman" w:hAnsi="Times New Roman"/>
          <w:color w:val="auto"/>
        </w:rPr>
        <w:t>固原经济开发区轻工产业园</w:t>
      </w:r>
      <w:r>
        <w:rPr>
          <w:rFonts w:hint="eastAsia" w:cs="Times New Roman"/>
          <w:color w:val="auto"/>
          <w:kern w:val="2"/>
          <w:sz w:val="24"/>
          <w:szCs w:val="24"/>
          <w:lang w:val="en-US" w:eastAsia="zh-CN" w:bidi="ar-SA"/>
        </w:rPr>
        <w:t>（中河乡）</w:t>
      </w:r>
      <w:r>
        <w:rPr>
          <w:rFonts w:hint="eastAsia" w:ascii="Times New Roman" w:hAnsi="Times New Roman"/>
          <w:color w:val="auto"/>
        </w:rPr>
        <w:t>。项目北侧、西侧、东侧均为空地，南侧为</w:t>
      </w:r>
      <w:r>
        <w:rPr>
          <w:rFonts w:hint="eastAsia"/>
          <w:color w:val="auto"/>
        </w:rPr>
        <w:t>宁夏伊鑫瑞肉制品销售有限公司</w:t>
      </w:r>
      <w:r>
        <w:rPr>
          <w:rFonts w:hint="eastAsia" w:ascii="Times New Roman" w:hAnsi="Times New Roman"/>
          <w:color w:val="auto"/>
        </w:rPr>
        <w:t>。</w:t>
      </w:r>
      <w:r>
        <w:rPr>
          <w:rFonts w:hint="eastAsia"/>
          <w:color w:val="auto"/>
          <w:lang w:val="en-US" w:eastAsia="zh-CN"/>
        </w:rPr>
        <w:t>项目与固原市位置关系图见图2.1-1，与</w:t>
      </w:r>
      <w:r>
        <w:rPr>
          <w:rFonts w:hint="eastAsia" w:ascii="Times New Roman" w:hAnsi="Times New Roman"/>
          <w:color w:val="auto"/>
        </w:rPr>
        <w:t>固原经济开发区轻工产业园</w:t>
      </w:r>
      <w:r>
        <w:rPr>
          <w:rFonts w:hint="eastAsia"/>
          <w:color w:val="auto"/>
          <w:lang w:val="en-US" w:eastAsia="zh-CN"/>
        </w:rPr>
        <w:t>位置关系图见图2.1-2。</w:t>
      </w:r>
    </w:p>
    <w:p w14:paraId="0DE3097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eastAsia="仿宋_GB2312"/>
          <w:color w:val="auto"/>
          <w:lang w:eastAsia="zh-CN"/>
        </w:rPr>
      </w:pPr>
      <w:r>
        <w:rPr>
          <w:rFonts w:hint="eastAsia" w:ascii="Times New Roman" w:hAnsi="Times New Roman"/>
          <w:color w:val="auto"/>
        </w:rPr>
        <w:t>项目厂区中心地理坐标为：北纬</w:t>
      </w:r>
      <w:r>
        <w:rPr>
          <w:rFonts w:hint="default" w:ascii="Times New Roman" w:hAnsi="Times New Roman" w:cs="Times New Roman"/>
          <w:color w:val="auto"/>
        </w:rPr>
        <w:t>36°0′16.708″、东经106°11′12.140″</w:t>
      </w:r>
      <w:r>
        <w:rPr>
          <w:rFonts w:hint="eastAsia"/>
          <w:color w:val="auto"/>
          <w:lang w:eastAsia="zh-CN"/>
        </w:rPr>
        <w:t>。</w:t>
      </w:r>
    </w:p>
    <w:p w14:paraId="1466A4F6">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建设</w:t>
      </w:r>
      <w:r>
        <w:rPr>
          <w:rFonts w:hint="eastAsia"/>
          <w:color w:val="auto"/>
          <w:lang w:val="en-US" w:eastAsia="zh-CN"/>
        </w:rPr>
        <w:t>内容及</w:t>
      </w:r>
      <w:r>
        <w:rPr>
          <w:rFonts w:hint="eastAsia" w:ascii="Times New Roman" w:hAnsi="Times New Roman"/>
          <w:color w:val="auto"/>
        </w:rPr>
        <w:t>规模：计划建设年屠宰牛</w:t>
      </w:r>
      <w:r>
        <w:rPr>
          <w:rFonts w:hint="eastAsia"/>
          <w:color w:val="auto"/>
          <w:lang w:val="en-US" w:eastAsia="zh-CN"/>
        </w:rPr>
        <w:t>10000</w:t>
      </w:r>
      <w:r>
        <w:rPr>
          <w:rFonts w:hint="eastAsia" w:ascii="Times New Roman" w:hAnsi="Times New Roman"/>
          <w:color w:val="auto"/>
        </w:rPr>
        <w:t>头，屠宰羊</w:t>
      </w:r>
      <w:r>
        <w:rPr>
          <w:rFonts w:hint="eastAsia"/>
          <w:color w:val="auto"/>
          <w:lang w:val="en-US" w:eastAsia="zh-CN"/>
        </w:rPr>
        <w:t>15</w:t>
      </w:r>
      <w:r>
        <w:rPr>
          <w:rFonts w:hint="eastAsia" w:ascii="Times New Roman" w:hAnsi="Times New Roman"/>
          <w:color w:val="auto"/>
        </w:rPr>
        <w:t>万只的</w:t>
      </w:r>
      <w:r>
        <w:rPr>
          <w:rFonts w:hint="eastAsia" w:ascii="Times New Roman" w:hAnsi="Times New Roman"/>
          <w:color w:val="auto"/>
          <w:lang w:val="en-US" w:eastAsia="zh-CN"/>
        </w:rPr>
        <w:t>屠宰加工车间</w:t>
      </w:r>
      <w:r>
        <w:rPr>
          <w:rFonts w:hint="eastAsia"/>
          <w:color w:val="auto"/>
          <w:lang w:val="en-US" w:eastAsia="zh-CN"/>
        </w:rPr>
        <w:t>一座及</w:t>
      </w:r>
      <w:r>
        <w:rPr>
          <w:rFonts w:hint="eastAsia" w:ascii="Times New Roman" w:hAnsi="Times New Roman"/>
          <w:color w:val="auto"/>
        </w:rPr>
        <w:t>项目所需</w:t>
      </w:r>
      <w:r>
        <w:rPr>
          <w:rFonts w:hint="eastAsia"/>
          <w:color w:val="auto"/>
          <w:lang w:val="en-US" w:eastAsia="zh-CN"/>
        </w:rPr>
        <w:t>的</w:t>
      </w:r>
      <w:r>
        <w:rPr>
          <w:rFonts w:hint="eastAsia" w:ascii="Times New Roman" w:hAnsi="Times New Roman"/>
          <w:color w:val="auto"/>
        </w:rPr>
        <w:t>基础配套设施。</w:t>
      </w:r>
    </w:p>
    <w:p w14:paraId="6981122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lang w:val="en-US" w:eastAsia="zh-CN"/>
        </w:rPr>
      </w:pPr>
      <w:r>
        <w:rPr>
          <w:rFonts w:hint="eastAsia" w:ascii="Times New Roman" w:hAnsi="Times New Roman"/>
          <w:color w:val="auto"/>
          <w:lang w:val="en-US" w:eastAsia="zh-CN"/>
        </w:rPr>
        <w:t>定额核定：</w:t>
      </w:r>
      <w:r>
        <w:rPr>
          <w:rFonts w:hint="eastAsia"/>
          <w:color w:val="auto"/>
          <w:lang w:val="en-US" w:eastAsia="zh-CN"/>
        </w:rPr>
        <w:t>本</w:t>
      </w:r>
      <w:r>
        <w:rPr>
          <w:rFonts w:hint="eastAsia" w:ascii="Times New Roman" w:hAnsi="Times New Roman"/>
          <w:color w:val="auto"/>
          <w:lang w:val="en-US" w:eastAsia="zh-CN"/>
        </w:rPr>
        <w:t>项目年屠宰肉牛</w:t>
      </w:r>
      <w:r>
        <w:rPr>
          <w:rFonts w:hint="eastAsia"/>
          <w:color w:val="auto"/>
          <w:lang w:val="en-US" w:eastAsia="zh-CN"/>
        </w:rPr>
        <w:t>10000</w:t>
      </w:r>
      <w:r>
        <w:rPr>
          <w:rFonts w:hint="eastAsia" w:ascii="Times New Roman" w:hAnsi="Times New Roman"/>
          <w:color w:val="auto"/>
          <w:lang w:val="en-US" w:eastAsia="zh-CN"/>
        </w:rPr>
        <w:t>头（头/0.5吨），年屠宰羊</w:t>
      </w:r>
      <w:r>
        <w:rPr>
          <w:rFonts w:hint="eastAsia"/>
          <w:color w:val="auto"/>
          <w:lang w:val="en-US" w:eastAsia="zh-CN"/>
        </w:rPr>
        <w:t>150000</w:t>
      </w:r>
      <w:r>
        <w:rPr>
          <w:rFonts w:hint="eastAsia" w:ascii="Times New Roman" w:hAnsi="Times New Roman"/>
          <w:color w:val="auto"/>
          <w:lang w:val="en-US" w:eastAsia="zh-CN"/>
        </w:rPr>
        <w:t>头（头/0.03吨）。依据《宁夏工业项目建设用地控制指标》（2019年版）宁夏农副食品加工业建设用地指标，年生产规模≥10000吨/年，单位用地指标0.5平方米/吨，项目用地定额为（</w:t>
      </w:r>
      <w:r>
        <w:rPr>
          <w:rFonts w:hint="eastAsia"/>
          <w:color w:val="auto"/>
          <w:lang w:val="en-US" w:eastAsia="zh-CN"/>
        </w:rPr>
        <w:t>10000</w:t>
      </w:r>
      <w:r>
        <w:rPr>
          <w:rFonts w:hint="default" w:ascii="Times New Roman" w:hAnsi="Times New Roman"/>
          <w:color w:val="auto"/>
          <w:lang w:val="en-US" w:eastAsia="zh-CN"/>
        </w:rPr>
        <w:t>×</w:t>
      </w:r>
      <w:r>
        <w:rPr>
          <w:rFonts w:hint="eastAsia" w:ascii="Times New Roman" w:hAnsi="Times New Roman"/>
          <w:color w:val="auto"/>
          <w:lang w:val="en-US" w:eastAsia="zh-CN"/>
        </w:rPr>
        <w:t>0.5+</w:t>
      </w:r>
      <w:r>
        <w:rPr>
          <w:rFonts w:hint="eastAsia"/>
          <w:color w:val="auto"/>
          <w:lang w:val="en-US" w:eastAsia="zh-CN"/>
        </w:rPr>
        <w:t>15</w:t>
      </w:r>
      <w:r>
        <w:rPr>
          <w:rFonts w:hint="eastAsia" w:ascii="Times New Roman" w:hAnsi="Times New Roman"/>
          <w:color w:val="auto"/>
          <w:lang w:val="en-US" w:eastAsia="zh-CN"/>
        </w:rPr>
        <w:t>0000</w:t>
      </w:r>
      <w:r>
        <w:rPr>
          <w:rFonts w:hint="default" w:ascii="Times New Roman" w:hAnsi="Times New Roman"/>
          <w:color w:val="auto"/>
          <w:lang w:val="en-US" w:eastAsia="zh-CN"/>
        </w:rPr>
        <w:t>×</w:t>
      </w:r>
      <w:r>
        <w:rPr>
          <w:rFonts w:hint="eastAsia" w:ascii="Times New Roman" w:hAnsi="Times New Roman"/>
          <w:color w:val="auto"/>
          <w:lang w:val="en-US" w:eastAsia="zh-CN"/>
        </w:rPr>
        <w:t>0.03）</w:t>
      </w:r>
      <w:r>
        <w:rPr>
          <w:rFonts w:hint="default" w:ascii="Times New Roman" w:hAnsi="Times New Roman"/>
          <w:color w:val="auto"/>
          <w:lang w:val="en-US" w:eastAsia="zh-CN"/>
        </w:rPr>
        <w:t>×</w:t>
      </w:r>
      <w:r>
        <w:rPr>
          <w:rFonts w:hint="eastAsia" w:ascii="Times New Roman" w:hAnsi="Times New Roman"/>
          <w:color w:val="auto"/>
          <w:lang w:val="en-US" w:eastAsia="zh-CN"/>
        </w:rPr>
        <w:t>0.5=</w:t>
      </w:r>
      <w:r>
        <w:rPr>
          <w:rFonts w:hint="eastAsia"/>
          <w:color w:val="auto"/>
          <w:lang w:val="en-US" w:eastAsia="zh-CN"/>
        </w:rPr>
        <w:t>4750</w:t>
      </w:r>
      <w:r>
        <w:rPr>
          <w:rFonts w:hint="eastAsia" w:ascii="Times New Roman" w:hAnsi="Times New Roman"/>
          <w:color w:val="auto"/>
          <w:lang w:val="en-US" w:eastAsia="zh-CN"/>
        </w:rPr>
        <w:t>平方米，合</w:t>
      </w:r>
      <w:r>
        <w:rPr>
          <w:rFonts w:hint="eastAsia"/>
          <w:color w:val="auto"/>
          <w:lang w:val="en-US" w:eastAsia="zh-CN"/>
        </w:rPr>
        <w:t>7.13</w:t>
      </w:r>
      <w:r>
        <w:rPr>
          <w:rFonts w:hint="eastAsia" w:ascii="Times New Roman" w:hAnsi="Times New Roman"/>
          <w:color w:val="auto"/>
          <w:lang w:val="en-US" w:eastAsia="zh-CN"/>
        </w:rPr>
        <w:t>亩，实际申请用地10</w:t>
      </w:r>
      <w:r>
        <w:rPr>
          <w:rFonts w:hint="eastAsia"/>
          <w:color w:val="auto"/>
          <w:lang w:val="en-US" w:eastAsia="zh-CN"/>
        </w:rPr>
        <w:t>.05</w:t>
      </w:r>
      <w:r>
        <w:rPr>
          <w:rFonts w:hint="eastAsia" w:ascii="Times New Roman" w:hAnsi="Times New Roman"/>
          <w:color w:val="auto"/>
          <w:lang w:val="en-US" w:eastAsia="zh-CN"/>
        </w:rPr>
        <w:t>亩，符合用地标准。</w:t>
      </w:r>
    </w:p>
    <w:p w14:paraId="63A7A05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劳动定员：项目拟配备劳动定员为</w:t>
      </w:r>
      <w:r>
        <w:rPr>
          <w:rFonts w:hint="eastAsia"/>
          <w:color w:val="auto"/>
          <w:lang w:val="en-US" w:eastAsia="zh-CN"/>
        </w:rPr>
        <w:t>26</w:t>
      </w:r>
      <w:r>
        <w:rPr>
          <w:rFonts w:hint="eastAsia" w:ascii="Times New Roman" w:hAnsi="Times New Roman"/>
          <w:color w:val="auto"/>
        </w:rPr>
        <w:t>人。</w:t>
      </w:r>
    </w:p>
    <w:p w14:paraId="77496C1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olor w:val="auto"/>
        </w:rPr>
        <w:t>工作制度：年工作日3</w:t>
      </w:r>
      <w:r>
        <w:rPr>
          <w:rFonts w:hint="eastAsia"/>
          <w:color w:val="auto"/>
          <w:lang w:val="en-US" w:eastAsia="zh-CN"/>
        </w:rPr>
        <w:t>3</w:t>
      </w:r>
      <w:r>
        <w:rPr>
          <w:rFonts w:hint="eastAsia" w:ascii="Times New Roman" w:hAnsi="Times New Roman"/>
          <w:color w:val="auto"/>
        </w:rPr>
        <w:t>0d，每</w:t>
      </w:r>
      <w:r>
        <w:rPr>
          <w:rFonts w:hint="eastAsia"/>
          <w:color w:val="auto"/>
          <w:lang w:val="en-US" w:eastAsia="zh-CN"/>
        </w:rPr>
        <w:t>天</w:t>
      </w:r>
      <w:r>
        <w:rPr>
          <w:rFonts w:hint="eastAsia" w:ascii="Times New Roman" w:hAnsi="Times New Roman"/>
          <w:color w:val="auto"/>
        </w:rPr>
        <w:t>工作8h。</w:t>
      </w:r>
    </w:p>
    <w:p w14:paraId="7CA21DCA">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2"/>
        <w:rPr>
          <w:rFonts w:hint="default" w:ascii="Times New Roman" w:hAnsi="Times New Roman" w:eastAsia="黑体" w:cs="Times New Roman"/>
          <w:b/>
          <w:color w:val="auto"/>
          <w:sz w:val="28"/>
          <w:szCs w:val="28"/>
          <w:highlight w:val="none"/>
        </w:rPr>
      </w:pPr>
      <w:bookmarkStart w:id="254" w:name="_Toc407912091"/>
      <w:r>
        <w:rPr>
          <w:rFonts w:hint="default" w:ascii="Times New Roman" w:hAnsi="Times New Roman" w:eastAsia="黑体" w:cs="Times New Roman"/>
          <w:b/>
          <w:color w:val="auto"/>
          <w:sz w:val="28"/>
          <w:szCs w:val="28"/>
          <w:highlight w:val="none"/>
        </w:rPr>
        <w:t>2.</w:t>
      </w:r>
      <w:r>
        <w:rPr>
          <w:rFonts w:hint="default" w:ascii="Times New Roman" w:hAnsi="Times New Roman" w:eastAsia="黑体" w:cs="Times New Roman"/>
          <w:b/>
          <w:color w:val="auto"/>
          <w:sz w:val="28"/>
          <w:szCs w:val="28"/>
          <w:highlight w:val="none"/>
          <w:lang w:val="en-US" w:eastAsia="zh-CN"/>
        </w:rPr>
        <w:t>1</w:t>
      </w:r>
      <w:r>
        <w:rPr>
          <w:rFonts w:hint="default" w:ascii="Times New Roman" w:hAnsi="Times New Roman" w:eastAsia="黑体" w:cs="Times New Roman"/>
          <w:b/>
          <w:color w:val="auto"/>
          <w:sz w:val="28"/>
          <w:szCs w:val="28"/>
          <w:highlight w:val="none"/>
        </w:rPr>
        <w:t>.2项目建设内容</w:t>
      </w:r>
      <w:bookmarkEnd w:id="254"/>
    </w:p>
    <w:p w14:paraId="71696A8B">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default" w:ascii="Times New Roman" w:hAnsi="Times New Roman" w:eastAsia="仿宋_GB2312" w:cs="Times New Roman"/>
          <w:color w:val="auto"/>
          <w:sz w:val="24"/>
          <w:highlight w:val="none"/>
          <w:lang w:val="zh-CN"/>
        </w:rPr>
        <w:t>本</w:t>
      </w:r>
      <w:r>
        <w:rPr>
          <w:rFonts w:hint="eastAsia"/>
          <w:color w:val="auto"/>
          <w:lang w:val="en-US" w:eastAsia="zh-CN"/>
        </w:rPr>
        <w:t>项目规划用地面积</w:t>
      </w:r>
      <w:r>
        <w:rPr>
          <w:rFonts w:hint="eastAsia" w:ascii="Times New Roman" w:hAnsi="Times New Roman"/>
          <w:color w:val="auto"/>
        </w:rPr>
        <w:t>67</w:t>
      </w:r>
      <w:r>
        <w:rPr>
          <w:rFonts w:hint="eastAsia"/>
          <w:color w:val="auto"/>
          <w:lang w:val="en-US" w:eastAsia="zh-CN"/>
        </w:rPr>
        <w:t>02m</w:t>
      </w:r>
      <w:r>
        <w:rPr>
          <w:rFonts w:hint="eastAsia"/>
          <w:color w:val="auto"/>
          <w:vertAlign w:val="superscript"/>
          <w:lang w:val="en-US" w:eastAsia="zh-CN"/>
        </w:rPr>
        <w:t>2</w:t>
      </w:r>
      <w:r>
        <w:rPr>
          <w:rFonts w:hint="eastAsia" w:ascii="Times New Roman" w:hAnsi="Times New Roman"/>
          <w:color w:val="auto"/>
        </w:rPr>
        <w:t>，约10</w:t>
      </w:r>
      <w:r>
        <w:rPr>
          <w:rFonts w:hint="eastAsia"/>
          <w:color w:val="auto"/>
          <w:lang w:val="en-US" w:eastAsia="zh-CN"/>
        </w:rPr>
        <w:t>.05</w:t>
      </w:r>
      <w:r>
        <w:rPr>
          <w:rFonts w:hint="eastAsia" w:ascii="Times New Roman" w:hAnsi="Times New Roman"/>
          <w:color w:val="auto"/>
        </w:rPr>
        <w:t>亩</w:t>
      </w:r>
      <w:r>
        <w:rPr>
          <w:rFonts w:hint="eastAsia"/>
          <w:color w:val="auto"/>
          <w:lang w:val="en-US" w:eastAsia="zh-CN"/>
        </w:rPr>
        <w:t>，计划建设年屠宰牛10000头，屠宰羊15万只的屠宰加工车间、冷库及项目所需配套基础设施。</w:t>
      </w:r>
      <w:r>
        <w:rPr>
          <w:rFonts w:hint="default" w:ascii="Times New Roman" w:hAnsi="Times New Roman" w:eastAsia="仿宋_GB2312" w:cs="Times New Roman"/>
          <w:color w:val="auto"/>
          <w:sz w:val="24"/>
          <w:highlight w:val="none"/>
        </w:rPr>
        <w:t>项目主要建设内容见表2.</w:t>
      </w:r>
      <w:r>
        <w:rPr>
          <w:rFonts w:hint="default" w:ascii="Times New Roman" w:hAnsi="Times New Roman" w:eastAsia="仿宋_GB2312" w:cs="Times New Roman"/>
          <w:color w:val="auto"/>
          <w:sz w:val="24"/>
          <w:highlight w:val="none"/>
          <w:lang w:val="en-US" w:eastAsia="zh-CN"/>
        </w:rPr>
        <w:t>1</w:t>
      </w:r>
      <w:r>
        <w:rPr>
          <w:rFonts w:hint="default" w:ascii="Times New Roman" w:hAnsi="Times New Roman" w:eastAsia="仿宋_GB2312" w:cs="Times New Roman"/>
          <w:color w:val="auto"/>
          <w:sz w:val="24"/>
          <w:highlight w:val="none"/>
        </w:rPr>
        <w:t>-1。</w:t>
      </w:r>
    </w:p>
    <w:p w14:paraId="5627645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sectPr>
          <w:footerReference r:id="rId9" w:type="default"/>
          <w:pgSz w:w="11906" w:h="16838"/>
          <w:pgMar w:top="1701" w:right="1587" w:bottom="1587" w:left="1587" w:header="1304" w:footer="1020" w:gutter="0"/>
          <w:pgBorders>
            <w:top w:val="none" w:sz="0" w:space="0"/>
            <w:left w:val="none" w:sz="0" w:space="0"/>
            <w:bottom w:val="none" w:sz="0" w:space="0"/>
            <w:right w:val="none" w:sz="0" w:space="0"/>
          </w:pgBorders>
          <w:pgNumType w:fmt="decimal" w:start="1"/>
          <w:cols w:space="425" w:num="1"/>
          <w:docGrid w:type="lines" w:linePitch="312" w:charSpace="0"/>
        </w:sectPr>
      </w:pPr>
    </w:p>
    <w:p w14:paraId="345699F5">
      <w:pPr>
        <w:pStyle w:val="35"/>
        <w:keepNext w:val="0"/>
        <w:keepLines w:val="0"/>
        <w:pageBreakBefore w:val="0"/>
        <w:widowControl w:val="0"/>
        <w:kinsoku/>
        <w:wordWrap/>
        <w:overflowPunct/>
        <w:topLinePunct w:val="0"/>
        <w:autoSpaceDE w:val="0"/>
        <w:autoSpaceDN w:val="0"/>
        <w:bidi w:val="0"/>
        <w:adjustRightInd/>
        <w:snapToGrid/>
        <w:spacing w:line="240" w:lineRule="auto"/>
        <w:ind w:left="0" w:leftChars="0" w:firstLine="420" w:firstLineChars="200"/>
        <w:jc w:val="both"/>
        <w:textAlignment w:val="baseline"/>
        <w:rPr>
          <w:rFonts w:hint="default" w:ascii="Times New Roman" w:hAnsi="Times New Roman" w:eastAsia="宋体" w:cs="Times New Roman"/>
          <w:b w:val="0"/>
          <w:color w:val="auto"/>
          <w:szCs w:val="21"/>
          <w:highlight w:val="none"/>
        </w:rPr>
      </w:pPr>
      <w:r>
        <w:rPr>
          <w:rFonts w:hint="default" w:ascii="Times New Roman" w:hAnsi="Times New Roman" w:eastAsia="宋体" w:cs="Times New Roman"/>
          <w:b w:val="0"/>
          <w:color w:val="auto"/>
          <w:sz w:val="21"/>
          <w:szCs w:val="21"/>
          <w:highlight w:val="none"/>
        </w:rPr>
        <w:t>表2.</w:t>
      </w:r>
      <w:r>
        <w:rPr>
          <w:rFonts w:hint="default" w:ascii="Times New Roman" w:hAnsi="Times New Roman" w:eastAsia="宋体" w:cs="Times New Roman"/>
          <w:b w:val="0"/>
          <w:color w:val="auto"/>
          <w:sz w:val="21"/>
          <w:szCs w:val="21"/>
          <w:highlight w:val="none"/>
          <w:lang w:val="en-US" w:eastAsia="zh-CN"/>
        </w:rPr>
        <w:t>1</w:t>
      </w:r>
      <w:r>
        <w:rPr>
          <w:rFonts w:hint="default" w:ascii="Times New Roman" w:hAnsi="Times New Roman" w:eastAsia="宋体" w:cs="Times New Roman"/>
          <w:b w:val="0"/>
          <w:color w:val="auto"/>
          <w:sz w:val="21"/>
          <w:szCs w:val="21"/>
          <w:highlight w:val="none"/>
        </w:rPr>
        <w:t>-1</w:t>
      </w:r>
      <w:r>
        <w:rPr>
          <w:rFonts w:hint="default" w:ascii="Times New Roman" w:hAnsi="Times New Roman" w:eastAsia="宋体" w:cs="Times New Roman"/>
          <w:b w:val="0"/>
          <w:color w:val="auto"/>
          <w:szCs w:val="21"/>
          <w:highlight w:val="none"/>
        </w:rPr>
        <w:t xml:space="preserve"> </w:t>
      </w:r>
      <w:r>
        <w:rPr>
          <w:rFonts w:hint="eastAsia" w:ascii="Times New Roman" w:hAnsi="Times New Roman" w:eastAsia="宋体" w:cs="Times New Roman"/>
          <w:b w:val="0"/>
          <w:color w:val="auto"/>
          <w:szCs w:val="21"/>
          <w:highlight w:val="none"/>
          <w:lang w:val="en-US" w:eastAsia="zh-CN"/>
        </w:rPr>
        <w:t xml:space="preserve">          </w:t>
      </w:r>
      <w:r>
        <w:rPr>
          <w:rFonts w:hint="default" w:ascii="Times New Roman" w:hAnsi="Times New Roman" w:eastAsia="宋体" w:cs="Times New Roman"/>
          <w:b w:val="0"/>
          <w:color w:val="auto"/>
          <w:szCs w:val="21"/>
          <w:highlight w:val="none"/>
        </w:rPr>
        <w:t xml:space="preserve"> </w:t>
      </w:r>
      <w:r>
        <w:rPr>
          <w:rFonts w:hint="eastAsia" w:ascii="Times New Roman" w:hAnsi="Times New Roman" w:eastAsia="宋体" w:cs="Times New Roman"/>
          <w:b w:val="0"/>
          <w:color w:val="auto"/>
          <w:szCs w:val="21"/>
          <w:highlight w:val="none"/>
          <w:lang w:val="en-US" w:eastAsia="zh-CN"/>
        </w:rPr>
        <w:t xml:space="preserve">                        </w:t>
      </w:r>
      <w:r>
        <w:rPr>
          <w:rFonts w:hint="default" w:ascii="Times New Roman" w:hAnsi="Times New Roman" w:eastAsia="宋体" w:cs="Times New Roman"/>
          <w:bCs/>
          <w:color w:val="auto"/>
          <w:sz w:val="24"/>
          <w:szCs w:val="24"/>
          <w:highlight w:val="none"/>
        </w:rPr>
        <w:t>项目建设内容一览表</w:t>
      </w:r>
    </w:p>
    <w:tbl>
      <w:tblPr>
        <w:tblStyle w:val="27"/>
        <w:tblW w:w="49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9"/>
        <w:gridCol w:w="575"/>
        <w:gridCol w:w="339"/>
        <w:gridCol w:w="311"/>
        <w:gridCol w:w="1304"/>
        <w:gridCol w:w="10761"/>
      </w:tblGrid>
      <w:tr w14:paraId="43169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noWrap w:val="0"/>
            <w:vAlign w:val="center"/>
          </w:tcPr>
          <w:p w14:paraId="66C9556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类别</w:t>
            </w:r>
          </w:p>
        </w:tc>
        <w:tc>
          <w:tcPr>
            <w:tcW w:w="907" w:type="pct"/>
            <w:gridSpan w:val="4"/>
            <w:noWrap w:val="0"/>
            <w:vAlign w:val="center"/>
          </w:tcPr>
          <w:p w14:paraId="76C38E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工程名称</w:t>
            </w:r>
          </w:p>
        </w:tc>
        <w:tc>
          <w:tcPr>
            <w:tcW w:w="3860" w:type="pct"/>
            <w:noWrap w:val="0"/>
            <w:vAlign w:val="center"/>
          </w:tcPr>
          <w:p w14:paraId="77E6B3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主要内容</w:t>
            </w:r>
          </w:p>
        </w:tc>
      </w:tr>
      <w:tr w14:paraId="6A6D6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3D325B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主体工程</w:t>
            </w:r>
          </w:p>
        </w:tc>
        <w:tc>
          <w:tcPr>
            <w:tcW w:w="206" w:type="pct"/>
            <w:vMerge w:val="restart"/>
            <w:noWrap w:val="0"/>
            <w:vAlign w:val="center"/>
          </w:tcPr>
          <w:p w14:paraId="6E735DC8">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屠宰加工车间</w:t>
            </w:r>
          </w:p>
        </w:tc>
        <w:tc>
          <w:tcPr>
            <w:tcW w:w="4560" w:type="pct"/>
            <w:gridSpan w:val="4"/>
            <w:noWrap w:val="0"/>
            <w:vAlign w:val="center"/>
          </w:tcPr>
          <w:p w14:paraId="5264A4DE">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2F</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高12.5m，</w:t>
            </w:r>
            <w:r>
              <w:rPr>
                <w:rFonts w:hint="default" w:ascii="Times New Roman" w:hAnsi="Times New Roman" w:eastAsia="宋体" w:cs="Times New Roman"/>
                <w:color w:val="auto"/>
                <w:sz w:val="21"/>
                <w:szCs w:val="21"/>
                <w:highlight w:val="none"/>
              </w:rPr>
              <w:t>框架结构，建筑面积6012m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一层</w:t>
            </w:r>
            <w:r>
              <w:rPr>
                <w:rFonts w:hint="default" w:ascii="Times New Roman" w:hAnsi="Times New Roman" w:eastAsia="宋体" w:cs="Times New Roman"/>
                <w:color w:val="auto"/>
                <w:sz w:val="21"/>
                <w:szCs w:val="21"/>
                <w:highlight w:val="none"/>
              </w:rPr>
              <w:t>主要分为</w:t>
            </w:r>
            <w:r>
              <w:rPr>
                <w:rFonts w:hint="eastAsia" w:eastAsia="宋体" w:cs="Times New Roman"/>
                <w:color w:val="auto"/>
                <w:sz w:val="21"/>
                <w:szCs w:val="21"/>
                <w:highlight w:val="none"/>
                <w:lang w:val="en-US" w:eastAsia="zh-CN"/>
              </w:rPr>
              <w:t>牛</w:t>
            </w:r>
            <w:r>
              <w:rPr>
                <w:rFonts w:hint="default" w:ascii="Times New Roman" w:hAnsi="Times New Roman" w:eastAsia="宋体" w:cs="Times New Roman"/>
                <w:color w:val="auto"/>
                <w:sz w:val="21"/>
                <w:szCs w:val="21"/>
                <w:highlight w:val="none"/>
              </w:rPr>
              <w:t>待宰圈、</w:t>
            </w:r>
            <w:r>
              <w:rPr>
                <w:rFonts w:hint="eastAsia" w:eastAsia="宋体" w:cs="Times New Roman"/>
                <w:color w:val="auto"/>
                <w:sz w:val="21"/>
                <w:szCs w:val="21"/>
                <w:highlight w:val="none"/>
                <w:lang w:val="en-US" w:eastAsia="zh-CN"/>
              </w:rPr>
              <w:t>羊待宰圈、隔离圈、急宰间、散户屠宰区、加工区</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冷藏库、速冻库、包装区等；二层主要分为办公区、展厅、冷藏库、速冻库、包装区、加工区、羊待宰圈等</w:t>
            </w:r>
            <w:r>
              <w:rPr>
                <w:rFonts w:hint="default" w:ascii="Times New Roman" w:hAnsi="Times New Roman" w:eastAsia="宋体" w:cs="Times New Roman"/>
                <w:color w:val="auto"/>
                <w:sz w:val="21"/>
                <w:szCs w:val="21"/>
                <w:highlight w:val="none"/>
              </w:rPr>
              <w:t>。</w:t>
            </w:r>
          </w:p>
        </w:tc>
      </w:tr>
      <w:tr w14:paraId="32D31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06DA074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5E92A374">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restart"/>
            <w:noWrap w:val="0"/>
            <w:vAlign w:val="center"/>
          </w:tcPr>
          <w:p w14:paraId="1C1A4F80">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一层</w:t>
            </w:r>
          </w:p>
        </w:tc>
        <w:tc>
          <w:tcPr>
            <w:tcW w:w="467" w:type="pct"/>
            <w:noWrap w:val="0"/>
            <w:vAlign w:val="center"/>
          </w:tcPr>
          <w:p w14:paraId="22EE8749">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牛</w:t>
            </w:r>
            <w:r>
              <w:rPr>
                <w:rFonts w:hint="default" w:ascii="Times New Roman" w:hAnsi="Times New Roman" w:eastAsia="宋体" w:cs="Times New Roman"/>
                <w:color w:val="auto"/>
                <w:sz w:val="21"/>
                <w:szCs w:val="21"/>
                <w:highlight w:val="none"/>
                <w:lang w:eastAsia="zh-CN"/>
              </w:rPr>
              <w:t>待宰圈</w:t>
            </w:r>
          </w:p>
        </w:tc>
        <w:tc>
          <w:tcPr>
            <w:tcW w:w="3860" w:type="pct"/>
            <w:noWrap w:val="0"/>
            <w:vAlign w:val="center"/>
          </w:tcPr>
          <w:p w14:paraId="27154D44">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包含</w:t>
            </w:r>
            <w:r>
              <w:rPr>
                <w:rFonts w:hint="eastAsia"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个</w:t>
            </w:r>
            <w:r>
              <w:rPr>
                <w:rFonts w:hint="eastAsia" w:eastAsia="宋体" w:cs="Times New Roman"/>
                <w:color w:val="000000" w:themeColor="text1"/>
                <w:sz w:val="21"/>
                <w:szCs w:val="21"/>
                <w:highlight w:val="none"/>
                <w:lang w:val="en-US" w:eastAsia="zh-CN"/>
                <w14:textFill>
                  <w14:solidFill>
                    <w14:schemeClr w14:val="tx1"/>
                  </w14:solidFill>
                </w14:textFill>
              </w:rPr>
              <w:t>牛</w:t>
            </w:r>
            <w:r>
              <w:rPr>
                <w:rFonts w:hint="default" w:ascii="Times New Roman" w:hAnsi="Times New Roman" w:eastAsia="宋体" w:cs="Times New Roman"/>
                <w:color w:val="000000" w:themeColor="text1"/>
                <w:sz w:val="21"/>
                <w:szCs w:val="21"/>
                <w:highlight w:val="none"/>
                <w14:textFill>
                  <w14:solidFill>
                    <w14:schemeClr w14:val="tx1"/>
                  </w14:solidFill>
                </w14:textFill>
              </w:rPr>
              <w:t>待宰圈</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待宰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牛</w:t>
            </w:r>
            <w:r>
              <w:rPr>
                <w:rFonts w:hint="eastAsia" w:eastAsia="宋体" w:cs="Times New Roman"/>
                <w:color w:val="000000" w:themeColor="text1"/>
                <w:sz w:val="21"/>
                <w:szCs w:val="21"/>
                <w:highlight w:val="none"/>
                <w:lang w:val="en-US" w:eastAsia="zh-CN"/>
                <w14:textFill>
                  <w14:solidFill>
                    <w14:schemeClr w14:val="tx1"/>
                  </w14:solidFill>
                </w14:textFill>
              </w:rPr>
              <w:t>留观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24小时，确认健康无病的牛随后进入加工区进行屠宰作业。若发现疫病迹象的牛，</w:t>
            </w:r>
            <w:r>
              <w:rPr>
                <w:rFonts w:hint="eastAsia" w:eastAsia="宋体" w:cs="Times New Roman"/>
                <w:color w:val="000000" w:themeColor="text1"/>
                <w:sz w:val="21"/>
                <w:szCs w:val="21"/>
                <w:highlight w:val="none"/>
                <w:lang w:val="en-US" w:eastAsia="zh-CN"/>
                <w14:textFill>
                  <w14:solidFill>
                    <w14:schemeClr w14:val="tx1"/>
                  </w14:solidFill>
                </w14:textFill>
              </w:rPr>
              <w:t>在急宰间急宰后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，拉运至原州区动物疫病控制中心指定的场所进行无害化处理。</w:t>
            </w:r>
          </w:p>
        </w:tc>
      </w:tr>
      <w:tr w14:paraId="5E096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51A160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65E47907">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1554266B">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p>
        </w:tc>
        <w:tc>
          <w:tcPr>
            <w:tcW w:w="467" w:type="pct"/>
            <w:shd w:val="clear" w:color="auto" w:fill="auto"/>
            <w:noWrap w:val="0"/>
            <w:vAlign w:val="center"/>
          </w:tcPr>
          <w:p w14:paraId="50A2F214">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羊</w:t>
            </w:r>
            <w:r>
              <w:rPr>
                <w:rFonts w:hint="default" w:ascii="Times New Roman" w:hAnsi="Times New Roman" w:eastAsia="宋体" w:cs="Times New Roman"/>
                <w:color w:val="auto"/>
                <w:sz w:val="21"/>
                <w:szCs w:val="21"/>
                <w:highlight w:val="none"/>
                <w:lang w:eastAsia="zh-CN"/>
              </w:rPr>
              <w:t>待宰圈</w:t>
            </w:r>
          </w:p>
        </w:tc>
        <w:tc>
          <w:tcPr>
            <w:tcW w:w="3860" w:type="pct"/>
            <w:shd w:val="clear" w:color="auto" w:fill="auto"/>
            <w:noWrap w:val="0"/>
            <w:vAlign w:val="center"/>
          </w:tcPr>
          <w:p w14:paraId="257C0D9D">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包含</w:t>
            </w:r>
            <w:r>
              <w:rPr>
                <w:rFonts w:hint="eastAsia" w:eastAsia="宋体" w:cs="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个</w:t>
            </w:r>
            <w:r>
              <w:rPr>
                <w:rFonts w:hint="eastAsia" w:eastAsia="宋体" w:cs="Times New Roman"/>
                <w:color w:val="000000" w:themeColor="text1"/>
                <w:sz w:val="21"/>
                <w:szCs w:val="21"/>
                <w:highlight w:val="none"/>
                <w:lang w:val="en-US" w:eastAsia="zh-CN"/>
                <w14:textFill>
                  <w14:solidFill>
                    <w14:schemeClr w14:val="tx1"/>
                  </w14:solidFill>
                </w14:textFill>
              </w:rPr>
              <w:t>羊</w:t>
            </w:r>
            <w:r>
              <w:rPr>
                <w:rFonts w:hint="default" w:ascii="Times New Roman" w:hAnsi="Times New Roman" w:eastAsia="宋体" w:cs="Times New Roman"/>
                <w:color w:val="000000" w:themeColor="text1"/>
                <w:sz w:val="21"/>
                <w:szCs w:val="21"/>
                <w:highlight w:val="none"/>
                <w14:textFill>
                  <w14:solidFill>
                    <w14:schemeClr w14:val="tx1"/>
                  </w14:solidFill>
                </w14:textFill>
              </w:rPr>
              <w:t>待宰圈</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待宰羊留观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24小时，确认健康无病的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羊</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随后进入加工区进行屠宰作业。若发现疫病迹象的</w:t>
            </w:r>
            <w:r>
              <w:rPr>
                <w:rFonts w:hint="eastAsia" w:eastAsia="宋体" w:cs="Times New Roman"/>
                <w:color w:val="000000" w:themeColor="text1"/>
                <w:sz w:val="21"/>
                <w:szCs w:val="21"/>
                <w:highlight w:val="none"/>
                <w:lang w:val="en-US" w:eastAsia="zh-CN"/>
                <w14:textFill>
                  <w14:solidFill>
                    <w14:schemeClr w14:val="tx1"/>
                  </w14:solidFill>
                </w14:textFill>
              </w:rPr>
              <w:t>羊</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在急宰间急宰后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，拉运至原州区动物疫病控制中心指定的场所进行无害化处理。</w:t>
            </w:r>
          </w:p>
        </w:tc>
      </w:tr>
      <w:tr w14:paraId="4A298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7BCC7D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1B8DEE76">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31DA6E51">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67" w:type="pct"/>
            <w:noWrap w:val="0"/>
            <w:vAlign w:val="center"/>
          </w:tcPr>
          <w:p w14:paraId="37F40D25">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加工区</w:t>
            </w:r>
          </w:p>
        </w:tc>
        <w:tc>
          <w:tcPr>
            <w:tcW w:w="3860" w:type="pct"/>
            <w:noWrap w:val="0"/>
            <w:vAlign w:val="center"/>
          </w:tcPr>
          <w:p w14:paraId="3D536938">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val="en-US"/>
              </w:rPr>
            </w:pPr>
            <w:r>
              <w:rPr>
                <w:rFonts w:hint="eastAsia" w:eastAsia="宋体" w:cs="Times New Roman"/>
                <w:color w:val="auto"/>
                <w:sz w:val="21"/>
                <w:szCs w:val="21"/>
                <w:highlight w:val="none"/>
                <w:lang w:val="en-US" w:eastAsia="zh-CN"/>
              </w:rPr>
              <w:t>设置</w:t>
            </w:r>
            <w:r>
              <w:rPr>
                <w:rFonts w:hint="default" w:ascii="Times New Roman" w:hAnsi="Times New Roman" w:eastAsia="宋体" w:cs="Times New Roman"/>
                <w:color w:val="auto"/>
                <w:sz w:val="21"/>
                <w:szCs w:val="21"/>
                <w:highlight w:val="none"/>
              </w:rPr>
              <w:t>1条年屠宰牛</w:t>
            </w:r>
            <w:r>
              <w:rPr>
                <w:rFonts w:hint="eastAsia" w:eastAsia="宋体" w:cs="Times New Roman"/>
                <w:color w:val="auto"/>
                <w:sz w:val="21"/>
                <w:szCs w:val="21"/>
                <w:highlight w:val="none"/>
                <w:lang w:val="en-US" w:eastAsia="zh-CN"/>
              </w:rPr>
              <w:t>10000</w:t>
            </w:r>
            <w:r>
              <w:rPr>
                <w:rFonts w:hint="default" w:ascii="Times New Roman" w:hAnsi="Times New Roman" w:eastAsia="宋体" w:cs="Times New Roman"/>
                <w:color w:val="auto"/>
                <w:sz w:val="21"/>
                <w:szCs w:val="21"/>
                <w:highlight w:val="none"/>
              </w:rPr>
              <w:t>头生产线；包含</w:t>
            </w:r>
            <w:r>
              <w:rPr>
                <w:rFonts w:hint="eastAsia" w:eastAsia="宋体" w:cs="Times New Roman"/>
                <w:color w:val="auto"/>
                <w:sz w:val="21"/>
                <w:szCs w:val="21"/>
                <w:highlight w:val="none"/>
                <w:lang w:val="en-US" w:eastAsia="zh-CN"/>
              </w:rPr>
              <w:t>司磅间</w:t>
            </w:r>
            <w:r>
              <w:rPr>
                <w:rFonts w:hint="eastAsia"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剥皮区</w:t>
            </w:r>
            <w:r>
              <w:rPr>
                <w:rFonts w:hint="eastAsia" w:ascii="Times New Roman" w:hAnsi="Times New Roman" w:eastAsia="宋体" w:cs="Times New Roman"/>
                <w:color w:val="auto"/>
                <w:sz w:val="21"/>
                <w:szCs w:val="21"/>
                <w:highlight w:val="none"/>
                <w:lang w:val="en-US" w:eastAsia="zh-CN"/>
              </w:rPr>
              <w:t>、更衣室、</w:t>
            </w:r>
            <w:r>
              <w:rPr>
                <w:rFonts w:hint="eastAsia" w:eastAsia="宋体" w:cs="Times New Roman"/>
                <w:color w:val="auto"/>
                <w:sz w:val="21"/>
                <w:szCs w:val="21"/>
                <w:highlight w:val="none"/>
                <w:lang w:val="en-US" w:eastAsia="zh-CN"/>
              </w:rPr>
              <w:t>皮张间、白脏处理间、红脏处理间、头蹄加工间、剔骨区、包装区</w:t>
            </w:r>
            <w:r>
              <w:rPr>
                <w:rFonts w:hint="eastAsia" w:ascii="Times New Roman" w:hAnsi="Times New Roman" w:eastAsia="宋体" w:cs="Times New Roman"/>
                <w:color w:val="auto"/>
                <w:sz w:val="21"/>
                <w:szCs w:val="21"/>
                <w:highlight w:val="none"/>
                <w:lang w:val="en-US" w:eastAsia="zh-CN"/>
              </w:rPr>
              <w:t>等</w:t>
            </w:r>
            <w:r>
              <w:rPr>
                <w:rFonts w:hint="eastAsia" w:eastAsia="宋体" w:cs="Times New Roman"/>
                <w:color w:val="auto"/>
                <w:sz w:val="21"/>
                <w:szCs w:val="21"/>
                <w:highlight w:val="none"/>
                <w:lang w:val="en-US" w:eastAsia="zh-CN"/>
              </w:rPr>
              <w:t>，主要设备为活牛称重系统、旋转翻板箱</w:t>
            </w:r>
            <w:r>
              <w:rPr>
                <w:rFonts w:hint="eastAsia" w:ascii="Times New Roman" w:hAnsi="Times New Roman" w:eastAsia="宋体" w:cs="Times New Roman"/>
                <w:color w:val="auto"/>
                <w:kern w:val="2"/>
                <w:sz w:val="21"/>
                <w:szCs w:val="21"/>
                <w:lang w:val="en-US" w:eastAsia="zh-CN" w:bidi="ar-SA"/>
              </w:rPr>
              <w:t>、宰杀站台及接血槽、放血提升机、胴体加工输送机</w:t>
            </w:r>
            <w:r>
              <w:rPr>
                <w:rFonts w:hint="eastAsia" w:eastAsia="宋体" w:cs="Times New Roman"/>
                <w:color w:val="auto"/>
                <w:kern w:val="2"/>
                <w:sz w:val="21"/>
                <w:szCs w:val="21"/>
                <w:lang w:val="en-US" w:eastAsia="zh-CN" w:bidi="ar-SA"/>
              </w:rPr>
              <w:t>、劈半防溅屏、带式劈半锯</w:t>
            </w:r>
            <w:r>
              <w:rPr>
                <w:rFonts w:hint="eastAsia" w:ascii="Times New Roman" w:hAnsi="Times New Roman" w:eastAsia="宋体" w:cs="Times New Roman"/>
                <w:color w:val="auto"/>
                <w:kern w:val="2"/>
                <w:sz w:val="21"/>
                <w:szCs w:val="21"/>
                <w:lang w:val="en-US" w:eastAsia="zh-CN" w:bidi="ar-SA"/>
              </w:rPr>
              <w:t>等；</w:t>
            </w:r>
            <w:r>
              <w:rPr>
                <w:rFonts w:hint="eastAsia" w:eastAsia="宋体" w:cs="Times New Roman"/>
                <w:color w:val="auto"/>
                <w:sz w:val="21"/>
                <w:szCs w:val="21"/>
                <w:highlight w:val="none"/>
                <w:lang w:val="en-US" w:eastAsia="zh-CN"/>
              </w:rPr>
              <w:t>主要工艺为检疫验收-宰杀放血-预剥扯皮-去头降尾-胴体加工-副产品加工-胴体排酸-剔骨分割包装。</w:t>
            </w:r>
          </w:p>
        </w:tc>
      </w:tr>
      <w:tr w14:paraId="6CFE9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31928C7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6EAC75B7">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24A6CE0B">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67" w:type="pct"/>
            <w:noWrap w:val="0"/>
            <w:vAlign w:val="center"/>
          </w:tcPr>
          <w:p w14:paraId="0291956D">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剔骨区</w:t>
            </w:r>
          </w:p>
        </w:tc>
        <w:tc>
          <w:tcPr>
            <w:tcW w:w="3860" w:type="pct"/>
            <w:noWrap w:val="0"/>
            <w:vAlign w:val="center"/>
          </w:tcPr>
          <w:p w14:paraId="192770D8">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对屠宰完成后的牛肉进行剔骨分割，批发外售。</w:t>
            </w:r>
          </w:p>
        </w:tc>
      </w:tr>
      <w:tr w14:paraId="18C74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2E3A60F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2485410A">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48DEB163">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67" w:type="pct"/>
            <w:noWrap w:val="0"/>
            <w:vAlign w:val="center"/>
          </w:tcPr>
          <w:p w14:paraId="00814C4F">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散户屠宰区</w:t>
            </w:r>
          </w:p>
        </w:tc>
        <w:tc>
          <w:tcPr>
            <w:tcW w:w="3860" w:type="pct"/>
            <w:noWrap w:val="0"/>
            <w:vAlign w:val="center"/>
          </w:tcPr>
          <w:p w14:paraId="67E8668A">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对散户拉运回来的牲畜进行宰杀剥皮，剔骨分割后直接外售。</w:t>
            </w:r>
          </w:p>
        </w:tc>
      </w:tr>
      <w:tr w14:paraId="66786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399FA2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3430089A">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35A98A0E">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67" w:type="pct"/>
            <w:noWrap w:val="0"/>
            <w:vAlign w:val="center"/>
          </w:tcPr>
          <w:p w14:paraId="55F64069">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排酸库</w:t>
            </w:r>
          </w:p>
        </w:tc>
        <w:tc>
          <w:tcPr>
            <w:tcW w:w="3860" w:type="pct"/>
            <w:noWrap w:val="0"/>
            <w:vAlign w:val="center"/>
          </w:tcPr>
          <w:p w14:paraId="0653892F">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排酸库温度设置为0~4</w:t>
            </w:r>
            <w:r>
              <w:rPr>
                <w:rFonts w:hint="eastAsia" w:ascii="宋体" w:hAnsi="宋体" w:eastAsia="宋体" w:cs="宋体"/>
                <w:color w:val="auto"/>
                <w:sz w:val="21"/>
                <w:szCs w:val="21"/>
                <w:highlight w:val="none"/>
                <w:lang w:val="en-US" w:eastAsia="zh-CN"/>
              </w:rPr>
              <w:t>℃</w:t>
            </w:r>
            <w:r>
              <w:rPr>
                <w:rFonts w:hint="eastAsia"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屠宰工序完成后的</w:t>
            </w:r>
            <w:r>
              <w:rPr>
                <w:rFonts w:hint="eastAsia" w:eastAsia="宋体" w:cs="Times New Roman"/>
                <w:color w:val="auto"/>
                <w:sz w:val="21"/>
                <w:szCs w:val="21"/>
                <w:highlight w:val="none"/>
                <w:lang w:val="en-US" w:eastAsia="zh-CN"/>
              </w:rPr>
              <w:t>牛肉</w:t>
            </w:r>
            <w:r>
              <w:rPr>
                <w:rFonts w:hint="eastAsia" w:ascii="Times New Roman" w:hAnsi="Times New Roman" w:eastAsia="宋体" w:cs="Times New Roman"/>
                <w:color w:val="auto"/>
                <w:sz w:val="21"/>
                <w:szCs w:val="21"/>
                <w:highlight w:val="none"/>
                <w:lang w:val="en-US" w:eastAsia="zh-CN"/>
              </w:rPr>
              <w:t>放置于排酸车间，进行</w:t>
            </w:r>
            <w:r>
              <w:rPr>
                <w:rFonts w:hint="eastAsia" w:eastAsia="宋体" w:cs="Times New Roman"/>
                <w:color w:val="auto"/>
                <w:sz w:val="21"/>
                <w:szCs w:val="21"/>
                <w:highlight w:val="none"/>
                <w:lang w:val="en-US" w:eastAsia="zh-CN"/>
              </w:rPr>
              <w:t>牛</w:t>
            </w:r>
            <w:r>
              <w:rPr>
                <w:rFonts w:hint="eastAsia" w:ascii="Times New Roman" w:hAnsi="Times New Roman" w:eastAsia="宋体" w:cs="Times New Roman"/>
                <w:color w:val="auto"/>
                <w:sz w:val="21"/>
                <w:szCs w:val="21"/>
                <w:highlight w:val="none"/>
                <w:lang w:val="en-US" w:eastAsia="zh-CN"/>
              </w:rPr>
              <w:t>肉排酸。</w:t>
            </w:r>
          </w:p>
        </w:tc>
      </w:tr>
      <w:tr w14:paraId="3CEA8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77CE57E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3D24C486">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2DDBAEAA">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67" w:type="pct"/>
            <w:noWrap w:val="0"/>
            <w:vAlign w:val="center"/>
          </w:tcPr>
          <w:p w14:paraId="18AB4EB0">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副产冷藏库</w:t>
            </w:r>
          </w:p>
        </w:tc>
        <w:tc>
          <w:tcPr>
            <w:tcW w:w="3860" w:type="pct"/>
            <w:noWrap w:val="0"/>
            <w:vAlign w:val="center"/>
          </w:tcPr>
          <w:p w14:paraId="486B6ED9">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设1间副产品冷藏库，温度设置为-18</w:t>
            </w:r>
            <w:r>
              <w:rPr>
                <w:rFonts w:hint="eastAsia" w:ascii="宋体" w:hAnsi="宋体" w:eastAsia="宋体" w:cs="宋体"/>
                <w:color w:val="auto"/>
                <w:sz w:val="21"/>
                <w:szCs w:val="21"/>
                <w:highlight w:val="none"/>
                <w:lang w:val="en-US" w:eastAsia="zh-CN"/>
              </w:rPr>
              <w:t>℃</w:t>
            </w:r>
            <w:r>
              <w:rPr>
                <w:rFonts w:hint="eastAsia" w:eastAsia="宋体" w:cs="Times New Roman"/>
                <w:color w:val="auto"/>
                <w:sz w:val="21"/>
                <w:szCs w:val="21"/>
                <w:highlight w:val="none"/>
                <w:lang w:val="en-US" w:eastAsia="zh-CN"/>
              </w:rPr>
              <w:t>，用于速冻好的牛副产品储存</w:t>
            </w:r>
            <w:r>
              <w:rPr>
                <w:rFonts w:hint="eastAsia" w:ascii="Times New Roman" w:hAnsi="Times New Roman" w:eastAsia="宋体" w:cs="Times New Roman"/>
                <w:color w:val="auto"/>
                <w:sz w:val="21"/>
                <w:szCs w:val="21"/>
                <w:highlight w:val="none"/>
                <w:lang w:val="en-US" w:eastAsia="zh-CN"/>
              </w:rPr>
              <w:t>。</w:t>
            </w:r>
          </w:p>
        </w:tc>
      </w:tr>
      <w:tr w14:paraId="3F7BD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7262D36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2D9EF5B8">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636D8A03">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67" w:type="pct"/>
            <w:noWrap w:val="0"/>
            <w:vAlign w:val="center"/>
          </w:tcPr>
          <w:p w14:paraId="4600B68A">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副产</w:t>
            </w:r>
            <w:r>
              <w:rPr>
                <w:rFonts w:hint="eastAsia" w:eastAsia="宋体" w:cs="Times New Roman"/>
                <w:color w:val="auto"/>
                <w:sz w:val="21"/>
                <w:szCs w:val="21"/>
                <w:highlight w:val="none"/>
                <w:lang w:val="en-US" w:eastAsia="zh-CN"/>
              </w:rPr>
              <w:t>速冻库</w:t>
            </w:r>
          </w:p>
        </w:tc>
        <w:tc>
          <w:tcPr>
            <w:tcW w:w="3860" w:type="pct"/>
            <w:noWrap w:val="0"/>
            <w:vAlign w:val="center"/>
          </w:tcPr>
          <w:p w14:paraId="3F613541">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设1间副产品速冻库，温度设置为-30℃，用于牛副产品的速冻。</w:t>
            </w:r>
          </w:p>
        </w:tc>
      </w:tr>
      <w:tr w14:paraId="11728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06F325D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12A26A6A">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71D34391">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noWrap w:val="0"/>
            <w:vAlign w:val="center"/>
          </w:tcPr>
          <w:p w14:paraId="56F271EA">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速冻库</w:t>
            </w:r>
          </w:p>
        </w:tc>
        <w:tc>
          <w:tcPr>
            <w:tcW w:w="3860" w:type="pct"/>
            <w:noWrap w:val="0"/>
            <w:vAlign w:val="center"/>
          </w:tcPr>
          <w:p w14:paraId="7FAD42C2">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设2间速冻库，温度为-35</w:t>
            </w:r>
            <w:r>
              <w:rPr>
                <w:rFonts w:hint="eastAsia" w:ascii="宋体" w:hAnsi="宋体" w:eastAsia="宋体" w:cs="宋体"/>
                <w:color w:val="auto"/>
                <w:sz w:val="21"/>
                <w:szCs w:val="21"/>
                <w:highlight w:val="none"/>
                <w:lang w:val="en-US" w:eastAsia="zh-CN"/>
              </w:rPr>
              <w:t>℃</w:t>
            </w:r>
            <w:r>
              <w:rPr>
                <w:rFonts w:hint="eastAsia" w:eastAsia="宋体" w:cs="Times New Roman"/>
                <w:color w:val="auto"/>
                <w:sz w:val="21"/>
                <w:szCs w:val="21"/>
                <w:highlight w:val="none"/>
                <w:lang w:val="en-US" w:eastAsia="zh-CN"/>
              </w:rPr>
              <w:t>，用于屠宰后新鲜牛肉的速冻。</w:t>
            </w:r>
          </w:p>
        </w:tc>
      </w:tr>
      <w:tr w14:paraId="7EA82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B5B98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42B881F6">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3B200CBE">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noWrap w:val="0"/>
            <w:vAlign w:val="center"/>
          </w:tcPr>
          <w:p w14:paraId="1EB51572">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冷藏库</w:t>
            </w:r>
          </w:p>
        </w:tc>
        <w:tc>
          <w:tcPr>
            <w:tcW w:w="3860" w:type="pct"/>
            <w:noWrap w:val="0"/>
            <w:vAlign w:val="center"/>
          </w:tcPr>
          <w:p w14:paraId="0084C73F">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共设置1间冷藏库，制冷剂为</w:t>
            </w:r>
            <w:r>
              <w:rPr>
                <w:rFonts w:hint="default" w:ascii="Times New Roman" w:hAnsi="Times New Roman" w:eastAsia="宋体" w:cs="Times New Roman"/>
                <w:color w:val="auto"/>
                <w:sz w:val="21"/>
                <w:szCs w:val="21"/>
                <w:highlight w:val="none"/>
              </w:rPr>
              <w:t>R507</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温度为-18</w:t>
            </w:r>
            <w:r>
              <w:rPr>
                <w:rFonts w:hint="eastAsia" w:ascii="宋体" w:hAnsi="宋体" w:eastAsia="宋体" w:cs="宋体"/>
                <w:color w:val="auto"/>
                <w:sz w:val="21"/>
                <w:szCs w:val="21"/>
                <w:highlight w:val="none"/>
                <w:lang w:val="en-US" w:eastAsia="zh-CN"/>
              </w:rPr>
              <w:t>℃</w:t>
            </w:r>
            <w:r>
              <w:rPr>
                <w:rFonts w:hint="eastAsia" w:eastAsia="宋体" w:cs="Times New Roman"/>
                <w:color w:val="auto"/>
                <w:sz w:val="21"/>
                <w:szCs w:val="21"/>
                <w:highlight w:val="none"/>
                <w:lang w:val="en-US" w:eastAsia="zh-CN"/>
              </w:rPr>
              <w:t>，用于速冻好的牛肉贮存。</w:t>
            </w:r>
          </w:p>
        </w:tc>
      </w:tr>
      <w:tr w14:paraId="6E9BE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6715C3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29AEEC34">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50CBFBF6">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noWrap w:val="0"/>
            <w:vAlign w:val="center"/>
          </w:tcPr>
          <w:p w14:paraId="4941925F">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二次包装区</w:t>
            </w:r>
          </w:p>
        </w:tc>
        <w:tc>
          <w:tcPr>
            <w:tcW w:w="3860" w:type="pct"/>
            <w:noWrap w:val="0"/>
            <w:vAlign w:val="center"/>
          </w:tcPr>
          <w:p w14:paraId="3CCE56FE">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用于产品外售时的二次包装。</w:t>
            </w:r>
          </w:p>
        </w:tc>
      </w:tr>
      <w:tr w14:paraId="24576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1B4282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410E65F0">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34EE0F5A">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noWrap w:val="0"/>
            <w:vAlign w:val="center"/>
          </w:tcPr>
          <w:p w14:paraId="56C21A8F">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内包材库</w:t>
            </w:r>
          </w:p>
        </w:tc>
        <w:tc>
          <w:tcPr>
            <w:tcW w:w="3860" w:type="pct"/>
            <w:noWrap w:val="0"/>
            <w:vAlign w:val="center"/>
          </w:tcPr>
          <w:p w14:paraId="2441D666">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共设置1件内包材库，用于生产过程耗材暂存。</w:t>
            </w:r>
          </w:p>
        </w:tc>
      </w:tr>
      <w:tr w14:paraId="55CC5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094288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32FC05A5">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2DC5F6DA">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noWrap w:val="0"/>
            <w:vAlign w:val="center"/>
          </w:tcPr>
          <w:p w14:paraId="0AB10AE5">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检疫室</w:t>
            </w:r>
          </w:p>
        </w:tc>
        <w:tc>
          <w:tcPr>
            <w:tcW w:w="3860" w:type="pct"/>
            <w:noWrap w:val="0"/>
            <w:vAlign w:val="center"/>
          </w:tcPr>
          <w:p w14:paraId="3199D748">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设置1间检疫室，用于产品检疫。</w:t>
            </w:r>
          </w:p>
        </w:tc>
      </w:tr>
      <w:tr w14:paraId="05576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0787E9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14FD6790">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2B1D3D50">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noWrap w:val="0"/>
            <w:vAlign w:val="center"/>
          </w:tcPr>
          <w:p w14:paraId="096A2E1A">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隔离圈</w:t>
            </w:r>
          </w:p>
        </w:tc>
        <w:tc>
          <w:tcPr>
            <w:tcW w:w="3860" w:type="pct"/>
            <w:noWrap w:val="0"/>
            <w:vAlign w:val="center"/>
          </w:tcPr>
          <w:p w14:paraId="1EF35CCE">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设置2间隔离圈，分别用于病牛、病羊隔离观察。</w:t>
            </w:r>
          </w:p>
        </w:tc>
      </w:tr>
      <w:tr w14:paraId="4FC12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3634A6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1A0808B2">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430D2B00">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noWrap w:val="0"/>
            <w:vAlign w:val="center"/>
          </w:tcPr>
          <w:p w14:paraId="6D844DD5">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急宰间</w:t>
            </w:r>
          </w:p>
        </w:tc>
        <w:tc>
          <w:tcPr>
            <w:tcW w:w="3860" w:type="pct"/>
            <w:noWrap w:val="0"/>
            <w:vAlign w:val="center"/>
          </w:tcPr>
          <w:p w14:paraId="278B878A">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设置1间急宰间，用于疫病牛宰杀。</w:t>
            </w:r>
          </w:p>
        </w:tc>
      </w:tr>
      <w:tr w14:paraId="4CF3F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B65C7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2A52BA60">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restart"/>
            <w:shd w:val="clear" w:color="auto" w:fill="auto"/>
            <w:noWrap w:val="0"/>
            <w:vAlign w:val="center"/>
          </w:tcPr>
          <w:p w14:paraId="2B0AF4E8">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二层</w:t>
            </w:r>
          </w:p>
        </w:tc>
        <w:tc>
          <w:tcPr>
            <w:tcW w:w="467" w:type="pct"/>
            <w:shd w:val="clear" w:color="auto" w:fill="auto"/>
            <w:noWrap w:val="0"/>
            <w:vAlign w:val="center"/>
          </w:tcPr>
          <w:p w14:paraId="416004D9">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羊</w:t>
            </w:r>
            <w:r>
              <w:rPr>
                <w:rFonts w:hint="default" w:ascii="Times New Roman" w:hAnsi="Times New Roman" w:eastAsia="宋体" w:cs="Times New Roman"/>
                <w:color w:val="auto"/>
                <w:sz w:val="21"/>
                <w:szCs w:val="21"/>
                <w:highlight w:val="none"/>
                <w:lang w:eastAsia="zh-CN"/>
              </w:rPr>
              <w:t>待宰圈</w:t>
            </w:r>
          </w:p>
        </w:tc>
        <w:tc>
          <w:tcPr>
            <w:tcW w:w="3860" w:type="pct"/>
            <w:shd w:val="clear" w:color="auto" w:fill="auto"/>
            <w:noWrap w:val="0"/>
            <w:vAlign w:val="center"/>
          </w:tcPr>
          <w:p w14:paraId="2BF247C7">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包含</w:t>
            </w:r>
            <w:r>
              <w:rPr>
                <w:rFonts w:hint="eastAsia"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个</w:t>
            </w:r>
            <w:r>
              <w:rPr>
                <w:rFonts w:hint="eastAsia" w:eastAsia="宋体" w:cs="Times New Roman"/>
                <w:color w:val="auto"/>
                <w:sz w:val="21"/>
                <w:szCs w:val="21"/>
                <w:highlight w:val="none"/>
                <w:lang w:val="en-US" w:eastAsia="zh-CN"/>
              </w:rPr>
              <w:t>羊</w:t>
            </w:r>
            <w:r>
              <w:rPr>
                <w:rFonts w:hint="default" w:ascii="Times New Roman" w:hAnsi="Times New Roman" w:eastAsia="宋体" w:cs="Times New Roman"/>
                <w:color w:val="auto"/>
                <w:sz w:val="21"/>
                <w:szCs w:val="21"/>
                <w:highlight w:val="none"/>
              </w:rPr>
              <w:t>待宰圈</w:t>
            </w:r>
            <w:r>
              <w:rPr>
                <w:rFonts w:hint="eastAsia" w:ascii="Times New Roman" w:hAnsi="Times New Roman"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1楼确认健康无病的羊转运至2楼待宰圈暂存，等待宰杀。</w:t>
            </w:r>
          </w:p>
        </w:tc>
      </w:tr>
      <w:tr w14:paraId="715C1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2A7C26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2689E073">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shd w:val="clear" w:color="auto" w:fill="auto"/>
            <w:noWrap w:val="0"/>
            <w:vAlign w:val="center"/>
          </w:tcPr>
          <w:p w14:paraId="2DFD164D">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shd w:val="clear" w:color="auto" w:fill="auto"/>
            <w:noWrap w:val="0"/>
            <w:vAlign w:val="center"/>
          </w:tcPr>
          <w:p w14:paraId="147B1398">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加工区</w:t>
            </w:r>
          </w:p>
        </w:tc>
        <w:tc>
          <w:tcPr>
            <w:tcW w:w="3860" w:type="pct"/>
            <w:shd w:val="clear" w:color="auto" w:fill="auto"/>
            <w:noWrap w:val="0"/>
            <w:vAlign w:val="center"/>
          </w:tcPr>
          <w:p w14:paraId="746E20FD">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设置</w:t>
            </w:r>
            <w:r>
              <w:rPr>
                <w:rFonts w:hint="default" w:ascii="Times New Roman" w:hAnsi="Times New Roman" w:eastAsia="宋体" w:cs="Times New Roman"/>
                <w:color w:val="auto"/>
                <w:sz w:val="21"/>
                <w:szCs w:val="21"/>
                <w:highlight w:val="none"/>
              </w:rPr>
              <w:t>1条年屠宰</w:t>
            </w:r>
            <w:r>
              <w:rPr>
                <w:rFonts w:hint="eastAsia"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万只</w:t>
            </w:r>
            <w:r>
              <w:rPr>
                <w:rFonts w:hint="eastAsia" w:eastAsia="宋体" w:cs="Times New Roman"/>
                <w:color w:val="auto"/>
                <w:sz w:val="21"/>
                <w:szCs w:val="21"/>
                <w:highlight w:val="none"/>
                <w:lang w:val="en-US" w:eastAsia="zh-CN"/>
              </w:rPr>
              <w:t>羊</w:t>
            </w:r>
            <w:r>
              <w:rPr>
                <w:rFonts w:hint="default" w:ascii="Times New Roman" w:hAnsi="Times New Roman" w:eastAsia="宋体" w:cs="Times New Roman"/>
                <w:color w:val="auto"/>
                <w:sz w:val="21"/>
                <w:szCs w:val="21"/>
                <w:highlight w:val="none"/>
              </w:rPr>
              <w:t>生产线；包含</w:t>
            </w:r>
            <w:r>
              <w:rPr>
                <w:rFonts w:hint="eastAsia" w:eastAsia="宋体" w:cs="Times New Roman"/>
                <w:color w:val="auto"/>
                <w:sz w:val="21"/>
                <w:szCs w:val="21"/>
                <w:highlight w:val="none"/>
                <w:lang w:val="en-US" w:eastAsia="zh-CN"/>
              </w:rPr>
              <w:t>卧剥区</w:t>
            </w:r>
            <w:r>
              <w:rPr>
                <w:rFonts w:hint="eastAsia"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扯皮取内脏区</w:t>
            </w:r>
            <w:r>
              <w:rPr>
                <w:rFonts w:hint="eastAsia"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凉肉修整区</w:t>
            </w:r>
            <w:r>
              <w:rPr>
                <w:rFonts w:hint="eastAsia"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称重室</w:t>
            </w:r>
            <w:r>
              <w:rPr>
                <w:rFonts w:hint="eastAsia" w:ascii="Times New Roman" w:hAnsi="Times New Roman" w:eastAsia="宋体" w:cs="Times New Roman"/>
                <w:color w:val="auto"/>
                <w:sz w:val="21"/>
                <w:szCs w:val="21"/>
                <w:highlight w:val="none"/>
                <w:lang w:val="en-US" w:eastAsia="zh-CN"/>
              </w:rPr>
              <w:t>等。</w:t>
            </w:r>
            <w:r>
              <w:rPr>
                <w:rFonts w:hint="eastAsia" w:eastAsia="宋体" w:cs="Times New Roman"/>
                <w:color w:val="auto"/>
                <w:sz w:val="21"/>
                <w:szCs w:val="21"/>
                <w:highlight w:val="none"/>
                <w:lang w:val="en-US" w:eastAsia="zh-CN"/>
              </w:rPr>
              <w:t>主要设备为集血槽</w:t>
            </w:r>
            <w:r>
              <w:rPr>
                <w:rFonts w:hint="eastAsia" w:ascii="Times New Roman" w:hAnsi="Times New Roman" w:eastAsia="宋体" w:cs="Times New Roman"/>
                <w:color w:val="auto"/>
                <w:kern w:val="2"/>
                <w:sz w:val="21"/>
                <w:szCs w:val="21"/>
                <w:lang w:val="en-US" w:eastAsia="zh-CN" w:bidi="ar-SA"/>
              </w:rPr>
              <w:t>、宰杀放血输送线、一次转挂后腿-换轨站台、羊气动斜拉式扯皮机、羊屠宰线中央控制系统</w:t>
            </w:r>
            <w:r>
              <w:rPr>
                <w:rFonts w:hint="eastAsia"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洗肚机等；主要工艺为</w:t>
            </w:r>
            <w:r>
              <w:rPr>
                <w:rFonts w:hint="eastAsia" w:eastAsia="宋体" w:cs="Times New Roman"/>
                <w:color w:val="auto"/>
                <w:sz w:val="21"/>
                <w:szCs w:val="21"/>
                <w:highlight w:val="none"/>
                <w:lang w:val="en-US" w:eastAsia="zh-CN"/>
              </w:rPr>
              <w:t>检疫验收-宰杀放血-预剥扯皮-去头降尾-胴体加工-副产品加工-胴体排酸-剔骨分割包装</w:t>
            </w:r>
            <w:r>
              <w:rPr>
                <w:rFonts w:hint="eastAsia" w:ascii="Times New Roman" w:hAnsi="Times New Roman" w:eastAsia="宋体" w:cs="Times New Roman"/>
                <w:color w:val="auto"/>
                <w:kern w:val="2"/>
                <w:sz w:val="21"/>
                <w:szCs w:val="21"/>
                <w:lang w:val="en-US" w:eastAsia="zh-CN" w:bidi="ar-SA"/>
              </w:rPr>
              <w:t>；</w:t>
            </w:r>
          </w:p>
        </w:tc>
      </w:tr>
      <w:tr w14:paraId="19735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2E0266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6A70AD96">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shd w:val="clear" w:color="auto" w:fill="auto"/>
            <w:noWrap w:val="0"/>
            <w:vAlign w:val="center"/>
          </w:tcPr>
          <w:p w14:paraId="1F1874BD">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shd w:val="clear" w:color="auto" w:fill="auto"/>
            <w:noWrap w:val="0"/>
            <w:vAlign w:val="center"/>
          </w:tcPr>
          <w:p w14:paraId="4C5BA628">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羊排酸库</w:t>
            </w:r>
          </w:p>
        </w:tc>
        <w:tc>
          <w:tcPr>
            <w:tcW w:w="3860" w:type="pct"/>
            <w:shd w:val="clear" w:color="auto" w:fill="auto"/>
            <w:noWrap w:val="0"/>
            <w:vAlign w:val="center"/>
          </w:tcPr>
          <w:p w14:paraId="0EA5D692">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排酸库温度设置为0~4</w:t>
            </w:r>
            <w:r>
              <w:rPr>
                <w:rFonts w:hint="eastAsia" w:ascii="宋体" w:hAnsi="宋体" w:eastAsia="宋体" w:cs="宋体"/>
                <w:color w:val="auto"/>
                <w:sz w:val="21"/>
                <w:szCs w:val="21"/>
                <w:highlight w:val="none"/>
                <w:lang w:val="en-US" w:eastAsia="zh-CN"/>
              </w:rPr>
              <w:t>℃</w:t>
            </w:r>
            <w:r>
              <w:rPr>
                <w:rFonts w:hint="eastAsia"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屠宰工序完成后的</w:t>
            </w:r>
            <w:r>
              <w:rPr>
                <w:rFonts w:hint="eastAsia" w:eastAsia="宋体" w:cs="Times New Roman"/>
                <w:color w:val="auto"/>
                <w:sz w:val="21"/>
                <w:szCs w:val="21"/>
                <w:highlight w:val="none"/>
                <w:lang w:val="en-US" w:eastAsia="zh-CN"/>
              </w:rPr>
              <w:t>羊肉</w:t>
            </w:r>
            <w:r>
              <w:rPr>
                <w:rFonts w:hint="eastAsia" w:ascii="Times New Roman" w:hAnsi="Times New Roman" w:eastAsia="宋体" w:cs="Times New Roman"/>
                <w:color w:val="auto"/>
                <w:sz w:val="21"/>
                <w:szCs w:val="21"/>
                <w:highlight w:val="none"/>
                <w:lang w:val="en-US" w:eastAsia="zh-CN"/>
              </w:rPr>
              <w:t>放置于排酸车间，进行</w:t>
            </w:r>
            <w:r>
              <w:rPr>
                <w:rFonts w:hint="eastAsia" w:eastAsia="宋体" w:cs="Times New Roman"/>
                <w:color w:val="auto"/>
                <w:sz w:val="21"/>
                <w:szCs w:val="21"/>
                <w:highlight w:val="none"/>
                <w:lang w:val="en-US" w:eastAsia="zh-CN"/>
              </w:rPr>
              <w:t>羊</w:t>
            </w:r>
            <w:r>
              <w:rPr>
                <w:rFonts w:hint="eastAsia" w:ascii="Times New Roman" w:hAnsi="Times New Roman" w:eastAsia="宋体" w:cs="Times New Roman"/>
                <w:color w:val="auto"/>
                <w:sz w:val="21"/>
                <w:szCs w:val="21"/>
                <w:highlight w:val="none"/>
                <w:lang w:val="en-US" w:eastAsia="zh-CN"/>
              </w:rPr>
              <w:t>肉排酸。</w:t>
            </w:r>
          </w:p>
        </w:tc>
      </w:tr>
      <w:tr w14:paraId="1BEDF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1ADE23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1B13836E">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5A1DFB39">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shd w:val="clear" w:color="auto" w:fill="auto"/>
            <w:noWrap w:val="0"/>
            <w:vAlign w:val="center"/>
          </w:tcPr>
          <w:p w14:paraId="5BC43A75">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剔骨区</w:t>
            </w:r>
          </w:p>
        </w:tc>
        <w:tc>
          <w:tcPr>
            <w:tcW w:w="3860" w:type="pct"/>
            <w:shd w:val="clear" w:color="auto" w:fill="auto"/>
            <w:noWrap w:val="0"/>
            <w:vAlign w:val="center"/>
          </w:tcPr>
          <w:p w14:paraId="364294F0">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对屠宰完成后的羊肉进行剔骨分割，批发外售。</w:t>
            </w:r>
          </w:p>
        </w:tc>
      </w:tr>
      <w:tr w14:paraId="3CD8C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33A27D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69FEA4BB">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5646FF6C">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shd w:val="clear" w:color="auto" w:fill="auto"/>
            <w:noWrap w:val="0"/>
            <w:vAlign w:val="center"/>
          </w:tcPr>
          <w:p w14:paraId="798D5B84">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排酸车间</w:t>
            </w:r>
          </w:p>
        </w:tc>
        <w:tc>
          <w:tcPr>
            <w:tcW w:w="3860" w:type="pct"/>
            <w:shd w:val="clear" w:color="auto" w:fill="auto"/>
            <w:noWrap w:val="0"/>
            <w:vAlign w:val="center"/>
          </w:tcPr>
          <w:p w14:paraId="7FCAE0F0">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排酸车间温度设置为0~4</w:t>
            </w:r>
            <w:r>
              <w:rPr>
                <w:rFonts w:hint="eastAsia" w:ascii="宋体" w:hAnsi="宋体" w:eastAsia="宋体" w:cs="宋体"/>
                <w:color w:val="auto"/>
                <w:sz w:val="21"/>
                <w:szCs w:val="21"/>
                <w:highlight w:val="none"/>
                <w:lang w:val="en-US" w:eastAsia="zh-CN"/>
              </w:rPr>
              <w:t>℃</w:t>
            </w:r>
            <w:r>
              <w:rPr>
                <w:rFonts w:hint="eastAsia"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屠宰工序完成后的</w:t>
            </w:r>
            <w:r>
              <w:rPr>
                <w:rFonts w:hint="eastAsia" w:eastAsia="宋体" w:cs="Times New Roman"/>
                <w:color w:val="auto"/>
                <w:sz w:val="21"/>
                <w:szCs w:val="21"/>
                <w:highlight w:val="none"/>
                <w:lang w:val="en-US" w:eastAsia="zh-CN"/>
              </w:rPr>
              <w:t>羊</w:t>
            </w:r>
            <w:r>
              <w:rPr>
                <w:rFonts w:hint="eastAsia" w:ascii="Times New Roman" w:hAnsi="Times New Roman" w:eastAsia="宋体" w:cs="Times New Roman"/>
                <w:color w:val="auto"/>
                <w:sz w:val="21"/>
                <w:szCs w:val="21"/>
                <w:highlight w:val="none"/>
                <w:lang w:val="en-US" w:eastAsia="zh-CN"/>
              </w:rPr>
              <w:t>肉放置于排酸车间，进行</w:t>
            </w:r>
            <w:r>
              <w:rPr>
                <w:rFonts w:hint="eastAsia" w:eastAsia="宋体" w:cs="Times New Roman"/>
                <w:color w:val="auto"/>
                <w:sz w:val="21"/>
                <w:szCs w:val="21"/>
                <w:highlight w:val="none"/>
                <w:lang w:val="en-US" w:eastAsia="zh-CN"/>
              </w:rPr>
              <w:t>羊</w:t>
            </w:r>
            <w:r>
              <w:rPr>
                <w:rFonts w:hint="eastAsia" w:ascii="Times New Roman" w:hAnsi="Times New Roman" w:eastAsia="宋体" w:cs="Times New Roman"/>
                <w:color w:val="auto"/>
                <w:sz w:val="21"/>
                <w:szCs w:val="21"/>
                <w:highlight w:val="none"/>
                <w:lang w:val="en-US" w:eastAsia="zh-CN"/>
              </w:rPr>
              <w:t>肉排酸。</w:t>
            </w:r>
          </w:p>
        </w:tc>
      </w:tr>
      <w:tr w14:paraId="64DC4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A10847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7B5F059C">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280169C7">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shd w:val="clear" w:color="auto" w:fill="auto"/>
            <w:noWrap w:val="0"/>
            <w:vAlign w:val="center"/>
          </w:tcPr>
          <w:p w14:paraId="38E2682D">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Calibri" w:hAnsi="Calibri"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二次包装区</w:t>
            </w:r>
          </w:p>
        </w:tc>
        <w:tc>
          <w:tcPr>
            <w:tcW w:w="3860" w:type="pct"/>
            <w:shd w:val="clear" w:color="auto" w:fill="auto"/>
            <w:noWrap w:val="0"/>
            <w:vAlign w:val="center"/>
          </w:tcPr>
          <w:p w14:paraId="2BDB1C93">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用于产品外售时的二次包装。</w:t>
            </w:r>
          </w:p>
        </w:tc>
      </w:tr>
      <w:tr w14:paraId="20A56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1B99D7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7BCBCA29">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22E40FDC">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shd w:val="clear" w:color="auto" w:fill="auto"/>
            <w:noWrap w:val="0"/>
            <w:vAlign w:val="center"/>
          </w:tcPr>
          <w:p w14:paraId="659A0F8F">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速冻库</w:t>
            </w:r>
          </w:p>
        </w:tc>
        <w:tc>
          <w:tcPr>
            <w:tcW w:w="3860" w:type="pct"/>
            <w:shd w:val="clear" w:color="auto" w:fill="auto"/>
            <w:noWrap w:val="0"/>
            <w:vAlign w:val="center"/>
          </w:tcPr>
          <w:p w14:paraId="6E354834">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共设置两间速冻库，温度为-35</w:t>
            </w:r>
            <w:r>
              <w:rPr>
                <w:rFonts w:hint="eastAsia" w:ascii="宋体" w:hAnsi="宋体" w:eastAsia="宋体" w:cs="宋体"/>
                <w:color w:val="auto"/>
                <w:sz w:val="21"/>
                <w:szCs w:val="21"/>
                <w:highlight w:val="none"/>
                <w:lang w:val="en-US" w:eastAsia="zh-CN"/>
              </w:rPr>
              <w:t>℃</w:t>
            </w:r>
            <w:r>
              <w:rPr>
                <w:rFonts w:hint="eastAsia" w:eastAsia="宋体" w:cs="Times New Roman"/>
                <w:color w:val="auto"/>
                <w:sz w:val="21"/>
                <w:szCs w:val="21"/>
                <w:highlight w:val="none"/>
                <w:lang w:val="en-US" w:eastAsia="zh-CN"/>
              </w:rPr>
              <w:t>，用于屠宰后新鲜羊肉的速冻。</w:t>
            </w:r>
          </w:p>
        </w:tc>
      </w:tr>
      <w:tr w14:paraId="0F80F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F85835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6EEE73C2">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7429F1D5">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shd w:val="clear" w:color="auto" w:fill="auto"/>
            <w:noWrap w:val="0"/>
            <w:vAlign w:val="center"/>
          </w:tcPr>
          <w:p w14:paraId="41220115">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冷藏库</w:t>
            </w:r>
          </w:p>
        </w:tc>
        <w:tc>
          <w:tcPr>
            <w:tcW w:w="3860" w:type="pct"/>
            <w:shd w:val="clear" w:color="auto" w:fill="auto"/>
            <w:noWrap w:val="0"/>
            <w:vAlign w:val="center"/>
          </w:tcPr>
          <w:p w14:paraId="77893BCF">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共设置1间冷藏库，制冷剂为</w:t>
            </w:r>
            <w:r>
              <w:rPr>
                <w:rFonts w:hint="default" w:ascii="Times New Roman" w:hAnsi="Times New Roman" w:eastAsia="宋体" w:cs="Times New Roman"/>
                <w:color w:val="auto"/>
                <w:sz w:val="21"/>
                <w:szCs w:val="21"/>
                <w:highlight w:val="none"/>
              </w:rPr>
              <w:t>R507</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温度为-18</w:t>
            </w:r>
            <w:r>
              <w:rPr>
                <w:rFonts w:hint="eastAsia" w:ascii="宋体" w:hAnsi="宋体" w:eastAsia="宋体" w:cs="宋体"/>
                <w:color w:val="auto"/>
                <w:sz w:val="21"/>
                <w:szCs w:val="21"/>
                <w:highlight w:val="none"/>
                <w:lang w:val="en-US" w:eastAsia="zh-CN"/>
              </w:rPr>
              <w:t>℃</w:t>
            </w:r>
            <w:r>
              <w:rPr>
                <w:rFonts w:hint="eastAsia" w:eastAsia="宋体" w:cs="Times New Roman"/>
                <w:color w:val="auto"/>
                <w:sz w:val="21"/>
                <w:szCs w:val="21"/>
                <w:highlight w:val="none"/>
                <w:lang w:val="en-US" w:eastAsia="zh-CN"/>
              </w:rPr>
              <w:t>，用于速冻好的羊肉贮存。</w:t>
            </w:r>
          </w:p>
        </w:tc>
      </w:tr>
      <w:tr w14:paraId="6D192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210293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206" w:type="pct"/>
            <w:vMerge w:val="continue"/>
            <w:noWrap w:val="0"/>
            <w:vAlign w:val="center"/>
          </w:tcPr>
          <w:p w14:paraId="29F7DC78">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33" w:type="pct"/>
            <w:gridSpan w:val="2"/>
            <w:vMerge w:val="continue"/>
            <w:noWrap w:val="0"/>
            <w:vAlign w:val="center"/>
          </w:tcPr>
          <w:p w14:paraId="1D13A624">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7" w:type="pct"/>
            <w:shd w:val="clear" w:color="auto" w:fill="auto"/>
            <w:noWrap w:val="0"/>
            <w:vAlign w:val="center"/>
          </w:tcPr>
          <w:p w14:paraId="2EFE0BD1">
            <w:pPr>
              <w:pStyle w:val="3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Calibri" w:hAnsi="Calibri"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检疫室</w:t>
            </w:r>
          </w:p>
        </w:tc>
        <w:tc>
          <w:tcPr>
            <w:tcW w:w="3860" w:type="pct"/>
            <w:shd w:val="clear" w:color="auto" w:fill="auto"/>
            <w:noWrap w:val="0"/>
            <w:vAlign w:val="center"/>
          </w:tcPr>
          <w:p w14:paraId="030D2502">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设置1间检疫室，用于产品检疫。</w:t>
            </w:r>
          </w:p>
        </w:tc>
      </w:tr>
      <w:tr w14:paraId="65214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2" w:type="pct"/>
            <w:vMerge w:val="restart"/>
            <w:noWrap w:val="0"/>
            <w:vAlign w:val="center"/>
          </w:tcPr>
          <w:p w14:paraId="47981ED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辅助</w:t>
            </w:r>
          </w:p>
          <w:p w14:paraId="4DED367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bCs/>
                <w:color w:val="auto"/>
                <w:sz w:val="21"/>
                <w:szCs w:val="21"/>
                <w:highlight w:val="none"/>
                <w:lang w:val="zh-CN"/>
              </w:rPr>
              <w:t>工程</w:t>
            </w:r>
          </w:p>
        </w:tc>
        <w:tc>
          <w:tcPr>
            <w:tcW w:w="907" w:type="pct"/>
            <w:gridSpan w:val="4"/>
            <w:shd w:val="clear" w:color="auto" w:fill="auto"/>
            <w:noWrap w:val="0"/>
            <w:vAlign w:val="center"/>
          </w:tcPr>
          <w:p w14:paraId="16D9728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aps/>
                <w:snapToGrid w:val="0"/>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
              </w:rPr>
              <w:t>办公区</w:t>
            </w:r>
          </w:p>
        </w:tc>
        <w:tc>
          <w:tcPr>
            <w:tcW w:w="3860" w:type="pct"/>
            <w:shd w:val="clear" w:color="auto" w:fill="auto"/>
            <w:noWrap w:val="0"/>
            <w:vAlign w:val="center"/>
          </w:tcPr>
          <w:p w14:paraId="5720C529">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位于</w:t>
            </w:r>
            <w:r>
              <w:rPr>
                <w:rFonts w:hint="eastAsia" w:ascii="Times New Roman" w:hAnsi="Times New Roman" w:eastAsia="宋体" w:cs="Times New Roman"/>
                <w:color w:val="auto"/>
                <w:sz w:val="21"/>
                <w:szCs w:val="21"/>
                <w:highlight w:val="none"/>
                <w:lang w:val="en-US" w:eastAsia="zh-CN"/>
              </w:rPr>
              <w:t>屠宰加工车间</w:t>
            </w:r>
            <w:r>
              <w:rPr>
                <w:rFonts w:hint="eastAsia" w:eastAsia="宋体" w:cs="Times New Roman"/>
                <w:color w:val="auto"/>
                <w:sz w:val="21"/>
                <w:szCs w:val="21"/>
                <w:highlight w:val="none"/>
                <w:lang w:val="en-US" w:eastAsia="zh-CN"/>
              </w:rPr>
              <w:t>2楼，用于员工日常办公使用。</w:t>
            </w:r>
          </w:p>
        </w:tc>
      </w:tr>
      <w:tr w14:paraId="164C4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2" w:type="pct"/>
            <w:vMerge w:val="continue"/>
            <w:noWrap w:val="0"/>
            <w:vAlign w:val="center"/>
          </w:tcPr>
          <w:p w14:paraId="495CBD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zh-CN"/>
              </w:rPr>
            </w:pPr>
          </w:p>
        </w:tc>
        <w:tc>
          <w:tcPr>
            <w:tcW w:w="907" w:type="pct"/>
            <w:gridSpan w:val="4"/>
            <w:shd w:val="clear" w:color="auto" w:fill="auto"/>
            <w:noWrap w:val="0"/>
            <w:vAlign w:val="center"/>
          </w:tcPr>
          <w:p w14:paraId="12ACA32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休息室</w:t>
            </w:r>
          </w:p>
        </w:tc>
        <w:tc>
          <w:tcPr>
            <w:tcW w:w="3860" w:type="pct"/>
            <w:shd w:val="clear" w:color="auto" w:fill="auto"/>
            <w:noWrap w:val="0"/>
            <w:vAlign w:val="center"/>
          </w:tcPr>
          <w:p w14:paraId="31A512AF">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位于</w:t>
            </w:r>
            <w:r>
              <w:rPr>
                <w:rFonts w:hint="eastAsia" w:ascii="Times New Roman" w:hAnsi="Times New Roman" w:eastAsia="宋体" w:cs="Times New Roman"/>
                <w:color w:val="auto"/>
                <w:sz w:val="21"/>
                <w:szCs w:val="21"/>
                <w:highlight w:val="none"/>
                <w:lang w:val="en-US" w:eastAsia="zh-CN"/>
              </w:rPr>
              <w:t>屠宰加工车间</w:t>
            </w:r>
            <w:r>
              <w:rPr>
                <w:rFonts w:hint="eastAsia" w:eastAsia="宋体" w:cs="Times New Roman"/>
                <w:color w:val="auto"/>
                <w:sz w:val="21"/>
                <w:szCs w:val="21"/>
                <w:highlight w:val="none"/>
                <w:lang w:val="en-US" w:eastAsia="zh-CN"/>
              </w:rPr>
              <w:t>2楼，用于员工休息使用。</w:t>
            </w:r>
          </w:p>
        </w:tc>
      </w:tr>
      <w:tr w14:paraId="11FB2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2" w:type="pct"/>
            <w:vMerge w:val="continue"/>
            <w:noWrap w:val="0"/>
            <w:vAlign w:val="center"/>
          </w:tcPr>
          <w:p w14:paraId="63331E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shd w:val="clear" w:color="auto" w:fill="auto"/>
            <w:noWrap w:val="0"/>
            <w:vAlign w:val="center"/>
          </w:tcPr>
          <w:p w14:paraId="744B069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检疫室、门卫</w:t>
            </w:r>
          </w:p>
        </w:tc>
        <w:tc>
          <w:tcPr>
            <w:tcW w:w="3860" w:type="pct"/>
            <w:shd w:val="clear" w:color="auto" w:fill="auto"/>
            <w:noWrap w:val="0"/>
            <w:vAlign w:val="center"/>
          </w:tcPr>
          <w:p w14:paraId="0C782495">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位于厂区北侧，1F，建筑面积30</w:t>
            </w:r>
            <w:r>
              <w:rPr>
                <w:rFonts w:hint="eastAsia" w:eastAsia="宋体" w:cs="Times New Roman"/>
                <w:snapToGrid w:val="0"/>
                <w:color w:val="auto"/>
                <w:kern w:val="0"/>
                <w:sz w:val="21"/>
                <w:szCs w:val="21"/>
                <w:highlight w:val="none"/>
                <w:lang w:val="en-US" w:eastAsia="zh-CN"/>
              </w:rPr>
              <w:t>m</w:t>
            </w:r>
            <w:r>
              <w:rPr>
                <w:rFonts w:hint="eastAsia" w:eastAsia="宋体" w:cs="Times New Roman"/>
                <w:snapToGrid w:val="0"/>
                <w:color w:val="auto"/>
                <w:kern w:val="0"/>
                <w:sz w:val="21"/>
                <w:szCs w:val="21"/>
                <w:highlight w:val="none"/>
                <w:vertAlign w:val="superscript"/>
                <w:lang w:val="en-US" w:eastAsia="zh-CN"/>
              </w:rPr>
              <w:t>2</w:t>
            </w:r>
            <w:r>
              <w:rPr>
                <w:rFonts w:hint="eastAsia" w:eastAsia="宋体" w:cs="Times New Roman"/>
                <w:snapToGrid w:val="0"/>
                <w:color w:val="auto"/>
                <w:kern w:val="0"/>
                <w:sz w:val="21"/>
                <w:szCs w:val="21"/>
                <w:highlight w:val="none"/>
                <w:lang w:val="en-US" w:eastAsia="zh-CN"/>
              </w:rPr>
              <w:t>，用于日常检疫及人员进出检查。</w:t>
            </w:r>
          </w:p>
        </w:tc>
      </w:tr>
      <w:tr w14:paraId="3DFF1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2" w:type="pct"/>
            <w:vMerge w:val="continue"/>
            <w:noWrap w:val="0"/>
            <w:vAlign w:val="center"/>
          </w:tcPr>
          <w:p w14:paraId="2564838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shd w:val="clear" w:color="auto" w:fill="auto"/>
            <w:noWrap w:val="0"/>
            <w:vAlign w:val="center"/>
          </w:tcPr>
          <w:p w14:paraId="678FA7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门房</w:t>
            </w:r>
          </w:p>
        </w:tc>
        <w:tc>
          <w:tcPr>
            <w:tcW w:w="3860" w:type="pct"/>
            <w:shd w:val="clear" w:color="auto" w:fill="auto"/>
            <w:noWrap w:val="0"/>
            <w:vAlign w:val="center"/>
          </w:tcPr>
          <w:p w14:paraId="642988FA">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1F，位于厂区南侧，建筑面积30</w:t>
            </w:r>
            <w:r>
              <w:rPr>
                <w:rFonts w:hint="eastAsia" w:eastAsia="宋体" w:cs="Times New Roman"/>
                <w:snapToGrid w:val="0"/>
                <w:color w:val="auto"/>
                <w:kern w:val="0"/>
                <w:sz w:val="21"/>
                <w:szCs w:val="21"/>
                <w:highlight w:val="none"/>
                <w:lang w:val="en-US" w:eastAsia="zh-CN"/>
              </w:rPr>
              <w:t>m</w:t>
            </w:r>
            <w:r>
              <w:rPr>
                <w:rFonts w:hint="eastAsia" w:eastAsia="宋体" w:cs="Times New Roman"/>
                <w:snapToGrid w:val="0"/>
                <w:color w:val="auto"/>
                <w:kern w:val="0"/>
                <w:sz w:val="21"/>
                <w:szCs w:val="21"/>
                <w:highlight w:val="none"/>
                <w:vertAlign w:val="superscript"/>
                <w:lang w:val="en-US" w:eastAsia="zh-CN"/>
              </w:rPr>
              <w:t>2</w:t>
            </w:r>
            <w:r>
              <w:rPr>
                <w:rFonts w:hint="eastAsia" w:eastAsia="宋体" w:cs="Times New Roman"/>
                <w:snapToGrid w:val="0"/>
                <w:color w:val="auto"/>
                <w:kern w:val="0"/>
                <w:sz w:val="21"/>
                <w:szCs w:val="21"/>
                <w:highlight w:val="none"/>
                <w:lang w:val="en-US" w:eastAsia="zh-CN"/>
              </w:rPr>
              <w:t>，用于人员进出检查。</w:t>
            </w:r>
          </w:p>
        </w:tc>
      </w:tr>
      <w:tr w14:paraId="32E1F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2" w:type="pct"/>
            <w:vMerge w:val="continue"/>
            <w:noWrap w:val="0"/>
            <w:vAlign w:val="center"/>
          </w:tcPr>
          <w:p w14:paraId="4035AC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shd w:val="clear" w:color="auto" w:fill="auto"/>
            <w:noWrap w:val="0"/>
            <w:vAlign w:val="center"/>
          </w:tcPr>
          <w:p w14:paraId="1DE6AF6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装卸大厅</w:t>
            </w:r>
          </w:p>
        </w:tc>
        <w:tc>
          <w:tcPr>
            <w:tcW w:w="3860" w:type="pct"/>
            <w:shd w:val="clear" w:color="auto" w:fill="auto"/>
            <w:noWrap w:val="0"/>
            <w:vAlign w:val="center"/>
          </w:tcPr>
          <w:p w14:paraId="1079F1FF">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1F，建筑面积400m</w:t>
            </w:r>
            <w:r>
              <w:rPr>
                <w:rFonts w:hint="eastAsia" w:eastAsia="宋体" w:cs="Times New Roman"/>
                <w:color w:val="auto"/>
                <w:sz w:val="21"/>
                <w:szCs w:val="21"/>
                <w:highlight w:val="none"/>
                <w:vertAlign w:val="superscript"/>
                <w:lang w:val="en-US" w:eastAsia="zh-CN"/>
              </w:rPr>
              <w:t>2</w:t>
            </w:r>
            <w:r>
              <w:rPr>
                <w:rFonts w:hint="eastAsia" w:eastAsia="宋体" w:cs="Times New Roman"/>
                <w:color w:val="auto"/>
                <w:sz w:val="21"/>
                <w:szCs w:val="21"/>
                <w:highlight w:val="none"/>
                <w:lang w:val="en-US" w:eastAsia="zh-CN"/>
              </w:rPr>
              <w:t>。</w:t>
            </w:r>
          </w:p>
        </w:tc>
      </w:tr>
      <w:tr w14:paraId="5FB85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2" w:type="pct"/>
            <w:vMerge w:val="continue"/>
            <w:noWrap w:val="0"/>
            <w:vAlign w:val="center"/>
          </w:tcPr>
          <w:p w14:paraId="1837CFD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shd w:val="clear" w:color="auto" w:fill="auto"/>
            <w:noWrap w:val="0"/>
            <w:vAlign w:val="center"/>
          </w:tcPr>
          <w:p w14:paraId="20F7079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急宰间</w:t>
            </w:r>
          </w:p>
        </w:tc>
        <w:tc>
          <w:tcPr>
            <w:tcW w:w="3860" w:type="pct"/>
            <w:shd w:val="clear" w:color="auto" w:fill="auto"/>
            <w:noWrap w:val="0"/>
            <w:vAlign w:val="center"/>
          </w:tcPr>
          <w:p w14:paraId="2C656576">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1F，高8m，位于厂区东北角，建筑面积50m</w:t>
            </w:r>
            <w:r>
              <w:rPr>
                <w:rFonts w:hint="eastAsia" w:eastAsia="宋体" w:cs="Times New Roman"/>
                <w:color w:val="auto"/>
                <w:sz w:val="21"/>
                <w:szCs w:val="21"/>
                <w:highlight w:val="none"/>
                <w:vertAlign w:val="superscript"/>
                <w:lang w:val="en-US" w:eastAsia="zh-CN"/>
              </w:rPr>
              <w:t>2</w:t>
            </w:r>
            <w:r>
              <w:rPr>
                <w:rFonts w:hint="eastAsia" w:eastAsia="宋体" w:cs="Times New Roman"/>
                <w:color w:val="auto"/>
                <w:sz w:val="21"/>
                <w:szCs w:val="21"/>
                <w:highlight w:val="none"/>
                <w:lang w:val="en-US" w:eastAsia="zh-CN"/>
              </w:rPr>
              <w:t>，用于疫病牛、羊宰杀。</w:t>
            </w:r>
          </w:p>
        </w:tc>
      </w:tr>
      <w:tr w14:paraId="5DA63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2" w:type="pct"/>
            <w:vMerge w:val="continue"/>
            <w:noWrap w:val="0"/>
            <w:vAlign w:val="center"/>
          </w:tcPr>
          <w:p w14:paraId="5D129C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shd w:val="clear" w:color="auto" w:fill="auto"/>
            <w:noWrap w:val="0"/>
            <w:vAlign w:val="center"/>
          </w:tcPr>
          <w:p w14:paraId="7831D87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研发中心</w:t>
            </w:r>
          </w:p>
        </w:tc>
        <w:tc>
          <w:tcPr>
            <w:tcW w:w="3860" w:type="pct"/>
            <w:shd w:val="clear" w:color="auto" w:fill="auto"/>
            <w:noWrap w:val="0"/>
            <w:vAlign w:val="center"/>
          </w:tcPr>
          <w:p w14:paraId="376D39C5">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2F，建筑面积700m</w:t>
            </w:r>
            <w:r>
              <w:rPr>
                <w:rFonts w:hint="eastAsia" w:eastAsia="宋体" w:cs="Times New Roman"/>
                <w:color w:val="auto"/>
                <w:sz w:val="21"/>
                <w:szCs w:val="21"/>
                <w:highlight w:val="none"/>
                <w:vertAlign w:val="superscript"/>
                <w:lang w:val="en-US" w:eastAsia="zh-CN"/>
              </w:rPr>
              <w:t>2</w:t>
            </w:r>
            <w:r>
              <w:rPr>
                <w:rFonts w:hint="eastAsia" w:eastAsia="宋体" w:cs="Times New Roman"/>
                <w:color w:val="auto"/>
                <w:sz w:val="21"/>
                <w:szCs w:val="21"/>
                <w:highlight w:val="none"/>
                <w:lang w:val="en-US" w:eastAsia="zh-CN"/>
              </w:rPr>
              <w:t>，用于员工日常办公及产品展出等。</w:t>
            </w:r>
          </w:p>
        </w:tc>
      </w:tr>
      <w:tr w14:paraId="79F75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2FCE613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shd w:val="clear" w:color="auto" w:fill="auto"/>
            <w:noWrap w:val="0"/>
            <w:vAlign w:val="center"/>
          </w:tcPr>
          <w:p w14:paraId="1956DF6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消防水池及泵房</w:t>
            </w:r>
          </w:p>
        </w:tc>
        <w:tc>
          <w:tcPr>
            <w:tcW w:w="3860" w:type="pct"/>
            <w:shd w:val="clear" w:color="auto" w:fill="auto"/>
            <w:noWrap w:val="0"/>
            <w:vAlign w:val="center"/>
          </w:tcPr>
          <w:p w14:paraId="04603C9F">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zh-CN" w:eastAsia="zh-CN" w:bidi="ar-SA"/>
              </w:rPr>
            </w:pPr>
            <w:r>
              <w:rPr>
                <w:rFonts w:hint="eastAsia" w:eastAsia="宋体" w:cs="Times New Roman"/>
                <w:snapToGrid w:val="0"/>
                <w:color w:val="auto"/>
                <w:kern w:val="0"/>
                <w:sz w:val="21"/>
                <w:szCs w:val="21"/>
                <w:highlight w:val="none"/>
                <w:vertAlign w:val="baseline"/>
                <w:lang w:val="en-US" w:eastAsia="zh-CN"/>
              </w:rPr>
              <w:t>位于屠宰加工车间内，建筑高度17.6m，建筑层数为地上二层（局部地下一层），地下占地面积170</w:t>
            </w:r>
            <w:r>
              <w:rPr>
                <w:rFonts w:hint="eastAsia" w:eastAsia="宋体" w:cs="Times New Roman"/>
                <w:snapToGrid w:val="0"/>
                <w:color w:val="auto"/>
                <w:kern w:val="0"/>
                <w:sz w:val="21"/>
                <w:szCs w:val="21"/>
                <w:highlight w:val="none"/>
                <w:lang w:val="en-US" w:eastAsia="zh-CN"/>
              </w:rPr>
              <w:t>m</w:t>
            </w:r>
            <w:r>
              <w:rPr>
                <w:rFonts w:hint="eastAsia" w:eastAsia="宋体" w:cs="Times New Roman"/>
                <w:snapToGrid w:val="0"/>
                <w:color w:val="auto"/>
                <w:kern w:val="0"/>
                <w:sz w:val="21"/>
                <w:szCs w:val="21"/>
                <w:highlight w:val="none"/>
                <w:vertAlign w:val="superscript"/>
                <w:lang w:val="en-US" w:eastAsia="zh-CN"/>
              </w:rPr>
              <w:t>2</w:t>
            </w:r>
            <w:r>
              <w:rPr>
                <w:rFonts w:hint="eastAsia" w:eastAsia="宋体" w:cs="Times New Roman"/>
                <w:snapToGrid w:val="0"/>
                <w:color w:val="auto"/>
                <w:kern w:val="0"/>
                <w:sz w:val="21"/>
                <w:szCs w:val="21"/>
                <w:highlight w:val="none"/>
                <w:lang w:val="en-US" w:eastAsia="zh-CN"/>
              </w:rPr>
              <w:t>，消防水池容积为256m</w:t>
            </w:r>
            <w:r>
              <w:rPr>
                <w:rFonts w:hint="eastAsia" w:eastAsia="宋体" w:cs="Times New Roman"/>
                <w:snapToGrid w:val="0"/>
                <w:color w:val="auto"/>
                <w:kern w:val="0"/>
                <w:sz w:val="21"/>
                <w:szCs w:val="21"/>
                <w:highlight w:val="none"/>
                <w:vertAlign w:val="superscript"/>
                <w:lang w:val="en-US" w:eastAsia="zh-CN"/>
              </w:rPr>
              <w:t>3</w:t>
            </w:r>
            <w:r>
              <w:rPr>
                <w:rFonts w:hint="eastAsia" w:eastAsia="宋体" w:cs="Times New Roman"/>
                <w:snapToGrid w:val="0"/>
                <w:color w:val="auto"/>
                <w:kern w:val="0"/>
                <w:sz w:val="21"/>
                <w:szCs w:val="21"/>
                <w:highlight w:val="none"/>
                <w:lang w:val="en-US" w:eastAsia="zh-CN"/>
              </w:rPr>
              <w:t>。</w:t>
            </w:r>
          </w:p>
        </w:tc>
      </w:tr>
      <w:tr w14:paraId="52BD1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44F61D8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shd w:val="clear" w:color="auto" w:fill="auto"/>
            <w:noWrap w:val="0"/>
            <w:vAlign w:val="center"/>
          </w:tcPr>
          <w:p w14:paraId="2B31162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aps/>
                <w:snapToGrid w:val="0"/>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
              </w:rPr>
              <w:t>污水处理站</w:t>
            </w:r>
          </w:p>
        </w:tc>
        <w:tc>
          <w:tcPr>
            <w:tcW w:w="3860" w:type="pct"/>
            <w:shd w:val="clear" w:color="auto" w:fill="auto"/>
            <w:noWrap w:val="0"/>
            <w:vAlign w:val="center"/>
          </w:tcPr>
          <w:p w14:paraId="3E6BD8E2">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snapToGrid w:val="0"/>
                <w:color w:val="auto"/>
                <w:kern w:val="0"/>
                <w:sz w:val="21"/>
                <w:szCs w:val="21"/>
                <w:highlight w:val="none"/>
                <w:lang w:val="en-US" w:eastAsia="zh-CN"/>
              </w:rPr>
              <w:t>新建一座地下式污水处理站，占地面积190m</w:t>
            </w:r>
            <w:r>
              <w:rPr>
                <w:rFonts w:hint="eastAsia" w:eastAsia="宋体" w:cs="Times New Roman"/>
                <w:snapToGrid w:val="0"/>
                <w:color w:val="auto"/>
                <w:kern w:val="0"/>
                <w:sz w:val="21"/>
                <w:szCs w:val="21"/>
                <w:highlight w:val="none"/>
                <w:vertAlign w:val="superscript"/>
                <w:lang w:val="en-US" w:eastAsia="zh-CN"/>
              </w:rPr>
              <w:t>2</w:t>
            </w:r>
            <w:r>
              <w:rPr>
                <w:rFonts w:hint="eastAsia" w:eastAsia="宋体" w:cs="Times New Roman"/>
                <w:snapToGrid w:val="0"/>
                <w:color w:val="auto"/>
                <w:kern w:val="0"/>
                <w:sz w:val="21"/>
                <w:szCs w:val="21"/>
                <w:highlight w:val="none"/>
                <w:lang w:val="en-US" w:eastAsia="zh-CN"/>
              </w:rPr>
              <w:t>，设计处理规模100m</w:t>
            </w:r>
            <w:r>
              <w:rPr>
                <w:rFonts w:hint="eastAsia" w:eastAsia="宋体" w:cs="Times New Roman"/>
                <w:snapToGrid w:val="0"/>
                <w:color w:val="auto"/>
                <w:kern w:val="0"/>
                <w:sz w:val="21"/>
                <w:szCs w:val="21"/>
                <w:highlight w:val="none"/>
                <w:vertAlign w:val="superscript"/>
                <w:lang w:val="en-US" w:eastAsia="zh-CN"/>
              </w:rPr>
              <w:t>3</w:t>
            </w:r>
            <w:r>
              <w:rPr>
                <w:rFonts w:hint="eastAsia" w:eastAsia="宋体" w:cs="Times New Roman"/>
                <w:snapToGrid w:val="0"/>
                <w:color w:val="auto"/>
                <w:kern w:val="0"/>
                <w:sz w:val="21"/>
                <w:szCs w:val="21"/>
                <w:highlight w:val="none"/>
                <w:lang w:val="en-US" w:eastAsia="zh-CN"/>
              </w:rPr>
              <w:t>/d，采用“格栅+调节池+隔油池+气浮+水解酸化+缺氧+生物接触氧化+二沉+消毒池（次氯酸钠消毒）”工艺。</w:t>
            </w:r>
          </w:p>
        </w:tc>
      </w:tr>
      <w:tr w14:paraId="0F570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restart"/>
            <w:shd w:val="clear" w:color="auto" w:fill="auto"/>
            <w:noWrap w:val="0"/>
            <w:vAlign w:val="center"/>
          </w:tcPr>
          <w:p w14:paraId="25DF348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aps/>
                <w:snapToGrid w:val="0"/>
                <w:color w:val="auto"/>
                <w:kern w:val="0"/>
                <w:sz w:val="21"/>
                <w:szCs w:val="21"/>
                <w:highlight w:val="none"/>
              </w:rPr>
            </w:pPr>
            <w:r>
              <w:rPr>
                <w:rFonts w:hint="default" w:ascii="Times New Roman" w:hAnsi="Times New Roman" w:eastAsia="宋体" w:cs="Times New Roman"/>
                <w:b/>
                <w:bCs/>
                <w:caps/>
                <w:snapToGrid w:val="0"/>
                <w:color w:val="auto"/>
                <w:kern w:val="0"/>
                <w:sz w:val="21"/>
                <w:szCs w:val="21"/>
                <w:highlight w:val="none"/>
              </w:rPr>
              <w:t>储运</w:t>
            </w:r>
          </w:p>
          <w:p w14:paraId="7E7D0F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bCs/>
                <w:caps/>
                <w:snapToGrid w:val="0"/>
                <w:color w:val="auto"/>
                <w:kern w:val="0"/>
                <w:sz w:val="21"/>
                <w:szCs w:val="21"/>
                <w:highlight w:val="none"/>
              </w:rPr>
              <w:t>工程</w:t>
            </w:r>
          </w:p>
        </w:tc>
        <w:tc>
          <w:tcPr>
            <w:tcW w:w="907" w:type="pct"/>
            <w:gridSpan w:val="4"/>
            <w:shd w:val="clear" w:color="auto" w:fill="auto"/>
            <w:noWrap w:val="0"/>
            <w:vAlign w:val="center"/>
          </w:tcPr>
          <w:p w14:paraId="10BA39A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aps/>
                <w:snapToGrid w:val="0"/>
                <w:color w:val="auto"/>
                <w:kern w:val="0"/>
                <w:sz w:val="21"/>
                <w:szCs w:val="21"/>
                <w:highlight w:val="none"/>
              </w:rPr>
              <w:t>道路运输</w:t>
            </w:r>
          </w:p>
        </w:tc>
        <w:tc>
          <w:tcPr>
            <w:tcW w:w="3860" w:type="pct"/>
            <w:shd w:val="clear" w:color="auto" w:fill="auto"/>
            <w:noWrap w:val="0"/>
            <w:vAlign w:val="center"/>
          </w:tcPr>
          <w:p w14:paraId="5B7FCEDF">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snapToGrid w:val="0"/>
                <w:color w:val="auto"/>
                <w:kern w:val="0"/>
                <w:sz w:val="21"/>
                <w:szCs w:val="21"/>
                <w:highlight w:val="none"/>
              </w:rPr>
              <w:t>项目原料、成品运输方式为公路运输；</w:t>
            </w:r>
            <w:r>
              <w:rPr>
                <w:rFonts w:hint="default" w:ascii="Times New Roman" w:hAnsi="Times New Roman" w:eastAsia="宋体" w:cs="Times New Roman"/>
                <w:snapToGrid w:val="0"/>
                <w:color w:val="auto"/>
                <w:kern w:val="0"/>
                <w:sz w:val="21"/>
                <w:szCs w:val="21"/>
                <w:highlight w:val="none"/>
                <w:lang w:val="en-US" w:eastAsia="zh-CN"/>
              </w:rPr>
              <w:t>生产</w:t>
            </w:r>
            <w:r>
              <w:rPr>
                <w:rFonts w:hint="default" w:ascii="Times New Roman" w:hAnsi="Times New Roman" w:eastAsia="宋体" w:cs="Times New Roman"/>
                <w:snapToGrid w:val="0"/>
                <w:color w:val="auto"/>
                <w:kern w:val="0"/>
                <w:sz w:val="21"/>
                <w:szCs w:val="21"/>
                <w:highlight w:val="none"/>
              </w:rPr>
              <w:t>区之间</w:t>
            </w:r>
            <w:r>
              <w:rPr>
                <w:rFonts w:hint="default" w:ascii="Times New Roman" w:hAnsi="Times New Roman" w:eastAsia="宋体" w:cs="Times New Roman"/>
                <w:bCs/>
                <w:caps/>
                <w:snapToGrid w:val="0"/>
                <w:color w:val="auto"/>
                <w:kern w:val="0"/>
                <w:sz w:val="21"/>
                <w:szCs w:val="21"/>
                <w:highlight w:val="none"/>
              </w:rPr>
              <w:t>道路主、次干道宽</w:t>
            </w:r>
            <w:r>
              <w:rPr>
                <w:rFonts w:hint="eastAsia" w:eastAsia="宋体" w:cs="Times New Roman"/>
                <w:bCs/>
                <w:caps/>
                <w:snapToGrid w:val="0"/>
                <w:color w:val="auto"/>
                <w:kern w:val="0"/>
                <w:sz w:val="21"/>
                <w:szCs w:val="21"/>
                <w:highlight w:val="none"/>
                <w:lang w:val="en-US" w:eastAsia="zh-CN"/>
              </w:rPr>
              <w:t>6</w:t>
            </w:r>
            <w:r>
              <w:rPr>
                <w:rFonts w:hint="default" w:ascii="Times New Roman" w:hAnsi="Times New Roman" w:eastAsia="宋体" w:cs="Times New Roman"/>
                <w:snapToGrid w:val="0"/>
                <w:color w:val="auto"/>
                <w:kern w:val="0"/>
                <w:sz w:val="21"/>
                <w:szCs w:val="21"/>
                <w:highlight w:val="none"/>
              </w:rPr>
              <w:t>m</w:t>
            </w:r>
            <w:r>
              <w:rPr>
                <w:rFonts w:hint="default" w:ascii="Times New Roman" w:hAnsi="Times New Roman" w:eastAsia="宋体" w:cs="Times New Roman"/>
                <w:bCs/>
                <w:caps/>
                <w:snapToGrid w:val="0"/>
                <w:color w:val="auto"/>
                <w:kern w:val="0"/>
                <w:sz w:val="21"/>
                <w:szCs w:val="21"/>
                <w:highlight w:val="none"/>
              </w:rPr>
              <w:t>。</w:t>
            </w:r>
          </w:p>
        </w:tc>
      </w:tr>
      <w:tr w14:paraId="4657B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shd w:val="clear" w:color="auto" w:fill="auto"/>
            <w:noWrap w:val="0"/>
            <w:vAlign w:val="center"/>
          </w:tcPr>
          <w:p w14:paraId="012EFF3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aps/>
                <w:snapToGrid w:val="0"/>
                <w:color w:val="auto"/>
                <w:kern w:val="0"/>
                <w:sz w:val="21"/>
                <w:szCs w:val="21"/>
                <w:highlight w:val="none"/>
              </w:rPr>
            </w:pPr>
          </w:p>
        </w:tc>
        <w:tc>
          <w:tcPr>
            <w:tcW w:w="907" w:type="pct"/>
            <w:gridSpan w:val="4"/>
            <w:shd w:val="clear" w:color="auto" w:fill="auto"/>
            <w:noWrap w:val="0"/>
            <w:vAlign w:val="center"/>
          </w:tcPr>
          <w:p w14:paraId="434405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lang w:val="en-US" w:eastAsia="zh-CN" w:bidi="ar-SA"/>
              </w:rPr>
            </w:pPr>
            <w:r>
              <w:rPr>
                <w:rFonts w:hint="default" w:ascii="Times New Roman" w:hAnsi="Times New Roman" w:eastAsia="宋体" w:cs="Times New Roman"/>
                <w:bCs/>
                <w:caps/>
                <w:snapToGrid w:val="0"/>
                <w:color w:val="auto"/>
                <w:kern w:val="0"/>
                <w:sz w:val="21"/>
                <w:szCs w:val="21"/>
                <w:highlight w:val="none"/>
                <w:lang w:val="en-US" w:eastAsia="zh-CN" w:bidi="ar-SA"/>
              </w:rPr>
              <w:t>危废贮存库</w:t>
            </w:r>
          </w:p>
        </w:tc>
        <w:tc>
          <w:tcPr>
            <w:tcW w:w="3860" w:type="pct"/>
            <w:shd w:val="clear" w:color="auto" w:fill="auto"/>
            <w:noWrap w:val="0"/>
            <w:vAlign w:val="center"/>
          </w:tcPr>
          <w:p w14:paraId="62136824">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eastAsia="宋体" w:cs="Times New Roman"/>
                <w:snapToGrid w:val="0"/>
                <w:color w:val="auto"/>
                <w:kern w:val="0"/>
                <w:sz w:val="21"/>
                <w:szCs w:val="21"/>
                <w:highlight w:val="none"/>
                <w:lang w:val="en-US" w:eastAsia="zh-CN"/>
              </w:rPr>
              <w:t>在一层北侧设置一处危废贮存库</w:t>
            </w:r>
            <w:r>
              <w:rPr>
                <w:rFonts w:hint="eastAsia" w:eastAsia="宋体" w:cs="Times New Roman"/>
                <w:bCs/>
                <w:caps/>
                <w:snapToGrid w:val="0"/>
                <w:color w:val="auto"/>
                <w:kern w:val="0"/>
                <w:sz w:val="21"/>
                <w:szCs w:val="21"/>
                <w:highlight w:val="none"/>
                <w:lang w:val="en-US" w:eastAsia="zh-CN"/>
              </w:rPr>
              <w:t>，建筑面积为1</w:t>
            </w:r>
            <w:r>
              <w:rPr>
                <w:rFonts w:hint="eastAsia" w:eastAsia="宋体" w:cs="Times New Roman"/>
                <w:snapToGrid w:val="0"/>
                <w:color w:val="auto"/>
                <w:kern w:val="0"/>
                <w:sz w:val="21"/>
                <w:szCs w:val="21"/>
                <w:highlight w:val="none"/>
                <w:lang w:val="en-US" w:eastAsia="zh-CN"/>
              </w:rPr>
              <w:t>5m</w:t>
            </w:r>
            <w:r>
              <w:rPr>
                <w:rFonts w:hint="eastAsia" w:eastAsia="宋体" w:cs="Times New Roman"/>
                <w:snapToGrid w:val="0"/>
                <w:color w:val="auto"/>
                <w:kern w:val="0"/>
                <w:sz w:val="21"/>
                <w:szCs w:val="21"/>
                <w:highlight w:val="none"/>
                <w:vertAlign w:val="superscript"/>
                <w:lang w:val="en-US" w:eastAsia="zh-CN"/>
              </w:rPr>
              <w:t>2</w:t>
            </w:r>
            <w:r>
              <w:rPr>
                <w:rFonts w:hint="eastAsia" w:eastAsia="宋体" w:cs="Times New Roman"/>
                <w:snapToGrid w:val="0"/>
                <w:color w:val="auto"/>
                <w:kern w:val="0"/>
                <w:sz w:val="21"/>
                <w:szCs w:val="21"/>
                <w:highlight w:val="none"/>
                <w:lang w:val="en-US" w:eastAsia="zh-CN"/>
              </w:rPr>
              <w:t>，内置两台冰柜，用于危废暂存。</w:t>
            </w:r>
          </w:p>
        </w:tc>
      </w:tr>
      <w:tr w14:paraId="4FBA0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232" w:type="pct"/>
            <w:vMerge w:val="restart"/>
            <w:shd w:val="clear" w:color="auto" w:fill="auto"/>
            <w:noWrap w:val="0"/>
            <w:vAlign w:val="center"/>
          </w:tcPr>
          <w:p w14:paraId="55C79B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公用工程</w:t>
            </w:r>
          </w:p>
        </w:tc>
        <w:tc>
          <w:tcPr>
            <w:tcW w:w="907" w:type="pct"/>
            <w:gridSpan w:val="4"/>
            <w:shd w:val="clear" w:color="auto" w:fill="auto"/>
            <w:noWrap w:val="0"/>
            <w:vAlign w:val="center"/>
          </w:tcPr>
          <w:p w14:paraId="2BE9870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FF0000"/>
                <w:kern w:val="2"/>
                <w:sz w:val="21"/>
                <w:szCs w:val="21"/>
                <w:highlight w:val="none"/>
                <w:lang w:val="en-US" w:eastAsia="zh-CN" w:bidi="ar-SA"/>
              </w:rPr>
            </w:pPr>
            <w:r>
              <w:rPr>
                <w:rFonts w:hint="default" w:ascii="Times New Roman" w:hAnsi="Times New Roman" w:eastAsia="宋体" w:cs="Times New Roman"/>
                <w:bCs/>
                <w:caps/>
                <w:snapToGrid w:val="0"/>
                <w:color w:val="000000" w:themeColor="text1"/>
                <w:kern w:val="0"/>
                <w:sz w:val="21"/>
                <w:szCs w:val="21"/>
                <w:highlight w:val="none"/>
                <w14:textFill>
                  <w14:solidFill>
                    <w14:schemeClr w14:val="tx1"/>
                  </w14:solidFill>
                </w14:textFill>
              </w:rPr>
              <w:t>给水</w:t>
            </w:r>
          </w:p>
        </w:tc>
        <w:tc>
          <w:tcPr>
            <w:tcW w:w="3860" w:type="pct"/>
            <w:shd w:val="clear" w:color="auto" w:fill="auto"/>
            <w:noWrap w:val="0"/>
            <w:vAlign w:val="center"/>
          </w:tcPr>
          <w:p w14:paraId="198766FF">
            <w:pPr>
              <w:keepNext w:val="0"/>
              <w:keepLines w:val="0"/>
              <w:pageBreakBefore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cs="Times New Roman" w:eastAsiaTheme="minorEastAsia"/>
                <w:color w:val="FF0000"/>
                <w:kern w:val="2"/>
                <w:sz w:val="21"/>
                <w:szCs w:val="21"/>
                <w:highlight w:val="none"/>
                <w:lang w:val="zh-CN" w:eastAsia="zh-CN" w:bidi="ar-SA"/>
              </w:rPr>
            </w:pPr>
            <w:r>
              <w:rPr>
                <w:rFonts w:hint="default" w:ascii="Times New Roman" w:hAnsi="Times New Roman" w:cs="Times New Roman" w:eastAsiaTheme="minorEastAsia"/>
                <w:color w:val="auto"/>
                <w:sz w:val="21"/>
                <w:szCs w:val="21"/>
                <w:highlight w:val="none"/>
              </w:rPr>
              <w:t>项目用水由园区供水管网提供，项目新鲜水总用量为</w:t>
            </w:r>
            <w:r>
              <w:rPr>
                <w:rFonts w:hint="eastAsia" w:cs="Times New Roman"/>
                <w:color w:val="auto"/>
                <w:sz w:val="21"/>
                <w:szCs w:val="21"/>
                <w:highlight w:val="none"/>
                <w:lang w:val="en-US" w:eastAsia="zh-CN"/>
              </w:rPr>
              <w:t>69.31</w:t>
            </w:r>
            <w:r>
              <w:rPr>
                <w:rFonts w:hint="default" w:ascii="Times New Roman" w:hAnsi="Times New Roman" w:eastAsia="仿宋_GB2312" w:cs="Times New Roman"/>
                <w:color w:val="auto"/>
                <w:sz w:val="21"/>
                <w:szCs w:val="21"/>
                <w:highlight w:val="none"/>
              </w:rPr>
              <w:t>m</w:t>
            </w:r>
            <w:r>
              <w:rPr>
                <w:rFonts w:hint="default" w:ascii="Times New Roman" w:hAnsi="Times New Roman" w:eastAsia="仿宋_GB2312" w:cs="Times New Roman"/>
                <w:color w:val="auto"/>
                <w:sz w:val="21"/>
                <w:szCs w:val="21"/>
                <w:highlight w:val="none"/>
                <w:vertAlign w:val="superscript"/>
              </w:rPr>
              <w:t>3</w:t>
            </w:r>
            <w:r>
              <w:rPr>
                <w:rFonts w:hint="default" w:ascii="Times New Roman" w:hAnsi="Times New Roman" w:eastAsia="仿宋_GB2312" w:cs="Times New Roman"/>
                <w:color w:val="auto"/>
                <w:sz w:val="21"/>
                <w:szCs w:val="21"/>
                <w:highlight w:val="none"/>
              </w:rPr>
              <w:t>/d（</w:t>
            </w:r>
            <w:r>
              <w:rPr>
                <w:rFonts w:hint="eastAsia" w:cs="Times New Roman"/>
                <w:color w:val="auto"/>
                <w:sz w:val="21"/>
                <w:szCs w:val="21"/>
                <w:highlight w:val="none"/>
                <w:lang w:val="en-US" w:eastAsia="zh-CN"/>
              </w:rPr>
              <w:t>22873.2</w:t>
            </w:r>
            <w:r>
              <w:rPr>
                <w:rFonts w:hint="default" w:ascii="Times New Roman" w:hAnsi="Times New Roman" w:eastAsia="仿宋_GB2312" w:cs="Times New Roman"/>
                <w:color w:val="auto"/>
                <w:sz w:val="21"/>
                <w:szCs w:val="21"/>
                <w:highlight w:val="none"/>
              </w:rPr>
              <w:t>m</w:t>
            </w:r>
            <w:r>
              <w:rPr>
                <w:rFonts w:hint="default" w:ascii="Times New Roman" w:hAnsi="Times New Roman" w:eastAsia="仿宋_GB2312" w:cs="Times New Roman"/>
                <w:color w:val="auto"/>
                <w:sz w:val="21"/>
                <w:szCs w:val="21"/>
                <w:highlight w:val="none"/>
                <w:vertAlign w:val="superscript"/>
              </w:rPr>
              <w:t>3</w:t>
            </w:r>
            <w:r>
              <w:rPr>
                <w:rFonts w:hint="default" w:ascii="Times New Roman" w:hAnsi="Times New Roman" w:eastAsia="仿宋_GB2312" w:cs="Times New Roman"/>
                <w:color w:val="auto"/>
                <w:sz w:val="21"/>
                <w:szCs w:val="21"/>
                <w:highlight w:val="none"/>
              </w:rPr>
              <w:t>/a）</w:t>
            </w:r>
            <w:r>
              <w:rPr>
                <w:rFonts w:hint="default" w:ascii="Times New Roman" w:hAnsi="Times New Roman" w:cs="Times New Roman" w:eastAsiaTheme="minorEastAsia"/>
                <w:color w:val="auto"/>
                <w:sz w:val="21"/>
                <w:szCs w:val="21"/>
                <w:highlight w:val="none"/>
              </w:rPr>
              <w:t>，其中生活用新鲜水量为</w:t>
            </w:r>
            <w:r>
              <w:rPr>
                <w:rFonts w:hint="eastAsia" w:cs="Times New Roman" w:eastAsiaTheme="minorEastAsia"/>
                <w:color w:val="auto"/>
                <w:sz w:val="21"/>
                <w:szCs w:val="21"/>
                <w:highlight w:val="none"/>
                <w:lang w:val="en-US" w:eastAsia="zh-CN"/>
              </w:rPr>
              <w:t>1.9</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/d（</w:t>
            </w:r>
            <w:r>
              <w:rPr>
                <w:rFonts w:hint="eastAsia" w:cs="Times New Roman" w:eastAsiaTheme="minorEastAsia"/>
                <w:color w:val="auto"/>
                <w:sz w:val="21"/>
                <w:szCs w:val="21"/>
                <w:highlight w:val="none"/>
                <w:lang w:val="en-US" w:eastAsia="zh-CN"/>
              </w:rPr>
              <w:t>650</w:t>
            </w:r>
            <w:r>
              <w:rPr>
                <w:rFonts w:hint="default" w:ascii="Times New Roman" w:hAnsi="Times New Roman" w:cs="Times New Roman" w:eastAsiaTheme="minorEastAsia"/>
                <w:color w:val="auto"/>
                <w:sz w:val="21"/>
                <w:szCs w:val="21"/>
                <w:highlight w:val="none"/>
                <w:lang w:val="zh-CN"/>
              </w:rPr>
              <w:t>m</w:t>
            </w:r>
            <w:r>
              <w:rPr>
                <w:rFonts w:hint="default" w:ascii="Times New Roman" w:hAnsi="Times New Roman" w:cs="Times New Roman" w:eastAsiaTheme="minorEastAsia"/>
                <w:color w:val="auto"/>
                <w:sz w:val="21"/>
                <w:szCs w:val="21"/>
                <w:highlight w:val="none"/>
                <w:vertAlign w:val="superscript"/>
                <w:lang w:val="zh-CN"/>
              </w:rPr>
              <w:t>3</w:t>
            </w:r>
            <w:r>
              <w:rPr>
                <w:rFonts w:hint="default" w:ascii="Times New Roman" w:hAnsi="Times New Roman" w:cs="Times New Roman" w:eastAsiaTheme="minorEastAsia"/>
                <w:color w:val="auto"/>
                <w:sz w:val="21"/>
                <w:szCs w:val="21"/>
                <w:highlight w:val="none"/>
                <w:lang w:val="zh-CN"/>
              </w:rPr>
              <w:t>/a</w:t>
            </w:r>
            <w:r>
              <w:rPr>
                <w:rFonts w:hint="default" w:ascii="Times New Roman" w:hAnsi="Times New Roman" w:cs="Times New Roman" w:eastAsiaTheme="minorEastAsia"/>
                <w:color w:val="auto"/>
                <w:sz w:val="21"/>
                <w:szCs w:val="21"/>
                <w:highlight w:val="none"/>
              </w:rPr>
              <w:t>），生产用新鲜水水量为</w:t>
            </w:r>
            <w:r>
              <w:rPr>
                <w:rFonts w:hint="default" w:ascii="Times New Roman" w:hAnsi="Times New Roman" w:cs="Times New Roman" w:eastAsiaTheme="minorEastAsia"/>
                <w:color w:val="auto"/>
                <w:sz w:val="21"/>
                <w:szCs w:val="21"/>
                <w:highlight w:val="none"/>
                <w:lang w:val="en-US" w:eastAsia="zh-CN"/>
              </w:rPr>
              <w:t>67.13</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/d（</w:t>
            </w:r>
            <w:r>
              <w:rPr>
                <w:rFonts w:hint="default" w:ascii="Times New Roman" w:hAnsi="Times New Roman" w:cs="Times New Roman" w:eastAsiaTheme="minorEastAsia"/>
                <w:color w:val="auto"/>
                <w:sz w:val="21"/>
                <w:szCs w:val="21"/>
                <w:highlight w:val="none"/>
                <w:lang w:val="en-US" w:eastAsia="zh-CN"/>
              </w:rPr>
              <w:t>22153.2</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/a），项目生产用水主要为待宰牛饮用水、屠宰用水</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包括</w:t>
            </w:r>
            <w:r>
              <w:rPr>
                <w:rFonts w:hint="default" w:ascii="Times New Roman" w:hAnsi="Times New Roman" w:cs="Times New Roman" w:eastAsiaTheme="minorEastAsia"/>
                <w:color w:val="auto"/>
                <w:sz w:val="21"/>
                <w:szCs w:val="21"/>
                <w:highlight w:val="none"/>
                <w:lang w:eastAsia="zh-CN"/>
              </w:rPr>
              <w:t>待宰圈</w:t>
            </w:r>
            <w:r>
              <w:rPr>
                <w:rFonts w:hint="default" w:ascii="Times New Roman" w:hAnsi="Times New Roman" w:cs="Times New Roman" w:eastAsiaTheme="minorEastAsia"/>
                <w:color w:val="auto"/>
                <w:sz w:val="21"/>
                <w:szCs w:val="21"/>
                <w:highlight w:val="none"/>
              </w:rPr>
              <w:t>地面冲洗用水内脏及胴体清洗用水设备及屠宰车间冲洗用水</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及车辆冲洗用水；</w:t>
            </w:r>
            <w:r>
              <w:rPr>
                <w:rFonts w:hint="default" w:ascii="Times New Roman" w:hAnsi="Times New Roman" w:cs="Times New Roman" w:eastAsiaTheme="minorEastAsia"/>
                <w:color w:val="auto"/>
                <w:sz w:val="21"/>
                <w:szCs w:val="21"/>
                <w:highlight w:val="none"/>
              </w:rPr>
              <w:t>绿化用</w:t>
            </w:r>
            <w:r>
              <w:rPr>
                <w:rFonts w:hint="default" w:ascii="Times New Roman" w:hAnsi="Times New Roman" w:cs="Times New Roman" w:eastAsiaTheme="minorEastAsia"/>
                <w:color w:val="auto"/>
                <w:sz w:val="21"/>
                <w:szCs w:val="21"/>
                <w:highlight w:val="none"/>
                <w:lang w:eastAsia="zh-CN"/>
              </w:rPr>
              <w:t>新鲜水</w:t>
            </w:r>
            <w:r>
              <w:rPr>
                <w:rFonts w:hint="default" w:ascii="Times New Roman" w:hAnsi="Times New Roman" w:cs="Times New Roman" w:eastAsiaTheme="minorEastAsia"/>
                <w:color w:val="auto"/>
                <w:sz w:val="21"/>
                <w:szCs w:val="21"/>
                <w:highlight w:val="none"/>
              </w:rPr>
              <w:t>水量为</w:t>
            </w:r>
            <w:r>
              <w:rPr>
                <w:rFonts w:hint="default" w:ascii="Times New Roman" w:hAnsi="Times New Roman" w:cs="Times New Roman" w:eastAsiaTheme="minorEastAsia"/>
                <w:color w:val="auto"/>
                <w:sz w:val="21"/>
                <w:szCs w:val="21"/>
                <w:highlight w:val="none"/>
                <w:lang w:val="en-US" w:eastAsia="zh-CN"/>
              </w:rPr>
              <w:t>70</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3</w:t>
            </w:r>
            <w:r>
              <w:rPr>
                <w:rFonts w:hint="default" w:ascii="Times New Roman" w:hAnsi="Times New Roman" w:cs="Times New Roman" w:eastAsiaTheme="minorEastAsia"/>
                <w:color w:val="auto"/>
                <w:sz w:val="21"/>
                <w:szCs w:val="21"/>
                <w:highlight w:val="none"/>
              </w:rPr>
              <w:t>/a</w:t>
            </w:r>
            <w:r>
              <w:rPr>
                <w:rFonts w:hint="default" w:ascii="Times New Roman" w:hAnsi="Times New Roman" w:cs="Times New Roman" w:eastAsiaTheme="minorEastAsia"/>
                <w:color w:val="auto"/>
                <w:sz w:val="21"/>
                <w:szCs w:val="21"/>
                <w:highlight w:val="none"/>
                <w:lang w:val="zh-CN"/>
              </w:rPr>
              <w:t>。</w:t>
            </w:r>
          </w:p>
        </w:tc>
      </w:tr>
      <w:tr w14:paraId="2DEEA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6585AA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noWrap w:val="0"/>
            <w:vAlign w:val="center"/>
          </w:tcPr>
          <w:p w14:paraId="54F1008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FF0000"/>
                <w:kern w:val="0"/>
                <w:sz w:val="21"/>
                <w:szCs w:val="21"/>
                <w:highlight w:val="none"/>
              </w:rPr>
            </w:pPr>
            <w:r>
              <w:rPr>
                <w:rFonts w:hint="default" w:ascii="Times New Roman" w:hAnsi="Times New Roman" w:eastAsia="宋体" w:cs="Times New Roman"/>
                <w:bCs/>
                <w:caps/>
                <w:snapToGrid w:val="0"/>
                <w:color w:val="auto"/>
                <w:kern w:val="0"/>
                <w:sz w:val="21"/>
                <w:szCs w:val="21"/>
                <w:highlight w:val="none"/>
              </w:rPr>
              <w:t>排水</w:t>
            </w:r>
          </w:p>
        </w:tc>
        <w:tc>
          <w:tcPr>
            <w:tcW w:w="3860" w:type="pct"/>
            <w:noWrap w:val="0"/>
            <w:vAlign w:val="center"/>
          </w:tcPr>
          <w:p w14:paraId="0BFFBBC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cs="Times New Roman" w:eastAsiaTheme="minorEastAsia"/>
                <w:snapToGrid w:val="0"/>
                <w:color w:val="FF0000"/>
                <w:kern w:val="0"/>
                <w:sz w:val="21"/>
                <w:szCs w:val="21"/>
                <w:highlight w:val="none"/>
                <w:lang w:val="en-US" w:eastAsia="zh-CN"/>
              </w:rPr>
            </w:pPr>
            <w:r>
              <w:rPr>
                <w:rFonts w:hint="default" w:ascii="Times New Roman" w:hAnsi="Times New Roman" w:cs="Times New Roman" w:eastAsiaTheme="minorEastAsia"/>
                <w:color w:val="auto"/>
                <w:sz w:val="21"/>
                <w:szCs w:val="21"/>
                <w:highlight w:val="none"/>
                <w:lang w:val="zh-CN"/>
              </w:rPr>
              <w:t>本项目废水主要为营运过程产生的屠宰废水、</w:t>
            </w:r>
            <w:r>
              <w:rPr>
                <w:rFonts w:hint="default" w:ascii="Times New Roman" w:hAnsi="Times New Roman" w:cs="Times New Roman" w:eastAsiaTheme="minorEastAsia"/>
                <w:color w:val="auto"/>
                <w:sz w:val="21"/>
                <w:szCs w:val="21"/>
                <w:highlight w:val="none"/>
                <w:lang w:val="en-US" w:eastAsia="zh-CN"/>
              </w:rPr>
              <w:t>车辆冲洗废水和</w:t>
            </w:r>
            <w:r>
              <w:rPr>
                <w:rFonts w:hint="default" w:ascii="Times New Roman" w:hAnsi="Times New Roman" w:cs="Times New Roman" w:eastAsiaTheme="minorEastAsia"/>
                <w:color w:val="auto"/>
                <w:sz w:val="21"/>
                <w:szCs w:val="21"/>
                <w:highlight w:val="none"/>
                <w:lang w:val="zh-CN"/>
              </w:rPr>
              <w:t>工作人员生活污水，废水产生总量为18927.88m</w:t>
            </w:r>
            <w:r>
              <w:rPr>
                <w:rFonts w:hint="default" w:ascii="Times New Roman" w:hAnsi="Times New Roman" w:cs="Times New Roman" w:eastAsiaTheme="minorEastAsia"/>
                <w:color w:val="auto"/>
                <w:sz w:val="21"/>
                <w:szCs w:val="21"/>
                <w:highlight w:val="none"/>
                <w:vertAlign w:val="superscript"/>
                <w:lang w:val="zh-CN"/>
              </w:rPr>
              <w:t>3</w:t>
            </w:r>
            <w:r>
              <w:rPr>
                <w:rFonts w:hint="default" w:ascii="Times New Roman" w:hAnsi="Times New Roman" w:cs="Times New Roman" w:eastAsiaTheme="minorEastAsia"/>
                <w:color w:val="auto"/>
                <w:sz w:val="21"/>
                <w:szCs w:val="21"/>
                <w:highlight w:val="none"/>
                <w:lang w:val="zh-CN"/>
              </w:rPr>
              <w:t>/a。</w:t>
            </w:r>
            <w:r>
              <w:rPr>
                <w:rFonts w:hint="default" w:ascii="Times New Roman" w:hAnsi="Times New Roman" w:cs="Times New Roman" w:eastAsiaTheme="minorEastAsia"/>
                <w:color w:val="auto"/>
                <w:sz w:val="21"/>
                <w:szCs w:val="21"/>
                <w:highlight w:val="none"/>
                <w:lang w:val="en-US" w:eastAsia="zh-CN"/>
              </w:rPr>
              <w:t>其中，</w:t>
            </w:r>
            <w:r>
              <w:rPr>
                <w:rFonts w:hint="default" w:ascii="Times New Roman" w:hAnsi="Times New Roman" w:cs="Times New Roman" w:eastAsiaTheme="minorEastAsia"/>
                <w:color w:val="auto"/>
                <w:sz w:val="21"/>
                <w:szCs w:val="21"/>
                <w:highlight w:val="none"/>
                <w:lang w:val="zh-CN"/>
              </w:rPr>
              <w:t>屠宰废水为</w:t>
            </w:r>
            <w:r>
              <w:rPr>
                <w:rFonts w:hint="default" w:ascii="Times New Roman" w:hAnsi="Times New Roman" w:cs="Times New Roman" w:eastAsiaTheme="minorEastAsia"/>
                <w:color w:val="auto"/>
                <w:sz w:val="21"/>
                <w:szCs w:val="21"/>
                <w:highlight w:val="none"/>
                <w:lang w:val="en-US" w:eastAsia="zh-CN"/>
              </w:rPr>
              <w:t>18000</w:t>
            </w:r>
            <w:r>
              <w:rPr>
                <w:rFonts w:hint="default" w:ascii="Times New Roman" w:hAnsi="Times New Roman" w:cs="Times New Roman" w:eastAsiaTheme="minorEastAsia"/>
                <w:color w:val="auto"/>
                <w:sz w:val="21"/>
                <w:szCs w:val="21"/>
                <w:highlight w:val="none"/>
                <w:lang w:val="zh-CN"/>
              </w:rPr>
              <w:t>m</w:t>
            </w:r>
            <w:r>
              <w:rPr>
                <w:rFonts w:hint="default" w:ascii="Times New Roman" w:hAnsi="Times New Roman" w:cs="Times New Roman" w:eastAsiaTheme="minorEastAsia"/>
                <w:color w:val="auto"/>
                <w:sz w:val="21"/>
                <w:szCs w:val="21"/>
                <w:highlight w:val="none"/>
                <w:vertAlign w:val="superscript"/>
                <w:lang w:val="zh-CN"/>
              </w:rPr>
              <w:t>3</w:t>
            </w:r>
            <w:r>
              <w:rPr>
                <w:rFonts w:hint="default" w:ascii="Times New Roman" w:hAnsi="Times New Roman" w:cs="Times New Roman" w:eastAsiaTheme="minorEastAsia"/>
                <w:color w:val="auto"/>
                <w:sz w:val="21"/>
                <w:szCs w:val="21"/>
                <w:highlight w:val="none"/>
                <w:lang w:val="zh-CN"/>
              </w:rPr>
              <w:t>/a，</w:t>
            </w:r>
            <w:r>
              <w:rPr>
                <w:rFonts w:hint="default" w:ascii="Times New Roman" w:hAnsi="Times New Roman" w:cs="Times New Roman" w:eastAsiaTheme="minorEastAsia"/>
                <w:color w:val="auto"/>
                <w:sz w:val="21"/>
                <w:szCs w:val="21"/>
                <w:highlight w:val="none"/>
                <w:lang w:val="en-US" w:eastAsia="zh-CN"/>
              </w:rPr>
              <w:t>车辆冲洗废水为407.88</w:t>
            </w:r>
            <w:r>
              <w:rPr>
                <w:rFonts w:hint="default" w:ascii="Times New Roman" w:hAnsi="Times New Roman" w:cs="Times New Roman" w:eastAsiaTheme="minorEastAsia"/>
                <w:color w:val="auto"/>
                <w:sz w:val="21"/>
                <w:szCs w:val="21"/>
                <w:highlight w:val="none"/>
                <w:lang w:val="zh-CN"/>
              </w:rPr>
              <w:t>m</w:t>
            </w:r>
            <w:r>
              <w:rPr>
                <w:rFonts w:hint="default" w:ascii="Times New Roman" w:hAnsi="Times New Roman" w:cs="Times New Roman" w:eastAsiaTheme="minorEastAsia"/>
                <w:color w:val="auto"/>
                <w:sz w:val="21"/>
                <w:szCs w:val="21"/>
                <w:highlight w:val="none"/>
                <w:vertAlign w:val="superscript"/>
                <w:lang w:val="zh-CN"/>
              </w:rPr>
              <w:t>3</w:t>
            </w:r>
            <w:r>
              <w:rPr>
                <w:rFonts w:hint="default" w:ascii="Times New Roman" w:hAnsi="Times New Roman" w:cs="Times New Roman" w:eastAsiaTheme="minorEastAsia"/>
                <w:color w:val="auto"/>
                <w:sz w:val="21"/>
                <w:szCs w:val="21"/>
                <w:highlight w:val="none"/>
                <w:lang w:val="zh-CN"/>
              </w:rPr>
              <w:t>/a，生活污水为</w:t>
            </w:r>
            <w:r>
              <w:rPr>
                <w:rFonts w:hint="eastAsia" w:cs="Times New Roman" w:eastAsiaTheme="minorEastAsia"/>
                <w:color w:val="auto"/>
                <w:sz w:val="21"/>
                <w:szCs w:val="21"/>
                <w:highlight w:val="none"/>
                <w:lang w:val="en-US" w:eastAsia="zh-CN"/>
              </w:rPr>
              <w:t>520</w:t>
            </w:r>
            <w:r>
              <w:rPr>
                <w:rFonts w:hint="default" w:ascii="Times New Roman" w:hAnsi="Times New Roman" w:cs="Times New Roman" w:eastAsiaTheme="minorEastAsia"/>
                <w:color w:val="auto"/>
                <w:sz w:val="21"/>
                <w:szCs w:val="21"/>
                <w:highlight w:val="none"/>
                <w:lang w:val="zh-CN"/>
              </w:rPr>
              <w:t>m</w:t>
            </w:r>
            <w:r>
              <w:rPr>
                <w:rFonts w:hint="default" w:ascii="Times New Roman" w:hAnsi="Times New Roman" w:cs="Times New Roman" w:eastAsiaTheme="minorEastAsia"/>
                <w:color w:val="auto"/>
                <w:sz w:val="21"/>
                <w:szCs w:val="21"/>
                <w:highlight w:val="none"/>
                <w:vertAlign w:val="superscript"/>
                <w:lang w:val="zh-CN"/>
              </w:rPr>
              <w:t>3</w:t>
            </w:r>
            <w:r>
              <w:rPr>
                <w:rFonts w:hint="default" w:ascii="Times New Roman" w:hAnsi="Times New Roman" w:cs="Times New Roman" w:eastAsiaTheme="minorEastAsia"/>
                <w:color w:val="auto"/>
                <w:sz w:val="21"/>
                <w:szCs w:val="21"/>
                <w:highlight w:val="none"/>
                <w:lang w:val="zh-CN"/>
              </w:rPr>
              <w:t>/a。屠宰废水、车辆冲洗废水排入厂区污水处理站处理，生活污水经化粪池收集</w:t>
            </w:r>
            <w:r>
              <w:rPr>
                <w:rFonts w:hint="eastAsia" w:ascii="Times New Roman" w:hAnsi="Times New Roman" w:cs="Times New Roman" w:eastAsiaTheme="minorEastAsia"/>
                <w:color w:val="auto"/>
                <w:sz w:val="21"/>
                <w:szCs w:val="21"/>
                <w:highlight w:val="none"/>
                <w:lang w:val="zh-CN"/>
              </w:rPr>
              <w:t>，</w:t>
            </w:r>
            <w:r>
              <w:rPr>
                <w:rFonts w:hint="eastAsia" w:ascii="Times New Roman" w:hAnsi="Times New Roman" w:cs="Times New Roman" w:eastAsiaTheme="minorEastAsia"/>
                <w:color w:val="auto"/>
                <w:sz w:val="21"/>
                <w:szCs w:val="21"/>
                <w:highlight w:val="none"/>
                <w:lang w:val="en-US" w:eastAsia="zh-CN"/>
              </w:rPr>
              <w:t>一起排至城区污水处理厂处理。</w:t>
            </w:r>
          </w:p>
        </w:tc>
      </w:tr>
      <w:tr w14:paraId="3ACAA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2" w:type="pct"/>
            <w:vMerge w:val="continue"/>
            <w:noWrap w:val="0"/>
            <w:vAlign w:val="center"/>
          </w:tcPr>
          <w:p w14:paraId="0011FE1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noWrap w:val="0"/>
            <w:vAlign w:val="center"/>
          </w:tcPr>
          <w:p w14:paraId="3E1EBBD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r>
              <w:rPr>
                <w:rFonts w:hint="eastAsia" w:eastAsia="宋体" w:cs="Times New Roman"/>
                <w:bCs/>
                <w:caps/>
                <w:snapToGrid w:val="0"/>
                <w:color w:val="auto"/>
                <w:kern w:val="0"/>
                <w:sz w:val="21"/>
                <w:szCs w:val="21"/>
                <w:highlight w:val="none"/>
                <w:lang w:val="en-US" w:eastAsia="zh-CN"/>
              </w:rPr>
              <w:t>供</w:t>
            </w:r>
            <w:r>
              <w:rPr>
                <w:rFonts w:hint="default" w:ascii="Times New Roman" w:hAnsi="Times New Roman" w:eastAsia="宋体" w:cs="Times New Roman"/>
                <w:bCs/>
                <w:caps/>
                <w:snapToGrid w:val="0"/>
                <w:color w:val="auto"/>
                <w:kern w:val="0"/>
                <w:sz w:val="21"/>
                <w:szCs w:val="21"/>
                <w:highlight w:val="none"/>
              </w:rPr>
              <w:t>暖</w:t>
            </w:r>
          </w:p>
        </w:tc>
        <w:tc>
          <w:tcPr>
            <w:tcW w:w="3860" w:type="pct"/>
            <w:noWrap w:val="0"/>
            <w:vAlign w:val="center"/>
          </w:tcPr>
          <w:p w14:paraId="584C12C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由</w:t>
            </w:r>
            <w:r>
              <w:rPr>
                <w:rFonts w:hint="default" w:ascii="Times New Roman" w:hAnsi="Times New Roman" w:eastAsia="宋体" w:cs="Times New Roman"/>
                <w:snapToGrid w:val="0"/>
                <w:color w:val="auto"/>
                <w:kern w:val="0"/>
                <w:sz w:val="21"/>
                <w:szCs w:val="21"/>
                <w:highlight w:val="none"/>
              </w:rPr>
              <w:t>六盘山热电厂供热</w:t>
            </w:r>
            <w:r>
              <w:rPr>
                <w:rFonts w:hint="eastAsia" w:eastAsia="宋体" w:cs="Times New Roman"/>
                <w:snapToGrid w:val="0"/>
                <w:color w:val="auto"/>
                <w:kern w:val="0"/>
                <w:sz w:val="21"/>
                <w:szCs w:val="21"/>
                <w:highlight w:val="none"/>
                <w:lang w:val="en-US" w:eastAsia="zh-CN"/>
              </w:rPr>
              <w:t>管网统一供给。</w:t>
            </w:r>
          </w:p>
        </w:tc>
      </w:tr>
      <w:tr w14:paraId="6FF2E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2" w:type="pct"/>
            <w:vMerge w:val="continue"/>
            <w:noWrap w:val="0"/>
            <w:vAlign w:val="center"/>
          </w:tcPr>
          <w:p w14:paraId="1CAF146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noWrap w:val="0"/>
            <w:vAlign w:val="center"/>
          </w:tcPr>
          <w:p w14:paraId="5F2B79A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aps/>
                <w:snapToGrid w:val="0"/>
                <w:color w:val="auto"/>
                <w:kern w:val="0"/>
                <w:sz w:val="21"/>
                <w:szCs w:val="21"/>
                <w:highlight w:val="none"/>
                <w:lang w:val="en-US" w:eastAsia="zh-CN"/>
              </w:rPr>
            </w:pPr>
            <w:r>
              <w:rPr>
                <w:rFonts w:hint="eastAsia" w:eastAsia="宋体" w:cs="Times New Roman"/>
                <w:bCs/>
                <w:caps/>
                <w:snapToGrid w:val="0"/>
                <w:color w:val="auto"/>
                <w:kern w:val="0"/>
                <w:sz w:val="21"/>
                <w:szCs w:val="21"/>
                <w:highlight w:val="none"/>
                <w:lang w:val="en-US" w:eastAsia="zh-CN"/>
              </w:rPr>
              <w:t>制冷</w:t>
            </w:r>
          </w:p>
        </w:tc>
        <w:tc>
          <w:tcPr>
            <w:tcW w:w="3860" w:type="pct"/>
            <w:noWrap w:val="0"/>
            <w:vAlign w:val="center"/>
          </w:tcPr>
          <w:p w14:paraId="6FA42AAE">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本项目</w:t>
            </w:r>
            <w:r>
              <w:rPr>
                <w:rFonts w:hint="eastAsia" w:eastAsia="宋体" w:cs="Times New Roman"/>
                <w:snapToGrid w:val="0"/>
                <w:color w:val="auto"/>
                <w:kern w:val="0"/>
                <w:sz w:val="21"/>
                <w:szCs w:val="21"/>
                <w:highlight w:val="none"/>
                <w:lang w:val="en-US" w:eastAsia="zh-CN"/>
              </w:rPr>
              <w:t>冷藏库、速冻库</w:t>
            </w:r>
            <w:r>
              <w:rPr>
                <w:rFonts w:hint="default" w:ascii="Times New Roman" w:hAnsi="Times New Roman" w:eastAsia="宋体" w:cs="Times New Roman"/>
                <w:snapToGrid w:val="0"/>
                <w:color w:val="auto"/>
                <w:kern w:val="0"/>
                <w:sz w:val="21"/>
                <w:szCs w:val="21"/>
                <w:highlight w:val="none"/>
              </w:rPr>
              <w:t>采用氟利昂R507环保冷媒进行制冷</w:t>
            </w:r>
            <w:r>
              <w:rPr>
                <w:rFonts w:hint="eastAsia" w:eastAsia="宋体" w:cs="Times New Roman"/>
                <w:snapToGrid w:val="0"/>
                <w:color w:val="auto"/>
                <w:kern w:val="0"/>
                <w:sz w:val="21"/>
                <w:szCs w:val="21"/>
                <w:highlight w:val="none"/>
                <w:lang w:eastAsia="zh-CN"/>
              </w:rPr>
              <w:t>。</w:t>
            </w:r>
          </w:p>
        </w:tc>
      </w:tr>
      <w:tr w14:paraId="6EA68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6388A83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907" w:type="pct"/>
            <w:gridSpan w:val="4"/>
            <w:noWrap w:val="0"/>
            <w:vAlign w:val="center"/>
          </w:tcPr>
          <w:p w14:paraId="3814A51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Cs/>
                <w:caps/>
                <w:snapToGrid w:val="0"/>
                <w:color w:val="auto"/>
                <w:kern w:val="0"/>
                <w:sz w:val="21"/>
                <w:szCs w:val="21"/>
                <w:highlight w:val="none"/>
                <w:lang w:val="en-US" w:eastAsia="zh-CN"/>
              </w:rPr>
            </w:pPr>
            <w:r>
              <w:rPr>
                <w:rFonts w:hint="eastAsia" w:eastAsia="宋体" w:cs="Times New Roman"/>
                <w:bCs/>
                <w:caps/>
                <w:snapToGrid w:val="0"/>
                <w:color w:val="auto"/>
                <w:kern w:val="0"/>
                <w:sz w:val="21"/>
                <w:szCs w:val="21"/>
                <w:highlight w:val="none"/>
                <w:lang w:val="en-US" w:eastAsia="zh-CN"/>
              </w:rPr>
              <w:t>供电</w:t>
            </w:r>
          </w:p>
        </w:tc>
        <w:tc>
          <w:tcPr>
            <w:tcW w:w="3860" w:type="pct"/>
            <w:noWrap w:val="0"/>
            <w:vAlign w:val="center"/>
          </w:tcPr>
          <w:p w14:paraId="66D07AA7">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本项目供电由园区供电电网统一供给。</w:t>
            </w:r>
          </w:p>
        </w:tc>
      </w:tr>
      <w:tr w14:paraId="15821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restart"/>
            <w:noWrap w:val="0"/>
            <w:vAlign w:val="center"/>
          </w:tcPr>
          <w:p w14:paraId="543BF1C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eastAsia" w:eastAsia="宋体" w:cs="Times New Roman"/>
                <w:b/>
                <w:snapToGrid w:val="0"/>
                <w:color w:val="auto"/>
                <w:kern w:val="0"/>
                <w:sz w:val="21"/>
                <w:szCs w:val="21"/>
                <w:highlight w:val="none"/>
                <w:lang w:val="en-US" w:eastAsia="zh-CN"/>
              </w:rPr>
              <w:t>环保工程</w:t>
            </w:r>
          </w:p>
        </w:tc>
        <w:tc>
          <w:tcPr>
            <w:tcW w:w="327" w:type="pct"/>
            <w:gridSpan w:val="2"/>
            <w:vMerge w:val="restart"/>
            <w:shd w:val="clear" w:color="auto" w:fill="auto"/>
            <w:noWrap w:val="0"/>
            <w:vAlign w:val="center"/>
          </w:tcPr>
          <w:p w14:paraId="2C874B3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r>
              <w:rPr>
                <w:rFonts w:hint="default" w:ascii="Times New Roman" w:hAnsi="Times New Roman" w:eastAsia="宋体" w:cs="Times New Roman"/>
                <w:bCs/>
                <w:caps/>
                <w:snapToGrid w:val="0"/>
                <w:color w:val="auto"/>
                <w:kern w:val="0"/>
                <w:sz w:val="21"/>
                <w:szCs w:val="21"/>
                <w:highlight w:val="none"/>
              </w:rPr>
              <w:t>废气治理</w:t>
            </w:r>
          </w:p>
        </w:tc>
        <w:tc>
          <w:tcPr>
            <w:tcW w:w="579" w:type="pct"/>
            <w:gridSpan w:val="2"/>
            <w:shd w:val="clear" w:color="auto" w:fill="auto"/>
            <w:noWrap w:val="0"/>
            <w:vAlign w:val="center"/>
          </w:tcPr>
          <w:p w14:paraId="2A7269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污水处理站</w:t>
            </w:r>
          </w:p>
        </w:tc>
        <w:tc>
          <w:tcPr>
            <w:tcW w:w="3860" w:type="pct"/>
            <w:shd w:val="clear" w:color="auto" w:fill="auto"/>
            <w:noWrap w:val="0"/>
            <w:vAlign w:val="center"/>
          </w:tcPr>
          <w:p w14:paraId="0F244628">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建设</w:t>
            </w:r>
            <w:r>
              <w:rPr>
                <w:rFonts w:hint="eastAsia" w:eastAsia="宋体" w:cs="Times New Roman"/>
                <w:snapToGrid w:val="0"/>
                <w:color w:val="auto"/>
                <w:kern w:val="0"/>
                <w:sz w:val="21"/>
                <w:szCs w:val="21"/>
                <w:highlight w:val="none"/>
                <w:lang w:val="en-US" w:eastAsia="zh-CN"/>
              </w:rPr>
              <w:t>1座地下式</w:t>
            </w:r>
            <w:r>
              <w:rPr>
                <w:rFonts w:hint="default" w:ascii="Times New Roman" w:hAnsi="Times New Roman" w:eastAsia="宋体" w:cs="Times New Roman"/>
                <w:snapToGrid w:val="0"/>
                <w:color w:val="auto"/>
                <w:kern w:val="0"/>
                <w:sz w:val="21"/>
                <w:szCs w:val="21"/>
                <w:highlight w:val="none"/>
              </w:rPr>
              <w:t>污水处理站，并对污水处理站各池体加盖封闭，污水处理站产生的恶臭气体经“集气设备+二级活性炭吸附装置（风量1000m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/h）”处理后由1根20m高排气筒（DA002）排放</w:t>
            </w:r>
            <w:r>
              <w:rPr>
                <w:rFonts w:hint="eastAsia" w:eastAsia="宋体" w:cs="Times New Roman"/>
                <w:snapToGrid w:val="0"/>
                <w:color w:val="auto"/>
                <w:kern w:val="0"/>
                <w:sz w:val="21"/>
                <w:szCs w:val="21"/>
                <w:highlight w:val="none"/>
                <w:lang w:eastAsia="zh-CN"/>
              </w:rPr>
              <w:t>。</w:t>
            </w:r>
          </w:p>
        </w:tc>
      </w:tr>
      <w:tr w14:paraId="0B481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EAF34A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snapToGrid w:val="0"/>
                <w:color w:val="auto"/>
                <w:kern w:val="0"/>
                <w:sz w:val="21"/>
                <w:szCs w:val="21"/>
                <w:highlight w:val="none"/>
                <w:lang w:val="en-US" w:eastAsia="zh-CN"/>
              </w:rPr>
            </w:pPr>
          </w:p>
        </w:tc>
        <w:tc>
          <w:tcPr>
            <w:tcW w:w="327" w:type="pct"/>
            <w:gridSpan w:val="2"/>
            <w:vMerge w:val="continue"/>
            <w:noWrap w:val="0"/>
            <w:vAlign w:val="center"/>
          </w:tcPr>
          <w:p w14:paraId="738B5BD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p>
        </w:tc>
        <w:tc>
          <w:tcPr>
            <w:tcW w:w="579" w:type="pct"/>
            <w:gridSpan w:val="2"/>
            <w:noWrap w:val="0"/>
            <w:vAlign w:val="center"/>
          </w:tcPr>
          <w:p w14:paraId="18310C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屠宰加工车间</w:t>
            </w:r>
          </w:p>
        </w:tc>
        <w:tc>
          <w:tcPr>
            <w:tcW w:w="3860" w:type="pct"/>
            <w:shd w:val="clear" w:color="auto" w:fill="auto"/>
            <w:noWrap w:val="0"/>
            <w:vAlign w:val="center"/>
          </w:tcPr>
          <w:p w14:paraId="72B0F85F">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eastAsia="宋体" w:cs="Times New Roman"/>
                <w:snapToGrid w:val="0"/>
                <w:color w:val="auto"/>
                <w:kern w:val="0"/>
                <w:sz w:val="21"/>
                <w:szCs w:val="21"/>
                <w:highlight w:val="none"/>
                <w:lang w:val="en-US" w:eastAsia="zh-CN"/>
              </w:rPr>
              <w:t>屠宰加工车间设置机械通风系统，每小时通风换气不少于4次，定期喷洒除臭剂、消毒。</w:t>
            </w:r>
          </w:p>
        </w:tc>
      </w:tr>
      <w:tr w14:paraId="6824A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2C560A8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snapToGrid w:val="0"/>
                <w:color w:val="auto"/>
                <w:kern w:val="0"/>
                <w:sz w:val="21"/>
                <w:szCs w:val="21"/>
                <w:highlight w:val="none"/>
                <w:lang w:val="en-US" w:eastAsia="zh-CN"/>
              </w:rPr>
            </w:pPr>
          </w:p>
        </w:tc>
        <w:tc>
          <w:tcPr>
            <w:tcW w:w="327" w:type="pct"/>
            <w:gridSpan w:val="2"/>
            <w:vMerge w:val="continue"/>
            <w:noWrap w:val="0"/>
            <w:vAlign w:val="center"/>
          </w:tcPr>
          <w:p w14:paraId="1F7692A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p>
        </w:tc>
        <w:tc>
          <w:tcPr>
            <w:tcW w:w="579" w:type="pct"/>
            <w:gridSpan w:val="2"/>
            <w:noWrap w:val="0"/>
            <w:vAlign w:val="center"/>
          </w:tcPr>
          <w:p w14:paraId="1B1631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待宰圈</w:t>
            </w:r>
          </w:p>
        </w:tc>
        <w:tc>
          <w:tcPr>
            <w:tcW w:w="3860" w:type="pct"/>
            <w:shd w:val="clear" w:color="auto" w:fill="auto"/>
            <w:noWrap w:val="0"/>
            <w:vAlign w:val="center"/>
          </w:tcPr>
          <w:p w14:paraId="08152C16">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待宰圈产生的臭气经车间负压收集（收集效率90%），风机设计风量为14000m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w:t>
            </w: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引入二级活性炭吸附装置（处理效率80%）处理后经20m高排气筒（DA001）排放</w:t>
            </w:r>
            <w:r>
              <w:rPr>
                <w:rFonts w:hint="eastAsia" w:eastAsia="宋体" w:cs="Times New Roman"/>
                <w:snapToGrid w:val="0"/>
                <w:color w:val="auto"/>
                <w:kern w:val="0"/>
                <w:sz w:val="21"/>
                <w:szCs w:val="21"/>
                <w:highlight w:val="none"/>
                <w:lang w:eastAsia="zh-CN"/>
              </w:rPr>
              <w:t>。</w:t>
            </w:r>
          </w:p>
        </w:tc>
      </w:tr>
      <w:tr w14:paraId="0CD26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5CC857C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noWrap w:val="0"/>
            <w:vAlign w:val="center"/>
          </w:tcPr>
          <w:p w14:paraId="3B3EF1B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aps/>
                <w:snapToGrid w:val="0"/>
                <w:color w:val="auto"/>
                <w:kern w:val="0"/>
                <w:sz w:val="21"/>
                <w:szCs w:val="21"/>
                <w:highlight w:val="none"/>
                <w:lang w:val="en-US" w:eastAsia="zh-CN"/>
              </w:rPr>
            </w:pPr>
            <w:r>
              <w:rPr>
                <w:rFonts w:hint="eastAsia" w:eastAsia="宋体" w:cs="Times New Roman"/>
                <w:bCs/>
                <w:caps/>
                <w:snapToGrid w:val="0"/>
                <w:color w:val="auto"/>
                <w:kern w:val="0"/>
                <w:sz w:val="21"/>
                <w:szCs w:val="21"/>
                <w:highlight w:val="none"/>
                <w:lang w:val="en-US" w:eastAsia="zh-CN"/>
              </w:rPr>
              <w:t>废水</w:t>
            </w:r>
          </w:p>
        </w:tc>
        <w:tc>
          <w:tcPr>
            <w:tcW w:w="4439" w:type="pct"/>
            <w:gridSpan w:val="3"/>
            <w:noWrap w:val="0"/>
            <w:vAlign w:val="center"/>
          </w:tcPr>
          <w:p w14:paraId="32F1AB2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FF0000"/>
                <w:kern w:val="0"/>
                <w:sz w:val="21"/>
                <w:szCs w:val="21"/>
                <w:highlight w:val="none"/>
              </w:rPr>
            </w:pPr>
            <w:r>
              <w:rPr>
                <w:rFonts w:hint="default" w:ascii="Times New Roman" w:hAnsi="Times New Roman" w:eastAsia="宋体" w:cs="Times New Roman"/>
                <w:color w:val="auto"/>
                <w:sz w:val="21"/>
                <w:szCs w:val="21"/>
                <w:highlight w:val="none"/>
                <w:lang w:val="en-US" w:eastAsia="zh-CN"/>
              </w:rPr>
              <w:t>本项目产生的废水主要为屠宰废水</w:t>
            </w:r>
            <w:r>
              <w:rPr>
                <w:rFonts w:hint="eastAsia" w:eastAsia="宋体" w:cs="Times New Roman"/>
                <w:color w:val="auto"/>
                <w:sz w:val="21"/>
                <w:szCs w:val="21"/>
                <w:highlight w:val="none"/>
                <w:lang w:val="en-US" w:eastAsia="zh-CN"/>
              </w:rPr>
              <w:t>、车辆冲洗废水</w:t>
            </w:r>
            <w:r>
              <w:rPr>
                <w:rFonts w:hint="default" w:ascii="Times New Roman" w:hAnsi="Times New Roman" w:eastAsia="宋体" w:cs="Times New Roman"/>
                <w:color w:val="auto"/>
                <w:sz w:val="21"/>
                <w:szCs w:val="21"/>
                <w:highlight w:val="none"/>
                <w:lang w:val="en-US" w:eastAsia="zh-CN"/>
              </w:rPr>
              <w:t>及生活污水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eastAsia="zh-CN"/>
              </w:rPr>
              <w:t>产生总量为</w:t>
            </w:r>
            <w:r>
              <w:rPr>
                <w:rFonts w:hint="eastAsia" w:eastAsia="宋体" w:cs="Times New Roman"/>
                <w:color w:val="auto"/>
                <w:sz w:val="21"/>
                <w:szCs w:val="21"/>
                <w:highlight w:val="none"/>
                <w:lang w:val="en-US" w:eastAsia="zh-CN"/>
              </w:rPr>
              <w:t>18927.88</w:t>
            </w:r>
            <w:r>
              <w:rPr>
                <w:rFonts w:hint="default" w:ascii="Times New Roman" w:hAnsi="Times New Roman" w:eastAsia="宋体" w:cs="Times New Roman"/>
                <w:color w:val="auto"/>
                <w:sz w:val="21"/>
                <w:szCs w:val="21"/>
                <w:highlight w:val="none"/>
                <w:lang w:val="zh-CN" w:eastAsia="zh-CN"/>
              </w:rPr>
              <w:t>m</w:t>
            </w:r>
            <w:r>
              <w:rPr>
                <w:rFonts w:hint="default" w:ascii="Times New Roman" w:hAnsi="Times New Roman" w:eastAsia="宋体" w:cs="Times New Roman"/>
                <w:color w:val="auto"/>
                <w:sz w:val="21"/>
                <w:szCs w:val="21"/>
                <w:highlight w:val="none"/>
                <w:vertAlign w:val="superscript"/>
                <w:lang w:val="zh-CN" w:eastAsia="zh-CN"/>
              </w:rPr>
              <w:t>3</w:t>
            </w:r>
            <w:r>
              <w:rPr>
                <w:rFonts w:hint="default" w:ascii="Times New Roman" w:hAnsi="Times New Roman" w:eastAsia="宋体" w:cs="Times New Roman"/>
                <w:color w:val="auto"/>
                <w:sz w:val="21"/>
                <w:szCs w:val="21"/>
                <w:highlight w:val="none"/>
                <w:lang w:val="zh-CN" w:eastAsia="zh-CN"/>
              </w:rPr>
              <w:t>/a</w:t>
            </w:r>
            <w:r>
              <w:rPr>
                <w:rFonts w:hint="eastAsia"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en-US" w:eastAsia="zh-CN"/>
              </w:rPr>
              <w:t>屠宰废水</w:t>
            </w:r>
            <w:r>
              <w:rPr>
                <w:rFonts w:hint="eastAsia" w:eastAsia="宋体" w:cs="Times New Roman"/>
                <w:color w:val="auto"/>
                <w:sz w:val="21"/>
                <w:szCs w:val="21"/>
                <w:highlight w:val="none"/>
                <w:lang w:val="en-US" w:eastAsia="zh-CN"/>
              </w:rPr>
              <w:t>及车辆冲洗废水</w:t>
            </w:r>
            <w:r>
              <w:rPr>
                <w:rFonts w:hint="default" w:ascii="Times New Roman" w:hAnsi="Times New Roman" w:eastAsia="宋体" w:cs="Times New Roman"/>
                <w:color w:val="auto"/>
                <w:sz w:val="21"/>
                <w:szCs w:val="21"/>
                <w:highlight w:val="none"/>
                <w:lang w:val="en-US" w:eastAsia="zh-CN"/>
              </w:rPr>
              <w:t>排入厂区建设的污水处理站进行处理，</w:t>
            </w:r>
            <w:r>
              <w:rPr>
                <w:rFonts w:hint="eastAsia" w:eastAsia="宋体" w:cs="Times New Roman"/>
                <w:color w:val="auto"/>
                <w:sz w:val="21"/>
                <w:szCs w:val="21"/>
                <w:highlight w:val="none"/>
                <w:lang w:val="en-US" w:eastAsia="zh-CN"/>
              </w:rPr>
              <w:t>污水处理站</w:t>
            </w:r>
            <w:r>
              <w:rPr>
                <w:rFonts w:hint="eastAsia" w:eastAsia="宋体" w:cs="Times New Roman"/>
                <w:snapToGrid w:val="0"/>
                <w:color w:val="auto"/>
                <w:kern w:val="0"/>
                <w:sz w:val="21"/>
                <w:szCs w:val="21"/>
                <w:highlight w:val="none"/>
                <w:lang w:val="en-US" w:eastAsia="zh-CN"/>
              </w:rPr>
              <w:t>设计处理规模100m</w:t>
            </w:r>
            <w:r>
              <w:rPr>
                <w:rFonts w:hint="eastAsia" w:eastAsia="宋体" w:cs="Times New Roman"/>
                <w:snapToGrid w:val="0"/>
                <w:color w:val="auto"/>
                <w:kern w:val="0"/>
                <w:sz w:val="21"/>
                <w:szCs w:val="21"/>
                <w:highlight w:val="none"/>
                <w:vertAlign w:val="superscript"/>
                <w:lang w:val="en-US" w:eastAsia="zh-CN"/>
              </w:rPr>
              <w:t>3</w:t>
            </w:r>
            <w:r>
              <w:rPr>
                <w:rFonts w:hint="eastAsia" w:eastAsia="宋体" w:cs="Times New Roman"/>
                <w:snapToGrid w:val="0"/>
                <w:color w:val="auto"/>
                <w:kern w:val="0"/>
                <w:sz w:val="21"/>
                <w:szCs w:val="21"/>
                <w:highlight w:val="none"/>
                <w:lang w:val="en-US" w:eastAsia="zh-CN"/>
              </w:rPr>
              <w:t>/d，采用“格栅+调节池+隔油池+气浮+水解酸化+缺氧+生物接触氧化+二沉+消毒池（次氯酸钠消毒）”工艺；</w:t>
            </w:r>
            <w:r>
              <w:rPr>
                <w:rFonts w:hint="default" w:ascii="Times New Roman" w:hAnsi="Times New Roman" w:eastAsia="宋体" w:cs="Times New Roman"/>
                <w:color w:val="auto"/>
                <w:sz w:val="21"/>
                <w:szCs w:val="21"/>
                <w:highlight w:val="none"/>
                <w:lang w:val="en-US" w:eastAsia="zh-CN"/>
              </w:rPr>
              <w:t>生活污水经化粪池收集，屠宰废水</w:t>
            </w:r>
            <w:r>
              <w:rPr>
                <w:rFonts w:hint="eastAsia" w:eastAsia="宋体" w:cs="Times New Roman"/>
                <w:color w:val="auto"/>
                <w:sz w:val="21"/>
                <w:szCs w:val="21"/>
                <w:highlight w:val="none"/>
                <w:lang w:val="en-US" w:eastAsia="zh-CN"/>
              </w:rPr>
              <w:t>、车辆冲洗废水</w:t>
            </w:r>
            <w:r>
              <w:rPr>
                <w:rFonts w:hint="default" w:ascii="Times New Roman" w:hAnsi="Times New Roman" w:eastAsia="宋体" w:cs="Times New Roman"/>
                <w:color w:val="auto"/>
                <w:sz w:val="21"/>
                <w:szCs w:val="21"/>
                <w:highlight w:val="none"/>
                <w:lang w:val="en-US" w:eastAsia="zh-CN"/>
              </w:rPr>
              <w:t>及生活污水排至</w:t>
            </w:r>
            <w:r>
              <w:rPr>
                <w:rFonts w:hint="eastAsia" w:eastAsia="宋体" w:cs="Times New Roman"/>
                <w:color w:val="auto"/>
                <w:sz w:val="21"/>
                <w:szCs w:val="21"/>
                <w:highlight w:val="none"/>
                <w:lang w:val="en-US" w:eastAsia="zh-CN"/>
              </w:rPr>
              <w:t>城区污水处理厂</w:t>
            </w:r>
            <w:r>
              <w:rPr>
                <w:rFonts w:hint="default" w:ascii="Times New Roman" w:hAnsi="Times New Roman" w:eastAsia="宋体" w:cs="Times New Roman"/>
                <w:color w:val="auto"/>
                <w:sz w:val="21"/>
                <w:szCs w:val="21"/>
                <w:highlight w:val="none"/>
                <w:lang w:val="en-US" w:eastAsia="zh-CN"/>
              </w:rPr>
              <w:t>处理。</w:t>
            </w:r>
          </w:p>
        </w:tc>
      </w:tr>
      <w:tr w14:paraId="3C51D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19BD105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noWrap w:val="0"/>
            <w:vAlign w:val="center"/>
          </w:tcPr>
          <w:p w14:paraId="43BF79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aps/>
                <w:snapToGrid w:val="0"/>
                <w:color w:val="auto"/>
                <w:kern w:val="0"/>
                <w:sz w:val="21"/>
                <w:szCs w:val="21"/>
                <w:highlight w:val="none"/>
                <w:lang w:val="en-US" w:eastAsia="zh-CN"/>
              </w:rPr>
            </w:pPr>
            <w:r>
              <w:rPr>
                <w:rFonts w:hint="eastAsia" w:eastAsia="宋体" w:cs="Times New Roman"/>
                <w:bCs/>
                <w:caps/>
                <w:snapToGrid w:val="0"/>
                <w:color w:val="auto"/>
                <w:kern w:val="0"/>
                <w:sz w:val="21"/>
                <w:szCs w:val="21"/>
                <w:highlight w:val="none"/>
                <w:lang w:val="en-US" w:eastAsia="zh-CN"/>
              </w:rPr>
              <w:t>噪声</w:t>
            </w:r>
          </w:p>
        </w:tc>
        <w:tc>
          <w:tcPr>
            <w:tcW w:w="4439" w:type="pct"/>
            <w:gridSpan w:val="3"/>
            <w:noWrap w:val="0"/>
            <w:vAlign w:val="center"/>
          </w:tcPr>
          <w:p w14:paraId="077A98B7">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基础减振，厂房隔声。</w:t>
            </w:r>
          </w:p>
        </w:tc>
      </w:tr>
      <w:tr w14:paraId="1A6B5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02DF407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vMerge w:val="restart"/>
            <w:noWrap w:val="0"/>
            <w:vAlign w:val="center"/>
          </w:tcPr>
          <w:p w14:paraId="0E5A0F8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aps/>
                <w:snapToGrid w:val="0"/>
                <w:color w:val="auto"/>
                <w:kern w:val="0"/>
                <w:sz w:val="21"/>
                <w:szCs w:val="21"/>
                <w:highlight w:val="none"/>
                <w:lang w:val="en-US" w:eastAsia="zh-CN"/>
              </w:rPr>
            </w:pPr>
            <w:r>
              <w:rPr>
                <w:rFonts w:hint="eastAsia" w:eastAsia="宋体" w:cs="Times New Roman"/>
                <w:bCs/>
                <w:caps/>
                <w:snapToGrid w:val="0"/>
                <w:color w:val="auto"/>
                <w:kern w:val="0"/>
                <w:sz w:val="21"/>
                <w:szCs w:val="21"/>
                <w:highlight w:val="none"/>
                <w:lang w:val="en-US" w:eastAsia="zh-CN"/>
              </w:rPr>
              <w:t>固废</w:t>
            </w:r>
          </w:p>
        </w:tc>
        <w:tc>
          <w:tcPr>
            <w:tcW w:w="579" w:type="pct"/>
            <w:gridSpan w:val="2"/>
            <w:vMerge w:val="restart"/>
            <w:noWrap w:val="0"/>
            <w:vAlign w:val="center"/>
          </w:tcPr>
          <w:p w14:paraId="25643E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牛屠宰</w:t>
            </w:r>
          </w:p>
        </w:tc>
        <w:tc>
          <w:tcPr>
            <w:tcW w:w="3860" w:type="pct"/>
            <w:noWrap w:val="0"/>
            <w:vAlign w:val="center"/>
          </w:tcPr>
          <w:p w14:paraId="4846ABF0">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FF0000"/>
                <w:kern w:val="0"/>
                <w:sz w:val="21"/>
                <w:szCs w:val="21"/>
                <w:highlight w:val="none"/>
                <w:lang w:val="en-US" w:eastAsia="zh-CN"/>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分割边角料、胃内容物暂存于内脏处理间粪便池内，由吸污车拉运至固原富田有机肥有限公司生产肥料，不在厂区储存；牛粪便（含牛尿）</w:t>
            </w: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清理后</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运至固原富田有机肥有限公司生产肥料；</w:t>
            </w:r>
          </w:p>
        </w:tc>
      </w:tr>
      <w:tr w14:paraId="7F825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CBE25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vMerge w:val="continue"/>
            <w:noWrap w:val="0"/>
            <w:vAlign w:val="center"/>
          </w:tcPr>
          <w:p w14:paraId="0BF2361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p>
        </w:tc>
        <w:tc>
          <w:tcPr>
            <w:tcW w:w="579" w:type="pct"/>
            <w:gridSpan w:val="2"/>
            <w:vMerge w:val="continue"/>
            <w:noWrap w:val="0"/>
            <w:vAlign w:val="center"/>
          </w:tcPr>
          <w:p w14:paraId="296A45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860" w:type="pct"/>
            <w:noWrap w:val="0"/>
            <w:vAlign w:val="center"/>
          </w:tcPr>
          <w:p w14:paraId="5EB29540">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snapToGrid w:val="0"/>
                <w:color w:val="FF0000"/>
                <w:kern w:val="0"/>
                <w:sz w:val="21"/>
                <w:szCs w:val="21"/>
                <w:highlight w:val="none"/>
                <w:lang w:eastAsia="zh-CN"/>
              </w:rPr>
            </w:pP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病变内脏、不合格胴体、病死牛集中收集后暂存于危废贮存库内的冰柜中，定期拉运至原州区动物疾病预防控制中心（动物卫生监督）指定场所进行无害化处置；</w:t>
            </w:r>
          </w:p>
        </w:tc>
      </w:tr>
      <w:tr w14:paraId="5DD7F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6579AB6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vMerge w:val="continue"/>
            <w:noWrap w:val="0"/>
            <w:vAlign w:val="center"/>
          </w:tcPr>
          <w:p w14:paraId="7C7E303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p>
        </w:tc>
        <w:tc>
          <w:tcPr>
            <w:tcW w:w="579" w:type="pct"/>
            <w:gridSpan w:val="2"/>
            <w:vMerge w:val="restart"/>
            <w:shd w:val="clear" w:color="auto" w:fill="auto"/>
            <w:noWrap w:val="0"/>
            <w:vAlign w:val="center"/>
          </w:tcPr>
          <w:p w14:paraId="703780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羊屠宰</w:t>
            </w:r>
          </w:p>
        </w:tc>
        <w:tc>
          <w:tcPr>
            <w:tcW w:w="3860" w:type="pct"/>
            <w:shd w:val="clear" w:color="auto" w:fill="auto"/>
            <w:noWrap w:val="0"/>
            <w:vAlign w:val="center"/>
          </w:tcPr>
          <w:p w14:paraId="0EECF523">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FF0000"/>
                <w:kern w:val="0"/>
                <w:sz w:val="21"/>
                <w:szCs w:val="21"/>
                <w:highlight w:val="none"/>
                <w:lang w:val="en-US" w:eastAsia="zh-CN" w:bidi="ar-SA"/>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分割边角料、胃内容物暂存于内脏处理间粪便池内，由吸污车拉运至固原富田有机肥有限公司生产肥料，不在厂区储存；</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羊</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粪便（含</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羊</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尿）</w:t>
            </w: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清理后</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运至固原富田有机肥有限公司生产肥料；</w:t>
            </w:r>
          </w:p>
        </w:tc>
      </w:tr>
      <w:tr w14:paraId="45197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1F556A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vMerge w:val="continue"/>
            <w:noWrap w:val="0"/>
            <w:vAlign w:val="center"/>
          </w:tcPr>
          <w:p w14:paraId="2D6141C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p>
        </w:tc>
        <w:tc>
          <w:tcPr>
            <w:tcW w:w="579" w:type="pct"/>
            <w:gridSpan w:val="2"/>
            <w:vMerge w:val="continue"/>
            <w:noWrap w:val="0"/>
            <w:vAlign w:val="center"/>
          </w:tcPr>
          <w:p w14:paraId="6521E2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860" w:type="pct"/>
            <w:shd w:val="clear" w:color="auto" w:fill="auto"/>
            <w:noWrap w:val="0"/>
            <w:vAlign w:val="center"/>
          </w:tcPr>
          <w:p w14:paraId="5490AD69">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FF0000"/>
                <w:kern w:val="0"/>
                <w:sz w:val="21"/>
                <w:szCs w:val="21"/>
                <w:highlight w:val="none"/>
                <w:lang w:val="en-US" w:eastAsia="zh-CN" w:bidi="ar-SA"/>
              </w:rPr>
            </w:pP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病变内脏、不合格胴体、病死</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羊</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集中收集后暂存于危废贮存库内的冰柜中，定期拉运至原州区动物疾病预防控制中心（动物卫生监督）指定场所进行无害化处置；</w:t>
            </w:r>
          </w:p>
        </w:tc>
      </w:tr>
      <w:tr w14:paraId="7E743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6A05F1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vMerge w:val="continue"/>
            <w:noWrap w:val="0"/>
            <w:vAlign w:val="center"/>
          </w:tcPr>
          <w:p w14:paraId="7E47958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p>
        </w:tc>
        <w:tc>
          <w:tcPr>
            <w:tcW w:w="579" w:type="pct"/>
            <w:gridSpan w:val="2"/>
            <w:noWrap w:val="0"/>
            <w:vAlign w:val="center"/>
          </w:tcPr>
          <w:p w14:paraId="316A91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生活垃圾</w:t>
            </w:r>
          </w:p>
        </w:tc>
        <w:tc>
          <w:tcPr>
            <w:tcW w:w="3860" w:type="pct"/>
            <w:noWrap w:val="0"/>
            <w:vAlign w:val="center"/>
          </w:tcPr>
          <w:p w14:paraId="70117FD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集中收集后交由环卫部门统一处置。</w:t>
            </w:r>
          </w:p>
        </w:tc>
      </w:tr>
      <w:tr w14:paraId="2DE53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23C7F95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vMerge w:val="continue"/>
            <w:noWrap w:val="0"/>
            <w:vAlign w:val="center"/>
          </w:tcPr>
          <w:p w14:paraId="7FB8175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p>
        </w:tc>
        <w:tc>
          <w:tcPr>
            <w:tcW w:w="579" w:type="pct"/>
            <w:gridSpan w:val="2"/>
            <w:noWrap w:val="0"/>
            <w:vAlign w:val="center"/>
          </w:tcPr>
          <w:p w14:paraId="321C8D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废活性炭</w:t>
            </w:r>
            <w:r>
              <w:rPr>
                <w:rFonts w:hint="eastAsia" w:eastAsia="宋体" w:cs="Times New Roman"/>
                <w:snapToGrid w:val="0"/>
                <w:color w:val="auto"/>
                <w:kern w:val="0"/>
                <w:sz w:val="21"/>
                <w:szCs w:val="21"/>
                <w:highlight w:val="none"/>
                <w:lang w:val="en-US" w:eastAsia="zh-CN"/>
              </w:rPr>
              <w:t>、废机油、废机油桶、检疫废物</w:t>
            </w:r>
          </w:p>
        </w:tc>
        <w:tc>
          <w:tcPr>
            <w:tcW w:w="3860" w:type="pct"/>
            <w:noWrap w:val="0"/>
            <w:vAlign w:val="center"/>
          </w:tcPr>
          <w:p w14:paraId="6D7FE63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废机油、检疫废物采用塑料桶储存，与废机油桶暂存于危废贮存库，交有资质单位集中处置；废活性炭更换后立即交有资质单位处置，不在厂区储存。</w:t>
            </w:r>
          </w:p>
        </w:tc>
      </w:tr>
      <w:tr w14:paraId="52376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205182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vMerge w:val="continue"/>
            <w:noWrap w:val="0"/>
            <w:vAlign w:val="center"/>
          </w:tcPr>
          <w:p w14:paraId="63A76D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aps/>
                <w:snapToGrid w:val="0"/>
                <w:color w:val="auto"/>
                <w:kern w:val="0"/>
                <w:sz w:val="21"/>
                <w:szCs w:val="21"/>
                <w:highlight w:val="none"/>
              </w:rPr>
            </w:pPr>
          </w:p>
        </w:tc>
        <w:tc>
          <w:tcPr>
            <w:tcW w:w="579" w:type="pct"/>
            <w:gridSpan w:val="2"/>
            <w:noWrap w:val="0"/>
            <w:vAlign w:val="center"/>
          </w:tcPr>
          <w:p w14:paraId="0B64AF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污水处理站污泥</w:t>
            </w:r>
          </w:p>
        </w:tc>
        <w:tc>
          <w:tcPr>
            <w:tcW w:w="3860" w:type="pct"/>
            <w:noWrap w:val="0"/>
            <w:vAlign w:val="center"/>
          </w:tcPr>
          <w:p w14:paraId="24DEC10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snapToGrid w:val="0"/>
                <w:color w:val="FF0000"/>
                <w:kern w:val="0"/>
                <w:sz w:val="21"/>
                <w:szCs w:val="21"/>
                <w:highlight w:val="none"/>
                <w:lang w:eastAsia="zh-CN"/>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脱水后拉运至固原富田有机肥有限公司生产肥料</w:t>
            </w:r>
            <w:r>
              <w:rPr>
                <w:rFonts w:hint="eastAsia" w:eastAsia="宋体" w:cs="Times New Roman"/>
                <w:snapToGrid w:val="0"/>
                <w:color w:val="000000" w:themeColor="text1"/>
                <w:kern w:val="0"/>
                <w:sz w:val="21"/>
                <w:szCs w:val="21"/>
                <w:highlight w:val="none"/>
                <w:lang w:eastAsia="zh-CN"/>
                <w14:textFill>
                  <w14:solidFill>
                    <w14:schemeClr w14:val="tx1"/>
                  </w14:solidFill>
                </w14:textFill>
              </w:rPr>
              <w:t>。</w:t>
            </w:r>
          </w:p>
        </w:tc>
      </w:tr>
      <w:tr w14:paraId="24ED7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19D37BD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eastAsia" w:eastAsia="宋体" w:cs="Times New Roman"/>
                <w:b/>
                <w:snapToGrid w:val="0"/>
                <w:color w:val="auto"/>
                <w:kern w:val="0"/>
                <w:sz w:val="21"/>
                <w:szCs w:val="21"/>
                <w:highlight w:val="none"/>
                <w:lang w:val="en-US" w:eastAsia="zh-CN"/>
              </w:rPr>
              <w:t>环保工程</w:t>
            </w:r>
          </w:p>
        </w:tc>
        <w:tc>
          <w:tcPr>
            <w:tcW w:w="327" w:type="pct"/>
            <w:gridSpan w:val="2"/>
            <w:noWrap w:val="0"/>
            <w:vAlign w:val="center"/>
          </w:tcPr>
          <w:p w14:paraId="412D48B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aps/>
                <w:snapToGrid w:val="0"/>
                <w:color w:val="auto"/>
                <w:kern w:val="0"/>
                <w:sz w:val="21"/>
                <w:szCs w:val="21"/>
                <w:highlight w:val="none"/>
                <w:lang w:val="en-US" w:eastAsia="zh-CN"/>
              </w:rPr>
            </w:pPr>
            <w:r>
              <w:rPr>
                <w:rFonts w:hint="eastAsia" w:eastAsia="宋体" w:cs="Times New Roman"/>
                <w:bCs/>
                <w:caps/>
                <w:snapToGrid w:val="0"/>
                <w:color w:val="auto"/>
                <w:kern w:val="0"/>
                <w:sz w:val="21"/>
                <w:szCs w:val="21"/>
                <w:highlight w:val="none"/>
                <w:lang w:val="en-US" w:eastAsia="zh-CN"/>
              </w:rPr>
              <w:t>绿化</w:t>
            </w:r>
          </w:p>
        </w:tc>
        <w:tc>
          <w:tcPr>
            <w:tcW w:w="4439" w:type="pct"/>
            <w:gridSpan w:val="3"/>
            <w:noWrap w:val="0"/>
            <w:vAlign w:val="center"/>
          </w:tcPr>
          <w:p w14:paraId="0E4E87B9">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厂区绿化面积为700m</w:t>
            </w:r>
            <w:r>
              <w:rPr>
                <w:rFonts w:hint="eastAsia" w:eastAsia="宋体" w:cs="Times New Roman"/>
                <w:snapToGrid w:val="0"/>
                <w:color w:val="auto"/>
                <w:kern w:val="0"/>
                <w:sz w:val="21"/>
                <w:szCs w:val="21"/>
                <w:highlight w:val="none"/>
                <w:vertAlign w:val="superscript"/>
                <w:lang w:val="en-US" w:eastAsia="zh-CN"/>
              </w:rPr>
              <w:t>2</w:t>
            </w:r>
            <w:r>
              <w:rPr>
                <w:rFonts w:hint="eastAsia" w:eastAsia="宋体" w:cs="Times New Roman"/>
                <w:snapToGrid w:val="0"/>
                <w:color w:val="auto"/>
                <w:kern w:val="0"/>
                <w:sz w:val="21"/>
                <w:szCs w:val="21"/>
                <w:highlight w:val="none"/>
                <w:lang w:val="en-US" w:eastAsia="zh-CN"/>
              </w:rPr>
              <w:t>。</w:t>
            </w:r>
          </w:p>
        </w:tc>
      </w:tr>
      <w:tr w14:paraId="0B507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19647B9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noWrap w:val="0"/>
            <w:vAlign w:val="center"/>
          </w:tcPr>
          <w:p w14:paraId="4922005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Cs/>
                <w:caps/>
                <w:snapToGrid w:val="0"/>
                <w:color w:val="auto"/>
                <w:kern w:val="0"/>
                <w:sz w:val="21"/>
                <w:szCs w:val="21"/>
                <w:highlight w:val="none"/>
                <w:lang w:val="en-US" w:eastAsia="zh-CN"/>
              </w:rPr>
            </w:pPr>
            <w:r>
              <w:rPr>
                <w:rFonts w:hint="eastAsia" w:eastAsia="宋体" w:cs="Times New Roman"/>
                <w:bCs/>
                <w:caps/>
                <w:snapToGrid w:val="0"/>
                <w:color w:val="auto"/>
                <w:kern w:val="0"/>
                <w:sz w:val="21"/>
                <w:szCs w:val="21"/>
                <w:highlight w:val="none"/>
                <w:lang w:val="en-US" w:eastAsia="zh-CN"/>
              </w:rPr>
              <w:t>防渗</w:t>
            </w:r>
          </w:p>
        </w:tc>
        <w:tc>
          <w:tcPr>
            <w:tcW w:w="4439" w:type="pct"/>
            <w:gridSpan w:val="3"/>
            <w:noWrap w:val="0"/>
            <w:vAlign w:val="center"/>
          </w:tcPr>
          <w:p w14:paraId="59BCD408">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重点防渗区：危废贮存库</w:t>
            </w:r>
            <w:r>
              <w:rPr>
                <w:rFonts w:hint="eastAsia" w:eastAsia="宋体" w:cs="Times New Roman"/>
                <w:color w:val="000000" w:themeColor="text1"/>
                <w:spacing w:val="-1"/>
                <w:sz w:val="21"/>
                <w:szCs w:val="21"/>
                <w:highlight w:val="none"/>
                <w:lang w:val="en-US" w:eastAsia="zh-CN"/>
                <w14:textFill>
                  <w14:solidFill>
                    <w14:schemeClr w14:val="tx1"/>
                  </w14:solidFill>
                </w14:textFill>
              </w:rPr>
              <w:t>地面铺设</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2mm厚高密度聚乙烯膜等人工防渗材料</w:t>
            </w:r>
            <w:r>
              <w:rPr>
                <w:rFonts w:hint="eastAsia"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渗透系数不大于1.0×10</w:t>
            </w:r>
            <w:r>
              <w:rPr>
                <w:rFonts w:hint="default" w:ascii="Times New Roman" w:hAnsi="Times New Roman" w:eastAsia="宋体" w:cs="Times New Roman"/>
                <w:color w:val="000000" w:themeColor="text1"/>
                <w:spacing w:val="-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cm/s</w:t>
            </w: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；污水处理站地面</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采用不低于C30强度等级的混凝土结构，抗渗等级不低于P8，渗透系数不大于1.0×10</w:t>
            </w:r>
            <w:r>
              <w:rPr>
                <w:rFonts w:hint="default" w:ascii="Times New Roman" w:hAnsi="Times New Roman" w:eastAsia="宋体" w:cs="Times New Roman"/>
                <w:color w:val="000000" w:themeColor="text1"/>
                <w:spacing w:val="-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cm/s</w:t>
            </w: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w:t>
            </w:r>
          </w:p>
          <w:p w14:paraId="6F339F76">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一般防渗区：屠宰加工车间及化粪池，地面采取硬化防渗处理，采用水泥砂浆防渗，防渗层为至少1m厚粘土层或2mm厚高密度聚乙烯，需满足等效粘土防渗层Mb≥1.5m，满足渗透系数K≤1.0×10</w:t>
            </w:r>
            <w:r>
              <w:rPr>
                <w:rFonts w:hint="eastAsia" w:eastAsia="宋体" w:cs="Times New Roman"/>
                <w:snapToGrid w:val="0"/>
                <w:color w:val="000000" w:themeColor="text1"/>
                <w:kern w:val="0"/>
                <w:sz w:val="21"/>
                <w:szCs w:val="21"/>
                <w:highlight w:val="none"/>
                <w:vertAlign w:val="superscript"/>
                <w:lang w:val="en-US" w:eastAsia="zh-CN"/>
                <w14:textFill>
                  <w14:solidFill>
                    <w14:schemeClr w14:val="tx1"/>
                  </w14:solidFill>
                </w14:textFill>
              </w:rPr>
              <w:t>-7</w:t>
            </w: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cm/s。</w:t>
            </w:r>
          </w:p>
        </w:tc>
      </w:tr>
      <w:tr w14:paraId="4BE1D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7C2E2C0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327" w:type="pct"/>
            <w:gridSpan w:val="2"/>
            <w:noWrap w:val="0"/>
            <w:vAlign w:val="center"/>
          </w:tcPr>
          <w:p w14:paraId="0508D68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Cs/>
                <w:caps/>
                <w:snapToGrid w:val="0"/>
                <w:color w:val="auto"/>
                <w:kern w:val="0"/>
                <w:sz w:val="21"/>
                <w:szCs w:val="21"/>
                <w:highlight w:val="none"/>
                <w:lang w:val="en-US" w:eastAsia="zh-CN"/>
              </w:rPr>
            </w:pPr>
            <w:r>
              <w:rPr>
                <w:rFonts w:hint="eastAsia" w:eastAsia="宋体" w:cs="Times New Roman"/>
                <w:bCs/>
                <w:caps/>
                <w:snapToGrid w:val="0"/>
                <w:color w:val="auto"/>
                <w:kern w:val="0"/>
                <w:sz w:val="21"/>
                <w:szCs w:val="21"/>
                <w:highlight w:val="none"/>
                <w:lang w:val="en-US" w:eastAsia="zh-CN"/>
              </w:rPr>
              <w:t>地下水监测</w:t>
            </w:r>
          </w:p>
        </w:tc>
        <w:tc>
          <w:tcPr>
            <w:tcW w:w="4439" w:type="pct"/>
            <w:gridSpan w:val="3"/>
            <w:noWrap w:val="0"/>
            <w:vAlign w:val="center"/>
          </w:tcPr>
          <w:p w14:paraId="18B4C73C">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eastAsia="宋体" w:cs="Times New Roman"/>
                <w:snapToGrid w:val="0"/>
                <w:color w:val="000000" w:themeColor="text1"/>
                <w:kern w:val="0"/>
                <w:sz w:val="21"/>
                <w:szCs w:val="21"/>
                <w:highlight w:val="none"/>
                <w:lang w:val="en-US" w:eastAsia="zh-CN"/>
                <w14:textFill>
                  <w14:solidFill>
                    <w14:schemeClr w14:val="tx1"/>
                  </w14:solidFill>
                </w14:textFill>
              </w:rPr>
              <w:t>在厂区布设1口地下水跟踪监测井</w:t>
            </w: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，坐标为106°11′13.641″、36°0′17.439″</w:t>
            </w:r>
            <w:r>
              <w:rPr>
                <w:rFonts w:hint="default" w:eastAsia="宋体" w:cs="Times New Roman"/>
                <w:snapToGrid w:val="0"/>
                <w:color w:val="000000" w:themeColor="text1"/>
                <w:kern w:val="0"/>
                <w:sz w:val="21"/>
                <w:szCs w:val="21"/>
                <w:highlight w:val="none"/>
                <w:lang w:val="en-US" w:eastAsia="zh-CN"/>
                <w14:textFill>
                  <w14:solidFill>
                    <w14:schemeClr w14:val="tx1"/>
                  </w14:solidFill>
                </w14:textFill>
              </w:rPr>
              <w:t>。</w:t>
            </w:r>
          </w:p>
        </w:tc>
      </w:tr>
    </w:tbl>
    <w:p w14:paraId="7CCFDB0A">
      <w:pPr>
        <w:pStyle w:val="13"/>
        <w:pageBreakBefore w:val="0"/>
        <w:kinsoku/>
        <w:wordWrap/>
        <w:topLinePunct w:val="0"/>
        <w:bidi w:val="0"/>
        <w:adjustRightInd/>
        <w:snapToGrid/>
        <w:spacing w:before="0" w:after="0"/>
        <w:ind w:left="0" w:leftChars="0"/>
        <w:rPr>
          <w:rFonts w:hint="eastAsia"/>
          <w:color w:val="auto"/>
        </w:rPr>
        <w:sectPr>
          <w:headerReference r:id="rId10" w:type="default"/>
          <w:footerReference r:id="rId11" w:type="default"/>
          <w:pgSz w:w="16838" w:h="11906" w:orient="landscape"/>
          <w:pgMar w:top="1587"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80096B">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2"/>
        <w:rPr>
          <w:rFonts w:hint="default" w:ascii="Times New Roman" w:hAnsi="Times New Roman" w:eastAsia="黑体" w:cs="Times New Roman"/>
          <w:b/>
          <w:color w:val="auto"/>
          <w:sz w:val="28"/>
          <w:szCs w:val="28"/>
          <w:highlight w:val="none"/>
          <w:lang w:val="en-US" w:eastAsia="zh-CN"/>
        </w:rPr>
      </w:pPr>
      <w:r>
        <w:rPr>
          <w:rFonts w:hint="eastAsia" w:ascii="Times New Roman" w:hAnsi="Times New Roman" w:eastAsia="黑体" w:cs="Times New Roman"/>
          <w:b/>
          <w:color w:val="auto"/>
          <w:sz w:val="28"/>
          <w:szCs w:val="28"/>
          <w:highlight w:val="none"/>
          <w:lang w:val="en-US" w:eastAsia="zh-CN"/>
        </w:rPr>
        <w:t>2.1.3</w:t>
      </w:r>
      <w:r>
        <w:rPr>
          <w:rFonts w:hint="default" w:ascii="Times New Roman" w:hAnsi="Times New Roman" w:eastAsia="黑体" w:cs="Times New Roman"/>
          <w:b/>
          <w:color w:val="auto"/>
          <w:sz w:val="28"/>
          <w:szCs w:val="28"/>
          <w:highlight w:val="none"/>
          <w:lang w:val="en-US" w:eastAsia="zh-CN"/>
        </w:rPr>
        <w:t>项目</w:t>
      </w:r>
      <w:r>
        <w:rPr>
          <w:rFonts w:hint="eastAsia" w:ascii="Times New Roman" w:hAnsi="Times New Roman" w:eastAsia="黑体" w:cs="Times New Roman"/>
          <w:b/>
          <w:color w:val="auto"/>
          <w:sz w:val="28"/>
          <w:szCs w:val="28"/>
          <w:highlight w:val="none"/>
          <w:lang w:val="en-US" w:eastAsia="zh-CN"/>
        </w:rPr>
        <w:t>产品方案及产品指标</w:t>
      </w:r>
    </w:p>
    <w:p w14:paraId="50531D11">
      <w:pPr>
        <w:pageBreakBefore w:val="0"/>
        <w:kinsoku/>
        <w:wordWrap/>
        <w:topLinePunct w:val="0"/>
        <w:bidi w:val="0"/>
        <w:adjustRightInd/>
        <w:snapToGrid/>
        <w:ind w:left="0" w:leftChars="0"/>
        <w:rPr>
          <w:rFonts w:hint="eastAsia" w:ascii="Times New Roman" w:hAnsi="Times New Roman"/>
          <w:color w:val="auto"/>
        </w:rPr>
      </w:pPr>
      <w:r>
        <w:rPr>
          <w:rFonts w:hint="eastAsia"/>
          <w:color w:val="auto"/>
          <w:lang w:val="en-US" w:eastAsia="zh-CN"/>
        </w:rPr>
        <w:t>根据《排污许可证申请与核发技术规范 农副食品加工工业-屠宰及肉类加工工业》（HJ860.3-2018），牛的活屠重为500kg/头，羊的活屠重为50kg/只。考虑到项目所在地区养殖情况，本项目取牛的活屠重为500kg/头，羊的活屠重为30kg/只。</w:t>
      </w:r>
      <w:r>
        <w:rPr>
          <w:rFonts w:hint="eastAsia" w:ascii="Times New Roman" w:hAnsi="Times New Roman"/>
          <w:color w:val="auto"/>
        </w:rPr>
        <w:t>项目产品方案见表2.1-</w:t>
      </w:r>
      <w:r>
        <w:rPr>
          <w:rFonts w:hint="eastAsia"/>
          <w:color w:val="auto"/>
          <w:lang w:val="en-US" w:eastAsia="zh-CN"/>
        </w:rPr>
        <w:t>2</w:t>
      </w:r>
      <w:r>
        <w:rPr>
          <w:rFonts w:hint="eastAsia" w:ascii="Times New Roman" w:hAnsi="Times New Roman"/>
          <w:color w:val="auto"/>
        </w:rPr>
        <w:t>。</w:t>
      </w:r>
    </w:p>
    <w:p w14:paraId="55A001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Times New Roman" w:hAnsi="Times New Roman" w:eastAsia="宋体" w:cs="Times New Roman"/>
          <w:b/>
          <w:bCs w:val="0"/>
          <w:color w:val="auto"/>
          <w:sz w:val="24"/>
          <w:szCs w:val="24"/>
          <w:lang w:val="en-US" w:eastAsia="zh-CN"/>
        </w:rPr>
      </w:pPr>
      <w:r>
        <w:rPr>
          <w:rFonts w:hint="default" w:ascii="Times New Roman" w:hAnsi="Times New Roman" w:cs="Times New Roman"/>
          <w:b w:val="0"/>
          <w:bCs/>
          <w:color w:val="auto"/>
          <w:sz w:val="21"/>
          <w:szCs w:val="21"/>
        </w:rPr>
        <w:t>表</w:t>
      </w:r>
      <w:r>
        <w:rPr>
          <w:rFonts w:hint="eastAsia" w:ascii="Times New Roman" w:hAnsi="Times New Roman" w:cs="Times New Roman"/>
          <w:b w:val="0"/>
          <w:bCs/>
          <w:color w:val="auto"/>
          <w:sz w:val="21"/>
          <w:szCs w:val="21"/>
          <w:lang w:val="en-US" w:eastAsia="zh-CN"/>
        </w:rPr>
        <w:t>2.1-</w:t>
      </w:r>
      <w:r>
        <w:rPr>
          <w:rFonts w:hint="eastAsia" w:cs="Times New Roman"/>
          <w:b w:val="0"/>
          <w:bCs/>
          <w:color w:val="auto"/>
          <w:sz w:val="21"/>
          <w:szCs w:val="21"/>
          <w:lang w:val="en-US" w:eastAsia="zh-CN"/>
        </w:rPr>
        <w:t>2</w:t>
      </w:r>
      <w:r>
        <w:rPr>
          <w:rFonts w:hint="default" w:ascii="Times New Roman" w:hAnsi="Times New Roman" w:cs="Times New Roman"/>
          <w:b w:val="0"/>
          <w:bCs/>
          <w:color w:val="auto"/>
          <w:sz w:val="21"/>
          <w:szCs w:val="21"/>
        </w:rPr>
        <w:t xml:space="preserve"> </w:t>
      </w:r>
      <w:r>
        <w:rPr>
          <w:rFonts w:hint="eastAsia" w:ascii="Times New Roman" w:hAnsi="Times New Roman" w:eastAsia="宋体" w:cs="Times New Roman"/>
          <w:b/>
          <w:bCs w:val="0"/>
          <w:color w:val="auto"/>
          <w:sz w:val="24"/>
          <w:szCs w:val="24"/>
          <w:lang w:val="en-US" w:eastAsia="zh-CN"/>
        </w:rPr>
        <w:t xml:space="preserve">               </w:t>
      </w:r>
      <w:r>
        <w:rPr>
          <w:rFonts w:hint="default" w:ascii="Times New Roman" w:hAnsi="Times New Roman" w:eastAsia="宋体" w:cs="Times New Roman"/>
          <w:b/>
          <w:bCs w:val="0"/>
          <w:color w:val="auto"/>
          <w:sz w:val="24"/>
          <w:szCs w:val="24"/>
        </w:rPr>
        <w:t>项目屠宰车间产品方案</w:t>
      </w:r>
      <w:r>
        <w:rPr>
          <w:rFonts w:hint="eastAsia" w:ascii="Times New Roman" w:hAnsi="Times New Roman" w:eastAsia="宋体" w:cs="Times New Roman"/>
          <w:b/>
          <w:bCs w:val="0"/>
          <w:color w:val="auto"/>
          <w:sz w:val="24"/>
          <w:szCs w:val="24"/>
          <w:lang w:val="en-US" w:eastAsia="zh-CN"/>
        </w:rPr>
        <w:t>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8"/>
        <w:gridCol w:w="1142"/>
        <w:gridCol w:w="1466"/>
        <w:gridCol w:w="1498"/>
        <w:gridCol w:w="1561"/>
        <w:gridCol w:w="1232"/>
        <w:gridCol w:w="1061"/>
      </w:tblGrid>
      <w:tr w14:paraId="42CDC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tcBorders>
              <w:tl2br w:val="nil"/>
              <w:tr2bl w:val="nil"/>
            </w:tcBorders>
            <w:noWrap w:val="0"/>
            <w:vAlign w:val="center"/>
          </w:tcPr>
          <w:p w14:paraId="61830E6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种类</w:t>
            </w:r>
          </w:p>
        </w:tc>
        <w:tc>
          <w:tcPr>
            <w:tcW w:w="1118" w:type="dxa"/>
            <w:tcBorders>
              <w:tl2br w:val="nil"/>
              <w:tr2bl w:val="nil"/>
            </w:tcBorders>
            <w:noWrap w:val="0"/>
            <w:vAlign w:val="center"/>
          </w:tcPr>
          <w:p w14:paraId="5AB36D0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屠宰量</w:t>
            </w:r>
          </w:p>
        </w:tc>
        <w:tc>
          <w:tcPr>
            <w:tcW w:w="2901" w:type="dxa"/>
            <w:gridSpan w:val="2"/>
            <w:tcBorders>
              <w:tl2br w:val="nil"/>
              <w:tr2bl w:val="nil"/>
            </w:tcBorders>
            <w:noWrap w:val="0"/>
            <w:vAlign w:val="center"/>
          </w:tcPr>
          <w:p w14:paraId="1A8DC1B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产品名称</w:t>
            </w:r>
          </w:p>
        </w:tc>
        <w:tc>
          <w:tcPr>
            <w:tcW w:w="1528" w:type="dxa"/>
            <w:tcBorders>
              <w:tl2br w:val="nil"/>
              <w:tr2bl w:val="nil"/>
            </w:tcBorders>
            <w:noWrap w:val="0"/>
            <w:vAlign w:val="center"/>
          </w:tcPr>
          <w:p w14:paraId="7F39C41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占比</w:t>
            </w:r>
            <w:r>
              <w:rPr>
                <w:rFonts w:hint="eastAsia" w:eastAsia="宋体" w:cs="Times New Roman"/>
                <w:b/>
                <w:bCs/>
                <w:color w:val="auto"/>
                <w:sz w:val="21"/>
                <w:szCs w:val="21"/>
                <w:lang w:val="en-US" w:eastAsia="zh-CN"/>
              </w:rPr>
              <w:t>（%）</w:t>
            </w:r>
          </w:p>
        </w:tc>
        <w:tc>
          <w:tcPr>
            <w:tcW w:w="1206" w:type="dxa"/>
            <w:tcBorders>
              <w:tl2br w:val="nil"/>
              <w:tr2bl w:val="nil"/>
            </w:tcBorders>
            <w:noWrap w:val="0"/>
            <w:vAlign w:val="center"/>
          </w:tcPr>
          <w:p w14:paraId="2E20D6D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产量</w:t>
            </w:r>
            <w:r>
              <w:rPr>
                <w:rFonts w:hint="eastAsia" w:eastAsia="宋体" w:cs="Times New Roman"/>
                <w:b/>
                <w:bCs/>
                <w:color w:val="auto"/>
                <w:sz w:val="21"/>
                <w:szCs w:val="21"/>
                <w:lang w:eastAsia="zh-CN"/>
              </w:rPr>
              <w:t>（</w:t>
            </w:r>
            <w:r>
              <w:rPr>
                <w:rFonts w:hint="eastAsia" w:eastAsia="宋体" w:cs="Times New Roman"/>
                <w:b/>
                <w:bCs/>
                <w:color w:val="auto"/>
                <w:sz w:val="21"/>
                <w:szCs w:val="21"/>
                <w:lang w:val="en-US" w:eastAsia="zh-CN"/>
              </w:rPr>
              <w:t>t/a</w:t>
            </w:r>
            <w:r>
              <w:rPr>
                <w:rFonts w:hint="eastAsia" w:eastAsia="宋体" w:cs="Times New Roman"/>
                <w:b/>
                <w:bCs/>
                <w:color w:val="auto"/>
                <w:sz w:val="21"/>
                <w:szCs w:val="21"/>
                <w:lang w:eastAsia="zh-CN"/>
              </w:rPr>
              <w:t>）</w:t>
            </w:r>
          </w:p>
        </w:tc>
        <w:tc>
          <w:tcPr>
            <w:tcW w:w="1037" w:type="dxa"/>
            <w:tcBorders>
              <w:tl2br w:val="nil"/>
              <w:tr2bl w:val="nil"/>
            </w:tcBorders>
            <w:noWrap w:val="0"/>
            <w:vAlign w:val="center"/>
          </w:tcPr>
          <w:p w14:paraId="5E24246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去向</w:t>
            </w:r>
          </w:p>
        </w:tc>
      </w:tr>
      <w:tr w14:paraId="5AB9E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restart"/>
            <w:tcBorders>
              <w:tl2br w:val="nil"/>
              <w:tr2bl w:val="nil"/>
            </w:tcBorders>
            <w:noWrap w:val="0"/>
            <w:vAlign w:val="center"/>
          </w:tcPr>
          <w:p w14:paraId="7B46F73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牛</w:t>
            </w:r>
          </w:p>
        </w:tc>
        <w:tc>
          <w:tcPr>
            <w:tcW w:w="1118" w:type="dxa"/>
            <w:vMerge w:val="restart"/>
            <w:tcBorders>
              <w:tl2br w:val="nil"/>
              <w:tr2bl w:val="nil"/>
            </w:tcBorders>
            <w:noWrap w:val="0"/>
            <w:vAlign w:val="center"/>
          </w:tcPr>
          <w:p w14:paraId="52AE044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10000</w:t>
            </w:r>
            <w:r>
              <w:rPr>
                <w:rFonts w:hint="eastAsia" w:ascii="Times New Roman" w:hAnsi="Times New Roman" w:eastAsia="宋体" w:cs="Times New Roman"/>
                <w:color w:val="auto"/>
                <w:sz w:val="21"/>
                <w:szCs w:val="21"/>
                <w:lang w:val="en-US" w:eastAsia="zh-CN"/>
              </w:rPr>
              <w:t>头（每头牛按500kg计）</w:t>
            </w:r>
          </w:p>
        </w:tc>
        <w:tc>
          <w:tcPr>
            <w:tcW w:w="1435" w:type="dxa"/>
            <w:tcBorders>
              <w:tl2br w:val="nil"/>
              <w:tr2bl w:val="nil"/>
            </w:tcBorders>
            <w:noWrap w:val="0"/>
            <w:vAlign w:val="center"/>
          </w:tcPr>
          <w:p w14:paraId="7A3ADFF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主产品</w:t>
            </w:r>
          </w:p>
        </w:tc>
        <w:tc>
          <w:tcPr>
            <w:tcW w:w="1466" w:type="dxa"/>
            <w:tcBorders>
              <w:tl2br w:val="nil"/>
              <w:tr2bl w:val="nil"/>
            </w:tcBorders>
            <w:noWrap w:val="0"/>
            <w:vAlign w:val="center"/>
          </w:tcPr>
          <w:p w14:paraId="3287F75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分割牛肉</w:t>
            </w:r>
          </w:p>
        </w:tc>
        <w:tc>
          <w:tcPr>
            <w:tcW w:w="1528" w:type="dxa"/>
            <w:tcBorders>
              <w:tl2br w:val="nil"/>
              <w:tr2bl w:val="nil"/>
            </w:tcBorders>
            <w:noWrap w:val="0"/>
            <w:vAlign w:val="center"/>
          </w:tcPr>
          <w:p w14:paraId="0207BB9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50.0</w:t>
            </w:r>
          </w:p>
        </w:tc>
        <w:tc>
          <w:tcPr>
            <w:tcW w:w="1206" w:type="dxa"/>
            <w:tcBorders>
              <w:tl2br w:val="nil"/>
              <w:tr2bl w:val="nil"/>
            </w:tcBorders>
            <w:noWrap w:val="0"/>
            <w:vAlign w:val="center"/>
          </w:tcPr>
          <w:p w14:paraId="54F1178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2500</w:t>
            </w:r>
          </w:p>
        </w:tc>
        <w:tc>
          <w:tcPr>
            <w:tcW w:w="1037" w:type="dxa"/>
            <w:tcBorders>
              <w:tl2br w:val="nil"/>
              <w:tr2bl w:val="nil"/>
            </w:tcBorders>
            <w:noWrap w:val="0"/>
            <w:vAlign w:val="center"/>
          </w:tcPr>
          <w:p w14:paraId="7F75937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外售</w:t>
            </w:r>
          </w:p>
        </w:tc>
      </w:tr>
      <w:tr w14:paraId="08C01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79E4332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118" w:type="dxa"/>
            <w:vMerge w:val="continue"/>
            <w:tcBorders>
              <w:tl2br w:val="nil"/>
              <w:tr2bl w:val="nil"/>
            </w:tcBorders>
            <w:noWrap w:val="0"/>
            <w:vAlign w:val="center"/>
          </w:tcPr>
          <w:p w14:paraId="3C2D9BC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35" w:type="dxa"/>
            <w:vMerge w:val="restart"/>
            <w:tcBorders>
              <w:tl2br w:val="nil"/>
              <w:tr2bl w:val="nil"/>
            </w:tcBorders>
            <w:noWrap w:val="0"/>
            <w:vAlign w:val="center"/>
          </w:tcPr>
          <w:p w14:paraId="2FB2116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副产品</w:t>
            </w:r>
          </w:p>
        </w:tc>
        <w:tc>
          <w:tcPr>
            <w:tcW w:w="1466" w:type="dxa"/>
            <w:tcBorders>
              <w:tl2br w:val="nil"/>
              <w:tr2bl w:val="nil"/>
            </w:tcBorders>
            <w:noWrap w:val="0"/>
            <w:vAlign w:val="center"/>
          </w:tcPr>
          <w:p w14:paraId="2C00062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头</w:t>
            </w:r>
            <w:r>
              <w:rPr>
                <w:rFonts w:hint="eastAsia"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尾</w:t>
            </w:r>
            <w:r>
              <w:rPr>
                <w:rFonts w:hint="eastAsia"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蹄</w:t>
            </w:r>
          </w:p>
        </w:tc>
        <w:tc>
          <w:tcPr>
            <w:tcW w:w="1528" w:type="dxa"/>
            <w:tcBorders>
              <w:tl2br w:val="nil"/>
              <w:tr2bl w:val="nil"/>
            </w:tcBorders>
            <w:noWrap w:val="0"/>
            <w:vAlign w:val="center"/>
          </w:tcPr>
          <w:p w14:paraId="1BDCC6C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10.0</w:t>
            </w:r>
          </w:p>
        </w:tc>
        <w:tc>
          <w:tcPr>
            <w:tcW w:w="1206" w:type="dxa"/>
            <w:tcBorders>
              <w:tl2br w:val="nil"/>
              <w:tr2bl w:val="nil"/>
            </w:tcBorders>
            <w:noWrap w:val="0"/>
            <w:vAlign w:val="center"/>
          </w:tcPr>
          <w:p w14:paraId="4D6EE21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500</w:t>
            </w:r>
          </w:p>
        </w:tc>
        <w:tc>
          <w:tcPr>
            <w:tcW w:w="1037" w:type="dxa"/>
            <w:tcBorders>
              <w:tl2br w:val="nil"/>
              <w:tr2bl w:val="nil"/>
            </w:tcBorders>
            <w:noWrap w:val="0"/>
            <w:vAlign w:val="center"/>
          </w:tcPr>
          <w:p w14:paraId="149DFD9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外售</w:t>
            </w:r>
          </w:p>
        </w:tc>
      </w:tr>
      <w:tr w14:paraId="08D73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6B5B263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118" w:type="dxa"/>
            <w:vMerge w:val="continue"/>
            <w:tcBorders>
              <w:tl2br w:val="nil"/>
              <w:tr2bl w:val="nil"/>
            </w:tcBorders>
            <w:noWrap w:val="0"/>
            <w:vAlign w:val="center"/>
          </w:tcPr>
          <w:p w14:paraId="1AE3193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35" w:type="dxa"/>
            <w:vMerge w:val="continue"/>
            <w:tcBorders>
              <w:tl2br w:val="nil"/>
              <w:tr2bl w:val="nil"/>
            </w:tcBorders>
            <w:noWrap w:val="0"/>
            <w:vAlign w:val="center"/>
          </w:tcPr>
          <w:p w14:paraId="0138092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66" w:type="dxa"/>
            <w:tcBorders>
              <w:tl2br w:val="nil"/>
              <w:tr2bl w:val="nil"/>
            </w:tcBorders>
            <w:noWrap w:val="0"/>
            <w:vAlign w:val="center"/>
          </w:tcPr>
          <w:p w14:paraId="51D99D7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牛骨</w:t>
            </w:r>
          </w:p>
        </w:tc>
        <w:tc>
          <w:tcPr>
            <w:tcW w:w="1528" w:type="dxa"/>
            <w:tcBorders>
              <w:tl2br w:val="nil"/>
              <w:tr2bl w:val="nil"/>
            </w:tcBorders>
            <w:noWrap w:val="0"/>
            <w:vAlign w:val="center"/>
          </w:tcPr>
          <w:p w14:paraId="683D8FC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10.0</w:t>
            </w:r>
          </w:p>
        </w:tc>
        <w:tc>
          <w:tcPr>
            <w:tcW w:w="1206" w:type="dxa"/>
            <w:tcBorders>
              <w:tl2br w:val="nil"/>
              <w:tr2bl w:val="nil"/>
            </w:tcBorders>
            <w:noWrap w:val="0"/>
            <w:vAlign w:val="center"/>
          </w:tcPr>
          <w:p w14:paraId="6DE4C57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500</w:t>
            </w:r>
          </w:p>
        </w:tc>
        <w:tc>
          <w:tcPr>
            <w:tcW w:w="1037" w:type="dxa"/>
            <w:tcBorders>
              <w:tl2br w:val="nil"/>
              <w:tr2bl w:val="nil"/>
            </w:tcBorders>
            <w:noWrap w:val="0"/>
            <w:vAlign w:val="center"/>
          </w:tcPr>
          <w:p w14:paraId="453B0B5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外售</w:t>
            </w:r>
          </w:p>
        </w:tc>
      </w:tr>
      <w:tr w14:paraId="1EE9C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7DC2071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18" w:type="dxa"/>
            <w:vMerge w:val="continue"/>
            <w:tcBorders>
              <w:tl2br w:val="nil"/>
              <w:tr2bl w:val="nil"/>
            </w:tcBorders>
            <w:noWrap w:val="0"/>
            <w:vAlign w:val="center"/>
          </w:tcPr>
          <w:p w14:paraId="665F396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435" w:type="dxa"/>
            <w:vMerge w:val="continue"/>
            <w:tcBorders>
              <w:tl2br w:val="nil"/>
              <w:tr2bl w:val="nil"/>
            </w:tcBorders>
            <w:noWrap w:val="0"/>
            <w:vAlign w:val="center"/>
          </w:tcPr>
          <w:p w14:paraId="610F3EC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466" w:type="dxa"/>
            <w:tcBorders>
              <w:tl2br w:val="nil"/>
              <w:tr2bl w:val="nil"/>
            </w:tcBorders>
            <w:noWrap w:val="0"/>
            <w:vAlign w:val="center"/>
          </w:tcPr>
          <w:p w14:paraId="7DD212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牛内脏</w:t>
            </w:r>
          </w:p>
        </w:tc>
        <w:tc>
          <w:tcPr>
            <w:tcW w:w="1528" w:type="dxa"/>
            <w:tcBorders>
              <w:tl2br w:val="nil"/>
              <w:tr2bl w:val="nil"/>
            </w:tcBorders>
            <w:noWrap w:val="0"/>
            <w:vAlign w:val="center"/>
          </w:tcPr>
          <w:p w14:paraId="4B06BA1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9.0</w:t>
            </w:r>
          </w:p>
        </w:tc>
        <w:tc>
          <w:tcPr>
            <w:tcW w:w="1206" w:type="dxa"/>
            <w:tcBorders>
              <w:tl2br w:val="nil"/>
              <w:tr2bl w:val="nil"/>
            </w:tcBorders>
            <w:noWrap w:val="0"/>
            <w:vAlign w:val="center"/>
          </w:tcPr>
          <w:p w14:paraId="703DBBF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450</w:t>
            </w:r>
          </w:p>
        </w:tc>
        <w:tc>
          <w:tcPr>
            <w:tcW w:w="1037" w:type="dxa"/>
            <w:tcBorders>
              <w:tl2br w:val="nil"/>
              <w:tr2bl w:val="nil"/>
            </w:tcBorders>
            <w:noWrap w:val="0"/>
            <w:vAlign w:val="center"/>
          </w:tcPr>
          <w:p w14:paraId="05CAA2A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外售</w:t>
            </w:r>
          </w:p>
        </w:tc>
      </w:tr>
      <w:tr w14:paraId="7FD7F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6D973B9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118" w:type="dxa"/>
            <w:vMerge w:val="continue"/>
            <w:tcBorders>
              <w:tl2br w:val="nil"/>
              <w:tr2bl w:val="nil"/>
            </w:tcBorders>
            <w:noWrap w:val="0"/>
            <w:vAlign w:val="center"/>
          </w:tcPr>
          <w:p w14:paraId="542CAB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435" w:type="dxa"/>
            <w:vMerge w:val="continue"/>
            <w:tcBorders>
              <w:tl2br w:val="nil"/>
              <w:tr2bl w:val="nil"/>
            </w:tcBorders>
            <w:noWrap w:val="0"/>
            <w:vAlign w:val="center"/>
          </w:tcPr>
          <w:p w14:paraId="51F870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466" w:type="dxa"/>
            <w:tcBorders>
              <w:tl2br w:val="nil"/>
              <w:tr2bl w:val="nil"/>
            </w:tcBorders>
            <w:noWrap w:val="0"/>
            <w:vAlign w:val="center"/>
          </w:tcPr>
          <w:p w14:paraId="6BCBDAE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牛皮</w:t>
            </w:r>
          </w:p>
        </w:tc>
        <w:tc>
          <w:tcPr>
            <w:tcW w:w="1528" w:type="dxa"/>
            <w:tcBorders>
              <w:tl2br w:val="nil"/>
              <w:tr2bl w:val="nil"/>
            </w:tcBorders>
            <w:noWrap w:val="0"/>
            <w:vAlign w:val="center"/>
          </w:tcPr>
          <w:p w14:paraId="5A5C186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6</w:t>
            </w:r>
            <w:r>
              <w:rPr>
                <w:rFonts w:hint="eastAsia" w:ascii="Times New Roman" w:hAnsi="Times New Roman" w:eastAsia="宋体" w:cs="Times New Roman"/>
                <w:color w:val="auto"/>
                <w:kern w:val="2"/>
                <w:sz w:val="21"/>
                <w:szCs w:val="21"/>
                <w:lang w:val="en-US" w:eastAsia="zh-CN" w:bidi="ar-SA"/>
              </w:rPr>
              <w:t>.0</w:t>
            </w:r>
            <w:r>
              <w:rPr>
                <w:rFonts w:hint="eastAsia" w:eastAsia="宋体" w:cs="Times New Roman"/>
                <w:color w:val="auto"/>
                <w:kern w:val="2"/>
                <w:sz w:val="21"/>
                <w:szCs w:val="21"/>
                <w:lang w:val="en-US" w:eastAsia="zh-CN" w:bidi="ar-SA"/>
              </w:rPr>
              <w:t>0</w:t>
            </w:r>
          </w:p>
        </w:tc>
        <w:tc>
          <w:tcPr>
            <w:tcW w:w="1206" w:type="dxa"/>
            <w:tcBorders>
              <w:tl2br w:val="nil"/>
              <w:tr2bl w:val="nil"/>
            </w:tcBorders>
            <w:noWrap w:val="0"/>
            <w:vAlign w:val="center"/>
          </w:tcPr>
          <w:p w14:paraId="477FBFB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300</w:t>
            </w:r>
          </w:p>
        </w:tc>
        <w:tc>
          <w:tcPr>
            <w:tcW w:w="1037" w:type="dxa"/>
            <w:tcBorders>
              <w:tl2br w:val="nil"/>
              <w:tr2bl w:val="nil"/>
            </w:tcBorders>
            <w:noWrap w:val="0"/>
            <w:vAlign w:val="center"/>
          </w:tcPr>
          <w:p w14:paraId="63A0267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外售</w:t>
            </w:r>
          </w:p>
        </w:tc>
      </w:tr>
      <w:tr w14:paraId="4E614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47567FE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18" w:type="dxa"/>
            <w:vMerge w:val="continue"/>
            <w:tcBorders>
              <w:tl2br w:val="nil"/>
              <w:tr2bl w:val="nil"/>
            </w:tcBorders>
            <w:noWrap w:val="0"/>
            <w:vAlign w:val="center"/>
          </w:tcPr>
          <w:p w14:paraId="7A9D76E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435" w:type="dxa"/>
            <w:vMerge w:val="continue"/>
            <w:tcBorders>
              <w:tl2br w:val="nil"/>
              <w:tr2bl w:val="nil"/>
            </w:tcBorders>
            <w:noWrap w:val="0"/>
            <w:vAlign w:val="center"/>
          </w:tcPr>
          <w:p w14:paraId="2926765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c>
          <w:tcPr>
            <w:tcW w:w="1466" w:type="dxa"/>
            <w:tcBorders>
              <w:tl2br w:val="nil"/>
              <w:tr2bl w:val="nil"/>
            </w:tcBorders>
            <w:noWrap w:val="0"/>
            <w:vAlign w:val="center"/>
          </w:tcPr>
          <w:p w14:paraId="21690C8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牛血</w:t>
            </w:r>
          </w:p>
        </w:tc>
        <w:tc>
          <w:tcPr>
            <w:tcW w:w="1528" w:type="dxa"/>
            <w:tcBorders>
              <w:tl2br w:val="nil"/>
              <w:tr2bl w:val="nil"/>
            </w:tcBorders>
            <w:noWrap w:val="0"/>
            <w:vAlign w:val="center"/>
          </w:tcPr>
          <w:p w14:paraId="1F4A3C2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3.00</w:t>
            </w:r>
          </w:p>
        </w:tc>
        <w:tc>
          <w:tcPr>
            <w:tcW w:w="1206" w:type="dxa"/>
            <w:tcBorders>
              <w:tl2br w:val="nil"/>
              <w:tr2bl w:val="nil"/>
            </w:tcBorders>
            <w:noWrap w:val="0"/>
            <w:vAlign w:val="center"/>
          </w:tcPr>
          <w:p w14:paraId="02F854D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150</w:t>
            </w:r>
          </w:p>
        </w:tc>
        <w:tc>
          <w:tcPr>
            <w:tcW w:w="1037" w:type="dxa"/>
            <w:tcBorders>
              <w:tl2br w:val="nil"/>
              <w:tr2bl w:val="nil"/>
            </w:tcBorders>
            <w:noWrap w:val="0"/>
            <w:vAlign w:val="center"/>
          </w:tcPr>
          <w:p w14:paraId="116CAD3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外售</w:t>
            </w:r>
          </w:p>
        </w:tc>
      </w:tr>
      <w:tr w14:paraId="40EF4F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restart"/>
            <w:tcBorders>
              <w:tl2br w:val="nil"/>
              <w:tr2bl w:val="nil"/>
            </w:tcBorders>
            <w:noWrap w:val="0"/>
            <w:vAlign w:val="center"/>
          </w:tcPr>
          <w:p w14:paraId="45DC83A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羊</w:t>
            </w:r>
          </w:p>
        </w:tc>
        <w:tc>
          <w:tcPr>
            <w:tcW w:w="1118" w:type="dxa"/>
            <w:vMerge w:val="restart"/>
            <w:tcBorders>
              <w:tl2br w:val="nil"/>
              <w:tr2bl w:val="nil"/>
            </w:tcBorders>
            <w:noWrap w:val="0"/>
            <w:vAlign w:val="center"/>
          </w:tcPr>
          <w:p w14:paraId="5EE3117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15</w:t>
            </w:r>
            <w:r>
              <w:rPr>
                <w:rFonts w:hint="eastAsia" w:ascii="Times New Roman" w:hAnsi="Times New Roman" w:eastAsia="宋体" w:cs="Times New Roman"/>
                <w:color w:val="auto"/>
                <w:kern w:val="2"/>
                <w:sz w:val="21"/>
                <w:szCs w:val="21"/>
                <w:lang w:val="en-US" w:eastAsia="zh-CN" w:bidi="ar-SA"/>
              </w:rPr>
              <w:t>0000只（每只羊按</w:t>
            </w:r>
            <w:r>
              <w:rPr>
                <w:rFonts w:hint="eastAsia"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0kg计）</w:t>
            </w:r>
          </w:p>
        </w:tc>
        <w:tc>
          <w:tcPr>
            <w:tcW w:w="1435" w:type="dxa"/>
            <w:tcBorders>
              <w:tl2br w:val="nil"/>
              <w:tr2bl w:val="nil"/>
            </w:tcBorders>
            <w:shd w:val="clear" w:color="auto" w:fill="auto"/>
            <w:noWrap w:val="0"/>
            <w:vAlign w:val="center"/>
          </w:tcPr>
          <w:p w14:paraId="18D7E75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主产品</w:t>
            </w:r>
          </w:p>
        </w:tc>
        <w:tc>
          <w:tcPr>
            <w:tcW w:w="1466" w:type="dxa"/>
            <w:tcBorders>
              <w:tl2br w:val="nil"/>
              <w:tr2bl w:val="nil"/>
            </w:tcBorders>
            <w:noWrap w:val="0"/>
            <w:vAlign w:val="center"/>
          </w:tcPr>
          <w:p w14:paraId="1FA2806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分割羊肉</w:t>
            </w:r>
          </w:p>
        </w:tc>
        <w:tc>
          <w:tcPr>
            <w:tcW w:w="1528" w:type="dxa"/>
            <w:tcBorders>
              <w:tl2br w:val="nil"/>
              <w:tr2bl w:val="nil"/>
            </w:tcBorders>
            <w:shd w:val="clear" w:color="auto" w:fill="auto"/>
            <w:noWrap w:val="0"/>
            <w:vAlign w:val="center"/>
          </w:tcPr>
          <w:p w14:paraId="7E86976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50.0</w:t>
            </w:r>
          </w:p>
        </w:tc>
        <w:tc>
          <w:tcPr>
            <w:tcW w:w="1206" w:type="dxa"/>
            <w:tcBorders>
              <w:tl2br w:val="nil"/>
              <w:tr2bl w:val="nil"/>
            </w:tcBorders>
            <w:noWrap w:val="0"/>
            <w:vAlign w:val="center"/>
          </w:tcPr>
          <w:p w14:paraId="42E9A10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2250</w:t>
            </w:r>
          </w:p>
        </w:tc>
        <w:tc>
          <w:tcPr>
            <w:tcW w:w="1037" w:type="dxa"/>
            <w:tcBorders>
              <w:tl2br w:val="nil"/>
              <w:tr2bl w:val="nil"/>
            </w:tcBorders>
            <w:shd w:val="clear" w:color="auto" w:fill="auto"/>
            <w:noWrap w:val="0"/>
            <w:vAlign w:val="center"/>
          </w:tcPr>
          <w:p w14:paraId="197FA71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737F7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11C5A6D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18" w:type="dxa"/>
            <w:vMerge w:val="continue"/>
            <w:tcBorders>
              <w:tl2br w:val="nil"/>
              <w:tr2bl w:val="nil"/>
            </w:tcBorders>
            <w:noWrap w:val="0"/>
            <w:vAlign w:val="center"/>
          </w:tcPr>
          <w:p w14:paraId="0D81390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35" w:type="dxa"/>
            <w:vMerge w:val="restart"/>
            <w:tcBorders>
              <w:tl2br w:val="nil"/>
              <w:tr2bl w:val="nil"/>
            </w:tcBorders>
            <w:shd w:val="clear" w:color="auto" w:fill="auto"/>
            <w:noWrap w:val="0"/>
            <w:vAlign w:val="center"/>
          </w:tcPr>
          <w:p w14:paraId="53D70F6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副产品</w:t>
            </w:r>
          </w:p>
        </w:tc>
        <w:tc>
          <w:tcPr>
            <w:tcW w:w="1466" w:type="dxa"/>
            <w:tcBorders>
              <w:tl2br w:val="nil"/>
              <w:tr2bl w:val="nil"/>
            </w:tcBorders>
            <w:shd w:val="clear" w:color="auto" w:fill="auto"/>
            <w:noWrap w:val="0"/>
            <w:vAlign w:val="center"/>
          </w:tcPr>
          <w:p w14:paraId="46E5E3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头</w:t>
            </w:r>
            <w:r>
              <w:rPr>
                <w:rFonts w:hint="eastAsia"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尾</w:t>
            </w:r>
            <w:r>
              <w:rPr>
                <w:rFonts w:hint="eastAsia"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蹄</w:t>
            </w:r>
          </w:p>
        </w:tc>
        <w:tc>
          <w:tcPr>
            <w:tcW w:w="1528" w:type="dxa"/>
            <w:tcBorders>
              <w:tl2br w:val="nil"/>
              <w:tr2bl w:val="nil"/>
            </w:tcBorders>
            <w:shd w:val="clear" w:color="auto" w:fill="auto"/>
            <w:noWrap w:val="0"/>
            <w:vAlign w:val="center"/>
          </w:tcPr>
          <w:p w14:paraId="7754E2D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8.00</w:t>
            </w:r>
          </w:p>
        </w:tc>
        <w:tc>
          <w:tcPr>
            <w:tcW w:w="1206" w:type="dxa"/>
            <w:tcBorders>
              <w:tl2br w:val="nil"/>
              <w:tr2bl w:val="nil"/>
            </w:tcBorders>
            <w:noWrap w:val="0"/>
            <w:vAlign w:val="center"/>
          </w:tcPr>
          <w:p w14:paraId="1B0565A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360</w:t>
            </w:r>
          </w:p>
        </w:tc>
        <w:tc>
          <w:tcPr>
            <w:tcW w:w="1037" w:type="dxa"/>
            <w:tcBorders>
              <w:tl2br w:val="nil"/>
              <w:tr2bl w:val="nil"/>
            </w:tcBorders>
            <w:shd w:val="clear" w:color="auto" w:fill="auto"/>
            <w:noWrap w:val="0"/>
            <w:vAlign w:val="center"/>
          </w:tcPr>
          <w:p w14:paraId="3757C1C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39EBC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3B89DB2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18" w:type="dxa"/>
            <w:vMerge w:val="continue"/>
            <w:tcBorders>
              <w:tl2br w:val="nil"/>
              <w:tr2bl w:val="nil"/>
            </w:tcBorders>
            <w:noWrap w:val="0"/>
            <w:vAlign w:val="center"/>
          </w:tcPr>
          <w:p w14:paraId="7F28859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35" w:type="dxa"/>
            <w:vMerge w:val="continue"/>
            <w:tcBorders>
              <w:tl2br w:val="nil"/>
              <w:tr2bl w:val="nil"/>
            </w:tcBorders>
            <w:noWrap w:val="0"/>
            <w:vAlign w:val="center"/>
          </w:tcPr>
          <w:p w14:paraId="364FBA1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66" w:type="dxa"/>
            <w:tcBorders>
              <w:tl2br w:val="nil"/>
              <w:tr2bl w:val="nil"/>
            </w:tcBorders>
            <w:shd w:val="clear" w:color="auto" w:fill="auto"/>
            <w:noWrap w:val="0"/>
            <w:vAlign w:val="center"/>
          </w:tcPr>
          <w:p w14:paraId="112D911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羊皮</w:t>
            </w:r>
          </w:p>
        </w:tc>
        <w:tc>
          <w:tcPr>
            <w:tcW w:w="1528" w:type="dxa"/>
            <w:tcBorders>
              <w:tl2br w:val="nil"/>
              <w:tr2bl w:val="nil"/>
            </w:tcBorders>
            <w:shd w:val="clear" w:color="auto" w:fill="auto"/>
            <w:noWrap w:val="0"/>
            <w:vAlign w:val="center"/>
          </w:tcPr>
          <w:p w14:paraId="00D6752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10.0</w:t>
            </w:r>
          </w:p>
        </w:tc>
        <w:tc>
          <w:tcPr>
            <w:tcW w:w="1206" w:type="dxa"/>
            <w:tcBorders>
              <w:tl2br w:val="nil"/>
              <w:tr2bl w:val="nil"/>
            </w:tcBorders>
            <w:noWrap w:val="0"/>
            <w:vAlign w:val="center"/>
          </w:tcPr>
          <w:p w14:paraId="420958F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450</w:t>
            </w:r>
          </w:p>
        </w:tc>
        <w:tc>
          <w:tcPr>
            <w:tcW w:w="1037" w:type="dxa"/>
            <w:tcBorders>
              <w:tl2br w:val="nil"/>
              <w:tr2bl w:val="nil"/>
            </w:tcBorders>
            <w:shd w:val="clear" w:color="auto" w:fill="auto"/>
            <w:noWrap w:val="0"/>
            <w:vAlign w:val="center"/>
          </w:tcPr>
          <w:p w14:paraId="3F29576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06B0AA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29A9A02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18" w:type="dxa"/>
            <w:vMerge w:val="continue"/>
            <w:tcBorders>
              <w:tl2br w:val="nil"/>
              <w:tr2bl w:val="nil"/>
            </w:tcBorders>
            <w:noWrap w:val="0"/>
            <w:vAlign w:val="center"/>
          </w:tcPr>
          <w:p w14:paraId="75242D2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35" w:type="dxa"/>
            <w:vMerge w:val="continue"/>
            <w:tcBorders>
              <w:tl2br w:val="nil"/>
              <w:tr2bl w:val="nil"/>
            </w:tcBorders>
            <w:noWrap w:val="0"/>
            <w:vAlign w:val="center"/>
          </w:tcPr>
          <w:p w14:paraId="57AECE2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66" w:type="dxa"/>
            <w:tcBorders>
              <w:tl2br w:val="nil"/>
              <w:tr2bl w:val="nil"/>
            </w:tcBorders>
            <w:shd w:val="clear" w:color="auto" w:fill="auto"/>
            <w:noWrap w:val="0"/>
            <w:vAlign w:val="center"/>
          </w:tcPr>
          <w:p w14:paraId="31DB57B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羊内脏</w:t>
            </w:r>
          </w:p>
        </w:tc>
        <w:tc>
          <w:tcPr>
            <w:tcW w:w="1528" w:type="dxa"/>
            <w:tcBorders>
              <w:tl2br w:val="nil"/>
              <w:tr2bl w:val="nil"/>
            </w:tcBorders>
            <w:shd w:val="clear" w:color="auto" w:fill="auto"/>
            <w:noWrap w:val="0"/>
            <w:vAlign w:val="center"/>
          </w:tcPr>
          <w:p w14:paraId="68AFF20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8.00</w:t>
            </w:r>
          </w:p>
        </w:tc>
        <w:tc>
          <w:tcPr>
            <w:tcW w:w="1206" w:type="dxa"/>
            <w:tcBorders>
              <w:tl2br w:val="nil"/>
              <w:tr2bl w:val="nil"/>
            </w:tcBorders>
            <w:noWrap w:val="0"/>
            <w:vAlign w:val="center"/>
          </w:tcPr>
          <w:p w14:paraId="2863BAE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360</w:t>
            </w:r>
          </w:p>
        </w:tc>
        <w:tc>
          <w:tcPr>
            <w:tcW w:w="1037" w:type="dxa"/>
            <w:tcBorders>
              <w:tl2br w:val="nil"/>
              <w:tr2bl w:val="nil"/>
            </w:tcBorders>
            <w:shd w:val="clear" w:color="auto" w:fill="auto"/>
            <w:noWrap w:val="0"/>
            <w:vAlign w:val="center"/>
          </w:tcPr>
          <w:p w14:paraId="2996851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3F9F84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43D4271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18" w:type="dxa"/>
            <w:vMerge w:val="continue"/>
            <w:tcBorders>
              <w:tl2br w:val="nil"/>
              <w:tr2bl w:val="nil"/>
            </w:tcBorders>
            <w:noWrap w:val="0"/>
            <w:vAlign w:val="center"/>
          </w:tcPr>
          <w:p w14:paraId="045D0D1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35" w:type="dxa"/>
            <w:vMerge w:val="continue"/>
            <w:tcBorders>
              <w:tl2br w:val="nil"/>
              <w:tr2bl w:val="nil"/>
            </w:tcBorders>
            <w:noWrap w:val="0"/>
            <w:vAlign w:val="center"/>
          </w:tcPr>
          <w:p w14:paraId="60F6B07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66" w:type="dxa"/>
            <w:tcBorders>
              <w:tl2br w:val="nil"/>
              <w:tr2bl w:val="nil"/>
            </w:tcBorders>
            <w:shd w:val="clear" w:color="auto" w:fill="auto"/>
            <w:noWrap w:val="0"/>
            <w:vAlign w:val="center"/>
          </w:tcPr>
          <w:p w14:paraId="0778EC6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羊血</w:t>
            </w:r>
          </w:p>
        </w:tc>
        <w:tc>
          <w:tcPr>
            <w:tcW w:w="1528" w:type="dxa"/>
            <w:tcBorders>
              <w:tl2br w:val="nil"/>
              <w:tr2bl w:val="nil"/>
            </w:tcBorders>
            <w:shd w:val="clear" w:color="auto" w:fill="auto"/>
            <w:noWrap w:val="0"/>
            <w:vAlign w:val="center"/>
          </w:tcPr>
          <w:p w14:paraId="0D82C3A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2.00</w:t>
            </w:r>
          </w:p>
        </w:tc>
        <w:tc>
          <w:tcPr>
            <w:tcW w:w="1206" w:type="dxa"/>
            <w:tcBorders>
              <w:tl2br w:val="nil"/>
              <w:tr2bl w:val="nil"/>
            </w:tcBorders>
            <w:noWrap w:val="0"/>
            <w:vAlign w:val="center"/>
          </w:tcPr>
          <w:p w14:paraId="4938AE4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90</w:t>
            </w:r>
          </w:p>
        </w:tc>
        <w:tc>
          <w:tcPr>
            <w:tcW w:w="1037" w:type="dxa"/>
            <w:tcBorders>
              <w:tl2br w:val="nil"/>
              <w:tr2bl w:val="nil"/>
            </w:tcBorders>
            <w:shd w:val="clear" w:color="auto" w:fill="auto"/>
            <w:noWrap w:val="0"/>
            <w:vAlign w:val="center"/>
          </w:tcPr>
          <w:p w14:paraId="45EAB04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外售</w:t>
            </w:r>
          </w:p>
        </w:tc>
      </w:tr>
      <w:tr w14:paraId="0C9A6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967" w:type="dxa"/>
            <w:vMerge w:val="continue"/>
            <w:tcBorders>
              <w:tl2br w:val="nil"/>
              <w:tr2bl w:val="nil"/>
            </w:tcBorders>
            <w:noWrap w:val="0"/>
            <w:vAlign w:val="center"/>
          </w:tcPr>
          <w:p w14:paraId="0FF6D16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18" w:type="dxa"/>
            <w:vMerge w:val="continue"/>
            <w:tcBorders>
              <w:tl2br w:val="nil"/>
              <w:tr2bl w:val="nil"/>
            </w:tcBorders>
            <w:noWrap w:val="0"/>
            <w:vAlign w:val="center"/>
          </w:tcPr>
          <w:p w14:paraId="2593981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35" w:type="dxa"/>
            <w:vMerge w:val="continue"/>
            <w:tcBorders>
              <w:tl2br w:val="nil"/>
              <w:tr2bl w:val="nil"/>
            </w:tcBorders>
            <w:noWrap w:val="0"/>
            <w:vAlign w:val="center"/>
          </w:tcPr>
          <w:p w14:paraId="1D54D3F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p>
        </w:tc>
        <w:tc>
          <w:tcPr>
            <w:tcW w:w="1466" w:type="dxa"/>
            <w:tcBorders>
              <w:tl2br w:val="nil"/>
              <w:tr2bl w:val="nil"/>
            </w:tcBorders>
            <w:shd w:val="clear" w:color="auto" w:fill="auto"/>
            <w:noWrap w:val="0"/>
            <w:vAlign w:val="center"/>
          </w:tcPr>
          <w:p w14:paraId="12D3D8A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羊骨</w:t>
            </w:r>
          </w:p>
        </w:tc>
        <w:tc>
          <w:tcPr>
            <w:tcW w:w="1528" w:type="dxa"/>
            <w:tcBorders>
              <w:tl2br w:val="nil"/>
              <w:tr2bl w:val="nil"/>
            </w:tcBorders>
            <w:shd w:val="clear" w:color="auto" w:fill="auto"/>
            <w:noWrap w:val="0"/>
            <w:vAlign w:val="center"/>
          </w:tcPr>
          <w:p w14:paraId="3D247CC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12.0</w:t>
            </w:r>
          </w:p>
        </w:tc>
        <w:tc>
          <w:tcPr>
            <w:tcW w:w="1206" w:type="dxa"/>
            <w:tcBorders>
              <w:tl2br w:val="nil"/>
              <w:tr2bl w:val="nil"/>
            </w:tcBorders>
            <w:noWrap w:val="0"/>
            <w:vAlign w:val="center"/>
          </w:tcPr>
          <w:p w14:paraId="2A10C7D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540</w:t>
            </w:r>
          </w:p>
        </w:tc>
        <w:tc>
          <w:tcPr>
            <w:tcW w:w="1037" w:type="dxa"/>
            <w:tcBorders>
              <w:tl2br w:val="nil"/>
              <w:tr2bl w:val="nil"/>
            </w:tcBorders>
            <w:shd w:val="clear" w:color="auto" w:fill="auto"/>
            <w:noWrap w:val="0"/>
            <w:vAlign w:val="center"/>
          </w:tcPr>
          <w:p w14:paraId="0A295DF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外售</w:t>
            </w:r>
          </w:p>
        </w:tc>
      </w:tr>
    </w:tbl>
    <w:p w14:paraId="1023A000">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ascii="Times New Roman" w:hAnsi="Times New Roman"/>
          <w:color w:val="auto"/>
        </w:rPr>
        <w:t>项目产品</w:t>
      </w:r>
      <w:r>
        <w:rPr>
          <w:rFonts w:hint="eastAsia"/>
          <w:color w:val="auto"/>
          <w:lang w:val="en-US" w:eastAsia="zh-CN"/>
        </w:rPr>
        <w:t>分割</w:t>
      </w:r>
      <w:r>
        <w:rPr>
          <w:rFonts w:hint="eastAsia" w:ascii="Times New Roman" w:hAnsi="Times New Roman"/>
          <w:color w:val="auto"/>
        </w:rPr>
        <w:t>牛肉执行国家标准《鲜、冻分割牛肉》</w:t>
      </w:r>
      <w:r>
        <w:rPr>
          <w:rFonts w:hint="eastAsia"/>
          <w:color w:val="auto"/>
          <w:lang w:eastAsia="zh-CN"/>
        </w:rPr>
        <w:t>（</w:t>
      </w:r>
      <w:r>
        <w:rPr>
          <w:rFonts w:hint="eastAsia" w:ascii="Times New Roman" w:hAnsi="Times New Roman"/>
          <w:color w:val="auto"/>
        </w:rPr>
        <w:t>GB/T17238</w:t>
      </w:r>
      <w:r>
        <w:rPr>
          <w:rFonts w:hint="eastAsia"/>
          <w:color w:val="auto"/>
          <w:lang w:val="en-US" w:eastAsia="zh-CN"/>
        </w:rPr>
        <w:t>-</w:t>
      </w:r>
      <w:r>
        <w:rPr>
          <w:rFonts w:hint="eastAsia" w:ascii="Times New Roman" w:hAnsi="Times New Roman"/>
          <w:color w:val="auto"/>
        </w:rPr>
        <w:t>2</w:t>
      </w:r>
      <w:r>
        <w:rPr>
          <w:rFonts w:hint="eastAsia"/>
          <w:color w:val="auto"/>
          <w:lang w:val="en-US" w:eastAsia="zh-CN"/>
        </w:rPr>
        <w:t>022</w:t>
      </w:r>
      <w:r>
        <w:rPr>
          <w:rFonts w:hint="eastAsia"/>
          <w:color w:val="auto"/>
          <w:lang w:eastAsia="zh-CN"/>
        </w:rPr>
        <w:t>）</w:t>
      </w:r>
      <w:r>
        <w:rPr>
          <w:rFonts w:hint="eastAsia" w:ascii="Times New Roman" w:hAnsi="Times New Roman"/>
          <w:color w:val="auto"/>
        </w:rPr>
        <w:t>，</w:t>
      </w:r>
      <w:r>
        <w:rPr>
          <w:rFonts w:hint="eastAsia"/>
          <w:color w:val="auto"/>
          <w:lang w:val="en-US" w:eastAsia="zh-CN"/>
        </w:rPr>
        <w:t>分割羊肉执行</w:t>
      </w:r>
      <w:r>
        <w:rPr>
          <w:rFonts w:hint="eastAsia"/>
          <w:color w:val="auto"/>
          <w:lang w:eastAsia="zh-CN"/>
        </w:rPr>
        <w:t>《鲜、冻羊肉》（GB/T9961</w:t>
      </w:r>
      <w:r>
        <w:rPr>
          <w:rFonts w:hint="eastAsia"/>
          <w:color w:val="auto"/>
          <w:lang w:val="en-US" w:eastAsia="zh-CN"/>
        </w:rPr>
        <w:t>-2026</w:t>
      </w:r>
      <w:r>
        <w:rPr>
          <w:rFonts w:hint="eastAsia"/>
          <w:color w:val="auto"/>
          <w:lang w:eastAsia="zh-CN"/>
        </w:rPr>
        <w:t>）</w:t>
      </w:r>
      <w:r>
        <w:rPr>
          <w:rFonts w:hint="eastAsia"/>
          <w:color w:val="auto"/>
          <w:lang w:val="en-US" w:eastAsia="zh-CN"/>
        </w:rPr>
        <w:t>，</w:t>
      </w:r>
      <w:r>
        <w:rPr>
          <w:rFonts w:hint="eastAsia" w:ascii="Times New Roman" w:hAnsi="Times New Roman"/>
          <w:color w:val="auto"/>
        </w:rPr>
        <w:t>具体指标见表2.1-</w:t>
      </w:r>
      <w:r>
        <w:rPr>
          <w:rFonts w:hint="eastAsia"/>
          <w:color w:val="auto"/>
          <w:lang w:val="en-US" w:eastAsia="zh-CN"/>
        </w:rPr>
        <w:t>3、2.1-4</w:t>
      </w:r>
      <w:r>
        <w:rPr>
          <w:rFonts w:hint="eastAsia" w:ascii="Times New Roman" w:hAnsi="Times New Roman"/>
          <w:color w:val="auto"/>
        </w:rPr>
        <w:t>。</w:t>
      </w:r>
    </w:p>
    <w:p w14:paraId="2D70DA51">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b/>
          <w:color w:val="auto"/>
          <w:sz w:val="24"/>
          <w:highlight w:val="none"/>
        </w:rPr>
      </w:pPr>
      <w:r>
        <w:rPr>
          <w:rFonts w:hint="eastAsia" w:ascii="宋体" w:hAnsi="宋体" w:eastAsia="宋体" w:cs="宋体"/>
          <w:b w:val="0"/>
          <w:bCs/>
          <w:color w:val="auto"/>
          <w:sz w:val="21"/>
          <w:szCs w:val="21"/>
        </w:rPr>
        <w:t>表</w:t>
      </w:r>
      <w:r>
        <w:rPr>
          <w:rFonts w:hint="default" w:ascii="Times New Roman" w:hAnsi="Times New Roman" w:cs="Times New Roman"/>
          <w:b w:val="0"/>
          <w:bCs/>
          <w:color w:val="auto"/>
          <w:sz w:val="21"/>
          <w:szCs w:val="21"/>
        </w:rPr>
        <w:t>2.</w:t>
      </w:r>
      <w:r>
        <w:rPr>
          <w:rFonts w:hint="default" w:ascii="Times New Roman" w:hAnsi="Times New Roman" w:cs="Times New Roman"/>
          <w:b w:val="0"/>
          <w:bCs/>
          <w:color w:val="auto"/>
          <w:sz w:val="21"/>
          <w:szCs w:val="21"/>
          <w:lang w:val="en-US" w:eastAsia="zh-CN"/>
        </w:rPr>
        <w:t>1</w:t>
      </w:r>
      <w:r>
        <w:rPr>
          <w:rFonts w:hint="default" w:ascii="Times New Roman" w:hAnsi="Times New Roman" w:cs="Times New Roman"/>
          <w:b w:val="0"/>
          <w:bCs/>
          <w:color w:val="auto"/>
          <w:sz w:val="21"/>
          <w:szCs w:val="21"/>
        </w:rPr>
        <w:t>-</w:t>
      </w:r>
      <w:r>
        <w:rPr>
          <w:rFonts w:hint="eastAsia" w:cs="Times New Roman"/>
          <w:b w:val="0"/>
          <w:bCs/>
          <w:color w:val="auto"/>
          <w:sz w:val="21"/>
          <w:szCs w:val="21"/>
          <w:lang w:val="en-US" w:eastAsia="zh-CN"/>
        </w:rPr>
        <w:t>3</w:t>
      </w:r>
      <w:r>
        <w:rPr>
          <w:rFonts w:hint="eastAsia" w:ascii="Times New Roman" w:hAnsi="Times New Roman" w:cs="Times New Roman"/>
          <w:b w:val="0"/>
          <w:bCs/>
          <w:color w:val="auto"/>
          <w:sz w:val="21"/>
          <w:szCs w:val="21"/>
          <w:lang w:val="en-US" w:eastAsia="zh-CN"/>
        </w:rPr>
        <w:t xml:space="preserve">                     </w:t>
      </w:r>
      <w:r>
        <w:rPr>
          <w:rFonts w:hint="eastAsia" w:ascii="宋体" w:hAnsi="宋体" w:eastAsia="宋体" w:cs="宋体"/>
          <w:b/>
          <w:bCs w:val="0"/>
          <w:color w:val="auto"/>
          <w:sz w:val="24"/>
          <w:szCs w:val="24"/>
          <w:lang w:val="en-US" w:eastAsia="zh-CN"/>
        </w:rPr>
        <w:t>分割牛肉</w:t>
      </w:r>
      <w:r>
        <w:rPr>
          <w:rFonts w:hint="eastAsia" w:ascii="宋体" w:hAnsi="宋体" w:eastAsia="宋体" w:cs="宋体"/>
          <w:b/>
          <w:bCs w:val="0"/>
          <w:color w:val="auto"/>
          <w:sz w:val="24"/>
          <w:szCs w:val="24"/>
        </w:rPr>
        <w:t>产品质量标准</w:t>
      </w:r>
    </w:p>
    <w:tbl>
      <w:tblPr>
        <w:tblStyle w:val="27"/>
        <w:tblW w:w="492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144"/>
        <w:gridCol w:w="3120"/>
        <w:gridCol w:w="3897"/>
      </w:tblGrid>
      <w:tr w14:paraId="1240A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01" w:type="dxa"/>
            <w:gridSpan w:val="2"/>
            <w:tcBorders>
              <w:tl2br w:val="nil"/>
              <w:tr2bl w:val="nil"/>
            </w:tcBorders>
            <w:noWrap w:val="0"/>
            <w:vAlign w:val="center"/>
          </w:tcPr>
          <w:p w14:paraId="15C490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3120" w:type="dxa"/>
            <w:tcBorders>
              <w:tl2br w:val="nil"/>
              <w:tr2bl w:val="nil"/>
            </w:tcBorders>
            <w:noWrap w:val="0"/>
            <w:vAlign w:val="center"/>
          </w:tcPr>
          <w:p w14:paraId="21C603F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鲜牛肉</w:t>
            </w:r>
          </w:p>
        </w:tc>
        <w:tc>
          <w:tcPr>
            <w:tcW w:w="3897" w:type="dxa"/>
            <w:tcBorders>
              <w:tl2br w:val="nil"/>
              <w:tr2bl w:val="nil"/>
            </w:tcBorders>
            <w:noWrap w:val="0"/>
            <w:vAlign w:val="center"/>
          </w:tcPr>
          <w:p w14:paraId="6EEB6D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冻牛肉（解冻后</w:t>
            </w:r>
            <w:r>
              <w:rPr>
                <w:rFonts w:hint="eastAsia" w:eastAsia="宋体" w:cs="Times New Roman"/>
                <w:b/>
                <w:bCs/>
                <w:color w:val="auto"/>
                <w:sz w:val="21"/>
                <w:szCs w:val="21"/>
                <w:highlight w:val="none"/>
                <w:lang w:eastAsia="zh-CN"/>
              </w:rPr>
              <w:t>）</w:t>
            </w:r>
          </w:p>
        </w:tc>
      </w:tr>
      <w:tr w14:paraId="0FF00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Merge w:val="restart"/>
            <w:tcBorders>
              <w:tl2br w:val="nil"/>
              <w:tr2bl w:val="nil"/>
            </w:tcBorders>
            <w:noWrap w:val="0"/>
            <w:vAlign w:val="center"/>
          </w:tcPr>
          <w:p w14:paraId="24EBDB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感官</w:t>
            </w:r>
          </w:p>
          <w:p w14:paraId="1C208C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要求</w:t>
            </w:r>
          </w:p>
        </w:tc>
        <w:tc>
          <w:tcPr>
            <w:tcW w:w="1144" w:type="dxa"/>
            <w:tcBorders>
              <w:tl2br w:val="nil"/>
              <w:tr2bl w:val="nil"/>
            </w:tcBorders>
            <w:noWrap w:val="0"/>
            <w:vAlign w:val="center"/>
          </w:tcPr>
          <w:p w14:paraId="48B27C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色泽</w:t>
            </w:r>
          </w:p>
        </w:tc>
        <w:tc>
          <w:tcPr>
            <w:tcW w:w="3120" w:type="dxa"/>
            <w:tcBorders>
              <w:tl2br w:val="nil"/>
              <w:tr2bl w:val="nil"/>
            </w:tcBorders>
            <w:noWrap w:val="0"/>
            <w:vAlign w:val="center"/>
          </w:tcPr>
          <w:p w14:paraId="089B8B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肌肉有光泽，色鲜红或深红，脂肪呈乳白或淡黄色</w:t>
            </w:r>
          </w:p>
        </w:tc>
        <w:tc>
          <w:tcPr>
            <w:tcW w:w="3897" w:type="dxa"/>
            <w:tcBorders>
              <w:tl2br w:val="nil"/>
              <w:tr2bl w:val="nil"/>
            </w:tcBorders>
            <w:noWrap w:val="0"/>
            <w:vAlign w:val="center"/>
          </w:tcPr>
          <w:p w14:paraId="380015E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肌肉色鲜红</w:t>
            </w:r>
            <w:r>
              <w:rPr>
                <w:rFonts w:hint="eastAsia" w:eastAsia="宋体" w:cs="Times New Roman"/>
                <w:color w:val="auto"/>
                <w:sz w:val="21"/>
                <w:szCs w:val="21"/>
                <w:highlight w:val="none"/>
                <w:lang w:val="en-US" w:eastAsia="zh-CN"/>
              </w:rPr>
              <w:t>或深红</w:t>
            </w:r>
            <w:r>
              <w:rPr>
                <w:rFonts w:hint="default" w:ascii="Times New Roman" w:hAnsi="Times New Roman" w:eastAsia="宋体" w:cs="Times New Roman"/>
                <w:color w:val="auto"/>
                <w:sz w:val="21"/>
                <w:szCs w:val="21"/>
                <w:highlight w:val="none"/>
              </w:rPr>
              <w:t>，有光泽；脂肪呈乳白或</w:t>
            </w:r>
            <w:r>
              <w:rPr>
                <w:rFonts w:hint="eastAsia" w:eastAsia="宋体" w:cs="Times New Roman"/>
                <w:color w:val="auto"/>
                <w:sz w:val="21"/>
                <w:szCs w:val="21"/>
                <w:highlight w:val="none"/>
                <w:lang w:val="en-US" w:eastAsia="zh-CN"/>
              </w:rPr>
              <w:t>微</w:t>
            </w:r>
            <w:r>
              <w:rPr>
                <w:rFonts w:hint="default" w:ascii="Times New Roman" w:hAnsi="Times New Roman" w:eastAsia="宋体" w:cs="Times New Roman"/>
                <w:color w:val="auto"/>
                <w:sz w:val="21"/>
                <w:szCs w:val="21"/>
                <w:highlight w:val="none"/>
              </w:rPr>
              <w:t>黄色</w:t>
            </w:r>
          </w:p>
        </w:tc>
      </w:tr>
      <w:tr w14:paraId="6BE71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Merge w:val="continue"/>
            <w:tcBorders>
              <w:tl2br w:val="nil"/>
              <w:tr2bl w:val="nil"/>
            </w:tcBorders>
            <w:noWrap w:val="0"/>
            <w:vAlign w:val="center"/>
          </w:tcPr>
          <w:p w14:paraId="54C2F5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44" w:type="dxa"/>
            <w:tcBorders>
              <w:tl2br w:val="nil"/>
              <w:tr2bl w:val="nil"/>
            </w:tcBorders>
            <w:noWrap w:val="0"/>
            <w:vAlign w:val="center"/>
          </w:tcPr>
          <w:p w14:paraId="1FE367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组织状态</w:t>
            </w:r>
          </w:p>
        </w:tc>
        <w:tc>
          <w:tcPr>
            <w:tcW w:w="3120" w:type="dxa"/>
            <w:tcBorders>
              <w:tl2br w:val="nil"/>
              <w:tr2bl w:val="nil"/>
            </w:tcBorders>
            <w:noWrap w:val="0"/>
            <w:vAlign w:val="center"/>
          </w:tcPr>
          <w:p w14:paraId="226C713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指压后的凹陷可恢复</w:t>
            </w:r>
          </w:p>
        </w:tc>
        <w:tc>
          <w:tcPr>
            <w:tcW w:w="3897" w:type="dxa"/>
            <w:tcBorders>
              <w:tl2br w:val="nil"/>
              <w:tr2bl w:val="nil"/>
            </w:tcBorders>
            <w:noWrap w:val="0"/>
            <w:vAlign w:val="center"/>
          </w:tcPr>
          <w:p w14:paraId="59D5AE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肌肉结构紧密，有坚实感，肌纤维韧性强</w:t>
            </w:r>
          </w:p>
        </w:tc>
      </w:tr>
      <w:tr w14:paraId="279CB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Merge w:val="continue"/>
            <w:tcBorders>
              <w:tl2br w:val="nil"/>
              <w:tr2bl w:val="nil"/>
            </w:tcBorders>
            <w:noWrap w:val="0"/>
            <w:vAlign w:val="center"/>
          </w:tcPr>
          <w:p w14:paraId="024F4A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44" w:type="dxa"/>
            <w:tcBorders>
              <w:tl2br w:val="nil"/>
              <w:tr2bl w:val="nil"/>
            </w:tcBorders>
            <w:noWrap w:val="0"/>
            <w:vAlign w:val="center"/>
          </w:tcPr>
          <w:p w14:paraId="3476F3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气味</w:t>
            </w:r>
          </w:p>
        </w:tc>
        <w:tc>
          <w:tcPr>
            <w:tcW w:w="3120" w:type="dxa"/>
            <w:tcBorders>
              <w:tl2br w:val="nil"/>
              <w:tr2bl w:val="nil"/>
            </w:tcBorders>
            <w:noWrap w:val="0"/>
            <w:vAlign w:val="center"/>
          </w:tcPr>
          <w:p w14:paraId="19A721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具</w:t>
            </w:r>
            <w:r>
              <w:rPr>
                <w:rFonts w:hint="default" w:ascii="Times New Roman" w:hAnsi="Times New Roman" w:eastAsia="宋体" w:cs="Times New Roman"/>
                <w:color w:val="auto"/>
                <w:sz w:val="21"/>
                <w:szCs w:val="21"/>
                <w:highlight w:val="none"/>
              </w:rPr>
              <w:t>有鲜牛肉正常的气味</w:t>
            </w:r>
          </w:p>
        </w:tc>
        <w:tc>
          <w:tcPr>
            <w:tcW w:w="3897" w:type="dxa"/>
            <w:tcBorders>
              <w:tl2br w:val="nil"/>
              <w:tr2bl w:val="nil"/>
            </w:tcBorders>
            <w:noWrap w:val="0"/>
            <w:vAlign w:val="center"/>
          </w:tcPr>
          <w:p w14:paraId="4A66A5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具有</w:t>
            </w:r>
            <w:r>
              <w:rPr>
                <w:rFonts w:hint="eastAsia" w:ascii="Times New Roman" w:hAnsi="Times New Roman" w:eastAsia="宋体" w:cs="Times New Roman"/>
                <w:color w:val="auto"/>
                <w:sz w:val="21"/>
                <w:szCs w:val="21"/>
                <w:highlight w:val="none"/>
                <w:lang w:val="en-US" w:eastAsia="zh-CN"/>
              </w:rPr>
              <w:t>产品的气味，无异味</w:t>
            </w:r>
          </w:p>
        </w:tc>
      </w:tr>
      <w:tr w14:paraId="7DDAD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Merge w:val="continue"/>
            <w:tcBorders>
              <w:tl2br w:val="nil"/>
              <w:tr2bl w:val="nil"/>
            </w:tcBorders>
            <w:noWrap w:val="0"/>
            <w:vAlign w:val="center"/>
          </w:tcPr>
          <w:p w14:paraId="31317DC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44" w:type="dxa"/>
            <w:tcBorders>
              <w:tl2br w:val="nil"/>
              <w:tr2bl w:val="nil"/>
            </w:tcBorders>
            <w:noWrap w:val="0"/>
            <w:vAlign w:val="center"/>
          </w:tcPr>
          <w:p w14:paraId="6DCC1B7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杂质</w:t>
            </w:r>
          </w:p>
        </w:tc>
        <w:tc>
          <w:tcPr>
            <w:tcW w:w="7017" w:type="dxa"/>
            <w:gridSpan w:val="2"/>
            <w:tcBorders>
              <w:tl2br w:val="nil"/>
              <w:tr2bl w:val="nil"/>
            </w:tcBorders>
            <w:noWrap w:val="0"/>
            <w:vAlign w:val="center"/>
          </w:tcPr>
          <w:p w14:paraId="5C43B1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无正常视力可见外来异物</w:t>
            </w:r>
          </w:p>
        </w:tc>
      </w:tr>
    </w:tbl>
    <w:p w14:paraId="578EFD9C">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b/>
          <w:color w:val="auto"/>
          <w:sz w:val="24"/>
          <w:highlight w:val="none"/>
        </w:rPr>
      </w:pPr>
      <w:r>
        <w:rPr>
          <w:rFonts w:hint="eastAsia" w:ascii="宋体" w:hAnsi="宋体" w:eastAsia="宋体" w:cs="宋体"/>
          <w:b w:val="0"/>
          <w:bCs/>
          <w:color w:val="auto"/>
          <w:sz w:val="21"/>
          <w:szCs w:val="21"/>
        </w:rPr>
        <w:t>表</w:t>
      </w:r>
      <w:r>
        <w:rPr>
          <w:rFonts w:hint="default" w:ascii="Times New Roman" w:hAnsi="Times New Roman" w:cs="Times New Roman"/>
          <w:b w:val="0"/>
          <w:bCs/>
          <w:color w:val="auto"/>
          <w:sz w:val="21"/>
          <w:szCs w:val="21"/>
        </w:rPr>
        <w:t>2.</w:t>
      </w:r>
      <w:r>
        <w:rPr>
          <w:rFonts w:hint="default" w:ascii="Times New Roman" w:hAnsi="Times New Roman" w:cs="Times New Roman"/>
          <w:b w:val="0"/>
          <w:bCs/>
          <w:color w:val="auto"/>
          <w:sz w:val="21"/>
          <w:szCs w:val="21"/>
          <w:lang w:val="en-US" w:eastAsia="zh-CN"/>
        </w:rPr>
        <w:t>1</w:t>
      </w:r>
      <w:r>
        <w:rPr>
          <w:rFonts w:hint="default" w:ascii="Times New Roman" w:hAnsi="Times New Roman" w:cs="Times New Roman"/>
          <w:b w:val="0"/>
          <w:bCs/>
          <w:color w:val="auto"/>
          <w:sz w:val="21"/>
          <w:szCs w:val="21"/>
        </w:rPr>
        <w:t>-</w:t>
      </w:r>
      <w:r>
        <w:rPr>
          <w:rFonts w:hint="eastAsia" w:cs="Times New Roman"/>
          <w:b w:val="0"/>
          <w:bCs/>
          <w:color w:val="auto"/>
          <w:sz w:val="21"/>
          <w:szCs w:val="21"/>
          <w:lang w:val="en-US" w:eastAsia="zh-CN"/>
        </w:rPr>
        <w:t>4</w:t>
      </w:r>
      <w:r>
        <w:rPr>
          <w:rFonts w:hint="eastAsia" w:ascii="Times New Roman" w:hAnsi="Times New Roman" w:cs="Times New Roman"/>
          <w:b w:val="0"/>
          <w:bCs/>
          <w:color w:val="auto"/>
          <w:sz w:val="21"/>
          <w:szCs w:val="21"/>
          <w:lang w:val="en-US" w:eastAsia="zh-CN"/>
        </w:rPr>
        <w:t xml:space="preserve">                     </w:t>
      </w:r>
      <w:r>
        <w:rPr>
          <w:rFonts w:hint="eastAsia" w:ascii="宋体" w:hAnsi="宋体" w:eastAsia="宋体" w:cs="宋体"/>
          <w:b/>
          <w:bCs w:val="0"/>
          <w:color w:val="auto"/>
          <w:sz w:val="24"/>
          <w:szCs w:val="24"/>
          <w:lang w:val="en-US" w:eastAsia="zh-CN"/>
        </w:rPr>
        <w:t>分割羊肉</w:t>
      </w:r>
      <w:r>
        <w:rPr>
          <w:rFonts w:hint="eastAsia" w:ascii="宋体" w:hAnsi="宋体" w:eastAsia="宋体" w:cs="宋体"/>
          <w:b/>
          <w:bCs w:val="0"/>
          <w:color w:val="auto"/>
          <w:sz w:val="24"/>
          <w:szCs w:val="24"/>
        </w:rPr>
        <w:t>产品质量标准</w:t>
      </w:r>
    </w:p>
    <w:tbl>
      <w:tblPr>
        <w:tblStyle w:val="27"/>
        <w:tblW w:w="492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97"/>
        <w:gridCol w:w="2343"/>
        <w:gridCol w:w="2286"/>
        <w:gridCol w:w="2019"/>
      </w:tblGrid>
      <w:tr w14:paraId="4C621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1" w:type="dxa"/>
            <w:gridSpan w:val="2"/>
            <w:tcBorders>
              <w:tl2br w:val="nil"/>
              <w:tr2bl w:val="nil"/>
            </w:tcBorders>
            <w:noWrap w:val="0"/>
            <w:vAlign w:val="center"/>
          </w:tcPr>
          <w:p w14:paraId="0D712C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2343" w:type="dxa"/>
            <w:tcBorders>
              <w:tl2br w:val="nil"/>
              <w:tr2bl w:val="nil"/>
            </w:tcBorders>
            <w:noWrap w:val="0"/>
            <w:vAlign w:val="center"/>
          </w:tcPr>
          <w:p w14:paraId="0F50AC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热鲜羊肉</w:t>
            </w:r>
          </w:p>
        </w:tc>
        <w:tc>
          <w:tcPr>
            <w:tcW w:w="2286" w:type="dxa"/>
            <w:tcBorders>
              <w:tl2br w:val="nil"/>
              <w:tr2bl w:val="nil"/>
            </w:tcBorders>
            <w:noWrap w:val="0"/>
            <w:vAlign w:val="center"/>
          </w:tcPr>
          <w:p w14:paraId="363EFF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冷却羊肉</w:t>
            </w:r>
          </w:p>
        </w:tc>
        <w:tc>
          <w:tcPr>
            <w:tcW w:w="2019" w:type="dxa"/>
            <w:tcBorders>
              <w:tl2br w:val="nil"/>
              <w:tr2bl w:val="nil"/>
            </w:tcBorders>
            <w:noWrap w:val="0"/>
            <w:vAlign w:val="center"/>
          </w:tcPr>
          <w:p w14:paraId="7EFE45A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冻</w:t>
            </w:r>
            <w:r>
              <w:rPr>
                <w:rFonts w:hint="eastAsia" w:eastAsia="宋体" w:cs="Times New Roman"/>
                <w:b/>
                <w:bCs/>
                <w:color w:val="auto"/>
                <w:sz w:val="21"/>
                <w:szCs w:val="21"/>
                <w:highlight w:val="none"/>
                <w:lang w:val="en-US" w:eastAsia="zh-CN"/>
              </w:rPr>
              <w:t>羊</w:t>
            </w:r>
            <w:r>
              <w:rPr>
                <w:rFonts w:hint="default" w:ascii="Times New Roman" w:hAnsi="Times New Roman" w:eastAsia="宋体" w:cs="Times New Roman"/>
                <w:b/>
                <w:bCs/>
                <w:color w:val="auto"/>
                <w:sz w:val="21"/>
                <w:szCs w:val="21"/>
                <w:highlight w:val="none"/>
              </w:rPr>
              <w:t>肉（解冻后</w:t>
            </w:r>
            <w:r>
              <w:rPr>
                <w:rFonts w:hint="eastAsia" w:ascii="Times New Roman" w:hAnsi="Times New Roman" w:eastAsia="宋体" w:cs="Times New Roman"/>
                <w:b/>
                <w:bCs/>
                <w:color w:val="auto"/>
                <w:sz w:val="21"/>
                <w:szCs w:val="21"/>
                <w:highlight w:val="none"/>
                <w:lang w:eastAsia="zh-CN"/>
              </w:rPr>
              <w:t>）</w:t>
            </w:r>
          </w:p>
        </w:tc>
      </w:tr>
      <w:tr w14:paraId="63FAE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vMerge w:val="restart"/>
            <w:tcBorders>
              <w:tl2br w:val="nil"/>
              <w:tr2bl w:val="nil"/>
            </w:tcBorders>
            <w:noWrap w:val="0"/>
            <w:vAlign w:val="center"/>
          </w:tcPr>
          <w:p w14:paraId="6434F9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感官</w:t>
            </w:r>
          </w:p>
          <w:p w14:paraId="1BBD0FA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指标</w:t>
            </w:r>
          </w:p>
        </w:tc>
        <w:tc>
          <w:tcPr>
            <w:tcW w:w="1497" w:type="dxa"/>
            <w:tcBorders>
              <w:tl2br w:val="nil"/>
              <w:tr2bl w:val="nil"/>
            </w:tcBorders>
            <w:noWrap w:val="0"/>
            <w:vAlign w:val="center"/>
          </w:tcPr>
          <w:p w14:paraId="30E42AB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色泽</w:t>
            </w:r>
          </w:p>
        </w:tc>
        <w:tc>
          <w:tcPr>
            <w:tcW w:w="2343" w:type="dxa"/>
            <w:tcBorders>
              <w:tl2br w:val="nil"/>
              <w:tr2bl w:val="nil"/>
            </w:tcBorders>
            <w:noWrap w:val="0"/>
            <w:vAlign w:val="center"/>
          </w:tcPr>
          <w:p w14:paraId="0384A21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肌肉色泽鲜红，有光泽</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脂肪呈</w:t>
            </w:r>
            <w:r>
              <w:rPr>
                <w:rFonts w:hint="eastAsia" w:eastAsia="宋体" w:cs="Times New Roman"/>
                <w:color w:val="auto"/>
                <w:sz w:val="21"/>
                <w:szCs w:val="21"/>
                <w:highlight w:val="none"/>
                <w:lang w:val="en-US" w:eastAsia="zh-CN"/>
              </w:rPr>
              <w:t>乳白色或</w:t>
            </w:r>
            <w:r>
              <w:rPr>
                <w:rFonts w:hint="default" w:ascii="Times New Roman" w:hAnsi="Times New Roman" w:eastAsia="宋体" w:cs="Times New Roman"/>
                <w:color w:val="auto"/>
                <w:sz w:val="21"/>
                <w:szCs w:val="21"/>
                <w:highlight w:val="none"/>
              </w:rPr>
              <w:t>淡黄色。</w:t>
            </w:r>
          </w:p>
        </w:tc>
        <w:tc>
          <w:tcPr>
            <w:tcW w:w="2286" w:type="dxa"/>
            <w:tcBorders>
              <w:tl2br w:val="nil"/>
              <w:tr2bl w:val="nil"/>
            </w:tcBorders>
            <w:noWrap w:val="0"/>
            <w:vAlign w:val="center"/>
          </w:tcPr>
          <w:p w14:paraId="620CE4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肌肉色泽浅红，有光泽</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脂肪呈</w:t>
            </w:r>
            <w:r>
              <w:rPr>
                <w:rFonts w:hint="eastAsia" w:eastAsia="宋体" w:cs="Times New Roman"/>
                <w:color w:val="auto"/>
                <w:sz w:val="21"/>
                <w:szCs w:val="21"/>
                <w:highlight w:val="none"/>
                <w:lang w:val="en-US" w:eastAsia="zh-CN"/>
              </w:rPr>
              <w:t>乳白色或</w:t>
            </w:r>
            <w:r>
              <w:rPr>
                <w:rFonts w:hint="default" w:ascii="Times New Roman" w:hAnsi="Times New Roman" w:eastAsia="宋体" w:cs="Times New Roman"/>
                <w:color w:val="auto"/>
                <w:sz w:val="21"/>
                <w:szCs w:val="21"/>
                <w:highlight w:val="none"/>
              </w:rPr>
              <w:t>淡黄色。</w:t>
            </w:r>
          </w:p>
        </w:tc>
        <w:tc>
          <w:tcPr>
            <w:tcW w:w="2019" w:type="dxa"/>
            <w:tcBorders>
              <w:tl2br w:val="nil"/>
              <w:tr2bl w:val="nil"/>
            </w:tcBorders>
            <w:noWrap w:val="0"/>
            <w:vAlign w:val="center"/>
          </w:tcPr>
          <w:p w14:paraId="2587F46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肌肉</w:t>
            </w:r>
            <w:r>
              <w:rPr>
                <w:rFonts w:hint="eastAsia" w:eastAsia="宋体" w:cs="Times New Roman"/>
                <w:color w:val="auto"/>
                <w:sz w:val="21"/>
                <w:szCs w:val="21"/>
                <w:highlight w:val="none"/>
                <w:lang w:val="en-US" w:eastAsia="zh-CN"/>
              </w:rPr>
              <w:t>略</w:t>
            </w:r>
            <w:r>
              <w:rPr>
                <w:rFonts w:hint="default" w:ascii="Times New Roman" w:hAnsi="Times New Roman" w:eastAsia="宋体" w:cs="Times New Roman"/>
                <w:color w:val="auto"/>
                <w:sz w:val="21"/>
                <w:szCs w:val="21"/>
                <w:highlight w:val="none"/>
              </w:rPr>
              <w:t>有光泽</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脂肪呈</w:t>
            </w:r>
            <w:r>
              <w:rPr>
                <w:rFonts w:hint="eastAsia" w:eastAsia="宋体" w:cs="Times New Roman"/>
                <w:color w:val="auto"/>
                <w:sz w:val="21"/>
                <w:szCs w:val="21"/>
                <w:highlight w:val="none"/>
                <w:lang w:val="en-US" w:eastAsia="zh-CN"/>
              </w:rPr>
              <w:t>乳白色或</w:t>
            </w:r>
            <w:r>
              <w:rPr>
                <w:rFonts w:hint="default" w:ascii="Times New Roman" w:hAnsi="Times New Roman" w:eastAsia="宋体" w:cs="Times New Roman"/>
                <w:color w:val="auto"/>
                <w:sz w:val="21"/>
                <w:szCs w:val="21"/>
                <w:highlight w:val="none"/>
              </w:rPr>
              <w:t>淡黄色。</w:t>
            </w:r>
          </w:p>
        </w:tc>
      </w:tr>
      <w:tr w14:paraId="6C242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vMerge w:val="continue"/>
            <w:tcBorders>
              <w:tl2br w:val="nil"/>
              <w:tr2bl w:val="nil"/>
            </w:tcBorders>
            <w:noWrap w:val="0"/>
            <w:vAlign w:val="center"/>
          </w:tcPr>
          <w:p w14:paraId="299A224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7" w:type="dxa"/>
            <w:tcBorders>
              <w:tl2br w:val="nil"/>
              <w:tr2bl w:val="nil"/>
            </w:tcBorders>
            <w:noWrap w:val="0"/>
            <w:vAlign w:val="center"/>
          </w:tcPr>
          <w:p w14:paraId="46CD19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状态</w:t>
            </w:r>
          </w:p>
        </w:tc>
        <w:tc>
          <w:tcPr>
            <w:tcW w:w="2343" w:type="dxa"/>
            <w:tcBorders>
              <w:tl2br w:val="nil"/>
              <w:tr2bl w:val="nil"/>
            </w:tcBorders>
            <w:noWrap w:val="0"/>
            <w:vAlign w:val="center"/>
          </w:tcPr>
          <w:p w14:paraId="5999A0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肉质紧密，质地正常，指按后能基本恢复</w:t>
            </w:r>
            <w:r>
              <w:rPr>
                <w:rFonts w:hint="default" w:ascii="Times New Roman" w:hAnsi="Times New Roman" w:eastAsia="宋体" w:cs="Times New Roman"/>
                <w:color w:val="auto"/>
                <w:sz w:val="21"/>
                <w:szCs w:val="21"/>
                <w:highlight w:val="none"/>
              </w:rPr>
              <w:t>。</w:t>
            </w:r>
          </w:p>
        </w:tc>
        <w:tc>
          <w:tcPr>
            <w:tcW w:w="2286" w:type="dxa"/>
            <w:tcBorders>
              <w:tl2br w:val="nil"/>
              <w:tr2bl w:val="nil"/>
            </w:tcBorders>
            <w:noWrap w:val="0"/>
            <w:vAlign w:val="center"/>
          </w:tcPr>
          <w:p w14:paraId="22E48B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肉质紧密，质地正常，指按后能基本恢复</w:t>
            </w:r>
            <w:r>
              <w:rPr>
                <w:rFonts w:hint="default" w:ascii="Times New Roman" w:hAnsi="Times New Roman" w:eastAsia="宋体" w:cs="Times New Roman"/>
                <w:color w:val="auto"/>
                <w:sz w:val="21"/>
                <w:szCs w:val="21"/>
                <w:highlight w:val="none"/>
              </w:rPr>
              <w:t>。</w:t>
            </w:r>
          </w:p>
        </w:tc>
        <w:tc>
          <w:tcPr>
            <w:tcW w:w="2019" w:type="dxa"/>
            <w:tcBorders>
              <w:tl2br w:val="nil"/>
              <w:tr2bl w:val="nil"/>
            </w:tcBorders>
            <w:noWrap w:val="0"/>
            <w:vAlign w:val="center"/>
          </w:tcPr>
          <w:p w14:paraId="068EB45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肉质紧密，质地正常，指按后能部分恢复</w:t>
            </w:r>
            <w:r>
              <w:rPr>
                <w:rFonts w:hint="default" w:ascii="Times New Roman" w:hAnsi="Times New Roman" w:eastAsia="宋体" w:cs="Times New Roman"/>
                <w:color w:val="auto"/>
                <w:sz w:val="21"/>
                <w:szCs w:val="21"/>
                <w:highlight w:val="none"/>
              </w:rPr>
              <w:t>。</w:t>
            </w:r>
          </w:p>
        </w:tc>
      </w:tr>
      <w:tr w14:paraId="7A57B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vMerge w:val="continue"/>
            <w:tcBorders>
              <w:tl2br w:val="nil"/>
              <w:tr2bl w:val="nil"/>
            </w:tcBorders>
            <w:noWrap w:val="0"/>
            <w:vAlign w:val="center"/>
          </w:tcPr>
          <w:p w14:paraId="70AEAE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7" w:type="dxa"/>
            <w:tcBorders>
              <w:tl2br w:val="nil"/>
              <w:tr2bl w:val="nil"/>
            </w:tcBorders>
            <w:noWrap w:val="0"/>
            <w:vAlign w:val="center"/>
          </w:tcPr>
          <w:p w14:paraId="2DB9F97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黏</w:t>
            </w:r>
            <w:r>
              <w:rPr>
                <w:rFonts w:hint="default" w:ascii="Times New Roman" w:hAnsi="Times New Roman" w:eastAsia="宋体" w:cs="Times New Roman"/>
                <w:color w:val="auto"/>
                <w:sz w:val="21"/>
                <w:szCs w:val="21"/>
                <w:highlight w:val="none"/>
              </w:rPr>
              <w:t>度</w:t>
            </w:r>
          </w:p>
        </w:tc>
        <w:tc>
          <w:tcPr>
            <w:tcW w:w="2343" w:type="dxa"/>
            <w:tcBorders>
              <w:tl2br w:val="nil"/>
              <w:tr2bl w:val="nil"/>
            </w:tcBorders>
            <w:noWrap w:val="0"/>
            <w:vAlign w:val="center"/>
          </w:tcPr>
          <w:p w14:paraId="22706E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切面湿润，不</w:t>
            </w:r>
            <w:r>
              <w:rPr>
                <w:rFonts w:hint="eastAsia" w:eastAsia="宋体" w:cs="Times New Roman"/>
                <w:color w:val="auto"/>
                <w:sz w:val="21"/>
                <w:szCs w:val="21"/>
                <w:highlight w:val="none"/>
                <w:lang w:val="en-US" w:eastAsia="zh-CN"/>
              </w:rPr>
              <w:t>黏</w:t>
            </w:r>
            <w:r>
              <w:rPr>
                <w:rFonts w:hint="default" w:ascii="Times New Roman" w:hAnsi="Times New Roman" w:eastAsia="宋体" w:cs="Times New Roman"/>
                <w:color w:val="auto"/>
                <w:sz w:val="21"/>
                <w:szCs w:val="21"/>
                <w:highlight w:val="none"/>
              </w:rPr>
              <w:t>手</w:t>
            </w:r>
            <w:r>
              <w:rPr>
                <w:rFonts w:hint="eastAsia" w:ascii="Times New Roman" w:hAnsi="Times New Roman" w:eastAsia="宋体" w:cs="Times New Roman"/>
                <w:color w:val="auto"/>
                <w:sz w:val="21"/>
                <w:szCs w:val="21"/>
                <w:highlight w:val="none"/>
                <w:lang w:eastAsia="zh-CN"/>
              </w:rPr>
              <w:t>。</w:t>
            </w:r>
          </w:p>
        </w:tc>
        <w:tc>
          <w:tcPr>
            <w:tcW w:w="2286" w:type="dxa"/>
            <w:tcBorders>
              <w:tl2br w:val="nil"/>
              <w:tr2bl w:val="nil"/>
            </w:tcBorders>
            <w:noWrap w:val="0"/>
            <w:vAlign w:val="center"/>
          </w:tcPr>
          <w:p w14:paraId="774C57B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外表微干或有风干膜</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切面湿润，不</w:t>
            </w:r>
            <w:r>
              <w:rPr>
                <w:rFonts w:hint="eastAsia" w:eastAsia="宋体" w:cs="Times New Roman"/>
                <w:color w:val="auto"/>
                <w:sz w:val="21"/>
                <w:szCs w:val="21"/>
                <w:highlight w:val="none"/>
                <w:lang w:val="en-US" w:eastAsia="zh-CN"/>
              </w:rPr>
              <w:t>黏</w:t>
            </w:r>
            <w:r>
              <w:rPr>
                <w:rFonts w:hint="default" w:ascii="Times New Roman" w:hAnsi="Times New Roman" w:eastAsia="宋体" w:cs="Times New Roman"/>
                <w:color w:val="auto"/>
                <w:sz w:val="21"/>
                <w:szCs w:val="21"/>
                <w:highlight w:val="none"/>
              </w:rPr>
              <w:t>手。</w:t>
            </w:r>
          </w:p>
        </w:tc>
        <w:tc>
          <w:tcPr>
            <w:tcW w:w="2019" w:type="dxa"/>
            <w:tcBorders>
              <w:tl2br w:val="nil"/>
              <w:tr2bl w:val="nil"/>
            </w:tcBorders>
            <w:noWrap w:val="0"/>
            <w:vAlign w:val="center"/>
          </w:tcPr>
          <w:p w14:paraId="4D76DF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湿润，不</w:t>
            </w:r>
            <w:r>
              <w:rPr>
                <w:rFonts w:hint="eastAsia" w:eastAsia="宋体" w:cs="Times New Roman"/>
                <w:color w:val="auto"/>
                <w:sz w:val="21"/>
                <w:szCs w:val="21"/>
                <w:highlight w:val="none"/>
                <w:lang w:val="en-US" w:eastAsia="zh-CN"/>
              </w:rPr>
              <w:t>黏</w:t>
            </w:r>
            <w:r>
              <w:rPr>
                <w:rFonts w:hint="default" w:ascii="Times New Roman" w:hAnsi="Times New Roman" w:eastAsia="宋体" w:cs="Times New Roman"/>
                <w:color w:val="auto"/>
                <w:sz w:val="21"/>
                <w:szCs w:val="21"/>
                <w:highlight w:val="none"/>
              </w:rPr>
              <w:t>手。</w:t>
            </w:r>
          </w:p>
        </w:tc>
      </w:tr>
      <w:tr w14:paraId="64A45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vMerge w:val="continue"/>
            <w:tcBorders>
              <w:tl2br w:val="nil"/>
              <w:tr2bl w:val="nil"/>
            </w:tcBorders>
            <w:noWrap w:val="0"/>
            <w:vAlign w:val="center"/>
          </w:tcPr>
          <w:p w14:paraId="21ED833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7" w:type="dxa"/>
            <w:tcBorders>
              <w:tl2br w:val="nil"/>
              <w:tr2bl w:val="nil"/>
            </w:tcBorders>
            <w:noWrap w:val="0"/>
            <w:vAlign w:val="center"/>
          </w:tcPr>
          <w:p w14:paraId="1EDE35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气味</w:t>
            </w:r>
          </w:p>
        </w:tc>
        <w:tc>
          <w:tcPr>
            <w:tcW w:w="6648" w:type="dxa"/>
            <w:gridSpan w:val="3"/>
            <w:tcBorders>
              <w:tl2br w:val="nil"/>
              <w:tr2bl w:val="nil"/>
            </w:tcBorders>
            <w:noWrap w:val="0"/>
            <w:vAlign w:val="center"/>
          </w:tcPr>
          <w:p w14:paraId="2164D8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具有羊肉</w:t>
            </w:r>
            <w:r>
              <w:rPr>
                <w:rFonts w:hint="eastAsia" w:eastAsia="宋体" w:cs="Times New Roman"/>
                <w:color w:val="auto"/>
                <w:sz w:val="21"/>
                <w:szCs w:val="21"/>
                <w:highlight w:val="none"/>
                <w:lang w:val="en-US" w:eastAsia="zh-CN"/>
              </w:rPr>
              <w:t>正常</w:t>
            </w:r>
            <w:r>
              <w:rPr>
                <w:rFonts w:hint="default" w:ascii="Times New Roman" w:hAnsi="Times New Roman" w:eastAsia="宋体" w:cs="Times New Roman"/>
                <w:color w:val="auto"/>
                <w:sz w:val="21"/>
                <w:szCs w:val="21"/>
                <w:highlight w:val="none"/>
              </w:rPr>
              <w:t>气味，无异味。</w:t>
            </w:r>
          </w:p>
        </w:tc>
      </w:tr>
      <w:tr w14:paraId="2FD17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vMerge w:val="continue"/>
            <w:tcBorders>
              <w:tl2br w:val="nil"/>
              <w:tr2bl w:val="nil"/>
            </w:tcBorders>
            <w:noWrap w:val="0"/>
            <w:vAlign w:val="center"/>
          </w:tcPr>
          <w:p w14:paraId="529BBD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7" w:type="dxa"/>
            <w:tcBorders>
              <w:tl2br w:val="nil"/>
              <w:tr2bl w:val="nil"/>
            </w:tcBorders>
            <w:noWrap w:val="0"/>
            <w:vAlign w:val="center"/>
          </w:tcPr>
          <w:p w14:paraId="217A22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煮沸后肉汤</w:t>
            </w:r>
          </w:p>
        </w:tc>
        <w:tc>
          <w:tcPr>
            <w:tcW w:w="6648" w:type="dxa"/>
            <w:gridSpan w:val="3"/>
            <w:tcBorders>
              <w:tl2br w:val="nil"/>
              <w:tr2bl w:val="nil"/>
            </w:tcBorders>
            <w:noWrap w:val="0"/>
            <w:vAlign w:val="center"/>
          </w:tcPr>
          <w:p w14:paraId="64956E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透明澄清，</w:t>
            </w:r>
            <w:r>
              <w:rPr>
                <w:rFonts w:hint="eastAsia" w:ascii="Times New Roman" w:hAnsi="Times New Roman" w:eastAsia="宋体" w:cs="Times New Roman"/>
                <w:color w:val="auto"/>
                <w:sz w:val="21"/>
                <w:szCs w:val="21"/>
                <w:highlight w:val="none"/>
                <w:lang w:eastAsia="zh-CN"/>
              </w:rPr>
              <w:t>脂肪</w:t>
            </w:r>
            <w:r>
              <w:rPr>
                <w:rFonts w:hint="default" w:ascii="Times New Roman" w:hAnsi="Times New Roman" w:eastAsia="宋体" w:cs="Times New Roman"/>
                <w:color w:val="auto"/>
                <w:sz w:val="21"/>
                <w:szCs w:val="21"/>
                <w:highlight w:val="none"/>
              </w:rPr>
              <w:t>团聚于液面，</w:t>
            </w:r>
            <w:r>
              <w:rPr>
                <w:rFonts w:hint="eastAsia" w:eastAsia="宋体" w:cs="Times New Roman"/>
                <w:color w:val="auto"/>
                <w:sz w:val="21"/>
                <w:szCs w:val="21"/>
                <w:highlight w:val="none"/>
                <w:lang w:val="en-US" w:eastAsia="zh-CN"/>
              </w:rPr>
              <w:t>无异常滋味和气味</w:t>
            </w:r>
            <w:r>
              <w:rPr>
                <w:rFonts w:hint="default" w:ascii="Times New Roman" w:hAnsi="Times New Roman" w:eastAsia="宋体" w:cs="Times New Roman"/>
                <w:color w:val="auto"/>
                <w:sz w:val="21"/>
                <w:szCs w:val="21"/>
                <w:highlight w:val="none"/>
              </w:rPr>
              <w:t>。</w:t>
            </w:r>
          </w:p>
        </w:tc>
      </w:tr>
      <w:tr w14:paraId="43397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vMerge w:val="continue"/>
            <w:tcBorders>
              <w:tl2br w:val="nil"/>
              <w:tr2bl w:val="nil"/>
            </w:tcBorders>
            <w:noWrap w:val="0"/>
            <w:vAlign w:val="center"/>
          </w:tcPr>
          <w:p w14:paraId="61232B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7" w:type="dxa"/>
            <w:tcBorders>
              <w:tl2br w:val="nil"/>
              <w:tr2bl w:val="nil"/>
            </w:tcBorders>
            <w:noWrap w:val="0"/>
            <w:vAlign w:val="center"/>
          </w:tcPr>
          <w:p w14:paraId="770AFE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杂质</w:t>
            </w:r>
          </w:p>
        </w:tc>
        <w:tc>
          <w:tcPr>
            <w:tcW w:w="6648" w:type="dxa"/>
            <w:gridSpan w:val="3"/>
            <w:tcBorders>
              <w:tl2br w:val="nil"/>
              <w:tr2bl w:val="nil"/>
            </w:tcBorders>
            <w:noWrap w:val="0"/>
            <w:vAlign w:val="center"/>
          </w:tcPr>
          <w:p w14:paraId="34DDE7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无正常视力可见外来异物</w:t>
            </w:r>
          </w:p>
        </w:tc>
      </w:tr>
      <w:tr w14:paraId="07BAD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vMerge w:val="restart"/>
            <w:tcBorders>
              <w:tl2br w:val="nil"/>
              <w:tr2bl w:val="nil"/>
            </w:tcBorders>
            <w:noWrap w:val="0"/>
            <w:vAlign w:val="center"/>
          </w:tcPr>
          <w:p w14:paraId="32A637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w:t>
            </w:r>
          </w:p>
          <w:p w14:paraId="264EC5A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指标</w:t>
            </w:r>
          </w:p>
        </w:tc>
        <w:tc>
          <w:tcPr>
            <w:tcW w:w="1497" w:type="dxa"/>
            <w:tcBorders>
              <w:tl2br w:val="nil"/>
              <w:tr2bl w:val="nil"/>
            </w:tcBorders>
            <w:noWrap w:val="0"/>
            <w:vAlign w:val="center"/>
          </w:tcPr>
          <w:p w14:paraId="05F970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解冻</w:t>
            </w:r>
            <w:r>
              <w:rPr>
                <w:rFonts w:hint="eastAsia" w:ascii="Times New Roman" w:hAnsi="Times New Roman" w:eastAsia="宋体" w:cs="Times New Roman"/>
                <w:color w:val="auto"/>
                <w:sz w:val="21"/>
                <w:szCs w:val="21"/>
                <w:highlight w:val="none"/>
                <w:lang w:val="en-US" w:eastAsia="zh-CN"/>
              </w:rPr>
              <w:t>失水</w:t>
            </w:r>
            <w:r>
              <w:rPr>
                <w:rFonts w:hint="default" w:ascii="Times New Roman" w:hAnsi="Times New Roman" w:eastAsia="宋体" w:cs="Times New Roman"/>
                <w:color w:val="auto"/>
                <w:sz w:val="21"/>
                <w:szCs w:val="21"/>
                <w:highlight w:val="none"/>
              </w:rPr>
              <w:t>率</w:t>
            </w:r>
            <w:r>
              <w:rPr>
                <w:rFonts w:hint="eastAsia" w:ascii="Times New Roman" w:hAnsi="Times New Roman" w:eastAsia="宋体" w:cs="Times New Roman"/>
                <w:color w:val="auto"/>
                <w:sz w:val="21"/>
                <w:szCs w:val="21"/>
                <w:highlight w:val="none"/>
                <w:lang w:val="en-US" w:eastAsia="zh-CN"/>
              </w:rPr>
              <w:t>g</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100g</w:t>
            </w:r>
          </w:p>
        </w:tc>
        <w:tc>
          <w:tcPr>
            <w:tcW w:w="2343" w:type="dxa"/>
            <w:tcBorders>
              <w:tl2br w:val="nil"/>
              <w:tr2bl w:val="nil"/>
            </w:tcBorders>
            <w:noWrap w:val="0"/>
            <w:vAlign w:val="center"/>
          </w:tcPr>
          <w:p w14:paraId="693415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w:t>
            </w:r>
          </w:p>
        </w:tc>
        <w:tc>
          <w:tcPr>
            <w:tcW w:w="2286" w:type="dxa"/>
            <w:tcBorders>
              <w:tl2br w:val="nil"/>
              <w:tr2bl w:val="nil"/>
            </w:tcBorders>
            <w:noWrap w:val="0"/>
            <w:vAlign w:val="center"/>
          </w:tcPr>
          <w:p w14:paraId="3EF562A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019" w:type="dxa"/>
            <w:tcBorders>
              <w:tl2br w:val="nil"/>
              <w:tr2bl w:val="nil"/>
            </w:tcBorders>
            <w:noWrap w:val="0"/>
            <w:vAlign w:val="center"/>
          </w:tcPr>
          <w:p w14:paraId="649577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r>
      <w:tr w14:paraId="25D7F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vMerge w:val="continue"/>
            <w:tcBorders>
              <w:tl2br w:val="nil"/>
              <w:tr2bl w:val="nil"/>
            </w:tcBorders>
            <w:noWrap w:val="0"/>
            <w:vAlign w:val="center"/>
          </w:tcPr>
          <w:p w14:paraId="3CC450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7" w:type="dxa"/>
            <w:tcBorders>
              <w:tl2br w:val="nil"/>
              <w:tr2bl w:val="nil"/>
            </w:tcBorders>
            <w:noWrap w:val="0"/>
            <w:vAlign w:val="center"/>
          </w:tcPr>
          <w:p w14:paraId="4DD248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水分</w:t>
            </w:r>
            <w:r>
              <w:rPr>
                <w:rFonts w:hint="eastAsia" w:ascii="Times New Roman" w:hAnsi="Times New Roman" w:eastAsia="宋体" w:cs="Times New Roman"/>
                <w:color w:val="auto"/>
                <w:sz w:val="21"/>
                <w:szCs w:val="21"/>
                <w:highlight w:val="none"/>
                <w:lang w:val="en-US" w:eastAsia="zh-CN"/>
              </w:rPr>
              <w:t>g</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100g</w:t>
            </w:r>
          </w:p>
        </w:tc>
        <w:tc>
          <w:tcPr>
            <w:tcW w:w="6648" w:type="dxa"/>
            <w:gridSpan w:val="3"/>
            <w:tcBorders>
              <w:tl2br w:val="nil"/>
              <w:tr2bl w:val="nil"/>
            </w:tcBorders>
            <w:noWrap w:val="0"/>
            <w:vAlign w:val="center"/>
          </w:tcPr>
          <w:p w14:paraId="26CA44B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w:t>
            </w:r>
          </w:p>
        </w:tc>
      </w:tr>
    </w:tbl>
    <w:p w14:paraId="18524127">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2"/>
        <w:rPr>
          <w:rFonts w:hint="default" w:ascii="Times New Roman" w:hAnsi="Times New Roman" w:eastAsia="黑体" w:cs="Times New Roman"/>
          <w:b/>
          <w:color w:val="auto"/>
          <w:sz w:val="28"/>
          <w:szCs w:val="28"/>
          <w:highlight w:val="none"/>
          <w:lang w:val="en-US" w:eastAsia="zh-CN"/>
        </w:rPr>
      </w:pPr>
      <w:r>
        <w:rPr>
          <w:rFonts w:hint="default" w:ascii="Times New Roman" w:hAnsi="Times New Roman" w:eastAsia="黑体" w:cs="Times New Roman"/>
          <w:b/>
          <w:color w:val="auto"/>
          <w:sz w:val="28"/>
          <w:szCs w:val="28"/>
          <w:highlight w:val="none"/>
          <w:lang w:val="en-US" w:eastAsia="zh-CN"/>
        </w:rPr>
        <w:t>2.1.4主要原辅材料消耗及理化性质</w:t>
      </w:r>
    </w:p>
    <w:p w14:paraId="30FADAC8">
      <w:pPr>
        <w:pageBreakBefore w:val="0"/>
        <w:kinsoku/>
        <w:wordWrap/>
        <w:topLinePunct w:val="0"/>
        <w:bidi w:val="0"/>
        <w:adjustRightInd/>
        <w:snapToGrid/>
        <w:ind w:left="0" w:leftChars="0"/>
        <w:rPr>
          <w:rFonts w:hint="eastAsia" w:ascii="Times New Roman" w:hAnsi="Times New Roman"/>
          <w:color w:val="auto"/>
        </w:rPr>
      </w:pPr>
      <w:r>
        <w:rPr>
          <w:rFonts w:hint="default" w:ascii="Times New Roman" w:hAnsi="Times New Roman"/>
          <w:color w:val="auto"/>
          <w:lang w:val="zh-CN"/>
        </w:rPr>
        <w:t>本项目主要原辅材料消耗情况见表2.</w:t>
      </w:r>
      <w:r>
        <w:rPr>
          <w:rFonts w:hint="default" w:ascii="Times New Roman" w:hAnsi="Times New Roman"/>
          <w:color w:val="auto"/>
          <w:lang w:val="en-US" w:eastAsia="zh-CN"/>
        </w:rPr>
        <w:t>1</w:t>
      </w:r>
      <w:r>
        <w:rPr>
          <w:rFonts w:hint="default" w:ascii="Times New Roman" w:hAnsi="Times New Roman"/>
          <w:color w:val="auto"/>
          <w:lang w:val="zh-CN"/>
        </w:rPr>
        <w:t>-</w:t>
      </w:r>
      <w:r>
        <w:rPr>
          <w:rFonts w:hint="eastAsia"/>
          <w:color w:val="auto"/>
          <w:lang w:val="en-US" w:eastAsia="zh-CN"/>
        </w:rPr>
        <w:t>5</w:t>
      </w:r>
      <w:r>
        <w:rPr>
          <w:rFonts w:hint="default" w:ascii="Times New Roman" w:hAnsi="Times New Roman"/>
          <w:color w:val="auto"/>
        </w:rPr>
        <w:t>，理化性质见表2.</w:t>
      </w:r>
      <w:r>
        <w:rPr>
          <w:rFonts w:hint="default" w:ascii="Times New Roman" w:hAnsi="Times New Roman"/>
          <w:color w:val="auto"/>
          <w:lang w:val="en-US" w:eastAsia="zh-CN"/>
        </w:rPr>
        <w:t>1</w:t>
      </w:r>
      <w:r>
        <w:rPr>
          <w:rFonts w:hint="default" w:ascii="Times New Roman" w:hAnsi="Times New Roman"/>
          <w:color w:val="auto"/>
        </w:rPr>
        <w:t>-</w:t>
      </w:r>
      <w:r>
        <w:rPr>
          <w:rFonts w:hint="eastAsia"/>
          <w:color w:val="auto"/>
          <w:lang w:val="en-US" w:eastAsia="zh-CN"/>
        </w:rPr>
        <w:t>6</w:t>
      </w:r>
      <w:r>
        <w:rPr>
          <w:rFonts w:hint="default" w:ascii="Times New Roman" w:hAnsi="Times New Roman"/>
          <w:color w:val="auto"/>
          <w:lang w:val="zh-CN"/>
        </w:rPr>
        <w:t>。</w:t>
      </w:r>
    </w:p>
    <w:p w14:paraId="0F12508D">
      <w:pPr>
        <w:pageBreakBefore w:val="0"/>
        <w:kinsoku/>
        <w:wordWrap/>
        <w:topLinePunct w:val="0"/>
        <w:bidi w:val="0"/>
        <w:adjustRightInd/>
        <w:snapToGrid/>
        <w:spacing w:line="240" w:lineRule="auto"/>
        <w:ind w:left="0" w:leftChars="0"/>
        <w:rPr>
          <w:rFonts w:hint="eastAsia" w:ascii="宋体" w:hAnsi="宋体" w:eastAsia="宋体" w:cs="宋体"/>
          <w:snapToGrid w:val="0"/>
          <w:color w:val="auto"/>
          <w:kern w:val="0"/>
          <w:sz w:val="24"/>
          <w:highlight w:val="none"/>
        </w:rPr>
      </w:pPr>
      <w:r>
        <w:rPr>
          <w:rFonts w:hint="default" w:ascii="Times New Roman" w:hAnsi="Times New Roman" w:eastAsia="宋体" w:cs="Times New Roman"/>
          <w:b w:val="0"/>
          <w:bCs/>
          <w:color w:val="auto"/>
          <w:sz w:val="21"/>
          <w:szCs w:val="21"/>
        </w:rPr>
        <w:t>表2.</w:t>
      </w: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rPr>
        <w:t>-</w:t>
      </w:r>
      <w:r>
        <w:rPr>
          <w:rFonts w:hint="eastAsia" w:eastAsia="宋体" w:cs="Times New Roman"/>
          <w:b w:val="0"/>
          <w:bCs/>
          <w:color w:val="auto"/>
          <w:sz w:val="21"/>
          <w:szCs w:val="21"/>
          <w:lang w:val="en-US" w:eastAsia="zh-CN"/>
        </w:rPr>
        <w:t>5</w:t>
      </w:r>
      <w:r>
        <w:rPr>
          <w:rFonts w:hint="default" w:ascii="Times New Roman" w:hAnsi="Times New Roman" w:eastAsia="黑体" w:cs="Times New Roman"/>
          <w:snapToGrid w:val="0"/>
          <w:color w:val="auto"/>
          <w:kern w:val="0"/>
          <w:sz w:val="24"/>
          <w:highlight w:val="none"/>
        </w:rPr>
        <w:t xml:space="preserve"> </w:t>
      </w:r>
      <w:r>
        <w:rPr>
          <w:rFonts w:hint="eastAsia" w:eastAsia="黑体" w:cs="Times New Roman"/>
          <w:snapToGrid w:val="0"/>
          <w:color w:val="auto"/>
          <w:kern w:val="0"/>
          <w:sz w:val="24"/>
          <w:highlight w:val="none"/>
          <w:lang w:val="en-US" w:eastAsia="zh-CN"/>
        </w:rPr>
        <w:t xml:space="preserve">      </w:t>
      </w:r>
      <w:r>
        <w:rPr>
          <w:rFonts w:hint="default" w:ascii="Times New Roman" w:hAnsi="Times New Roman" w:eastAsia="黑体" w:cs="Times New Roman"/>
          <w:snapToGrid w:val="0"/>
          <w:color w:val="auto"/>
          <w:kern w:val="0"/>
          <w:sz w:val="24"/>
          <w:highlight w:val="none"/>
        </w:rPr>
        <w:t xml:space="preserve"> </w:t>
      </w:r>
      <w:r>
        <w:rPr>
          <w:rFonts w:hint="eastAsia" w:ascii="宋体" w:hAnsi="宋体" w:eastAsia="宋体" w:cs="宋体"/>
          <w:b/>
          <w:color w:val="auto"/>
          <w:sz w:val="24"/>
          <w:highlight w:val="none"/>
        </w:rPr>
        <w:t>项目主要的原辅材料及能源消耗一览表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374"/>
        <w:gridCol w:w="1460"/>
        <w:gridCol w:w="1004"/>
        <w:gridCol w:w="1162"/>
        <w:gridCol w:w="2183"/>
        <w:gridCol w:w="1117"/>
      </w:tblGrid>
      <w:tr w14:paraId="665B1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5E5DBE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序号</w:t>
            </w:r>
          </w:p>
        </w:tc>
        <w:tc>
          <w:tcPr>
            <w:tcW w:w="1374" w:type="dxa"/>
            <w:noWrap w:val="0"/>
            <w:vAlign w:val="center"/>
          </w:tcPr>
          <w:p w14:paraId="1628A1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原辅材料及能源名称</w:t>
            </w:r>
          </w:p>
        </w:tc>
        <w:tc>
          <w:tcPr>
            <w:tcW w:w="1460" w:type="dxa"/>
            <w:noWrap w:val="0"/>
            <w:vAlign w:val="center"/>
          </w:tcPr>
          <w:p w14:paraId="1602D9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数量</w:t>
            </w:r>
          </w:p>
        </w:tc>
        <w:tc>
          <w:tcPr>
            <w:tcW w:w="1004" w:type="dxa"/>
            <w:noWrap w:val="0"/>
            <w:vAlign w:val="center"/>
          </w:tcPr>
          <w:p w14:paraId="4691E3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lang w:val="en-US" w:eastAsia="zh-CN"/>
              </w:rPr>
            </w:pPr>
            <w:r>
              <w:rPr>
                <w:rFonts w:hint="eastAsia" w:eastAsia="宋体" w:cs="Times New Roman"/>
                <w:b/>
                <w:snapToGrid w:val="0"/>
                <w:color w:val="auto"/>
                <w:kern w:val="0"/>
                <w:sz w:val="21"/>
                <w:szCs w:val="21"/>
                <w:highlight w:val="none"/>
                <w:lang w:val="en-US" w:eastAsia="zh-CN"/>
              </w:rPr>
              <w:t>最大储存量</w:t>
            </w:r>
          </w:p>
        </w:tc>
        <w:tc>
          <w:tcPr>
            <w:tcW w:w="1162" w:type="dxa"/>
            <w:noWrap w:val="0"/>
            <w:vAlign w:val="center"/>
          </w:tcPr>
          <w:p w14:paraId="6C67A6F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lang w:val="en-US" w:eastAsia="zh-CN"/>
              </w:rPr>
            </w:pPr>
            <w:r>
              <w:rPr>
                <w:rFonts w:hint="eastAsia" w:eastAsia="宋体" w:cs="Times New Roman"/>
                <w:b/>
                <w:snapToGrid w:val="0"/>
                <w:color w:val="auto"/>
                <w:kern w:val="0"/>
                <w:sz w:val="21"/>
                <w:szCs w:val="21"/>
                <w:highlight w:val="none"/>
                <w:lang w:val="en-US" w:eastAsia="zh-CN"/>
              </w:rPr>
              <w:t>储存位置</w:t>
            </w:r>
          </w:p>
        </w:tc>
        <w:tc>
          <w:tcPr>
            <w:tcW w:w="2183" w:type="dxa"/>
            <w:shd w:val="clear" w:color="auto" w:fill="auto"/>
            <w:noWrap w:val="0"/>
            <w:vAlign w:val="center"/>
          </w:tcPr>
          <w:p w14:paraId="48FE77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lang w:val="en-US" w:eastAsia="zh-CN" w:bidi="ar-SA"/>
              </w:rPr>
            </w:pPr>
            <w:r>
              <w:rPr>
                <w:rFonts w:hint="default" w:ascii="Times New Roman" w:hAnsi="Times New Roman" w:eastAsia="宋体" w:cs="Times New Roman"/>
                <w:b/>
                <w:snapToGrid w:val="0"/>
                <w:color w:val="auto"/>
                <w:kern w:val="0"/>
                <w:sz w:val="21"/>
                <w:szCs w:val="21"/>
                <w:highlight w:val="none"/>
              </w:rPr>
              <w:t>来源</w:t>
            </w:r>
          </w:p>
        </w:tc>
        <w:tc>
          <w:tcPr>
            <w:tcW w:w="1117" w:type="dxa"/>
            <w:noWrap w:val="0"/>
            <w:vAlign w:val="center"/>
          </w:tcPr>
          <w:p w14:paraId="7D88D5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lang w:val="en-US" w:eastAsia="zh-CN"/>
              </w:rPr>
            </w:pPr>
            <w:r>
              <w:rPr>
                <w:rFonts w:hint="eastAsia" w:eastAsia="宋体" w:cs="Times New Roman"/>
                <w:b/>
                <w:snapToGrid w:val="0"/>
                <w:color w:val="auto"/>
                <w:kern w:val="0"/>
                <w:sz w:val="21"/>
                <w:szCs w:val="21"/>
                <w:highlight w:val="none"/>
                <w:lang w:val="en-US" w:eastAsia="zh-CN"/>
              </w:rPr>
              <w:t>Q值</w:t>
            </w:r>
          </w:p>
        </w:tc>
      </w:tr>
      <w:tr w14:paraId="7C9298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306C83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w:t>
            </w:r>
          </w:p>
        </w:tc>
        <w:tc>
          <w:tcPr>
            <w:tcW w:w="1374" w:type="dxa"/>
            <w:noWrap w:val="0"/>
            <w:vAlign w:val="center"/>
          </w:tcPr>
          <w:p w14:paraId="788CB60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牛</w:t>
            </w:r>
          </w:p>
        </w:tc>
        <w:tc>
          <w:tcPr>
            <w:tcW w:w="1460" w:type="dxa"/>
            <w:noWrap w:val="0"/>
            <w:vAlign w:val="center"/>
          </w:tcPr>
          <w:p w14:paraId="25611BE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eastAsia" w:eastAsia="宋体" w:cs="Times New Roman"/>
                <w:snapToGrid w:val="0"/>
                <w:color w:val="auto"/>
                <w:kern w:val="0"/>
                <w:sz w:val="21"/>
                <w:szCs w:val="21"/>
                <w:highlight w:val="none"/>
                <w:lang w:val="en-US" w:eastAsia="zh-CN"/>
              </w:rPr>
              <w:t>10000</w:t>
            </w:r>
            <w:r>
              <w:rPr>
                <w:rFonts w:hint="default" w:ascii="Times New Roman" w:hAnsi="Times New Roman" w:eastAsia="宋体" w:cs="Times New Roman"/>
                <w:snapToGrid w:val="0"/>
                <w:color w:val="auto"/>
                <w:kern w:val="0"/>
                <w:sz w:val="21"/>
                <w:szCs w:val="21"/>
                <w:highlight w:val="none"/>
              </w:rPr>
              <w:t>头/a</w:t>
            </w:r>
          </w:p>
        </w:tc>
        <w:tc>
          <w:tcPr>
            <w:tcW w:w="1004" w:type="dxa"/>
            <w:noWrap w:val="0"/>
            <w:vAlign w:val="center"/>
          </w:tcPr>
          <w:p w14:paraId="7BD10C4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30头</w:t>
            </w:r>
          </w:p>
        </w:tc>
        <w:tc>
          <w:tcPr>
            <w:tcW w:w="1162" w:type="dxa"/>
            <w:noWrap w:val="0"/>
            <w:vAlign w:val="center"/>
          </w:tcPr>
          <w:p w14:paraId="06D1D9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待宰圈</w:t>
            </w:r>
          </w:p>
        </w:tc>
        <w:tc>
          <w:tcPr>
            <w:tcW w:w="2183" w:type="dxa"/>
            <w:shd w:val="clear" w:color="auto" w:fill="auto"/>
            <w:noWrap w:val="0"/>
            <w:vAlign w:val="center"/>
          </w:tcPr>
          <w:p w14:paraId="7E77CE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外购</w:t>
            </w:r>
          </w:p>
        </w:tc>
        <w:tc>
          <w:tcPr>
            <w:tcW w:w="1117" w:type="dxa"/>
            <w:noWrap w:val="0"/>
            <w:vAlign w:val="center"/>
          </w:tcPr>
          <w:p w14:paraId="139F75B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r w14:paraId="1161E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1C9A0DB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2</w:t>
            </w:r>
          </w:p>
        </w:tc>
        <w:tc>
          <w:tcPr>
            <w:tcW w:w="1374" w:type="dxa"/>
            <w:noWrap w:val="0"/>
            <w:vAlign w:val="center"/>
          </w:tcPr>
          <w:p w14:paraId="5511A0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羊</w:t>
            </w:r>
          </w:p>
        </w:tc>
        <w:tc>
          <w:tcPr>
            <w:tcW w:w="1460" w:type="dxa"/>
            <w:noWrap w:val="0"/>
            <w:vAlign w:val="center"/>
          </w:tcPr>
          <w:p w14:paraId="3E919DC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15</w:t>
            </w:r>
            <w:r>
              <w:rPr>
                <w:rFonts w:hint="default" w:ascii="Times New Roman" w:hAnsi="Times New Roman" w:eastAsia="宋体" w:cs="Times New Roman"/>
                <w:color w:val="auto"/>
                <w:spacing w:val="-6"/>
                <w:sz w:val="21"/>
                <w:szCs w:val="21"/>
                <w:highlight w:val="none"/>
              </w:rPr>
              <w:t>万只/a</w:t>
            </w:r>
          </w:p>
        </w:tc>
        <w:tc>
          <w:tcPr>
            <w:tcW w:w="1004" w:type="dxa"/>
            <w:noWrap w:val="0"/>
            <w:vAlign w:val="center"/>
          </w:tcPr>
          <w:p w14:paraId="0FCD437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455只</w:t>
            </w:r>
          </w:p>
        </w:tc>
        <w:tc>
          <w:tcPr>
            <w:tcW w:w="1162" w:type="dxa"/>
            <w:noWrap w:val="0"/>
            <w:vAlign w:val="center"/>
          </w:tcPr>
          <w:p w14:paraId="4CDC127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待宰圈</w:t>
            </w:r>
          </w:p>
        </w:tc>
        <w:tc>
          <w:tcPr>
            <w:tcW w:w="2183" w:type="dxa"/>
            <w:shd w:val="clear" w:color="auto" w:fill="auto"/>
            <w:noWrap w:val="0"/>
            <w:vAlign w:val="center"/>
          </w:tcPr>
          <w:p w14:paraId="67FF786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外购</w:t>
            </w:r>
          </w:p>
        </w:tc>
        <w:tc>
          <w:tcPr>
            <w:tcW w:w="1117" w:type="dxa"/>
            <w:noWrap w:val="0"/>
            <w:vAlign w:val="center"/>
          </w:tcPr>
          <w:p w14:paraId="1868EB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r w14:paraId="4AF63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3AD44A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3</w:t>
            </w:r>
          </w:p>
        </w:tc>
        <w:tc>
          <w:tcPr>
            <w:tcW w:w="1374" w:type="dxa"/>
            <w:noWrap w:val="0"/>
            <w:vAlign w:val="center"/>
          </w:tcPr>
          <w:p w14:paraId="3A5986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塑料复合袋</w:t>
            </w:r>
          </w:p>
        </w:tc>
        <w:tc>
          <w:tcPr>
            <w:tcW w:w="1460" w:type="dxa"/>
            <w:noWrap w:val="0"/>
            <w:vAlign w:val="center"/>
          </w:tcPr>
          <w:p w14:paraId="7FC89D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360万只/a</w:t>
            </w:r>
          </w:p>
        </w:tc>
        <w:tc>
          <w:tcPr>
            <w:tcW w:w="1004" w:type="dxa"/>
            <w:noWrap w:val="0"/>
            <w:vAlign w:val="center"/>
          </w:tcPr>
          <w:p w14:paraId="5BCE97E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w:t>
            </w:r>
            <w:r>
              <w:rPr>
                <w:rFonts w:hint="default" w:ascii="Times New Roman" w:hAnsi="Times New Roman" w:eastAsia="宋体" w:cs="Times New Roman"/>
                <w:color w:val="auto"/>
                <w:spacing w:val="-6"/>
                <w:sz w:val="21"/>
                <w:szCs w:val="21"/>
                <w:highlight w:val="none"/>
              </w:rPr>
              <w:t>万只</w:t>
            </w:r>
          </w:p>
        </w:tc>
        <w:tc>
          <w:tcPr>
            <w:tcW w:w="1162" w:type="dxa"/>
            <w:noWrap w:val="0"/>
            <w:vAlign w:val="center"/>
          </w:tcPr>
          <w:p w14:paraId="194E81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内包材库</w:t>
            </w:r>
          </w:p>
        </w:tc>
        <w:tc>
          <w:tcPr>
            <w:tcW w:w="2183" w:type="dxa"/>
            <w:shd w:val="clear" w:color="auto" w:fill="auto"/>
            <w:noWrap w:val="0"/>
            <w:vAlign w:val="center"/>
          </w:tcPr>
          <w:p w14:paraId="0F7A96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外购；规格为2.5kg/只</w:t>
            </w:r>
          </w:p>
        </w:tc>
        <w:tc>
          <w:tcPr>
            <w:tcW w:w="1117" w:type="dxa"/>
            <w:noWrap w:val="0"/>
            <w:vAlign w:val="center"/>
          </w:tcPr>
          <w:p w14:paraId="7802937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r>
      <w:tr w14:paraId="3A245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1CDFC12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4</w:t>
            </w:r>
          </w:p>
        </w:tc>
        <w:tc>
          <w:tcPr>
            <w:tcW w:w="1374" w:type="dxa"/>
            <w:noWrap w:val="0"/>
            <w:vAlign w:val="center"/>
          </w:tcPr>
          <w:p w14:paraId="63009E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纸箱</w:t>
            </w:r>
          </w:p>
        </w:tc>
        <w:tc>
          <w:tcPr>
            <w:tcW w:w="1460" w:type="dxa"/>
            <w:noWrap w:val="0"/>
            <w:vAlign w:val="center"/>
          </w:tcPr>
          <w:p w14:paraId="70FC1D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90万个/a</w:t>
            </w:r>
          </w:p>
        </w:tc>
        <w:tc>
          <w:tcPr>
            <w:tcW w:w="1004" w:type="dxa"/>
            <w:noWrap w:val="0"/>
            <w:vAlign w:val="center"/>
          </w:tcPr>
          <w:p w14:paraId="4CC12C2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10</w:t>
            </w:r>
            <w:r>
              <w:rPr>
                <w:rFonts w:hint="default" w:ascii="Times New Roman" w:hAnsi="Times New Roman" w:eastAsia="宋体" w:cs="Times New Roman"/>
                <w:color w:val="auto"/>
                <w:spacing w:val="-6"/>
                <w:sz w:val="21"/>
                <w:szCs w:val="21"/>
                <w:highlight w:val="none"/>
              </w:rPr>
              <w:t>万个</w:t>
            </w:r>
          </w:p>
        </w:tc>
        <w:tc>
          <w:tcPr>
            <w:tcW w:w="1162" w:type="dxa"/>
            <w:noWrap w:val="0"/>
            <w:vAlign w:val="center"/>
          </w:tcPr>
          <w:p w14:paraId="29AE234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rPr>
            </w:pPr>
            <w:r>
              <w:rPr>
                <w:rFonts w:hint="eastAsia" w:eastAsia="宋体" w:cs="Times New Roman"/>
                <w:color w:val="auto"/>
                <w:sz w:val="21"/>
                <w:szCs w:val="21"/>
                <w:highlight w:val="none"/>
                <w:lang w:val="en-US" w:eastAsia="zh-CN"/>
              </w:rPr>
              <w:t>内包材库</w:t>
            </w:r>
          </w:p>
        </w:tc>
        <w:tc>
          <w:tcPr>
            <w:tcW w:w="2183" w:type="dxa"/>
            <w:shd w:val="clear" w:color="auto" w:fill="auto"/>
            <w:noWrap w:val="0"/>
            <w:vAlign w:val="center"/>
          </w:tcPr>
          <w:p w14:paraId="3FA102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外购；规格为10kg/个</w:t>
            </w:r>
          </w:p>
        </w:tc>
        <w:tc>
          <w:tcPr>
            <w:tcW w:w="1117" w:type="dxa"/>
            <w:noWrap w:val="0"/>
            <w:vAlign w:val="center"/>
          </w:tcPr>
          <w:p w14:paraId="4A5B598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r w14:paraId="389C0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948" w:type="dxa"/>
            <w:gridSpan w:val="7"/>
            <w:noWrap w:val="0"/>
            <w:vAlign w:val="center"/>
          </w:tcPr>
          <w:p w14:paraId="2CD097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燃料、制冷剂及动力消耗</w:t>
            </w:r>
          </w:p>
        </w:tc>
      </w:tr>
      <w:tr w14:paraId="49CB9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0203F5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w:t>
            </w:r>
          </w:p>
        </w:tc>
        <w:tc>
          <w:tcPr>
            <w:tcW w:w="1374" w:type="dxa"/>
            <w:noWrap w:val="0"/>
            <w:vAlign w:val="center"/>
          </w:tcPr>
          <w:p w14:paraId="11A540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新鲜水</w:t>
            </w:r>
          </w:p>
        </w:tc>
        <w:tc>
          <w:tcPr>
            <w:tcW w:w="1460" w:type="dxa"/>
            <w:noWrap w:val="0"/>
            <w:vAlign w:val="center"/>
          </w:tcPr>
          <w:p w14:paraId="5D09B7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22873.2m</w:t>
            </w:r>
            <w:r>
              <w:rPr>
                <w:rFonts w:hint="default" w:ascii="Times New Roman" w:hAnsi="Times New Roman" w:eastAsia="宋体" w:cs="Times New Roman"/>
                <w:color w:val="000000" w:themeColor="text1"/>
                <w:spacing w:val="-6"/>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/a</w:t>
            </w:r>
          </w:p>
        </w:tc>
        <w:tc>
          <w:tcPr>
            <w:tcW w:w="1004" w:type="dxa"/>
            <w:noWrap w:val="0"/>
            <w:vAlign w:val="center"/>
          </w:tcPr>
          <w:p w14:paraId="03378C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c>
          <w:tcPr>
            <w:tcW w:w="1162" w:type="dxa"/>
            <w:noWrap w:val="0"/>
            <w:vAlign w:val="center"/>
          </w:tcPr>
          <w:p w14:paraId="66E6D75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c>
          <w:tcPr>
            <w:tcW w:w="2183" w:type="dxa"/>
            <w:noWrap w:val="0"/>
            <w:vAlign w:val="center"/>
          </w:tcPr>
          <w:p w14:paraId="1A7CBE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由园区供水管网统一供给</w:t>
            </w:r>
          </w:p>
        </w:tc>
        <w:tc>
          <w:tcPr>
            <w:tcW w:w="1117" w:type="dxa"/>
            <w:noWrap w:val="0"/>
            <w:vAlign w:val="center"/>
          </w:tcPr>
          <w:p w14:paraId="7E02777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r w14:paraId="5CEA5C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29B7FD3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w:t>
            </w:r>
          </w:p>
        </w:tc>
        <w:tc>
          <w:tcPr>
            <w:tcW w:w="1374" w:type="dxa"/>
            <w:noWrap w:val="0"/>
            <w:vAlign w:val="center"/>
          </w:tcPr>
          <w:p w14:paraId="09A67C7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电</w:t>
            </w:r>
          </w:p>
        </w:tc>
        <w:tc>
          <w:tcPr>
            <w:tcW w:w="1460" w:type="dxa"/>
            <w:noWrap w:val="0"/>
            <w:vAlign w:val="center"/>
          </w:tcPr>
          <w:p w14:paraId="4B61B4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eastAsia" w:eastAsia="宋体" w:cs="Times New Roman"/>
                <w:color w:val="auto"/>
                <w:spacing w:val="-6"/>
                <w:sz w:val="21"/>
                <w:szCs w:val="21"/>
                <w:highlight w:val="none"/>
                <w:lang w:val="en-US" w:eastAsia="zh-CN"/>
              </w:rPr>
              <w:t>210.5</w:t>
            </w:r>
            <w:r>
              <w:rPr>
                <w:rFonts w:hint="default" w:ascii="Times New Roman" w:hAnsi="Times New Roman" w:eastAsia="宋体" w:cs="Times New Roman"/>
                <w:color w:val="auto"/>
                <w:spacing w:val="-6"/>
                <w:sz w:val="21"/>
                <w:szCs w:val="21"/>
                <w:highlight w:val="none"/>
              </w:rPr>
              <w:t>万</w:t>
            </w:r>
            <w:r>
              <w:rPr>
                <w:rFonts w:hint="eastAsia" w:eastAsia="宋体" w:cs="Times New Roman"/>
                <w:color w:val="auto"/>
                <w:spacing w:val="-6"/>
                <w:sz w:val="21"/>
                <w:szCs w:val="21"/>
                <w:highlight w:val="none"/>
                <w:lang w:val="en-US" w:eastAsia="zh-CN"/>
              </w:rPr>
              <w:t>kW</w:t>
            </w:r>
            <w:r>
              <w:rPr>
                <w:rFonts w:hint="default" w:ascii="Times New Roman" w:hAnsi="Times New Roman" w:eastAsia="宋体" w:cs="Times New Roman"/>
                <w:color w:val="auto"/>
                <w:spacing w:val="-6"/>
                <w:sz w:val="21"/>
                <w:szCs w:val="21"/>
                <w:highlight w:val="none"/>
              </w:rPr>
              <w:t>h/a</w:t>
            </w:r>
          </w:p>
        </w:tc>
        <w:tc>
          <w:tcPr>
            <w:tcW w:w="1004" w:type="dxa"/>
            <w:noWrap w:val="0"/>
            <w:vAlign w:val="center"/>
          </w:tcPr>
          <w:p w14:paraId="14E680B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c>
          <w:tcPr>
            <w:tcW w:w="1162" w:type="dxa"/>
            <w:noWrap w:val="0"/>
            <w:vAlign w:val="center"/>
          </w:tcPr>
          <w:p w14:paraId="146C8D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c>
          <w:tcPr>
            <w:tcW w:w="2183" w:type="dxa"/>
            <w:noWrap w:val="0"/>
            <w:vAlign w:val="center"/>
          </w:tcPr>
          <w:p w14:paraId="026848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由园区供电电网统一供给</w:t>
            </w:r>
          </w:p>
        </w:tc>
        <w:tc>
          <w:tcPr>
            <w:tcW w:w="1117" w:type="dxa"/>
            <w:noWrap w:val="0"/>
            <w:vAlign w:val="center"/>
          </w:tcPr>
          <w:p w14:paraId="7F3CBF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r w14:paraId="1A192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01127D3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w:t>
            </w:r>
          </w:p>
        </w:tc>
        <w:tc>
          <w:tcPr>
            <w:tcW w:w="1374" w:type="dxa"/>
            <w:noWrap w:val="0"/>
            <w:vAlign w:val="center"/>
          </w:tcPr>
          <w:p w14:paraId="61F14A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R507</w:t>
            </w:r>
          </w:p>
        </w:tc>
        <w:tc>
          <w:tcPr>
            <w:tcW w:w="1460" w:type="dxa"/>
            <w:noWrap w:val="0"/>
            <w:vAlign w:val="center"/>
          </w:tcPr>
          <w:p w14:paraId="43C3EE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4.0t/a</w:t>
            </w:r>
          </w:p>
        </w:tc>
        <w:tc>
          <w:tcPr>
            <w:tcW w:w="1004" w:type="dxa"/>
            <w:noWrap w:val="0"/>
            <w:vAlign w:val="center"/>
          </w:tcPr>
          <w:p w14:paraId="46CCAE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1.0</w:t>
            </w:r>
          </w:p>
        </w:tc>
        <w:tc>
          <w:tcPr>
            <w:tcW w:w="1162" w:type="dxa"/>
            <w:noWrap w:val="0"/>
            <w:vAlign w:val="center"/>
          </w:tcPr>
          <w:p w14:paraId="393DBB1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eastAsia" w:eastAsia="宋体" w:cs="Times New Roman"/>
                <w:color w:val="auto"/>
                <w:sz w:val="21"/>
                <w:szCs w:val="21"/>
                <w:highlight w:val="none"/>
                <w:lang w:val="en-US" w:eastAsia="zh-CN"/>
              </w:rPr>
              <w:t>库房</w:t>
            </w:r>
          </w:p>
        </w:tc>
        <w:tc>
          <w:tcPr>
            <w:tcW w:w="2183" w:type="dxa"/>
            <w:noWrap w:val="0"/>
            <w:vAlign w:val="center"/>
          </w:tcPr>
          <w:p w14:paraId="4818EC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外购</w:t>
            </w:r>
          </w:p>
        </w:tc>
        <w:tc>
          <w:tcPr>
            <w:tcW w:w="1117" w:type="dxa"/>
            <w:noWrap w:val="0"/>
            <w:vAlign w:val="center"/>
          </w:tcPr>
          <w:p w14:paraId="1B78943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r w14:paraId="431FF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948" w:type="dxa"/>
            <w:gridSpan w:val="7"/>
            <w:noWrap w:val="0"/>
            <w:vAlign w:val="center"/>
          </w:tcPr>
          <w:p w14:paraId="4531CE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辅料（消毒剂）</w:t>
            </w:r>
          </w:p>
        </w:tc>
      </w:tr>
      <w:tr w14:paraId="608C2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448EE5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w:t>
            </w:r>
          </w:p>
        </w:tc>
        <w:tc>
          <w:tcPr>
            <w:tcW w:w="1374" w:type="dxa"/>
            <w:noWrap w:val="0"/>
            <w:vAlign w:val="center"/>
          </w:tcPr>
          <w:p w14:paraId="6BA0BFA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碘伏</w:t>
            </w:r>
          </w:p>
        </w:tc>
        <w:tc>
          <w:tcPr>
            <w:tcW w:w="1460" w:type="dxa"/>
            <w:noWrap w:val="0"/>
            <w:vAlign w:val="center"/>
          </w:tcPr>
          <w:p w14:paraId="48283D2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eastAsia="宋体" w:cs="Times New Roman"/>
                <w:color w:val="auto"/>
                <w:spacing w:val="-6"/>
                <w:sz w:val="21"/>
                <w:szCs w:val="21"/>
                <w:highlight w:val="none"/>
                <w:lang w:val="en-US" w:eastAsia="zh-CN"/>
              </w:rPr>
              <w:t>4</w:t>
            </w:r>
            <w:r>
              <w:rPr>
                <w:rFonts w:hint="default" w:ascii="Times New Roman" w:hAnsi="Times New Roman" w:eastAsia="宋体" w:cs="Times New Roman"/>
                <w:color w:val="auto"/>
                <w:spacing w:val="-6"/>
                <w:sz w:val="21"/>
                <w:szCs w:val="21"/>
                <w:highlight w:val="none"/>
                <w:lang w:val="en-US" w:eastAsia="zh-CN"/>
              </w:rPr>
              <w:t>0</w:t>
            </w:r>
            <w:r>
              <w:rPr>
                <w:rFonts w:hint="default" w:ascii="Times New Roman" w:hAnsi="Times New Roman" w:eastAsia="宋体" w:cs="Times New Roman"/>
                <w:color w:val="auto"/>
                <w:spacing w:val="-6"/>
                <w:sz w:val="21"/>
                <w:szCs w:val="21"/>
                <w:highlight w:val="none"/>
              </w:rPr>
              <w:t>t/a</w:t>
            </w:r>
          </w:p>
        </w:tc>
        <w:tc>
          <w:tcPr>
            <w:tcW w:w="1004" w:type="dxa"/>
            <w:noWrap w:val="0"/>
            <w:vAlign w:val="center"/>
          </w:tcPr>
          <w:p w14:paraId="6F9E360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0.5</w:t>
            </w:r>
            <w:r>
              <w:rPr>
                <w:rFonts w:hint="default" w:ascii="Times New Roman" w:hAnsi="Times New Roman" w:eastAsia="宋体" w:cs="Times New Roman"/>
                <w:color w:val="auto"/>
                <w:spacing w:val="-6"/>
                <w:sz w:val="21"/>
                <w:szCs w:val="21"/>
                <w:highlight w:val="none"/>
              </w:rPr>
              <w:t>t/a</w:t>
            </w:r>
          </w:p>
        </w:tc>
        <w:tc>
          <w:tcPr>
            <w:tcW w:w="1162" w:type="dxa"/>
            <w:noWrap w:val="0"/>
            <w:vAlign w:val="center"/>
          </w:tcPr>
          <w:p w14:paraId="3E98FA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color w:val="auto"/>
                <w:sz w:val="21"/>
                <w:szCs w:val="21"/>
                <w:highlight w:val="none"/>
                <w:lang w:val="en-US" w:eastAsia="zh-CN"/>
              </w:rPr>
              <w:t>内包材库</w:t>
            </w:r>
          </w:p>
        </w:tc>
        <w:tc>
          <w:tcPr>
            <w:tcW w:w="2183" w:type="dxa"/>
            <w:shd w:val="clear" w:color="auto" w:fill="auto"/>
            <w:noWrap w:val="0"/>
            <w:vAlign w:val="center"/>
          </w:tcPr>
          <w:p w14:paraId="6B400FF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外购，厂区最大储存量为1t。</w:t>
            </w:r>
          </w:p>
        </w:tc>
        <w:tc>
          <w:tcPr>
            <w:tcW w:w="1117" w:type="dxa"/>
            <w:noWrap w:val="0"/>
            <w:vAlign w:val="center"/>
          </w:tcPr>
          <w:p w14:paraId="46B962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r w14:paraId="279544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5416078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w:t>
            </w:r>
          </w:p>
        </w:tc>
        <w:tc>
          <w:tcPr>
            <w:tcW w:w="1374" w:type="dxa"/>
            <w:noWrap w:val="0"/>
            <w:vAlign w:val="center"/>
          </w:tcPr>
          <w:p w14:paraId="7537F38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酒精</w:t>
            </w:r>
          </w:p>
        </w:tc>
        <w:tc>
          <w:tcPr>
            <w:tcW w:w="1460" w:type="dxa"/>
            <w:noWrap w:val="0"/>
            <w:vAlign w:val="center"/>
          </w:tcPr>
          <w:p w14:paraId="31C364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eastAsia="宋体" w:cs="Times New Roman"/>
                <w:color w:val="auto"/>
                <w:spacing w:val="-6"/>
                <w:sz w:val="21"/>
                <w:szCs w:val="21"/>
                <w:highlight w:val="none"/>
                <w:lang w:val="en-US" w:eastAsia="zh-CN"/>
              </w:rPr>
              <w:t>3</w:t>
            </w:r>
            <w:r>
              <w:rPr>
                <w:rFonts w:hint="default" w:ascii="Times New Roman" w:hAnsi="Times New Roman" w:eastAsia="宋体" w:cs="Times New Roman"/>
                <w:color w:val="auto"/>
                <w:spacing w:val="-6"/>
                <w:sz w:val="21"/>
                <w:szCs w:val="21"/>
                <w:highlight w:val="none"/>
                <w:lang w:val="en-US" w:eastAsia="zh-CN"/>
              </w:rPr>
              <w:t>0</w:t>
            </w:r>
            <w:r>
              <w:rPr>
                <w:rFonts w:hint="default" w:ascii="Times New Roman" w:hAnsi="Times New Roman" w:eastAsia="宋体" w:cs="Times New Roman"/>
                <w:color w:val="auto"/>
                <w:spacing w:val="-6"/>
                <w:sz w:val="21"/>
                <w:szCs w:val="21"/>
                <w:highlight w:val="none"/>
              </w:rPr>
              <w:t>t/a</w:t>
            </w:r>
          </w:p>
        </w:tc>
        <w:tc>
          <w:tcPr>
            <w:tcW w:w="1004" w:type="dxa"/>
            <w:noWrap w:val="0"/>
            <w:vAlign w:val="center"/>
          </w:tcPr>
          <w:p w14:paraId="3E7F92B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w:t>
            </w:r>
            <w:r>
              <w:rPr>
                <w:rFonts w:hint="default" w:ascii="Times New Roman" w:hAnsi="Times New Roman" w:eastAsia="宋体" w:cs="Times New Roman"/>
                <w:color w:val="auto"/>
                <w:spacing w:val="-6"/>
                <w:sz w:val="21"/>
                <w:szCs w:val="21"/>
                <w:highlight w:val="none"/>
              </w:rPr>
              <w:t>t/a</w:t>
            </w:r>
          </w:p>
        </w:tc>
        <w:tc>
          <w:tcPr>
            <w:tcW w:w="1162" w:type="dxa"/>
            <w:noWrap w:val="0"/>
            <w:vAlign w:val="center"/>
          </w:tcPr>
          <w:p w14:paraId="7F38C51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color w:val="auto"/>
                <w:sz w:val="21"/>
                <w:szCs w:val="21"/>
                <w:highlight w:val="none"/>
                <w:lang w:val="en-US" w:eastAsia="zh-CN"/>
              </w:rPr>
              <w:t>内包材库</w:t>
            </w:r>
          </w:p>
        </w:tc>
        <w:tc>
          <w:tcPr>
            <w:tcW w:w="2183" w:type="dxa"/>
            <w:shd w:val="clear" w:color="auto" w:fill="auto"/>
            <w:noWrap w:val="0"/>
            <w:vAlign w:val="center"/>
          </w:tcPr>
          <w:p w14:paraId="3EDE07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外购，厂区最大储存量为1t。</w:t>
            </w:r>
          </w:p>
        </w:tc>
        <w:tc>
          <w:tcPr>
            <w:tcW w:w="1117" w:type="dxa"/>
            <w:noWrap w:val="0"/>
            <w:vAlign w:val="center"/>
          </w:tcPr>
          <w:p w14:paraId="16A9B6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r w14:paraId="30506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1DA8FA9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w:t>
            </w:r>
          </w:p>
        </w:tc>
        <w:tc>
          <w:tcPr>
            <w:tcW w:w="1374" w:type="dxa"/>
            <w:noWrap w:val="0"/>
            <w:vAlign w:val="center"/>
          </w:tcPr>
          <w:p w14:paraId="023AFC5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84消毒液（</w:t>
            </w:r>
            <w:r>
              <w:rPr>
                <w:rFonts w:hint="default" w:ascii="Times New Roman" w:hAnsi="Times New Roman" w:eastAsia="宋体" w:cs="Times New Roman"/>
                <w:color w:val="auto"/>
                <w:sz w:val="21"/>
                <w:szCs w:val="21"/>
                <w:highlight w:val="none"/>
                <w:lang w:eastAsia="zh-CN"/>
              </w:rPr>
              <w:t>次氯酸钠）</w:t>
            </w:r>
          </w:p>
        </w:tc>
        <w:tc>
          <w:tcPr>
            <w:tcW w:w="1460" w:type="dxa"/>
            <w:noWrap w:val="0"/>
            <w:vAlign w:val="center"/>
          </w:tcPr>
          <w:p w14:paraId="78CF2A4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eastAsia="宋体" w:cs="Times New Roman"/>
                <w:color w:val="auto"/>
                <w:spacing w:val="-6"/>
                <w:sz w:val="21"/>
                <w:szCs w:val="21"/>
                <w:highlight w:val="none"/>
                <w:lang w:val="en-US" w:eastAsia="zh-CN"/>
              </w:rPr>
              <w:t>3</w:t>
            </w:r>
            <w:r>
              <w:rPr>
                <w:rFonts w:hint="default" w:ascii="Times New Roman" w:hAnsi="Times New Roman" w:eastAsia="宋体" w:cs="Times New Roman"/>
                <w:color w:val="auto"/>
                <w:spacing w:val="-6"/>
                <w:sz w:val="21"/>
                <w:szCs w:val="21"/>
                <w:highlight w:val="none"/>
                <w:lang w:val="en-US" w:eastAsia="zh-CN"/>
              </w:rPr>
              <w:t>0</w:t>
            </w:r>
            <w:r>
              <w:rPr>
                <w:rFonts w:hint="default" w:ascii="Times New Roman" w:hAnsi="Times New Roman" w:eastAsia="宋体" w:cs="Times New Roman"/>
                <w:color w:val="auto"/>
                <w:spacing w:val="-6"/>
                <w:sz w:val="21"/>
                <w:szCs w:val="21"/>
                <w:highlight w:val="none"/>
              </w:rPr>
              <w:t>t/a</w:t>
            </w:r>
          </w:p>
        </w:tc>
        <w:tc>
          <w:tcPr>
            <w:tcW w:w="1004" w:type="dxa"/>
            <w:noWrap w:val="0"/>
            <w:vAlign w:val="center"/>
          </w:tcPr>
          <w:p w14:paraId="3886AB9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1.0</w:t>
            </w:r>
            <w:r>
              <w:rPr>
                <w:rFonts w:hint="default" w:ascii="Times New Roman" w:hAnsi="Times New Roman" w:eastAsia="宋体" w:cs="Times New Roman"/>
                <w:color w:val="auto"/>
                <w:spacing w:val="-6"/>
                <w:sz w:val="21"/>
                <w:szCs w:val="21"/>
                <w:highlight w:val="none"/>
              </w:rPr>
              <w:t>t/a</w:t>
            </w:r>
          </w:p>
        </w:tc>
        <w:tc>
          <w:tcPr>
            <w:tcW w:w="1162" w:type="dxa"/>
            <w:noWrap w:val="0"/>
            <w:vAlign w:val="center"/>
          </w:tcPr>
          <w:p w14:paraId="6428D0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color w:val="auto"/>
                <w:sz w:val="21"/>
                <w:szCs w:val="21"/>
                <w:highlight w:val="none"/>
                <w:lang w:val="en-US" w:eastAsia="zh-CN"/>
              </w:rPr>
              <w:t>内包材库</w:t>
            </w:r>
          </w:p>
        </w:tc>
        <w:tc>
          <w:tcPr>
            <w:tcW w:w="2183" w:type="dxa"/>
            <w:shd w:val="clear" w:color="auto" w:fill="auto"/>
            <w:noWrap w:val="0"/>
            <w:vAlign w:val="center"/>
          </w:tcPr>
          <w:p w14:paraId="7E7AC6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外购，液态，浓度为10%，厂区最大储存量为1t。</w:t>
            </w:r>
          </w:p>
        </w:tc>
        <w:tc>
          <w:tcPr>
            <w:tcW w:w="1117" w:type="dxa"/>
            <w:noWrap w:val="0"/>
            <w:vAlign w:val="center"/>
          </w:tcPr>
          <w:p w14:paraId="2FD7638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0.2</w:t>
            </w:r>
          </w:p>
        </w:tc>
      </w:tr>
      <w:tr w14:paraId="4EDB1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2DC56E4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w:t>
            </w:r>
          </w:p>
        </w:tc>
        <w:tc>
          <w:tcPr>
            <w:tcW w:w="1374" w:type="dxa"/>
            <w:noWrap w:val="0"/>
            <w:vAlign w:val="center"/>
          </w:tcPr>
          <w:p w14:paraId="1A7580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过氧乙酸</w:t>
            </w:r>
          </w:p>
        </w:tc>
        <w:tc>
          <w:tcPr>
            <w:tcW w:w="1460" w:type="dxa"/>
            <w:noWrap w:val="0"/>
            <w:vAlign w:val="center"/>
          </w:tcPr>
          <w:p w14:paraId="1724F1B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eastAsia="宋体" w:cs="Times New Roman"/>
                <w:color w:val="auto"/>
                <w:spacing w:val="-6"/>
                <w:sz w:val="21"/>
                <w:szCs w:val="21"/>
                <w:highlight w:val="none"/>
                <w:lang w:val="en-US" w:eastAsia="zh-CN"/>
              </w:rPr>
              <w:t>7</w:t>
            </w:r>
            <w:r>
              <w:rPr>
                <w:rFonts w:hint="default" w:ascii="Times New Roman" w:hAnsi="Times New Roman" w:eastAsia="宋体" w:cs="Times New Roman"/>
                <w:color w:val="auto"/>
                <w:spacing w:val="-6"/>
                <w:sz w:val="21"/>
                <w:szCs w:val="21"/>
                <w:highlight w:val="none"/>
                <w:lang w:val="en-US" w:eastAsia="zh-CN"/>
              </w:rPr>
              <w:t>0</w:t>
            </w:r>
            <w:r>
              <w:rPr>
                <w:rFonts w:hint="default" w:ascii="Times New Roman" w:hAnsi="Times New Roman" w:eastAsia="宋体" w:cs="Times New Roman"/>
                <w:color w:val="auto"/>
                <w:spacing w:val="-6"/>
                <w:sz w:val="21"/>
                <w:szCs w:val="21"/>
                <w:highlight w:val="none"/>
              </w:rPr>
              <w:t>t/a</w:t>
            </w:r>
          </w:p>
        </w:tc>
        <w:tc>
          <w:tcPr>
            <w:tcW w:w="1004" w:type="dxa"/>
            <w:noWrap w:val="0"/>
            <w:vAlign w:val="center"/>
          </w:tcPr>
          <w:p w14:paraId="1664BE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3</w:t>
            </w:r>
            <w:r>
              <w:rPr>
                <w:rFonts w:hint="default" w:ascii="Times New Roman" w:hAnsi="Times New Roman" w:eastAsia="宋体" w:cs="Times New Roman"/>
                <w:color w:val="auto"/>
                <w:spacing w:val="-6"/>
                <w:sz w:val="21"/>
                <w:szCs w:val="21"/>
                <w:highlight w:val="none"/>
              </w:rPr>
              <w:t>t/a</w:t>
            </w:r>
          </w:p>
        </w:tc>
        <w:tc>
          <w:tcPr>
            <w:tcW w:w="1162" w:type="dxa"/>
            <w:noWrap w:val="0"/>
            <w:vAlign w:val="center"/>
          </w:tcPr>
          <w:p w14:paraId="58EAC2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color w:val="auto"/>
                <w:sz w:val="21"/>
                <w:szCs w:val="21"/>
                <w:highlight w:val="none"/>
                <w:lang w:val="en-US" w:eastAsia="zh-CN"/>
              </w:rPr>
              <w:t>内包材库</w:t>
            </w:r>
          </w:p>
        </w:tc>
        <w:tc>
          <w:tcPr>
            <w:tcW w:w="2183" w:type="dxa"/>
            <w:shd w:val="clear" w:color="auto" w:fill="auto"/>
            <w:noWrap w:val="0"/>
            <w:vAlign w:val="center"/>
          </w:tcPr>
          <w:p w14:paraId="448506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外购，厂区最大储存量为2t。</w:t>
            </w:r>
          </w:p>
        </w:tc>
        <w:tc>
          <w:tcPr>
            <w:tcW w:w="1117" w:type="dxa"/>
            <w:noWrap w:val="0"/>
            <w:vAlign w:val="center"/>
          </w:tcPr>
          <w:p w14:paraId="6AA3399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0.6</w:t>
            </w:r>
          </w:p>
        </w:tc>
      </w:tr>
      <w:tr w14:paraId="1FE8E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2474A8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w:t>
            </w:r>
          </w:p>
        </w:tc>
        <w:tc>
          <w:tcPr>
            <w:tcW w:w="1374" w:type="dxa"/>
            <w:noWrap w:val="0"/>
            <w:vAlign w:val="center"/>
          </w:tcPr>
          <w:p w14:paraId="5CAE576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火碱</w:t>
            </w:r>
          </w:p>
        </w:tc>
        <w:tc>
          <w:tcPr>
            <w:tcW w:w="1460" w:type="dxa"/>
            <w:noWrap w:val="0"/>
            <w:vAlign w:val="center"/>
          </w:tcPr>
          <w:p w14:paraId="01AD70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eastAsia="宋体" w:cs="Times New Roman"/>
                <w:color w:val="auto"/>
                <w:spacing w:val="-6"/>
                <w:sz w:val="21"/>
                <w:szCs w:val="21"/>
                <w:highlight w:val="none"/>
                <w:lang w:val="en-US" w:eastAsia="zh-CN"/>
              </w:rPr>
              <w:t>4</w:t>
            </w:r>
            <w:r>
              <w:rPr>
                <w:rFonts w:hint="default" w:ascii="Times New Roman" w:hAnsi="Times New Roman" w:eastAsia="宋体" w:cs="Times New Roman"/>
                <w:color w:val="auto"/>
                <w:spacing w:val="-6"/>
                <w:sz w:val="21"/>
                <w:szCs w:val="21"/>
                <w:highlight w:val="none"/>
                <w:lang w:val="en-US" w:eastAsia="zh-CN"/>
              </w:rPr>
              <w:t>0</w:t>
            </w:r>
            <w:r>
              <w:rPr>
                <w:rFonts w:hint="default" w:ascii="Times New Roman" w:hAnsi="Times New Roman" w:eastAsia="宋体" w:cs="Times New Roman"/>
                <w:color w:val="auto"/>
                <w:spacing w:val="-6"/>
                <w:sz w:val="21"/>
                <w:szCs w:val="21"/>
                <w:highlight w:val="none"/>
              </w:rPr>
              <w:t>t/a</w:t>
            </w:r>
          </w:p>
        </w:tc>
        <w:tc>
          <w:tcPr>
            <w:tcW w:w="1004" w:type="dxa"/>
            <w:noWrap w:val="0"/>
            <w:vAlign w:val="center"/>
          </w:tcPr>
          <w:p w14:paraId="6A42A0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w:t>
            </w:r>
            <w:r>
              <w:rPr>
                <w:rFonts w:hint="default" w:ascii="Times New Roman" w:hAnsi="Times New Roman" w:eastAsia="宋体" w:cs="Times New Roman"/>
                <w:color w:val="auto"/>
                <w:spacing w:val="-6"/>
                <w:sz w:val="21"/>
                <w:szCs w:val="21"/>
                <w:highlight w:val="none"/>
              </w:rPr>
              <w:t>t/a</w:t>
            </w:r>
          </w:p>
        </w:tc>
        <w:tc>
          <w:tcPr>
            <w:tcW w:w="1162" w:type="dxa"/>
            <w:noWrap w:val="0"/>
            <w:vAlign w:val="center"/>
          </w:tcPr>
          <w:p w14:paraId="3335CBA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color w:val="auto"/>
                <w:sz w:val="21"/>
                <w:szCs w:val="21"/>
                <w:highlight w:val="none"/>
                <w:lang w:val="en-US" w:eastAsia="zh-CN"/>
              </w:rPr>
              <w:t>内包材库</w:t>
            </w:r>
          </w:p>
        </w:tc>
        <w:tc>
          <w:tcPr>
            <w:tcW w:w="2183" w:type="dxa"/>
            <w:shd w:val="clear" w:color="auto" w:fill="auto"/>
            <w:noWrap w:val="0"/>
            <w:vAlign w:val="center"/>
          </w:tcPr>
          <w:p w14:paraId="592E523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外购，厂区最大储存量为1t。</w:t>
            </w:r>
          </w:p>
        </w:tc>
        <w:tc>
          <w:tcPr>
            <w:tcW w:w="1117" w:type="dxa"/>
            <w:noWrap w:val="0"/>
            <w:vAlign w:val="center"/>
          </w:tcPr>
          <w:p w14:paraId="1D95E9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r w14:paraId="47E80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8" w:type="dxa"/>
            <w:noWrap w:val="0"/>
            <w:vAlign w:val="center"/>
          </w:tcPr>
          <w:p w14:paraId="2B9DCB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w:t>
            </w:r>
          </w:p>
        </w:tc>
        <w:tc>
          <w:tcPr>
            <w:tcW w:w="1374" w:type="dxa"/>
            <w:noWrap w:val="0"/>
            <w:vAlign w:val="center"/>
          </w:tcPr>
          <w:p w14:paraId="333FD4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医用双</w:t>
            </w:r>
            <w:r>
              <w:rPr>
                <w:rFonts w:hint="default" w:ascii="Times New Roman" w:hAnsi="Times New Roman" w:eastAsia="宋体" w:cs="Times New Roman"/>
                <w:color w:val="auto"/>
                <w:sz w:val="21"/>
                <w:szCs w:val="21"/>
                <w:highlight w:val="none"/>
                <w:lang w:val="en-US" w:eastAsia="zh-CN"/>
              </w:rPr>
              <w:t>氧水</w:t>
            </w:r>
          </w:p>
        </w:tc>
        <w:tc>
          <w:tcPr>
            <w:tcW w:w="1460" w:type="dxa"/>
            <w:noWrap w:val="0"/>
            <w:vAlign w:val="center"/>
          </w:tcPr>
          <w:p w14:paraId="58B2C85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eastAsia="宋体" w:cs="Times New Roman"/>
                <w:color w:val="auto"/>
                <w:spacing w:val="-6"/>
                <w:sz w:val="21"/>
                <w:szCs w:val="21"/>
                <w:highlight w:val="none"/>
                <w:lang w:val="en-US" w:eastAsia="zh-CN"/>
              </w:rPr>
              <w:t>8</w:t>
            </w:r>
            <w:r>
              <w:rPr>
                <w:rFonts w:hint="default" w:ascii="Times New Roman" w:hAnsi="Times New Roman" w:eastAsia="宋体" w:cs="Times New Roman"/>
                <w:color w:val="auto"/>
                <w:spacing w:val="-6"/>
                <w:sz w:val="21"/>
                <w:szCs w:val="21"/>
                <w:highlight w:val="none"/>
              </w:rPr>
              <w:t>t/a</w:t>
            </w:r>
          </w:p>
        </w:tc>
        <w:tc>
          <w:tcPr>
            <w:tcW w:w="1004" w:type="dxa"/>
            <w:noWrap w:val="0"/>
            <w:vAlign w:val="center"/>
          </w:tcPr>
          <w:p w14:paraId="005B719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0.5</w:t>
            </w:r>
            <w:r>
              <w:rPr>
                <w:rFonts w:hint="default" w:ascii="Times New Roman" w:hAnsi="Times New Roman" w:eastAsia="宋体" w:cs="Times New Roman"/>
                <w:color w:val="auto"/>
                <w:spacing w:val="-6"/>
                <w:sz w:val="21"/>
                <w:szCs w:val="21"/>
                <w:highlight w:val="none"/>
              </w:rPr>
              <w:t>t/a</w:t>
            </w:r>
          </w:p>
        </w:tc>
        <w:tc>
          <w:tcPr>
            <w:tcW w:w="1162" w:type="dxa"/>
            <w:noWrap w:val="0"/>
            <w:vAlign w:val="center"/>
          </w:tcPr>
          <w:p w14:paraId="1E033B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color w:val="auto"/>
                <w:sz w:val="21"/>
                <w:szCs w:val="21"/>
                <w:highlight w:val="none"/>
                <w:lang w:val="en-US" w:eastAsia="zh-CN"/>
              </w:rPr>
              <w:t>内包材库</w:t>
            </w:r>
          </w:p>
        </w:tc>
        <w:tc>
          <w:tcPr>
            <w:tcW w:w="2183" w:type="dxa"/>
            <w:shd w:val="clear" w:color="auto" w:fill="auto"/>
            <w:noWrap w:val="0"/>
            <w:vAlign w:val="center"/>
          </w:tcPr>
          <w:p w14:paraId="3986F0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外购，厂区最大储存量为0.5t。</w:t>
            </w:r>
          </w:p>
        </w:tc>
        <w:tc>
          <w:tcPr>
            <w:tcW w:w="1117" w:type="dxa"/>
            <w:noWrap w:val="0"/>
            <w:vAlign w:val="center"/>
          </w:tcPr>
          <w:p w14:paraId="0D8CA9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r>
    </w:tbl>
    <w:p w14:paraId="7F21CC4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sectPr>
          <w:headerReference r:id="rId12" w:type="default"/>
          <w:footerReference r:id="rId13"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5595EEC6">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b/>
          <w:color w:val="auto"/>
          <w:sz w:val="24"/>
          <w:highlight w:val="none"/>
        </w:rPr>
      </w:pPr>
      <w:r>
        <w:rPr>
          <w:rFonts w:hint="default" w:ascii="Times New Roman" w:hAnsi="Times New Roman" w:eastAsia="宋体" w:cs="Times New Roman"/>
          <w:b w:val="0"/>
          <w:bCs/>
          <w:color w:val="auto"/>
          <w:sz w:val="21"/>
          <w:szCs w:val="21"/>
        </w:rPr>
        <w:t>表2.</w:t>
      </w: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rPr>
        <w:t>-</w:t>
      </w:r>
      <w:r>
        <w:rPr>
          <w:rFonts w:hint="eastAsia" w:eastAsia="宋体" w:cs="Times New Roman"/>
          <w:b w:val="0"/>
          <w:bCs/>
          <w:color w:val="auto"/>
          <w:sz w:val="21"/>
          <w:szCs w:val="21"/>
          <w:lang w:val="en-US" w:eastAsia="zh-CN"/>
        </w:rPr>
        <w:t>6</w:t>
      </w:r>
      <w:r>
        <w:rPr>
          <w:rFonts w:hint="default" w:ascii="Times New Roman" w:hAnsi="Times New Roman" w:cs="Times New Roman"/>
          <w:color w:val="auto"/>
          <w:sz w:val="24"/>
          <w:highlight w:val="none"/>
        </w:rPr>
        <w:t xml:space="preserve">  </w:t>
      </w:r>
      <w:r>
        <w:rPr>
          <w:rFonts w:hint="eastAsia" w:cs="Times New Roman"/>
          <w:color w:val="auto"/>
          <w:sz w:val="24"/>
          <w:highlight w:val="none"/>
          <w:lang w:val="en-US" w:eastAsia="zh-CN"/>
        </w:rPr>
        <w:t xml:space="preserve">                                          </w:t>
      </w:r>
      <w:r>
        <w:rPr>
          <w:rFonts w:hint="default" w:ascii="宋体" w:hAnsi="宋体" w:eastAsia="宋体" w:cs="宋体"/>
          <w:b/>
          <w:color w:val="auto"/>
          <w:sz w:val="24"/>
          <w:highlight w:val="none"/>
        </w:rPr>
        <w:t>本项目原料理化性质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116"/>
        <w:gridCol w:w="10848"/>
        <w:gridCol w:w="1095"/>
      </w:tblGrid>
      <w:tr w14:paraId="6A98F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13" w:type="dxa"/>
            <w:noWrap w:val="0"/>
            <w:vAlign w:val="center"/>
          </w:tcPr>
          <w:p w14:paraId="52C138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126" w:type="dxa"/>
            <w:noWrap w:val="0"/>
            <w:vAlign w:val="center"/>
          </w:tcPr>
          <w:p w14:paraId="113A97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主要成分</w:t>
            </w:r>
          </w:p>
        </w:tc>
        <w:tc>
          <w:tcPr>
            <w:tcW w:w="10973" w:type="dxa"/>
            <w:noWrap w:val="0"/>
            <w:vAlign w:val="center"/>
          </w:tcPr>
          <w:p w14:paraId="13DC8B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理化性质</w:t>
            </w:r>
          </w:p>
        </w:tc>
        <w:tc>
          <w:tcPr>
            <w:tcW w:w="1105" w:type="dxa"/>
            <w:noWrap w:val="0"/>
            <w:vAlign w:val="center"/>
          </w:tcPr>
          <w:p w14:paraId="16622A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项目用途</w:t>
            </w:r>
          </w:p>
        </w:tc>
      </w:tr>
      <w:tr w14:paraId="03553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13" w:type="dxa"/>
            <w:vMerge w:val="restart"/>
            <w:noWrap w:val="0"/>
            <w:vAlign w:val="center"/>
          </w:tcPr>
          <w:p w14:paraId="5CAF57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碘伏</w:t>
            </w:r>
          </w:p>
        </w:tc>
        <w:tc>
          <w:tcPr>
            <w:tcW w:w="1126" w:type="dxa"/>
            <w:vMerge w:val="restart"/>
            <w:noWrap w:val="0"/>
            <w:vAlign w:val="center"/>
          </w:tcPr>
          <w:p w14:paraId="0AB259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碘</w:t>
            </w:r>
          </w:p>
        </w:tc>
        <w:tc>
          <w:tcPr>
            <w:tcW w:w="10973" w:type="dxa"/>
            <w:noWrap w:val="0"/>
            <w:vAlign w:val="center"/>
          </w:tcPr>
          <w:p w14:paraId="7438C941">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碘伏具有广谱杀菌作用，可杀灭细菌繁殖体、真菌、原虫和部分病毒。在医疗上用作杀菌消毒剂，可用于皮肤、</w:t>
            </w:r>
            <w:r>
              <w:rPr>
                <w:rFonts w:hint="eastAsia" w:eastAsia="宋体" w:cs="Times New Roman"/>
                <w:snapToGrid w:val="0"/>
                <w:color w:val="auto"/>
                <w:kern w:val="0"/>
                <w:sz w:val="21"/>
                <w:szCs w:val="21"/>
                <w:highlight w:val="none"/>
                <w:lang w:eastAsia="zh-CN"/>
              </w:rPr>
              <w:t>粘膜</w:t>
            </w:r>
            <w:r>
              <w:rPr>
                <w:rFonts w:hint="default" w:ascii="Times New Roman" w:hAnsi="Times New Roman" w:eastAsia="宋体" w:cs="Times New Roman"/>
                <w:snapToGrid w:val="0"/>
                <w:color w:val="auto"/>
                <w:kern w:val="0"/>
                <w:sz w:val="21"/>
                <w:szCs w:val="21"/>
                <w:highlight w:val="none"/>
              </w:rPr>
              <w:t>的消毒，也可处理烫伤、治疗滴虫性阴道炎、霉菌性阴道炎、皮肤霉菌感染等。也可用于手术前和其它皮肤的消毒、各种注射部位皮肤消毒、器械浸泡消毒以及阴道手术前消毒等。</w:t>
            </w:r>
          </w:p>
        </w:tc>
        <w:tc>
          <w:tcPr>
            <w:tcW w:w="1105" w:type="dxa"/>
            <w:vMerge w:val="restart"/>
            <w:noWrap w:val="0"/>
            <w:vAlign w:val="center"/>
          </w:tcPr>
          <w:p w14:paraId="5794C7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人员</w:t>
            </w:r>
          </w:p>
          <w:p w14:paraId="46FCB4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消毒</w:t>
            </w:r>
          </w:p>
        </w:tc>
      </w:tr>
      <w:tr w14:paraId="1D953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13" w:type="dxa"/>
            <w:vMerge w:val="continue"/>
            <w:noWrap w:val="0"/>
            <w:vAlign w:val="center"/>
          </w:tcPr>
          <w:p w14:paraId="352360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26" w:type="dxa"/>
            <w:vMerge w:val="continue"/>
            <w:noWrap w:val="0"/>
            <w:vAlign w:val="center"/>
          </w:tcPr>
          <w:p w14:paraId="08A30C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0973" w:type="dxa"/>
            <w:noWrap w:val="0"/>
            <w:vAlign w:val="center"/>
          </w:tcPr>
          <w:p w14:paraId="324386FA">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过敏反应重者可发生喉水肿、哮喘样发作或休克。处理眼或皮肤污染时立即用清水彻底冲洗，如症状不能缓解或加重，应专科医院就诊。经口摄入中毒后，可服用大量淀粉、米汤，注意防治喉痉挛和肺水肿。发生过敏反应时</w:t>
            </w:r>
            <w:r>
              <w:rPr>
                <w:rFonts w:hint="eastAsia" w:eastAsia="宋体" w:cs="Times New Roman"/>
                <w:snapToGrid w:val="0"/>
                <w:color w:val="auto"/>
                <w:kern w:val="0"/>
                <w:sz w:val="21"/>
                <w:szCs w:val="21"/>
                <w:highlight w:val="none"/>
                <w:lang w:eastAsia="zh-CN"/>
              </w:rPr>
              <w:t>给予</w:t>
            </w:r>
            <w:r>
              <w:rPr>
                <w:rFonts w:hint="default" w:ascii="Times New Roman" w:hAnsi="Times New Roman" w:eastAsia="宋体" w:cs="Times New Roman"/>
                <w:snapToGrid w:val="0"/>
                <w:color w:val="auto"/>
                <w:kern w:val="0"/>
                <w:sz w:val="21"/>
                <w:szCs w:val="21"/>
                <w:highlight w:val="none"/>
              </w:rPr>
              <w:t>抗过敏药物及对症处理。</w:t>
            </w:r>
          </w:p>
        </w:tc>
        <w:tc>
          <w:tcPr>
            <w:tcW w:w="1105" w:type="dxa"/>
            <w:vMerge w:val="continue"/>
            <w:noWrap w:val="0"/>
            <w:vAlign w:val="center"/>
          </w:tcPr>
          <w:p w14:paraId="589503A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14:paraId="01A6E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13" w:type="dxa"/>
            <w:vMerge w:val="restart"/>
            <w:noWrap w:val="0"/>
            <w:vAlign w:val="center"/>
          </w:tcPr>
          <w:p w14:paraId="4EEAB05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酒精</w:t>
            </w:r>
          </w:p>
        </w:tc>
        <w:tc>
          <w:tcPr>
            <w:tcW w:w="1126" w:type="dxa"/>
            <w:vMerge w:val="restart"/>
            <w:noWrap w:val="0"/>
            <w:vAlign w:val="center"/>
          </w:tcPr>
          <w:p w14:paraId="0A9589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eastAsia="zh-CN"/>
              </w:rPr>
              <w:t>酒精</w:t>
            </w:r>
          </w:p>
        </w:tc>
        <w:tc>
          <w:tcPr>
            <w:tcW w:w="10973" w:type="dxa"/>
            <w:noWrap w:val="0"/>
            <w:vAlign w:val="center"/>
          </w:tcPr>
          <w:p w14:paraId="67903B64">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无色、透明，具有特殊香味的液体，密度比水小，能跟水以任意比互溶</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用于</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"https://baike.so.com/doc/5994555-6207526.html"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燃料</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"https://baike.so.com/doc/1355777-1433373.html"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溶剂</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和</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"https://baike.so.com/doc/5895054-6107943.html"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消毒剂</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，也用于制取其他化合物。</w:t>
            </w:r>
          </w:p>
        </w:tc>
        <w:tc>
          <w:tcPr>
            <w:tcW w:w="1105" w:type="dxa"/>
            <w:vMerge w:val="restart"/>
            <w:noWrap w:val="0"/>
            <w:vAlign w:val="center"/>
          </w:tcPr>
          <w:p w14:paraId="51913E1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人员</w:t>
            </w:r>
            <w:r>
              <w:rPr>
                <w:rFonts w:hint="default" w:ascii="Times New Roman" w:hAnsi="Times New Roman" w:eastAsia="宋体" w:cs="Times New Roman"/>
                <w:color w:val="auto"/>
                <w:sz w:val="21"/>
                <w:szCs w:val="21"/>
                <w:highlight w:val="none"/>
              </w:rPr>
              <w:t>消毒</w:t>
            </w:r>
          </w:p>
        </w:tc>
      </w:tr>
      <w:tr w14:paraId="76E47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713" w:type="dxa"/>
            <w:vMerge w:val="continue"/>
            <w:noWrap w:val="0"/>
            <w:vAlign w:val="center"/>
          </w:tcPr>
          <w:p w14:paraId="5471D4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26" w:type="dxa"/>
            <w:vMerge w:val="continue"/>
            <w:noWrap w:val="0"/>
            <w:vAlign w:val="center"/>
          </w:tcPr>
          <w:p w14:paraId="2B8FE8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0973" w:type="dxa"/>
            <w:noWrap w:val="0"/>
            <w:vAlign w:val="center"/>
          </w:tcPr>
          <w:p w14:paraId="756AC4A5">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泄漏：迅速撤离泄漏污染区人员至安全区，并进行隔离，严格限制出入。切断火源。建议应急处理人员戴自给正压式呼吸器，穿消防防护服。尽可能切断泄漏源，防止进入下水道、排洪沟等限制性空间。</w:t>
            </w:r>
          </w:p>
          <w:p w14:paraId="1A508934">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小量</w:t>
            </w:r>
            <w:r>
              <w:rPr>
                <w:rFonts w:hint="default" w:ascii="Times New Roman" w:hAnsi="Times New Roman" w:eastAsia="宋体" w:cs="Times New Roman"/>
                <w:snapToGrid w:val="0"/>
                <w:color w:val="auto"/>
                <w:kern w:val="0"/>
                <w:sz w:val="21"/>
                <w:szCs w:val="21"/>
                <w:highlight w:val="none"/>
                <w:lang w:val="en-US" w:eastAsia="zh-CN"/>
              </w:rPr>
              <w:t>泄漏</w:t>
            </w:r>
            <w:r>
              <w:rPr>
                <w:rFonts w:hint="default" w:ascii="Times New Roman" w:hAnsi="Times New Roman" w:eastAsia="宋体" w:cs="Times New Roman"/>
                <w:snapToGrid w:val="0"/>
                <w:color w:val="auto"/>
                <w:kern w:val="0"/>
                <w:sz w:val="21"/>
                <w:szCs w:val="21"/>
                <w:highlight w:val="none"/>
              </w:rPr>
              <w:t>：用砂土或</w:t>
            </w:r>
            <w:r>
              <w:rPr>
                <w:rFonts w:hint="eastAsia" w:eastAsia="宋体" w:cs="Times New Roman"/>
                <w:snapToGrid w:val="0"/>
                <w:color w:val="auto"/>
                <w:kern w:val="0"/>
                <w:sz w:val="21"/>
                <w:szCs w:val="21"/>
                <w:highlight w:val="none"/>
                <w:lang w:eastAsia="zh-CN"/>
              </w:rPr>
              <w:t>其他不</w:t>
            </w:r>
            <w:r>
              <w:rPr>
                <w:rFonts w:hint="default" w:ascii="Times New Roman" w:hAnsi="Times New Roman" w:eastAsia="宋体" w:cs="Times New Roman"/>
                <w:snapToGrid w:val="0"/>
                <w:color w:val="auto"/>
                <w:kern w:val="0"/>
                <w:sz w:val="21"/>
                <w:szCs w:val="21"/>
                <w:highlight w:val="none"/>
              </w:rPr>
              <w:t>燃材料吸附或吸收。也可用大量水冲洗，洗水稀释后放入废水系统。</w:t>
            </w:r>
          </w:p>
          <w:p w14:paraId="2A950F13">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大量</w:t>
            </w:r>
            <w:r>
              <w:rPr>
                <w:rFonts w:hint="eastAsia" w:eastAsia="宋体" w:cs="Times New Roman"/>
                <w:snapToGrid w:val="0"/>
                <w:color w:val="auto"/>
                <w:kern w:val="0"/>
                <w:sz w:val="21"/>
                <w:szCs w:val="21"/>
                <w:highlight w:val="none"/>
                <w:lang w:eastAsia="zh-CN"/>
              </w:rPr>
              <w:t>泄漏</w:t>
            </w:r>
            <w:r>
              <w:rPr>
                <w:rFonts w:hint="default" w:ascii="Times New Roman" w:hAnsi="Times New Roman" w:eastAsia="宋体" w:cs="Times New Roman"/>
                <w:snapToGrid w:val="0"/>
                <w:color w:val="auto"/>
                <w:kern w:val="0"/>
                <w:sz w:val="21"/>
                <w:szCs w:val="21"/>
                <w:highlight w:val="none"/>
              </w:rPr>
              <w:t>：构筑围堤或挖坑收容；用泡沫覆盖，降低蒸气灾害。用防爆泵转移至槽车或专用收集器内，回收或运至废物处理场所处置。</w:t>
            </w:r>
          </w:p>
        </w:tc>
        <w:tc>
          <w:tcPr>
            <w:tcW w:w="1105" w:type="dxa"/>
            <w:vMerge w:val="continue"/>
            <w:noWrap w:val="0"/>
            <w:vAlign w:val="center"/>
          </w:tcPr>
          <w:p w14:paraId="4D0A6B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14:paraId="38CDF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13" w:type="dxa"/>
            <w:vMerge w:val="restart"/>
            <w:noWrap w:val="0"/>
            <w:vAlign w:val="center"/>
          </w:tcPr>
          <w:p w14:paraId="387842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次氯酸钠</w:t>
            </w:r>
          </w:p>
        </w:tc>
        <w:tc>
          <w:tcPr>
            <w:tcW w:w="1126" w:type="dxa"/>
            <w:vMerge w:val="restart"/>
            <w:noWrap w:val="0"/>
            <w:vAlign w:val="center"/>
          </w:tcPr>
          <w:p w14:paraId="2A2B47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次氯酸钠</w:t>
            </w:r>
          </w:p>
        </w:tc>
        <w:tc>
          <w:tcPr>
            <w:tcW w:w="10973" w:type="dxa"/>
            <w:noWrap w:val="0"/>
            <w:vAlign w:val="center"/>
          </w:tcPr>
          <w:p w14:paraId="55805971">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微黄色</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溶液</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或白色粉末</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固体</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，有似氯气的气味，不稳定，见光分解，不燃，具腐蚀性。</w:t>
            </w:r>
          </w:p>
        </w:tc>
        <w:tc>
          <w:tcPr>
            <w:tcW w:w="1105" w:type="dxa"/>
            <w:vMerge w:val="restart"/>
            <w:noWrap w:val="0"/>
            <w:vAlign w:val="center"/>
          </w:tcPr>
          <w:p w14:paraId="6618C0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污水处理站消毒</w:t>
            </w:r>
          </w:p>
        </w:tc>
      </w:tr>
      <w:tr w14:paraId="45025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13" w:type="dxa"/>
            <w:vMerge w:val="continue"/>
            <w:noWrap w:val="0"/>
            <w:vAlign w:val="center"/>
          </w:tcPr>
          <w:p w14:paraId="1CB535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26" w:type="dxa"/>
            <w:vMerge w:val="continue"/>
            <w:noWrap w:val="0"/>
            <w:vAlign w:val="center"/>
          </w:tcPr>
          <w:p w14:paraId="30CE49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0973" w:type="dxa"/>
            <w:noWrap w:val="0"/>
            <w:vAlign w:val="center"/>
          </w:tcPr>
          <w:p w14:paraId="68F866CE">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皮肤接触</w:t>
            </w: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脱去污染的衣着，用大量流动清水冲洗</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眼睛接触</w:t>
            </w: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提起眼睑，用流动清水或生理盐水冲洗</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吸入</w:t>
            </w: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迅速脱离现场至空气新鲜处。保持呼吸道通畅。如呼吸困难，给输氧。如呼吸停止，立即进行人工呼吸，就医</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食入</w:t>
            </w: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饮足量温水，催吐。</w:t>
            </w:r>
          </w:p>
        </w:tc>
        <w:tc>
          <w:tcPr>
            <w:tcW w:w="1105" w:type="dxa"/>
            <w:vMerge w:val="continue"/>
            <w:noWrap w:val="0"/>
            <w:vAlign w:val="center"/>
          </w:tcPr>
          <w:p w14:paraId="54BA76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14:paraId="7DBA6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13" w:type="dxa"/>
            <w:vMerge w:val="restart"/>
            <w:shd w:val="clear" w:color="auto" w:fill="auto"/>
            <w:noWrap w:val="0"/>
            <w:vAlign w:val="center"/>
          </w:tcPr>
          <w:p w14:paraId="70A807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过氧乙酸</w:t>
            </w:r>
          </w:p>
        </w:tc>
        <w:tc>
          <w:tcPr>
            <w:tcW w:w="1126" w:type="dxa"/>
            <w:vMerge w:val="restart"/>
            <w:shd w:val="clear" w:color="auto" w:fill="auto"/>
            <w:noWrap w:val="0"/>
            <w:vAlign w:val="center"/>
          </w:tcPr>
          <w:p w14:paraId="7CE821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过氧乙酸</w:t>
            </w:r>
          </w:p>
        </w:tc>
        <w:tc>
          <w:tcPr>
            <w:tcW w:w="10973" w:type="dxa"/>
            <w:shd w:val="clear" w:color="auto" w:fill="auto"/>
            <w:noWrap w:val="0"/>
            <w:vAlign w:val="center"/>
          </w:tcPr>
          <w:p w14:paraId="179243B2">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溶于水、</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"https://baike.so.com/doc/18539-19230.html"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醇</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"https://baike.so.com/doc/1396101-1475990.html"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醚</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"https://baike.so.com/doc/1246072-1317817.html"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硫酸</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。属</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"https://baike.so.com/doc/6298092-6511615.html"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强氧化剂</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，极不稳定。在-20℃也会爆炸，浓度大于45%就有</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"https://baike.so.com/doc/24479250-25325799.html"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爆炸性</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，遇</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"https://baike.so.com/doc/6195575-6408836.html"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高热</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"https://baike.so.com/doc/722002-764387.html"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还原剂</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或有</w:t>
            </w: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HYPERLINK "https://baike.so.com/doc/5655027-5867675.html" \t "https://baike.so.com/doc/_blank"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snapToGrid w:val="0"/>
                <w:color w:val="auto"/>
                <w:kern w:val="0"/>
                <w:sz w:val="21"/>
                <w:szCs w:val="21"/>
                <w:highlight w:val="none"/>
              </w:rPr>
              <w:t>金属离子</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存在就会引起爆炸</w:t>
            </w:r>
            <w:r>
              <w:rPr>
                <w:rFonts w:hint="default" w:ascii="Times New Roman" w:hAnsi="Times New Roman" w:eastAsia="宋体" w:cs="Times New Roman"/>
                <w:snapToGrid w:val="0"/>
                <w:color w:val="auto"/>
                <w:kern w:val="0"/>
                <w:sz w:val="21"/>
                <w:szCs w:val="21"/>
                <w:highlight w:val="none"/>
                <w:lang w:eastAsia="zh-CN"/>
              </w:rPr>
              <w:t>。</w:t>
            </w:r>
          </w:p>
        </w:tc>
        <w:tc>
          <w:tcPr>
            <w:tcW w:w="1105" w:type="dxa"/>
            <w:vMerge w:val="restart"/>
            <w:shd w:val="clear" w:color="auto" w:fill="auto"/>
            <w:noWrap w:val="0"/>
            <w:vAlign w:val="center"/>
          </w:tcPr>
          <w:p w14:paraId="26FA46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车间消毒</w:t>
            </w:r>
          </w:p>
        </w:tc>
      </w:tr>
      <w:tr w14:paraId="053AB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713" w:type="dxa"/>
            <w:vMerge w:val="continue"/>
            <w:noWrap w:val="0"/>
            <w:vAlign w:val="center"/>
          </w:tcPr>
          <w:p w14:paraId="677F19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26" w:type="dxa"/>
            <w:vMerge w:val="continue"/>
            <w:noWrap w:val="0"/>
            <w:vAlign w:val="center"/>
          </w:tcPr>
          <w:p w14:paraId="22B191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0973" w:type="dxa"/>
            <w:shd w:val="clear" w:color="auto" w:fill="auto"/>
            <w:noWrap w:val="0"/>
            <w:vAlign w:val="center"/>
          </w:tcPr>
          <w:p w14:paraId="21527DE2">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皮肤接触，脱去污染衣物，用肥皂水及清水彻底冲洗</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眼睛接触，立即翻开上</w:t>
            </w:r>
            <w:r>
              <w:rPr>
                <w:rFonts w:hint="eastAsia" w:eastAsia="宋体" w:cs="Times New Roman"/>
                <w:snapToGrid w:val="0"/>
                <w:color w:val="auto"/>
                <w:kern w:val="0"/>
                <w:sz w:val="21"/>
                <w:szCs w:val="21"/>
                <w:highlight w:val="none"/>
                <w:lang w:eastAsia="zh-CN"/>
              </w:rPr>
              <w:t>下眼睑</w:t>
            </w:r>
            <w:r>
              <w:rPr>
                <w:rFonts w:hint="default" w:ascii="Times New Roman" w:hAnsi="Times New Roman" w:eastAsia="宋体" w:cs="Times New Roman"/>
                <w:snapToGrid w:val="0"/>
                <w:color w:val="auto"/>
                <w:kern w:val="0"/>
                <w:sz w:val="21"/>
                <w:szCs w:val="21"/>
                <w:highlight w:val="none"/>
              </w:rPr>
              <w:t>，用流动清水冲洗15分钟，就医</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吸入，迅速脱离现场至空气新鲜处。呼吸困难时，给氧。呼吸停止时，立即进行人工呼吸。就医</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食入，误服者给饮牛奶或蛋清。立即就医。</w:t>
            </w:r>
          </w:p>
        </w:tc>
        <w:tc>
          <w:tcPr>
            <w:tcW w:w="1105" w:type="dxa"/>
            <w:vMerge w:val="continue"/>
            <w:noWrap w:val="0"/>
            <w:vAlign w:val="center"/>
          </w:tcPr>
          <w:p w14:paraId="1EB6D8A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r>
    </w:tbl>
    <w:p w14:paraId="2EBE559B">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b/>
          <w:color w:val="auto"/>
          <w:sz w:val="24"/>
          <w:highlight w:val="none"/>
        </w:rPr>
      </w:pPr>
      <w:r>
        <w:rPr>
          <w:rFonts w:hint="eastAsia" w:eastAsia="宋体" w:cs="Times New Roman"/>
          <w:b w:val="0"/>
          <w:bCs/>
          <w:color w:val="auto"/>
          <w:sz w:val="21"/>
          <w:szCs w:val="21"/>
          <w:lang w:val="en-US" w:eastAsia="zh-CN"/>
        </w:rPr>
        <w:t>续</w:t>
      </w:r>
      <w:r>
        <w:rPr>
          <w:rFonts w:hint="default" w:ascii="Times New Roman" w:hAnsi="Times New Roman" w:eastAsia="宋体" w:cs="Times New Roman"/>
          <w:b w:val="0"/>
          <w:bCs/>
          <w:color w:val="auto"/>
          <w:sz w:val="21"/>
          <w:szCs w:val="21"/>
        </w:rPr>
        <w:t>表2.</w:t>
      </w: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rPr>
        <w:t>-</w:t>
      </w:r>
      <w:r>
        <w:rPr>
          <w:rFonts w:hint="eastAsia" w:eastAsia="宋体" w:cs="Times New Roman"/>
          <w:b w:val="0"/>
          <w:bCs/>
          <w:color w:val="auto"/>
          <w:sz w:val="21"/>
          <w:szCs w:val="21"/>
          <w:lang w:val="en-US" w:eastAsia="zh-CN"/>
        </w:rPr>
        <w:t>6</w:t>
      </w:r>
      <w:r>
        <w:rPr>
          <w:rFonts w:hint="default" w:ascii="Times New Roman" w:hAnsi="Times New Roman" w:cs="Times New Roman"/>
          <w:color w:val="auto"/>
          <w:sz w:val="24"/>
          <w:highlight w:val="none"/>
        </w:rPr>
        <w:t xml:space="preserve">  </w:t>
      </w:r>
      <w:r>
        <w:rPr>
          <w:rFonts w:hint="eastAsia" w:cs="Times New Roman"/>
          <w:color w:val="auto"/>
          <w:sz w:val="24"/>
          <w:highlight w:val="none"/>
          <w:lang w:val="en-US" w:eastAsia="zh-CN"/>
        </w:rPr>
        <w:t xml:space="preserve">                                          </w:t>
      </w:r>
      <w:r>
        <w:rPr>
          <w:rFonts w:hint="default" w:ascii="宋体" w:hAnsi="宋体" w:eastAsia="宋体" w:cs="宋体"/>
          <w:b/>
          <w:color w:val="auto"/>
          <w:sz w:val="24"/>
          <w:highlight w:val="none"/>
        </w:rPr>
        <w:t>本项目原料理化性质</w:t>
      </w:r>
    </w:p>
    <w:tbl>
      <w:tblPr>
        <w:tblStyle w:val="27"/>
        <w:tblW w:w="49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093"/>
        <w:gridCol w:w="10635"/>
        <w:gridCol w:w="1072"/>
      </w:tblGrid>
      <w:tr w14:paraId="3D01E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03" w:type="dxa"/>
            <w:noWrap w:val="0"/>
            <w:vAlign w:val="center"/>
          </w:tcPr>
          <w:p w14:paraId="716A735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111" w:type="dxa"/>
            <w:noWrap w:val="0"/>
            <w:vAlign w:val="center"/>
          </w:tcPr>
          <w:p w14:paraId="1C49D64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主要成分</w:t>
            </w:r>
          </w:p>
        </w:tc>
        <w:tc>
          <w:tcPr>
            <w:tcW w:w="10815" w:type="dxa"/>
            <w:noWrap w:val="0"/>
            <w:vAlign w:val="center"/>
          </w:tcPr>
          <w:p w14:paraId="07AE4C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理化性质</w:t>
            </w:r>
          </w:p>
        </w:tc>
        <w:tc>
          <w:tcPr>
            <w:tcW w:w="1090" w:type="dxa"/>
            <w:noWrap w:val="0"/>
            <w:vAlign w:val="center"/>
          </w:tcPr>
          <w:p w14:paraId="3578207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项目用途</w:t>
            </w:r>
          </w:p>
        </w:tc>
      </w:tr>
      <w:tr w14:paraId="7F43C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3" w:type="dxa"/>
            <w:vMerge w:val="restart"/>
            <w:shd w:val="clear" w:color="auto" w:fill="auto"/>
            <w:noWrap w:val="0"/>
            <w:vAlign w:val="center"/>
          </w:tcPr>
          <w:p w14:paraId="64E7C6C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火碱</w:t>
            </w:r>
          </w:p>
        </w:tc>
        <w:tc>
          <w:tcPr>
            <w:tcW w:w="1111" w:type="dxa"/>
            <w:vMerge w:val="restart"/>
            <w:shd w:val="clear" w:color="auto" w:fill="auto"/>
            <w:noWrap w:val="0"/>
            <w:vAlign w:val="center"/>
          </w:tcPr>
          <w:p w14:paraId="519388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NaOH</w:t>
            </w:r>
          </w:p>
        </w:tc>
        <w:tc>
          <w:tcPr>
            <w:tcW w:w="10815" w:type="dxa"/>
            <w:shd w:val="clear" w:color="auto" w:fill="auto"/>
            <w:noWrap w:val="0"/>
            <w:vAlign w:val="center"/>
          </w:tcPr>
          <w:p w14:paraId="7304F300">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易溶于水并形成碱性溶液，易吸取空气中的水蒸气和二氧化碳。</w:t>
            </w:r>
          </w:p>
        </w:tc>
        <w:tc>
          <w:tcPr>
            <w:tcW w:w="1090" w:type="dxa"/>
            <w:vMerge w:val="restart"/>
            <w:shd w:val="clear" w:color="auto" w:fill="auto"/>
            <w:noWrap w:val="0"/>
            <w:vAlign w:val="center"/>
          </w:tcPr>
          <w:p w14:paraId="638DC0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车间消毒</w:t>
            </w:r>
          </w:p>
        </w:tc>
      </w:tr>
      <w:tr w14:paraId="2B0E8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703" w:type="dxa"/>
            <w:vMerge w:val="continue"/>
            <w:noWrap w:val="0"/>
            <w:vAlign w:val="center"/>
          </w:tcPr>
          <w:p w14:paraId="44FA44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11" w:type="dxa"/>
            <w:vMerge w:val="continue"/>
            <w:noWrap w:val="0"/>
            <w:vAlign w:val="center"/>
          </w:tcPr>
          <w:p w14:paraId="3821DD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0815" w:type="dxa"/>
            <w:shd w:val="clear" w:color="auto" w:fill="auto"/>
            <w:noWrap w:val="0"/>
            <w:vAlign w:val="center"/>
          </w:tcPr>
          <w:p w14:paraId="4F246F2D">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皮肤接触</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先用水冲洗</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稀液</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/用布擦干</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浓液</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，再用5</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10%硫酸镁</w:t>
            </w:r>
            <w:r>
              <w:rPr>
                <w:rFonts w:hint="eastAsia" w:eastAsia="宋体" w:cs="Times New Roman"/>
                <w:snapToGrid w:val="0"/>
                <w:color w:val="auto"/>
                <w:kern w:val="0"/>
                <w:sz w:val="21"/>
                <w:szCs w:val="21"/>
                <w:highlight w:val="none"/>
                <w:lang w:val="en-US" w:eastAsia="zh-CN"/>
              </w:rPr>
              <w:t>或</w:t>
            </w:r>
            <w:r>
              <w:rPr>
                <w:rFonts w:hint="default" w:ascii="Times New Roman" w:hAnsi="Times New Roman" w:eastAsia="宋体" w:cs="Times New Roman"/>
                <w:snapToGrid w:val="0"/>
                <w:color w:val="auto"/>
                <w:kern w:val="0"/>
                <w:sz w:val="21"/>
                <w:szCs w:val="21"/>
                <w:highlight w:val="none"/>
                <w:lang w:val="en-US" w:eastAsia="zh-CN"/>
              </w:rPr>
              <w:t>3%硼酸溶液清洗并就医。眼睛接触</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立即提起眼睑，用3%</w:t>
            </w:r>
            <w:r>
              <w:rPr>
                <w:rFonts w:hint="default" w:ascii="Times New Roman" w:hAnsi="Times New Roman" w:eastAsia="宋体" w:cs="Times New Roman"/>
                <w:snapToGrid w:val="0"/>
                <w:color w:val="auto"/>
                <w:kern w:val="0"/>
                <w:sz w:val="21"/>
                <w:szCs w:val="21"/>
                <w:highlight w:val="none"/>
                <w:lang w:val="en-US" w:eastAsia="zh-CN"/>
              </w:rPr>
              <w:fldChar w:fldCharType="begin"/>
            </w:r>
            <w:r>
              <w:rPr>
                <w:rFonts w:hint="default" w:ascii="Times New Roman" w:hAnsi="Times New Roman" w:eastAsia="宋体" w:cs="Times New Roman"/>
                <w:snapToGrid w:val="0"/>
                <w:color w:val="auto"/>
                <w:kern w:val="0"/>
                <w:sz w:val="21"/>
                <w:szCs w:val="21"/>
                <w:highlight w:val="none"/>
                <w:lang w:val="en-US" w:eastAsia="zh-CN"/>
              </w:rPr>
              <w:instrText xml:space="preserve"> HYPERLINK "https://baike.so.com/doc/1341789-1418450.html" \t "https://baike.so.com/doc/_blank" </w:instrText>
            </w:r>
            <w:r>
              <w:rPr>
                <w:rFonts w:hint="default" w:ascii="Times New Roman" w:hAnsi="Times New Roman" w:eastAsia="宋体" w:cs="Times New Roman"/>
                <w:snapToGrid w:val="0"/>
                <w:color w:val="auto"/>
                <w:kern w:val="0"/>
                <w:sz w:val="21"/>
                <w:szCs w:val="21"/>
                <w:highlight w:val="none"/>
                <w:lang w:val="en-US" w:eastAsia="zh-CN"/>
              </w:rPr>
              <w:fldChar w:fldCharType="separate"/>
            </w:r>
            <w:r>
              <w:rPr>
                <w:rFonts w:hint="default" w:ascii="Times New Roman" w:hAnsi="Times New Roman" w:eastAsia="宋体" w:cs="Times New Roman"/>
                <w:snapToGrid w:val="0"/>
                <w:color w:val="auto"/>
                <w:kern w:val="0"/>
                <w:sz w:val="21"/>
                <w:szCs w:val="21"/>
                <w:highlight w:val="none"/>
                <w:lang w:val="en-US" w:eastAsia="zh-CN"/>
              </w:rPr>
              <w:t>硼酸</w:t>
            </w:r>
            <w:r>
              <w:rPr>
                <w:rFonts w:hint="default" w:ascii="Times New Roman" w:hAnsi="Times New Roman" w:eastAsia="宋体" w:cs="Times New Roman"/>
                <w:snapToGrid w:val="0"/>
                <w:color w:val="auto"/>
                <w:kern w:val="0"/>
                <w:sz w:val="21"/>
                <w:szCs w:val="21"/>
                <w:highlight w:val="none"/>
                <w:lang w:val="en-US" w:eastAsia="zh-CN"/>
              </w:rPr>
              <w:fldChar w:fldCharType="end"/>
            </w:r>
            <w:r>
              <w:rPr>
                <w:rFonts w:hint="default" w:ascii="Times New Roman" w:hAnsi="Times New Roman" w:eastAsia="宋体" w:cs="Times New Roman"/>
                <w:snapToGrid w:val="0"/>
                <w:color w:val="auto"/>
                <w:kern w:val="0"/>
                <w:sz w:val="21"/>
                <w:szCs w:val="21"/>
                <w:highlight w:val="none"/>
                <w:lang w:val="en-US" w:eastAsia="zh-CN"/>
              </w:rPr>
              <w:t>溶液冲洗。吸入</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迅速脱离现场至空气新鲜处。必要时进行人工呼吸。就医。食入</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少量误食时立即用食醋、3</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5%醋酸或5%稀</w:t>
            </w:r>
            <w:r>
              <w:rPr>
                <w:rFonts w:hint="default" w:ascii="Times New Roman" w:hAnsi="Times New Roman" w:eastAsia="宋体" w:cs="Times New Roman"/>
                <w:snapToGrid w:val="0"/>
                <w:color w:val="auto"/>
                <w:kern w:val="0"/>
                <w:sz w:val="21"/>
                <w:szCs w:val="21"/>
                <w:highlight w:val="none"/>
                <w:lang w:val="en-US" w:eastAsia="zh-CN"/>
              </w:rPr>
              <w:fldChar w:fldCharType="begin"/>
            </w:r>
            <w:r>
              <w:rPr>
                <w:rFonts w:hint="default" w:ascii="Times New Roman" w:hAnsi="Times New Roman" w:eastAsia="宋体" w:cs="Times New Roman"/>
                <w:snapToGrid w:val="0"/>
                <w:color w:val="auto"/>
                <w:kern w:val="0"/>
                <w:sz w:val="21"/>
                <w:szCs w:val="21"/>
                <w:highlight w:val="none"/>
                <w:lang w:val="en-US" w:eastAsia="zh-CN"/>
              </w:rPr>
              <w:instrText xml:space="preserve"> HYPERLINK "https://baike.so.com/doc/1244651-7124863.html" \t "https://baike.so.com/doc/_blank" </w:instrText>
            </w:r>
            <w:r>
              <w:rPr>
                <w:rFonts w:hint="default" w:ascii="Times New Roman" w:hAnsi="Times New Roman" w:eastAsia="宋体" w:cs="Times New Roman"/>
                <w:snapToGrid w:val="0"/>
                <w:color w:val="auto"/>
                <w:kern w:val="0"/>
                <w:sz w:val="21"/>
                <w:szCs w:val="21"/>
                <w:highlight w:val="none"/>
                <w:lang w:val="en-US" w:eastAsia="zh-CN"/>
              </w:rPr>
              <w:fldChar w:fldCharType="separate"/>
            </w:r>
            <w:r>
              <w:rPr>
                <w:rFonts w:hint="default" w:ascii="Times New Roman" w:hAnsi="Times New Roman" w:eastAsia="宋体" w:cs="Times New Roman"/>
                <w:snapToGrid w:val="0"/>
                <w:color w:val="auto"/>
                <w:kern w:val="0"/>
                <w:sz w:val="21"/>
                <w:szCs w:val="21"/>
                <w:highlight w:val="none"/>
                <w:lang w:val="en-US" w:eastAsia="zh-CN"/>
              </w:rPr>
              <w:t>盐酸</w:t>
            </w:r>
            <w:r>
              <w:rPr>
                <w:rFonts w:hint="default" w:ascii="Times New Roman" w:hAnsi="Times New Roman" w:eastAsia="宋体" w:cs="Times New Roman"/>
                <w:snapToGrid w:val="0"/>
                <w:color w:val="auto"/>
                <w:kern w:val="0"/>
                <w:sz w:val="21"/>
                <w:szCs w:val="21"/>
                <w:highlight w:val="none"/>
                <w:lang w:val="en-US" w:eastAsia="zh-CN"/>
              </w:rPr>
              <w:fldChar w:fldCharType="end"/>
            </w:r>
            <w:r>
              <w:rPr>
                <w:rFonts w:hint="default" w:ascii="Times New Roman" w:hAnsi="Times New Roman" w:eastAsia="宋体" w:cs="Times New Roman"/>
                <w:snapToGrid w:val="0"/>
                <w:color w:val="auto"/>
                <w:kern w:val="0"/>
                <w:sz w:val="21"/>
                <w:szCs w:val="21"/>
                <w:highlight w:val="none"/>
                <w:lang w:val="en-US" w:eastAsia="zh-CN"/>
              </w:rPr>
              <w:t>、大量橘汁或柠檬汁等中和</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给饮蛋清、牛奶或植物油并迅速就医，禁忌催吐和</w:t>
            </w:r>
            <w:r>
              <w:rPr>
                <w:rFonts w:hint="default" w:ascii="Times New Roman" w:hAnsi="Times New Roman" w:eastAsia="宋体" w:cs="Times New Roman"/>
                <w:snapToGrid w:val="0"/>
                <w:color w:val="auto"/>
                <w:kern w:val="0"/>
                <w:sz w:val="21"/>
                <w:szCs w:val="21"/>
                <w:highlight w:val="none"/>
              </w:rPr>
              <w:t>洗胃。</w:t>
            </w:r>
          </w:p>
        </w:tc>
        <w:tc>
          <w:tcPr>
            <w:tcW w:w="1090" w:type="dxa"/>
            <w:vMerge w:val="continue"/>
            <w:noWrap w:val="0"/>
            <w:vAlign w:val="center"/>
          </w:tcPr>
          <w:p w14:paraId="41DEB0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14:paraId="34537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3" w:type="dxa"/>
            <w:vMerge w:val="restart"/>
            <w:noWrap w:val="0"/>
            <w:vAlign w:val="center"/>
          </w:tcPr>
          <w:p w14:paraId="224E624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医用双氧水</w:t>
            </w:r>
          </w:p>
        </w:tc>
        <w:tc>
          <w:tcPr>
            <w:tcW w:w="1111" w:type="dxa"/>
            <w:vMerge w:val="restart"/>
            <w:noWrap w:val="0"/>
            <w:vAlign w:val="center"/>
          </w:tcPr>
          <w:p w14:paraId="0E3882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双氧水</w:t>
            </w:r>
          </w:p>
        </w:tc>
        <w:tc>
          <w:tcPr>
            <w:tcW w:w="10815" w:type="dxa"/>
            <w:noWrap w:val="0"/>
            <w:vAlign w:val="center"/>
          </w:tcPr>
          <w:p w14:paraId="46291C18">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无色透明液体，是一种强氧化剂，其水溶液适用于医用伤口消毒及环境消毒和食品消毒。在一般情况下会分解成水和氧气，但分解速度极其慢，加快其反应速度的办法是加入催化剂—二氧化锰或用短波射线照射。分解之后会生成氧气和水</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是初中化学中实验室制氧气的一个重点</w:t>
            </w:r>
            <w:r>
              <w:rPr>
                <w:rFonts w:hint="eastAsia" w:eastAsia="宋体"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但过氧化氢也是世界卫生组织公布的致癌物。</w:t>
            </w:r>
          </w:p>
        </w:tc>
        <w:tc>
          <w:tcPr>
            <w:tcW w:w="1090" w:type="dxa"/>
            <w:vMerge w:val="restart"/>
            <w:noWrap w:val="0"/>
            <w:vAlign w:val="center"/>
          </w:tcPr>
          <w:p w14:paraId="624DDF4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车间消毒</w:t>
            </w:r>
          </w:p>
        </w:tc>
      </w:tr>
      <w:tr w14:paraId="2F69B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703" w:type="dxa"/>
            <w:vMerge w:val="continue"/>
            <w:noWrap w:val="0"/>
            <w:vAlign w:val="center"/>
          </w:tcPr>
          <w:p w14:paraId="2BB83A0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napToGrid w:val="0"/>
                <w:color w:val="auto"/>
                <w:kern w:val="0"/>
                <w:sz w:val="21"/>
                <w:szCs w:val="21"/>
                <w:highlight w:val="none"/>
                <w:lang w:eastAsia="zh-CN"/>
              </w:rPr>
            </w:pPr>
          </w:p>
        </w:tc>
        <w:tc>
          <w:tcPr>
            <w:tcW w:w="1111" w:type="dxa"/>
            <w:vMerge w:val="continue"/>
            <w:noWrap w:val="0"/>
            <w:vAlign w:val="center"/>
          </w:tcPr>
          <w:p w14:paraId="1D1B28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napToGrid w:val="0"/>
                <w:color w:val="auto"/>
                <w:kern w:val="0"/>
                <w:sz w:val="21"/>
                <w:szCs w:val="21"/>
                <w:highlight w:val="none"/>
                <w:lang w:eastAsia="zh-CN"/>
              </w:rPr>
            </w:pPr>
          </w:p>
        </w:tc>
        <w:tc>
          <w:tcPr>
            <w:tcW w:w="10815" w:type="dxa"/>
            <w:noWrap w:val="0"/>
            <w:vAlign w:val="center"/>
          </w:tcPr>
          <w:p w14:paraId="7502B01A">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呼吸系统防护：可能接触其蒸气时，应该佩戴自吸过滤式防毒面具。</w:t>
            </w:r>
          </w:p>
          <w:p w14:paraId="3AB2CB9B">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眼睛防护：呼吸系统防护中已</w:t>
            </w:r>
            <w:r>
              <w:rPr>
                <w:rFonts w:hint="eastAsia" w:eastAsia="宋体" w:cs="Times New Roman"/>
                <w:snapToGrid w:val="0"/>
                <w:color w:val="auto"/>
                <w:kern w:val="0"/>
                <w:sz w:val="21"/>
                <w:szCs w:val="21"/>
                <w:highlight w:val="none"/>
                <w:lang w:val="en-US" w:eastAsia="zh-CN"/>
              </w:rPr>
              <w:t>做</w:t>
            </w:r>
            <w:r>
              <w:rPr>
                <w:rFonts w:hint="default" w:ascii="Times New Roman" w:hAnsi="Times New Roman" w:eastAsia="宋体" w:cs="Times New Roman"/>
                <w:snapToGrid w:val="0"/>
                <w:color w:val="auto"/>
                <w:kern w:val="0"/>
                <w:sz w:val="21"/>
                <w:szCs w:val="21"/>
                <w:highlight w:val="none"/>
                <w:lang w:val="en-US" w:eastAsia="zh-CN"/>
              </w:rPr>
              <w:t>防护。</w:t>
            </w:r>
          </w:p>
          <w:p w14:paraId="0AAECBEA">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身体防护：穿聚乙烯防毒服。</w:t>
            </w:r>
          </w:p>
          <w:p w14:paraId="0A95DAF6">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手防护：戴氯丁橡胶手套。</w:t>
            </w:r>
          </w:p>
          <w:p w14:paraId="18E5CC12">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其它：工作现场严禁吸烟。工作毕，淋浴更衣。注意个人清洁卫生。</w:t>
            </w:r>
          </w:p>
          <w:p w14:paraId="323EB19B">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皮肤接触：脱去被污染的衣着，用大量流动清水冲洗。</w:t>
            </w:r>
          </w:p>
        </w:tc>
        <w:tc>
          <w:tcPr>
            <w:tcW w:w="1090" w:type="dxa"/>
            <w:vMerge w:val="continue"/>
            <w:noWrap w:val="0"/>
            <w:vAlign w:val="center"/>
          </w:tcPr>
          <w:p w14:paraId="525CDF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14:paraId="731B1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03" w:type="dxa"/>
            <w:noWrap w:val="0"/>
            <w:vAlign w:val="center"/>
          </w:tcPr>
          <w:p w14:paraId="1717BD4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制冷剂R507</w:t>
            </w:r>
          </w:p>
        </w:tc>
        <w:tc>
          <w:tcPr>
            <w:tcW w:w="1111" w:type="dxa"/>
            <w:noWrap w:val="0"/>
            <w:vAlign w:val="center"/>
          </w:tcPr>
          <w:p w14:paraId="2F533E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w:t>
            </w:r>
          </w:p>
        </w:tc>
        <w:tc>
          <w:tcPr>
            <w:tcW w:w="10815" w:type="dxa"/>
            <w:noWrap w:val="0"/>
            <w:vAlign w:val="center"/>
          </w:tcPr>
          <w:p w14:paraId="5AD0A2DD">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是R-502制冷剂的长期替代品（HFC类物质），ODP值为零，不含任何破坏臭氧层的物质。</w:t>
            </w:r>
          </w:p>
        </w:tc>
        <w:tc>
          <w:tcPr>
            <w:tcW w:w="1090" w:type="dxa"/>
            <w:noWrap w:val="0"/>
            <w:vAlign w:val="center"/>
          </w:tcPr>
          <w:p w14:paraId="42A7B0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冷藏库、速冻库</w:t>
            </w:r>
          </w:p>
        </w:tc>
      </w:tr>
    </w:tbl>
    <w:p w14:paraId="2151B96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sectPr>
          <w:footerReference r:id="rId14"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5034415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2"/>
        <w:rPr>
          <w:rFonts w:hint="default" w:ascii="Times New Roman" w:hAnsi="Times New Roman" w:eastAsia="黑体" w:cs="Times New Roman"/>
          <w:b/>
          <w:color w:val="auto"/>
          <w:sz w:val="28"/>
          <w:szCs w:val="28"/>
          <w:highlight w:val="none"/>
        </w:rPr>
      </w:pPr>
      <w:r>
        <w:rPr>
          <w:rFonts w:hint="default" w:ascii="Times New Roman" w:hAnsi="Times New Roman" w:eastAsia="黑体" w:cs="Times New Roman"/>
          <w:b/>
          <w:color w:val="auto"/>
          <w:sz w:val="28"/>
          <w:szCs w:val="28"/>
          <w:highlight w:val="none"/>
        </w:rPr>
        <w:t>2.</w:t>
      </w:r>
      <w:r>
        <w:rPr>
          <w:rFonts w:hint="default" w:ascii="Times New Roman" w:hAnsi="Times New Roman" w:eastAsia="黑体" w:cs="Times New Roman"/>
          <w:b/>
          <w:color w:val="auto"/>
          <w:sz w:val="28"/>
          <w:szCs w:val="28"/>
          <w:highlight w:val="none"/>
          <w:lang w:val="en-US" w:eastAsia="zh-CN"/>
        </w:rPr>
        <w:t>1</w:t>
      </w:r>
      <w:r>
        <w:rPr>
          <w:rFonts w:hint="default" w:ascii="Times New Roman" w:hAnsi="Times New Roman" w:eastAsia="黑体" w:cs="Times New Roman"/>
          <w:b/>
          <w:color w:val="auto"/>
          <w:sz w:val="28"/>
          <w:szCs w:val="28"/>
          <w:highlight w:val="none"/>
        </w:rPr>
        <w:t>.5主要工艺设备</w:t>
      </w:r>
    </w:p>
    <w:p w14:paraId="457C6308">
      <w:pPr>
        <w:pageBreakBefore w:val="0"/>
        <w:kinsoku/>
        <w:wordWrap/>
        <w:topLinePunct w:val="0"/>
        <w:bidi w:val="0"/>
        <w:adjustRightInd/>
        <w:snapToGrid/>
        <w:ind w:left="0" w:leftChars="0"/>
        <w:rPr>
          <w:rFonts w:hint="eastAsia" w:ascii="Times New Roman" w:hAnsi="Times New Roman" w:eastAsia="仿宋_GB2312"/>
          <w:color w:val="auto"/>
          <w:lang w:eastAsia="zh-CN"/>
        </w:rPr>
      </w:pPr>
      <w:r>
        <w:rPr>
          <w:rFonts w:hint="eastAsia" w:ascii="Times New Roman" w:hAnsi="Times New Roman"/>
          <w:color w:val="auto"/>
        </w:rPr>
        <w:t>本项目主要工艺设备见表2.1-</w:t>
      </w:r>
      <w:r>
        <w:rPr>
          <w:rFonts w:hint="eastAsia"/>
          <w:color w:val="auto"/>
          <w:lang w:val="en-US" w:eastAsia="zh-CN"/>
        </w:rPr>
        <w:t>7。</w:t>
      </w:r>
    </w:p>
    <w:p w14:paraId="7EECF7EF">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b/>
          <w:bCs/>
          <w:snapToGrid w:val="0"/>
          <w:color w:val="auto"/>
          <w:kern w:val="0"/>
          <w:sz w:val="24"/>
        </w:rPr>
      </w:pPr>
      <w:r>
        <w:rPr>
          <w:rFonts w:hint="default" w:ascii="Times New Roman" w:hAnsi="Times New Roman" w:eastAsia="宋体" w:cs="Times New Roman"/>
          <w:snapToGrid w:val="0"/>
          <w:color w:val="auto"/>
          <w:kern w:val="0"/>
          <w:sz w:val="21"/>
          <w:szCs w:val="21"/>
        </w:rPr>
        <w:t>表</w:t>
      </w:r>
      <w:r>
        <w:rPr>
          <w:rFonts w:hint="default" w:ascii="Times New Roman" w:hAnsi="Times New Roman" w:eastAsia="宋体" w:cs="Times New Roman"/>
          <w:snapToGrid w:val="0"/>
          <w:color w:val="auto"/>
          <w:kern w:val="0"/>
          <w:sz w:val="21"/>
          <w:szCs w:val="21"/>
          <w:lang w:val="en-US" w:eastAsia="zh-CN"/>
        </w:rPr>
        <w:t>2.1-</w:t>
      </w:r>
      <w:r>
        <w:rPr>
          <w:rFonts w:hint="eastAsia" w:eastAsia="宋体" w:cs="Times New Roman"/>
          <w:snapToGrid w:val="0"/>
          <w:color w:val="auto"/>
          <w:kern w:val="0"/>
          <w:sz w:val="21"/>
          <w:szCs w:val="21"/>
          <w:lang w:val="en-US" w:eastAsia="zh-CN"/>
        </w:rPr>
        <w:t>7</w:t>
      </w:r>
      <w:r>
        <w:rPr>
          <w:rFonts w:eastAsia="黑体"/>
          <w:snapToGrid w:val="0"/>
          <w:color w:val="auto"/>
          <w:kern w:val="0"/>
          <w:sz w:val="24"/>
        </w:rPr>
        <w:t xml:space="preserve">  </w:t>
      </w:r>
      <w:r>
        <w:rPr>
          <w:rFonts w:hint="eastAsia" w:eastAsia="黑体"/>
          <w:snapToGrid w:val="0"/>
          <w:color w:val="auto"/>
          <w:kern w:val="0"/>
          <w:sz w:val="24"/>
          <w:lang w:val="en-US" w:eastAsia="zh-CN"/>
        </w:rPr>
        <w:t xml:space="preserve">                     </w:t>
      </w:r>
      <w:r>
        <w:rPr>
          <w:rFonts w:hint="default" w:ascii="Times New Roman" w:hAnsi="Times New Roman" w:eastAsia="宋体" w:cs="Times New Roman"/>
          <w:b/>
          <w:bCs/>
          <w:snapToGrid w:val="0"/>
          <w:color w:val="auto"/>
          <w:kern w:val="0"/>
          <w:sz w:val="24"/>
        </w:rPr>
        <w:t>生产设备一览表</w:t>
      </w:r>
    </w:p>
    <w:tbl>
      <w:tblPr>
        <w:tblStyle w:val="27"/>
        <w:tblW w:w="49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7"/>
        <w:gridCol w:w="7"/>
        <w:gridCol w:w="6"/>
        <w:gridCol w:w="3637"/>
        <w:gridCol w:w="1727"/>
        <w:gridCol w:w="9"/>
        <w:gridCol w:w="1384"/>
      </w:tblGrid>
      <w:tr w14:paraId="66BEF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0" w:type="dxa"/>
            <w:gridSpan w:val="4"/>
            <w:tcBorders>
              <w:tl2br w:val="nil"/>
              <w:tr2bl w:val="nil"/>
            </w:tcBorders>
            <w:noWrap w:val="0"/>
            <w:vAlign w:val="center"/>
          </w:tcPr>
          <w:p w14:paraId="281FE7EB">
            <w:pPr>
              <w:pStyle w:val="23"/>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bookmarkStart w:id="255" w:name="_Toc8614"/>
            <w:r>
              <w:rPr>
                <w:rFonts w:hint="default" w:ascii="Times New Roman" w:hAnsi="Times New Roman" w:eastAsia="宋体" w:cs="Times New Roman"/>
                <w:b/>
                <w:bCs/>
                <w:color w:val="auto"/>
                <w:sz w:val="21"/>
                <w:szCs w:val="21"/>
              </w:rPr>
              <w:t>序号</w:t>
            </w:r>
            <w:bookmarkEnd w:id="255"/>
          </w:p>
        </w:tc>
        <w:tc>
          <w:tcPr>
            <w:tcW w:w="3637" w:type="dxa"/>
            <w:tcBorders>
              <w:tl2br w:val="nil"/>
              <w:tr2bl w:val="nil"/>
            </w:tcBorders>
            <w:noWrap w:val="0"/>
            <w:vAlign w:val="center"/>
          </w:tcPr>
          <w:p w14:paraId="44FBD355">
            <w:pPr>
              <w:pStyle w:val="23"/>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bookmarkStart w:id="256" w:name="_Toc7546"/>
            <w:r>
              <w:rPr>
                <w:rFonts w:hint="default" w:ascii="Times New Roman" w:hAnsi="Times New Roman" w:eastAsia="宋体" w:cs="Times New Roman"/>
                <w:b/>
                <w:bCs/>
                <w:color w:val="auto"/>
                <w:sz w:val="21"/>
                <w:szCs w:val="21"/>
              </w:rPr>
              <w:t>设备名称</w:t>
            </w:r>
            <w:bookmarkEnd w:id="256"/>
          </w:p>
        </w:tc>
        <w:tc>
          <w:tcPr>
            <w:tcW w:w="1727" w:type="dxa"/>
            <w:tcBorders>
              <w:tl2br w:val="nil"/>
              <w:tr2bl w:val="nil"/>
            </w:tcBorders>
            <w:noWrap w:val="0"/>
            <w:vAlign w:val="center"/>
          </w:tcPr>
          <w:p w14:paraId="10C24361">
            <w:pPr>
              <w:pStyle w:val="23"/>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bookmarkStart w:id="257" w:name="_Toc5643"/>
            <w:r>
              <w:rPr>
                <w:rFonts w:hint="default" w:ascii="Times New Roman" w:hAnsi="Times New Roman" w:eastAsia="宋体" w:cs="Times New Roman"/>
                <w:b/>
                <w:bCs/>
                <w:color w:val="auto"/>
                <w:sz w:val="21"/>
                <w:szCs w:val="21"/>
              </w:rPr>
              <w:t>单位</w:t>
            </w:r>
            <w:bookmarkEnd w:id="257"/>
          </w:p>
        </w:tc>
        <w:tc>
          <w:tcPr>
            <w:tcW w:w="1393" w:type="dxa"/>
            <w:gridSpan w:val="2"/>
            <w:tcBorders>
              <w:tl2br w:val="nil"/>
              <w:tr2bl w:val="nil"/>
            </w:tcBorders>
            <w:noWrap w:val="0"/>
            <w:vAlign w:val="center"/>
          </w:tcPr>
          <w:p w14:paraId="4C91EA85">
            <w:pPr>
              <w:pStyle w:val="23"/>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bookmarkStart w:id="258" w:name="_Toc14240"/>
            <w:r>
              <w:rPr>
                <w:rFonts w:hint="default" w:ascii="Times New Roman" w:hAnsi="Times New Roman" w:eastAsia="宋体" w:cs="Times New Roman"/>
                <w:b/>
                <w:bCs/>
                <w:color w:val="auto"/>
                <w:sz w:val="21"/>
                <w:szCs w:val="21"/>
              </w:rPr>
              <w:t>数量</w:t>
            </w:r>
            <w:bookmarkEnd w:id="258"/>
          </w:p>
        </w:tc>
      </w:tr>
      <w:tr w14:paraId="4B9F6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17" w:type="dxa"/>
            <w:gridSpan w:val="8"/>
            <w:tcBorders>
              <w:tl2br w:val="nil"/>
              <w:tr2bl w:val="nil"/>
            </w:tcBorders>
            <w:noWrap w:val="0"/>
            <w:vAlign w:val="center"/>
          </w:tcPr>
          <w:p w14:paraId="11028F0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bookmarkStart w:id="259" w:name="_Toc693"/>
            <w:r>
              <w:rPr>
                <w:rFonts w:hint="default" w:ascii="Times New Roman" w:hAnsi="Times New Roman" w:eastAsia="宋体" w:cs="Times New Roman"/>
                <w:b/>
                <w:bCs/>
                <w:color w:val="auto"/>
                <w:kern w:val="2"/>
                <w:sz w:val="21"/>
                <w:szCs w:val="21"/>
                <w:lang w:val="en-US" w:eastAsia="zh-CN" w:bidi="ar-SA"/>
              </w:rPr>
              <w:t>牛屠宰加工流水线</w:t>
            </w:r>
            <w:bookmarkEnd w:id="259"/>
          </w:p>
        </w:tc>
      </w:tr>
      <w:tr w14:paraId="003C0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0" w:type="dxa"/>
            <w:gridSpan w:val="4"/>
            <w:tcBorders>
              <w:tl2br w:val="nil"/>
              <w:tr2bl w:val="nil"/>
            </w:tcBorders>
            <w:noWrap w:val="0"/>
            <w:vAlign w:val="center"/>
          </w:tcPr>
          <w:p w14:paraId="71BBB27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0" w:name="_Toc23780"/>
            <w:r>
              <w:rPr>
                <w:rFonts w:hint="default" w:ascii="Times New Roman" w:hAnsi="Times New Roman" w:eastAsia="宋体" w:cs="Times New Roman"/>
                <w:color w:val="auto"/>
                <w:kern w:val="2"/>
                <w:sz w:val="21"/>
                <w:szCs w:val="21"/>
                <w:lang w:val="en-US" w:eastAsia="zh-CN" w:bidi="ar-SA"/>
              </w:rPr>
              <w:t>1</w:t>
            </w:r>
            <w:bookmarkEnd w:id="260"/>
          </w:p>
        </w:tc>
        <w:tc>
          <w:tcPr>
            <w:tcW w:w="3637" w:type="dxa"/>
            <w:tcBorders>
              <w:tl2br w:val="nil"/>
              <w:tr2bl w:val="nil"/>
            </w:tcBorders>
            <w:noWrap w:val="0"/>
            <w:vAlign w:val="center"/>
          </w:tcPr>
          <w:p w14:paraId="3236E22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活牛称重系统</w:t>
            </w:r>
          </w:p>
        </w:tc>
        <w:tc>
          <w:tcPr>
            <w:tcW w:w="1727" w:type="dxa"/>
            <w:tcBorders>
              <w:tl2br w:val="nil"/>
              <w:tr2bl w:val="nil"/>
            </w:tcBorders>
            <w:noWrap w:val="0"/>
            <w:vAlign w:val="center"/>
          </w:tcPr>
          <w:p w14:paraId="453E6A3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1" w:name="_Toc15344"/>
            <w:r>
              <w:rPr>
                <w:rFonts w:hint="default" w:ascii="Times New Roman" w:hAnsi="Times New Roman" w:eastAsia="宋体" w:cs="Times New Roman"/>
                <w:color w:val="auto"/>
                <w:kern w:val="2"/>
                <w:sz w:val="21"/>
                <w:szCs w:val="21"/>
                <w:lang w:val="en-US" w:eastAsia="zh-CN" w:bidi="ar-SA"/>
              </w:rPr>
              <w:t>套</w:t>
            </w:r>
            <w:bookmarkEnd w:id="261"/>
          </w:p>
        </w:tc>
        <w:tc>
          <w:tcPr>
            <w:tcW w:w="1393" w:type="dxa"/>
            <w:gridSpan w:val="2"/>
            <w:tcBorders>
              <w:tl2br w:val="nil"/>
              <w:tr2bl w:val="nil"/>
            </w:tcBorders>
            <w:noWrap w:val="0"/>
            <w:vAlign w:val="center"/>
          </w:tcPr>
          <w:p w14:paraId="02BC9C6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2" w:name="_Toc32588"/>
            <w:r>
              <w:rPr>
                <w:rFonts w:hint="default" w:ascii="Times New Roman" w:hAnsi="Times New Roman" w:eastAsia="宋体" w:cs="Times New Roman"/>
                <w:color w:val="auto"/>
                <w:kern w:val="2"/>
                <w:sz w:val="21"/>
                <w:szCs w:val="21"/>
                <w:lang w:val="en-US" w:eastAsia="zh-CN" w:bidi="ar-SA"/>
              </w:rPr>
              <w:t>1</w:t>
            </w:r>
            <w:bookmarkEnd w:id="262"/>
          </w:p>
        </w:tc>
      </w:tr>
      <w:tr w14:paraId="1B42F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0" w:type="dxa"/>
            <w:gridSpan w:val="4"/>
            <w:tcBorders>
              <w:tl2br w:val="nil"/>
              <w:tr2bl w:val="nil"/>
            </w:tcBorders>
            <w:noWrap w:val="0"/>
            <w:vAlign w:val="center"/>
          </w:tcPr>
          <w:p w14:paraId="227411C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3" w:name="_Toc23243"/>
            <w:r>
              <w:rPr>
                <w:rFonts w:hint="default" w:ascii="Times New Roman" w:hAnsi="Times New Roman" w:eastAsia="宋体" w:cs="Times New Roman"/>
                <w:color w:val="auto"/>
                <w:kern w:val="2"/>
                <w:sz w:val="21"/>
                <w:szCs w:val="21"/>
                <w:lang w:val="en-US" w:eastAsia="zh-CN" w:bidi="ar-SA"/>
              </w:rPr>
              <w:t>2</w:t>
            </w:r>
            <w:bookmarkEnd w:id="263"/>
          </w:p>
        </w:tc>
        <w:tc>
          <w:tcPr>
            <w:tcW w:w="3637" w:type="dxa"/>
            <w:tcBorders>
              <w:tl2br w:val="nil"/>
              <w:tr2bl w:val="nil"/>
            </w:tcBorders>
            <w:noWrap w:val="0"/>
            <w:vAlign w:val="center"/>
          </w:tcPr>
          <w:p w14:paraId="3C864F6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旋转翻板箱</w:t>
            </w:r>
          </w:p>
        </w:tc>
        <w:tc>
          <w:tcPr>
            <w:tcW w:w="1727" w:type="dxa"/>
            <w:tcBorders>
              <w:tl2br w:val="nil"/>
              <w:tr2bl w:val="nil"/>
            </w:tcBorders>
            <w:noWrap w:val="0"/>
            <w:vAlign w:val="center"/>
          </w:tcPr>
          <w:p w14:paraId="1E26158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4" w:name="_Toc461"/>
            <w:r>
              <w:rPr>
                <w:rFonts w:hint="default" w:ascii="Times New Roman" w:hAnsi="Times New Roman" w:eastAsia="宋体" w:cs="Times New Roman"/>
                <w:color w:val="auto"/>
                <w:kern w:val="2"/>
                <w:sz w:val="21"/>
                <w:szCs w:val="21"/>
                <w:lang w:val="en-US" w:eastAsia="zh-CN" w:bidi="ar-SA"/>
              </w:rPr>
              <w:t>台</w:t>
            </w:r>
            <w:bookmarkEnd w:id="264"/>
          </w:p>
        </w:tc>
        <w:tc>
          <w:tcPr>
            <w:tcW w:w="1393" w:type="dxa"/>
            <w:gridSpan w:val="2"/>
            <w:tcBorders>
              <w:tl2br w:val="nil"/>
              <w:tr2bl w:val="nil"/>
            </w:tcBorders>
            <w:noWrap w:val="0"/>
            <w:vAlign w:val="center"/>
          </w:tcPr>
          <w:p w14:paraId="239ECA7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5" w:name="_Toc22131"/>
            <w:r>
              <w:rPr>
                <w:rFonts w:hint="default" w:ascii="Times New Roman" w:hAnsi="Times New Roman" w:eastAsia="宋体" w:cs="Times New Roman"/>
                <w:color w:val="auto"/>
                <w:kern w:val="2"/>
                <w:sz w:val="21"/>
                <w:szCs w:val="21"/>
                <w:lang w:val="en-US" w:eastAsia="zh-CN" w:bidi="ar-SA"/>
              </w:rPr>
              <w:t>1</w:t>
            </w:r>
            <w:bookmarkEnd w:id="265"/>
          </w:p>
        </w:tc>
      </w:tr>
      <w:tr w14:paraId="3825C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0" w:type="dxa"/>
            <w:gridSpan w:val="4"/>
            <w:tcBorders>
              <w:tl2br w:val="nil"/>
              <w:tr2bl w:val="nil"/>
            </w:tcBorders>
            <w:noWrap w:val="0"/>
            <w:vAlign w:val="center"/>
          </w:tcPr>
          <w:p w14:paraId="6BD7469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6" w:name="_Toc32610"/>
            <w:r>
              <w:rPr>
                <w:rFonts w:hint="default" w:ascii="Times New Roman" w:hAnsi="Times New Roman" w:eastAsia="宋体" w:cs="Times New Roman"/>
                <w:color w:val="auto"/>
                <w:kern w:val="2"/>
                <w:sz w:val="21"/>
                <w:szCs w:val="21"/>
                <w:lang w:val="en-US" w:eastAsia="zh-CN" w:bidi="ar-SA"/>
              </w:rPr>
              <w:t>3</w:t>
            </w:r>
            <w:bookmarkEnd w:id="266"/>
          </w:p>
        </w:tc>
        <w:tc>
          <w:tcPr>
            <w:tcW w:w="3637" w:type="dxa"/>
            <w:tcBorders>
              <w:tl2br w:val="nil"/>
              <w:tr2bl w:val="nil"/>
            </w:tcBorders>
            <w:noWrap w:val="0"/>
            <w:vAlign w:val="center"/>
          </w:tcPr>
          <w:p w14:paraId="0AD5E0C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宰杀站台及接血槽</w:t>
            </w:r>
          </w:p>
        </w:tc>
        <w:tc>
          <w:tcPr>
            <w:tcW w:w="1727" w:type="dxa"/>
            <w:tcBorders>
              <w:tl2br w:val="nil"/>
              <w:tr2bl w:val="nil"/>
            </w:tcBorders>
            <w:noWrap w:val="0"/>
            <w:vAlign w:val="center"/>
          </w:tcPr>
          <w:p w14:paraId="2F017D4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noWrap w:val="0"/>
            <w:vAlign w:val="center"/>
          </w:tcPr>
          <w:p w14:paraId="12C3B998">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7" w:name="_Toc15434"/>
            <w:r>
              <w:rPr>
                <w:rFonts w:hint="default" w:ascii="Times New Roman" w:hAnsi="Times New Roman" w:eastAsia="宋体" w:cs="Times New Roman"/>
                <w:color w:val="auto"/>
                <w:kern w:val="2"/>
                <w:sz w:val="21"/>
                <w:szCs w:val="21"/>
                <w:lang w:val="en-US" w:eastAsia="zh-CN" w:bidi="ar-SA"/>
              </w:rPr>
              <w:t>1</w:t>
            </w:r>
            <w:bookmarkEnd w:id="267"/>
          </w:p>
        </w:tc>
      </w:tr>
      <w:tr w14:paraId="78DF1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0" w:type="dxa"/>
            <w:gridSpan w:val="4"/>
            <w:tcBorders>
              <w:tl2br w:val="nil"/>
              <w:tr2bl w:val="nil"/>
            </w:tcBorders>
            <w:noWrap w:val="0"/>
            <w:vAlign w:val="center"/>
          </w:tcPr>
          <w:p w14:paraId="69753C2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8" w:name="_Toc31899"/>
            <w:r>
              <w:rPr>
                <w:rFonts w:hint="default" w:ascii="Times New Roman" w:hAnsi="Times New Roman" w:eastAsia="宋体" w:cs="Times New Roman"/>
                <w:color w:val="auto"/>
                <w:kern w:val="2"/>
                <w:sz w:val="21"/>
                <w:szCs w:val="21"/>
                <w:lang w:val="en-US" w:eastAsia="zh-CN" w:bidi="ar-SA"/>
              </w:rPr>
              <w:t>4</w:t>
            </w:r>
            <w:bookmarkEnd w:id="268"/>
          </w:p>
        </w:tc>
        <w:tc>
          <w:tcPr>
            <w:tcW w:w="3637" w:type="dxa"/>
            <w:tcBorders>
              <w:tl2br w:val="nil"/>
              <w:tr2bl w:val="nil"/>
            </w:tcBorders>
            <w:noWrap w:val="0"/>
            <w:vAlign w:val="center"/>
          </w:tcPr>
          <w:p w14:paraId="7B7F56E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接牛栏</w:t>
            </w:r>
          </w:p>
        </w:tc>
        <w:tc>
          <w:tcPr>
            <w:tcW w:w="1727" w:type="dxa"/>
            <w:tcBorders>
              <w:tl2br w:val="nil"/>
              <w:tr2bl w:val="nil"/>
            </w:tcBorders>
            <w:noWrap w:val="0"/>
            <w:vAlign w:val="center"/>
          </w:tcPr>
          <w:p w14:paraId="7B79C0E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noWrap w:val="0"/>
            <w:vAlign w:val="center"/>
          </w:tcPr>
          <w:p w14:paraId="501A3AD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69" w:name="_Toc9465"/>
            <w:r>
              <w:rPr>
                <w:rFonts w:hint="default" w:ascii="Times New Roman" w:hAnsi="Times New Roman" w:eastAsia="宋体" w:cs="Times New Roman"/>
                <w:color w:val="auto"/>
                <w:kern w:val="2"/>
                <w:sz w:val="21"/>
                <w:szCs w:val="21"/>
                <w:lang w:val="en-US" w:eastAsia="zh-CN" w:bidi="ar-SA"/>
              </w:rPr>
              <w:t>1</w:t>
            </w:r>
            <w:bookmarkEnd w:id="269"/>
          </w:p>
        </w:tc>
      </w:tr>
      <w:tr w14:paraId="2B5B9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0" w:type="dxa"/>
            <w:gridSpan w:val="4"/>
            <w:tcBorders>
              <w:tl2br w:val="nil"/>
              <w:tr2bl w:val="nil"/>
            </w:tcBorders>
            <w:noWrap w:val="0"/>
            <w:vAlign w:val="center"/>
          </w:tcPr>
          <w:p w14:paraId="70A7362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70" w:name="_Toc22902"/>
            <w:r>
              <w:rPr>
                <w:rFonts w:hint="default" w:ascii="Times New Roman" w:hAnsi="Times New Roman" w:eastAsia="宋体" w:cs="Times New Roman"/>
                <w:color w:val="auto"/>
                <w:kern w:val="2"/>
                <w:sz w:val="21"/>
                <w:szCs w:val="21"/>
                <w:lang w:val="en-US" w:eastAsia="zh-CN" w:bidi="ar-SA"/>
              </w:rPr>
              <w:t>5</w:t>
            </w:r>
            <w:bookmarkEnd w:id="270"/>
          </w:p>
        </w:tc>
        <w:tc>
          <w:tcPr>
            <w:tcW w:w="3637" w:type="dxa"/>
            <w:tcBorders>
              <w:tl2br w:val="nil"/>
              <w:tr2bl w:val="nil"/>
            </w:tcBorders>
            <w:noWrap w:val="0"/>
            <w:vAlign w:val="center"/>
          </w:tcPr>
          <w:p w14:paraId="53C85A1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放血提升机</w:t>
            </w:r>
          </w:p>
        </w:tc>
        <w:tc>
          <w:tcPr>
            <w:tcW w:w="1727" w:type="dxa"/>
            <w:tcBorders>
              <w:tl2br w:val="nil"/>
              <w:tr2bl w:val="nil"/>
            </w:tcBorders>
            <w:noWrap w:val="0"/>
            <w:vAlign w:val="center"/>
          </w:tcPr>
          <w:p w14:paraId="3C2BEC6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71" w:name="_Toc15337"/>
            <w:r>
              <w:rPr>
                <w:rFonts w:hint="default" w:ascii="Times New Roman" w:hAnsi="Times New Roman" w:eastAsia="宋体" w:cs="Times New Roman"/>
                <w:color w:val="auto"/>
                <w:kern w:val="2"/>
                <w:sz w:val="21"/>
                <w:szCs w:val="21"/>
                <w:lang w:val="en-US" w:eastAsia="zh-CN" w:bidi="ar-SA"/>
              </w:rPr>
              <w:t>套</w:t>
            </w:r>
            <w:bookmarkEnd w:id="271"/>
          </w:p>
        </w:tc>
        <w:tc>
          <w:tcPr>
            <w:tcW w:w="1393" w:type="dxa"/>
            <w:gridSpan w:val="2"/>
            <w:tcBorders>
              <w:tl2br w:val="nil"/>
              <w:tr2bl w:val="nil"/>
            </w:tcBorders>
            <w:noWrap w:val="0"/>
            <w:vAlign w:val="center"/>
          </w:tcPr>
          <w:p w14:paraId="428EDE2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bookmarkStart w:id="272" w:name="_Toc20361"/>
            <w:r>
              <w:rPr>
                <w:rFonts w:hint="default" w:ascii="Times New Roman" w:hAnsi="Times New Roman" w:eastAsia="宋体" w:cs="Times New Roman"/>
                <w:color w:val="auto"/>
                <w:kern w:val="2"/>
                <w:sz w:val="21"/>
                <w:szCs w:val="21"/>
                <w:lang w:val="en-US" w:eastAsia="zh-CN" w:bidi="ar-SA"/>
              </w:rPr>
              <w:t>2</w:t>
            </w:r>
            <w:bookmarkEnd w:id="272"/>
          </w:p>
        </w:tc>
      </w:tr>
      <w:tr w14:paraId="2AB6F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3D55888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3650" w:type="dxa"/>
            <w:gridSpan w:val="3"/>
            <w:tcBorders>
              <w:tl2br w:val="nil"/>
              <w:tr2bl w:val="nil"/>
            </w:tcBorders>
            <w:shd w:val="clear" w:color="auto" w:fill="auto"/>
            <w:noWrap w:val="0"/>
            <w:vAlign w:val="center"/>
          </w:tcPr>
          <w:p w14:paraId="3BC421F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放血线</w:t>
            </w:r>
          </w:p>
        </w:tc>
        <w:tc>
          <w:tcPr>
            <w:tcW w:w="1727" w:type="dxa"/>
            <w:tcBorders>
              <w:tl2br w:val="nil"/>
              <w:tr2bl w:val="nil"/>
            </w:tcBorders>
            <w:shd w:val="clear" w:color="auto" w:fill="auto"/>
            <w:noWrap w:val="0"/>
            <w:vAlign w:val="center"/>
          </w:tcPr>
          <w:p w14:paraId="18B4802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4079DFD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7250A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112F1DB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3650" w:type="dxa"/>
            <w:gridSpan w:val="3"/>
            <w:tcBorders>
              <w:tl2br w:val="nil"/>
              <w:tr2bl w:val="nil"/>
            </w:tcBorders>
            <w:shd w:val="clear" w:color="auto" w:fill="auto"/>
            <w:noWrap w:val="0"/>
            <w:vAlign w:val="center"/>
          </w:tcPr>
          <w:p w14:paraId="51FFD99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滑轮回空系统</w:t>
            </w:r>
          </w:p>
        </w:tc>
        <w:tc>
          <w:tcPr>
            <w:tcW w:w="1727" w:type="dxa"/>
            <w:tcBorders>
              <w:tl2br w:val="nil"/>
              <w:tr2bl w:val="nil"/>
            </w:tcBorders>
            <w:shd w:val="clear" w:color="auto" w:fill="auto"/>
            <w:noWrap w:val="0"/>
            <w:vAlign w:val="center"/>
          </w:tcPr>
          <w:p w14:paraId="5DE536B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3E6FAB1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364B0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7E19CD9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3650" w:type="dxa"/>
            <w:gridSpan w:val="3"/>
            <w:tcBorders>
              <w:tl2br w:val="nil"/>
              <w:tr2bl w:val="nil"/>
            </w:tcBorders>
            <w:shd w:val="clear" w:color="auto" w:fill="auto"/>
            <w:noWrap w:val="0"/>
            <w:vAlign w:val="center"/>
          </w:tcPr>
          <w:p w14:paraId="360B3D6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自动加载器</w:t>
            </w:r>
          </w:p>
        </w:tc>
        <w:tc>
          <w:tcPr>
            <w:tcW w:w="1727" w:type="dxa"/>
            <w:tcBorders>
              <w:tl2br w:val="nil"/>
              <w:tr2bl w:val="nil"/>
            </w:tcBorders>
            <w:shd w:val="clear" w:color="auto" w:fill="auto"/>
            <w:noWrap w:val="0"/>
            <w:vAlign w:val="center"/>
          </w:tcPr>
          <w:p w14:paraId="0038513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1BA5B61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0F8DF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2A24B91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3650" w:type="dxa"/>
            <w:gridSpan w:val="3"/>
            <w:tcBorders>
              <w:tl2br w:val="nil"/>
              <w:tr2bl w:val="nil"/>
            </w:tcBorders>
            <w:shd w:val="clear" w:color="auto" w:fill="auto"/>
            <w:noWrap w:val="0"/>
            <w:vAlign w:val="center"/>
          </w:tcPr>
          <w:p w14:paraId="203219A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放血吊链</w:t>
            </w:r>
          </w:p>
        </w:tc>
        <w:tc>
          <w:tcPr>
            <w:tcW w:w="1727" w:type="dxa"/>
            <w:tcBorders>
              <w:tl2br w:val="nil"/>
              <w:tr2bl w:val="nil"/>
            </w:tcBorders>
            <w:shd w:val="clear" w:color="auto" w:fill="auto"/>
            <w:noWrap w:val="0"/>
            <w:vAlign w:val="center"/>
          </w:tcPr>
          <w:p w14:paraId="2EC4F93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个</w:t>
            </w:r>
          </w:p>
        </w:tc>
        <w:tc>
          <w:tcPr>
            <w:tcW w:w="1393" w:type="dxa"/>
            <w:gridSpan w:val="2"/>
            <w:tcBorders>
              <w:tl2br w:val="nil"/>
              <w:tr2bl w:val="nil"/>
            </w:tcBorders>
            <w:shd w:val="clear" w:color="auto" w:fill="auto"/>
            <w:noWrap w:val="0"/>
            <w:vAlign w:val="center"/>
          </w:tcPr>
          <w:p w14:paraId="7F666CD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r>
      <w:tr w14:paraId="73C9B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7AA3CA1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3650" w:type="dxa"/>
            <w:gridSpan w:val="3"/>
            <w:tcBorders>
              <w:tl2br w:val="nil"/>
              <w:tr2bl w:val="nil"/>
            </w:tcBorders>
            <w:shd w:val="clear" w:color="auto" w:fill="auto"/>
            <w:noWrap w:val="0"/>
            <w:vAlign w:val="center"/>
          </w:tcPr>
          <w:p w14:paraId="72DD8B8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不锈钢沥血槽</w:t>
            </w:r>
          </w:p>
        </w:tc>
        <w:tc>
          <w:tcPr>
            <w:tcW w:w="1727" w:type="dxa"/>
            <w:tcBorders>
              <w:tl2br w:val="nil"/>
              <w:tr2bl w:val="nil"/>
            </w:tcBorders>
            <w:shd w:val="clear" w:color="auto" w:fill="auto"/>
            <w:noWrap w:val="0"/>
            <w:vAlign w:val="center"/>
          </w:tcPr>
          <w:p w14:paraId="29339D0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个</w:t>
            </w:r>
          </w:p>
        </w:tc>
        <w:tc>
          <w:tcPr>
            <w:tcW w:w="1393" w:type="dxa"/>
            <w:gridSpan w:val="2"/>
            <w:tcBorders>
              <w:tl2br w:val="nil"/>
              <w:tr2bl w:val="nil"/>
            </w:tcBorders>
            <w:shd w:val="clear" w:color="auto" w:fill="auto"/>
            <w:noWrap w:val="0"/>
            <w:vAlign w:val="center"/>
          </w:tcPr>
          <w:p w14:paraId="398C25C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3F449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04F1542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3650" w:type="dxa"/>
            <w:gridSpan w:val="3"/>
            <w:tcBorders>
              <w:tl2br w:val="nil"/>
              <w:tr2bl w:val="nil"/>
            </w:tcBorders>
            <w:shd w:val="clear" w:color="auto" w:fill="auto"/>
            <w:noWrap w:val="0"/>
            <w:vAlign w:val="center"/>
          </w:tcPr>
          <w:p w14:paraId="0DE3EC3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安全桩</w:t>
            </w:r>
          </w:p>
        </w:tc>
        <w:tc>
          <w:tcPr>
            <w:tcW w:w="1727" w:type="dxa"/>
            <w:tcBorders>
              <w:tl2br w:val="nil"/>
              <w:tr2bl w:val="nil"/>
            </w:tcBorders>
            <w:shd w:val="clear" w:color="auto" w:fill="auto"/>
            <w:noWrap w:val="0"/>
            <w:vAlign w:val="center"/>
          </w:tcPr>
          <w:p w14:paraId="63F19A7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w:t>
            </w:r>
          </w:p>
        </w:tc>
        <w:tc>
          <w:tcPr>
            <w:tcW w:w="1393" w:type="dxa"/>
            <w:gridSpan w:val="2"/>
            <w:tcBorders>
              <w:tl2br w:val="nil"/>
              <w:tr2bl w:val="nil"/>
            </w:tcBorders>
            <w:shd w:val="clear" w:color="auto" w:fill="auto"/>
            <w:noWrap w:val="0"/>
            <w:vAlign w:val="center"/>
          </w:tcPr>
          <w:p w14:paraId="2915A49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r>
      <w:tr w14:paraId="103BF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5D57D90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3650" w:type="dxa"/>
            <w:gridSpan w:val="3"/>
            <w:tcBorders>
              <w:tl2br w:val="nil"/>
              <w:tr2bl w:val="nil"/>
            </w:tcBorders>
            <w:shd w:val="clear" w:color="auto" w:fill="auto"/>
            <w:noWrap w:val="0"/>
            <w:vAlign w:val="center"/>
          </w:tcPr>
          <w:p w14:paraId="540D8C1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预剥后肢站台</w:t>
            </w:r>
          </w:p>
        </w:tc>
        <w:tc>
          <w:tcPr>
            <w:tcW w:w="1727" w:type="dxa"/>
            <w:tcBorders>
              <w:tl2br w:val="nil"/>
              <w:tr2bl w:val="nil"/>
            </w:tcBorders>
            <w:shd w:val="clear" w:color="auto" w:fill="auto"/>
            <w:noWrap w:val="0"/>
            <w:vAlign w:val="center"/>
          </w:tcPr>
          <w:p w14:paraId="0E1D617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661699A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59957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47" w:type="dxa"/>
            <w:gridSpan w:val="2"/>
            <w:tcBorders>
              <w:tl2br w:val="nil"/>
              <w:tr2bl w:val="nil"/>
            </w:tcBorders>
            <w:shd w:val="clear" w:color="auto" w:fill="auto"/>
            <w:noWrap w:val="0"/>
            <w:vAlign w:val="center"/>
          </w:tcPr>
          <w:p w14:paraId="74071938">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c>
          <w:tcPr>
            <w:tcW w:w="3650" w:type="dxa"/>
            <w:gridSpan w:val="3"/>
            <w:tcBorders>
              <w:tl2br w:val="nil"/>
              <w:tr2bl w:val="nil"/>
            </w:tcBorders>
            <w:shd w:val="clear" w:color="auto" w:fill="auto"/>
            <w:noWrap w:val="0"/>
            <w:vAlign w:val="center"/>
          </w:tcPr>
          <w:p w14:paraId="3F6229D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毛牛换轨提升机</w:t>
            </w:r>
          </w:p>
        </w:tc>
        <w:tc>
          <w:tcPr>
            <w:tcW w:w="1727" w:type="dxa"/>
            <w:tcBorders>
              <w:tl2br w:val="nil"/>
              <w:tr2bl w:val="nil"/>
            </w:tcBorders>
            <w:shd w:val="clear" w:color="auto" w:fill="auto"/>
            <w:noWrap w:val="0"/>
            <w:vAlign w:val="center"/>
          </w:tcPr>
          <w:p w14:paraId="3040A1F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3F33808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76186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412A9DF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w:t>
            </w:r>
          </w:p>
        </w:tc>
        <w:tc>
          <w:tcPr>
            <w:tcW w:w="3650" w:type="dxa"/>
            <w:gridSpan w:val="3"/>
            <w:tcBorders>
              <w:tl2br w:val="nil"/>
              <w:tr2bl w:val="nil"/>
            </w:tcBorders>
            <w:shd w:val="clear" w:color="auto" w:fill="auto"/>
            <w:noWrap w:val="0"/>
            <w:vAlign w:val="center"/>
          </w:tcPr>
          <w:p w14:paraId="3E0C513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毛牛换轨站台</w:t>
            </w:r>
          </w:p>
        </w:tc>
        <w:tc>
          <w:tcPr>
            <w:tcW w:w="1727" w:type="dxa"/>
            <w:tcBorders>
              <w:tl2br w:val="nil"/>
              <w:tr2bl w:val="nil"/>
            </w:tcBorders>
            <w:shd w:val="clear" w:color="auto" w:fill="auto"/>
            <w:noWrap w:val="0"/>
            <w:vAlign w:val="center"/>
          </w:tcPr>
          <w:p w14:paraId="33A70A9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7787BD4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50D96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4A9A8A8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3650" w:type="dxa"/>
            <w:gridSpan w:val="3"/>
            <w:tcBorders>
              <w:tl2br w:val="nil"/>
              <w:tr2bl w:val="nil"/>
            </w:tcBorders>
            <w:shd w:val="clear" w:color="auto" w:fill="auto"/>
            <w:noWrap w:val="0"/>
            <w:vAlign w:val="center"/>
          </w:tcPr>
          <w:p w14:paraId="606BF0B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后蹄滑槽</w:t>
            </w:r>
          </w:p>
        </w:tc>
        <w:tc>
          <w:tcPr>
            <w:tcW w:w="1727" w:type="dxa"/>
            <w:tcBorders>
              <w:tl2br w:val="nil"/>
              <w:tr2bl w:val="nil"/>
            </w:tcBorders>
            <w:shd w:val="clear" w:color="auto" w:fill="auto"/>
            <w:noWrap w:val="0"/>
            <w:vAlign w:val="center"/>
          </w:tcPr>
          <w:p w14:paraId="524BC29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3734D71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7ED54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724F82C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w:t>
            </w:r>
          </w:p>
        </w:tc>
        <w:tc>
          <w:tcPr>
            <w:tcW w:w="3650" w:type="dxa"/>
            <w:gridSpan w:val="3"/>
            <w:tcBorders>
              <w:tl2br w:val="nil"/>
              <w:tr2bl w:val="nil"/>
            </w:tcBorders>
            <w:shd w:val="clear" w:color="auto" w:fill="auto"/>
            <w:noWrap w:val="0"/>
            <w:vAlign w:val="center"/>
          </w:tcPr>
          <w:p w14:paraId="2866B23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管轨滑轮提升机</w:t>
            </w:r>
          </w:p>
        </w:tc>
        <w:tc>
          <w:tcPr>
            <w:tcW w:w="1727" w:type="dxa"/>
            <w:tcBorders>
              <w:tl2br w:val="nil"/>
              <w:tr2bl w:val="nil"/>
            </w:tcBorders>
            <w:shd w:val="clear" w:color="auto" w:fill="auto"/>
            <w:noWrap w:val="0"/>
            <w:vAlign w:val="center"/>
          </w:tcPr>
          <w:p w14:paraId="74F75DD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6AD74408">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0ABB7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4797B42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w:t>
            </w:r>
          </w:p>
        </w:tc>
        <w:tc>
          <w:tcPr>
            <w:tcW w:w="3650" w:type="dxa"/>
            <w:gridSpan w:val="3"/>
            <w:tcBorders>
              <w:tl2br w:val="nil"/>
              <w:tr2bl w:val="nil"/>
            </w:tcBorders>
            <w:shd w:val="clear" w:color="auto" w:fill="auto"/>
            <w:noWrap w:val="0"/>
            <w:vAlign w:val="center"/>
          </w:tcPr>
          <w:p w14:paraId="42F8F83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胴体加工输送机</w:t>
            </w:r>
          </w:p>
        </w:tc>
        <w:tc>
          <w:tcPr>
            <w:tcW w:w="1727" w:type="dxa"/>
            <w:tcBorders>
              <w:tl2br w:val="nil"/>
              <w:tr2bl w:val="nil"/>
            </w:tcBorders>
            <w:shd w:val="clear" w:color="auto" w:fill="auto"/>
            <w:noWrap w:val="0"/>
            <w:vAlign w:val="center"/>
          </w:tcPr>
          <w:p w14:paraId="3A48C0D8">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184B85F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0201B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shd w:val="clear" w:color="auto" w:fill="auto"/>
            <w:noWrap w:val="0"/>
            <w:vAlign w:val="center"/>
          </w:tcPr>
          <w:p w14:paraId="2D6B5C5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w:t>
            </w:r>
          </w:p>
        </w:tc>
        <w:tc>
          <w:tcPr>
            <w:tcW w:w="3650" w:type="dxa"/>
            <w:gridSpan w:val="3"/>
            <w:tcBorders>
              <w:tl2br w:val="nil"/>
              <w:tr2bl w:val="nil"/>
            </w:tcBorders>
            <w:shd w:val="clear" w:color="auto" w:fill="auto"/>
            <w:noWrap w:val="0"/>
            <w:vAlign w:val="center"/>
          </w:tcPr>
          <w:p w14:paraId="75E4EDE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管轨滑轮吊钩</w:t>
            </w:r>
          </w:p>
        </w:tc>
        <w:tc>
          <w:tcPr>
            <w:tcW w:w="1727" w:type="dxa"/>
            <w:tcBorders>
              <w:tl2br w:val="nil"/>
              <w:tr2bl w:val="nil"/>
            </w:tcBorders>
            <w:shd w:val="clear" w:color="auto" w:fill="auto"/>
            <w:noWrap w:val="0"/>
            <w:vAlign w:val="center"/>
          </w:tcPr>
          <w:p w14:paraId="1D00164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只</w:t>
            </w:r>
          </w:p>
        </w:tc>
        <w:tc>
          <w:tcPr>
            <w:tcW w:w="1393" w:type="dxa"/>
            <w:gridSpan w:val="2"/>
            <w:tcBorders>
              <w:tl2br w:val="nil"/>
              <w:tr2bl w:val="nil"/>
            </w:tcBorders>
            <w:shd w:val="clear" w:color="auto" w:fill="auto"/>
            <w:noWrap w:val="0"/>
            <w:vAlign w:val="center"/>
          </w:tcPr>
          <w:p w14:paraId="21DB1B2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r>
      <w:tr w14:paraId="2D7C5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noWrap w:val="0"/>
            <w:vAlign w:val="center"/>
          </w:tcPr>
          <w:p w14:paraId="02D20E6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w:t>
            </w:r>
          </w:p>
        </w:tc>
        <w:tc>
          <w:tcPr>
            <w:tcW w:w="3650" w:type="dxa"/>
            <w:gridSpan w:val="3"/>
            <w:tcBorders>
              <w:tl2br w:val="nil"/>
              <w:tr2bl w:val="nil"/>
            </w:tcBorders>
            <w:noWrap w:val="0"/>
            <w:vAlign w:val="center"/>
          </w:tcPr>
          <w:p w14:paraId="646F8D7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管轨滑轮吊钩运输车</w:t>
            </w:r>
          </w:p>
        </w:tc>
        <w:tc>
          <w:tcPr>
            <w:tcW w:w="1727" w:type="dxa"/>
            <w:tcBorders>
              <w:tl2br w:val="nil"/>
              <w:tr2bl w:val="nil"/>
            </w:tcBorders>
            <w:noWrap w:val="0"/>
            <w:vAlign w:val="center"/>
          </w:tcPr>
          <w:p w14:paraId="0D3652B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辆</w:t>
            </w:r>
          </w:p>
        </w:tc>
        <w:tc>
          <w:tcPr>
            <w:tcW w:w="1393" w:type="dxa"/>
            <w:gridSpan w:val="2"/>
            <w:tcBorders>
              <w:tl2br w:val="nil"/>
              <w:tr2bl w:val="nil"/>
            </w:tcBorders>
            <w:noWrap w:val="0"/>
            <w:vAlign w:val="center"/>
          </w:tcPr>
          <w:p w14:paraId="60195F0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1C2D6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noWrap w:val="0"/>
            <w:vAlign w:val="center"/>
          </w:tcPr>
          <w:p w14:paraId="256BC66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3650" w:type="dxa"/>
            <w:gridSpan w:val="3"/>
            <w:tcBorders>
              <w:tl2br w:val="nil"/>
              <w:tr2bl w:val="nil"/>
            </w:tcBorders>
            <w:noWrap w:val="0"/>
            <w:vAlign w:val="center"/>
          </w:tcPr>
          <w:p w14:paraId="05381EF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气动双柱升降台</w:t>
            </w:r>
          </w:p>
        </w:tc>
        <w:tc>
          <w:tcPr>
            <w:tcW w:w="1727" w:type="dxa"/>
            <w:tcBorders>
              <w:tl2br w:val="nil"/>
              <w:tr2bl w:val="nil"/>
            </w:tcBorders>
            <w:noWrap w:val="0"/>
            <w:vAlign w:val="center"/>
          </w:tcPr>
          <w:p w14:paraId="6D9D3EF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noWrap w:val="0"/>
            <w:vAlign w:val="center"/>
          </w:tcPr>
          <w:p w14:paraId="5A16289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r>
      <w:tr w14:paraId="10F76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noWrap w:val="0"/>
            <w:vAlign w:val="center"/>
          </w:tcPr>
          <w:p w14:paraId="21C894E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w:t>
            </w:r>
          </w:p>
        </w:tc>
        <w:tc>
          <w:tcPr>
            <w:tcW w:w="3650" w:type="dxa"/>
            <w:gridSpan w:val="3"/>
            <w:tcBorders>
              <w:tl2br w:val="nil"/>
              <w:tr2bl w:val="nil"/>
            </w:tcBorders>
            <w:noWrap w:val="0"/>
            <w:vAlign w:val="center"/>
          </w:tcPr>
          <w:p w14:paraId="2ACC551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牛扯皮机</w:t>
            </w:r>
          </w:p>
        </w:tc>
        <w:tc>
          <w:tcPr>
            <w:tcW w:w="1727" w:type="dxa"/>
            <w:tcBorders>
              <w:tl2br w:val="nil"/>
              <w:tr2bl w:val="nil"/>
            </w:tcBorders>
            <w:noWrap w:val="0"/>
            <w:vAlign w:val="center"/>
          </w:tcPr>
          <w:p w14:paraId="7C5D4DE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noWrap w:val="0"/>
            <w:vAlign w:val="center"/>
          </w:tcPr>
          <w:p w14:paraId="5D18B66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05668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noWrap w:val="0"/>
            <w:vAlign w:val="center"/>
          </w:tcPr>
          <w:p w14:paraId="2A69EE7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w:t>
            </w:r>
          </w:p>
        </w:tc>
        <w:tc>
          <w:tcPr>
            <w:tcW w:w="3650" w:type="dxa"/>
            <w:gridSpan w:val="3"/>
            <w:tcBorders>
              <w:tl2br w:val="nil"/>
              <w:tr2bl w:val="nil"/>
            </w:tcBorders>
            <w:noWrap w:val="0"/>
            <w:vAlign w:val="center"/>
          </w:tcPr>
          <w:p w14:paraId="033F197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气动单柱升降台</w:t>
            </w:r>
          </w:p>
        </w:tc>
        <w:tc>
          <w:tcPr>
            <w:tcW w:w="1727" w:type="dxa"/>
            <w:tcBorders>
              <w:tl2br w:val="nil"/>
              <w:tr2bl w:val="nil"/>
            </w:tcBorders>
            <w:noWrap w:val="0"/>
            <w:vAlign w:val="center"/>
          </w:tcPr>
          <w:p w14:paraId="3711D4E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noWrap w:val="0"/>
            <w:vAlign w:val="center"/>
          </w:tcPr>
          <w:p w14:paraId="72922CD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r>
      <w:tr w14:paraId="6BEBB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noWrap w:val="0"/>
            <w:vAlign w:val="center"/>
          </w:tcPr>
          <w:p w14:paraId="207AA35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w:t>
            </w:r>
          </w:p>
        </w:tc>
        <w:tc>
          <w:tcPr>
            <w:tcW w:w="3650" w:type="dxa"/>
            <w:gridSpan w:val="3"/>
            <w:tcBorders>
              <w:tl2br w:val="nil"/>
              <w:tr2bl w:val="nil"/>
            </w:tcBorders>
            <w:noWrap w:val="0"/>
            <w:vAlign w:val="center"/>
          </w:tcPr>
          <w:p w14:paraId="3409B81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取白脏升降台</w:t>
            </w:r>
          </w:p>
        </w:tc>
        <w:tc>
          <w:tcPr>
            <w:tcW w:w="1727" w:type="dxa"/>
            <w:tcBorders>
              <w:tl2br w:val="nil"/>
              <w:tr2bl w:val="nil"/>
            </w:tcBorders>
            <w:noWrap w:val="0"/>
            <w:vAlign w:val="center"/>
          </w:tcPr>
          <w:p w14:paraId="038F6AC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noWrap w:val="0"/>
            <w:vAlign w:val="center"/>
          </w:tcPr>
          <w:p w14:paraId="30F08B9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0A4C1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7" w:type="dxa"/>
            <w:gridSpan w:val="2"/>
            <w:tcBorders>
              <w:tl2br w:val="nil"/>
              <w:tr2bl w:val="nil"/>
            </w:tcBorders>
            <w:noWrap w:val="0"/>
            <w:vAlign w:val="center"/>
          </w:tcPr>
          <w:p w14:paraId="10D0D27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w:t>
            </w:r>
          </w:p>
        </w:tc>
        <w:tc>
          <w:tcPr>
            <w:tcW w:w="3650" w:type="dxa"/>
            <w:gridSpan w:val="3"/>
            <w:tcBorders>
              <w:tl2br w:val="nil"/>
              <w:tr2bl w:val="nil"/>
            </w:tcBorders>
            <w:noWrap w:val="0"/>
            <w:vAlign w:val="center"/>
          </w:tcPr>
          <w:p w14:paraId="0DB1274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红白脏接收滑槽</w:t>
            </w:r>
          </w:p>
        </w:tc>
        <w:tc>
          <w:tcPr>
            <w:tcW w:w="1727" w:type="dxa"/>
            <w:tcBorders>
              <w:tl2br w:val="nil"/>
              <w:tr2bl w:val="nil"/>
            </w:tcBorders>
            <w:noWrap w:val="0"/>
            <w:vAlign w:val="center"/>
          </w:tcPr>
          <w:p w14:paraId="035AC81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noWrap w:val="0"/>
            <w:vAlign w:val="center"/>
          </w:tcPr>
          <w:p w14:paraId="3A1473E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r>
      <w:tr w14:paraId="4186D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5BCD55E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p>
        </w:tc>
        <w:tc>
          <w:tcPr>
            <w:tcW w:w="3643" w:type="dxa"/>
            <w:gridSpan w:val="2"/>
            <w:tcBorders>
              <w:tl2br w:val="nil"/>
              <w:tr2bl w:val="nil"/>
            </w:tcBorders>
            <w:noWrap w:val="0"/>
            <w:vAlign w:val="center"/>
          </w:tcPr>
          <w:p w14:paraId="3E842ED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取红脏站台</w:t>
            </w:r>
          </w:p>
        </w:tc>
        <w:tc>
          <w:tcPr>
            <w:tcW w:w="1727" w:type="dxa"/>
            <w:tcBorders>
              <w:tl2br w:val="nil"/>
              <w:tr2bl w:val="nil"/>
            </w:tcBorders>
            <w:noWrap w:val="0"/>
            <w:vAlign w:val="center"/>
          </w:tcPr>
          <w:p w14:paraId="744FD08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noWrap w:val="0"/>
            <w:vAlign w:val="center"/>
          </w:tcPr>
          <w:p w14:paraId="1399E49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14B0D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42FA70F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w:t>
            </w:r>
          </w:p>
        </w:tc>
        <w:tc>
          <w:tcPr>
            <w:tcW w:w="3643" w:type="dxa"/>
            <w:gridSpan w:val="2"/>
            <w:tcBorders>
              <w:tl2br w:val="nil"/>
              <w:tr2bl w:val="nil"/>
            </w:tcBorders>
            <w:noWrap w:val="0"/>
            <w:vAlign w:val="center"/>
          </w:tcPr>
          <w:p w14:paraId="664DCE6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劈半防溅屏</w:t>
            </w:r>
          </w:p>
        </w:tc>
        <w:tc>
          <w:tcPr>
            <w:tcW w:w="1727" w:type="dxa"/>
            <w:tcBorders>
              <w:tl2br w:val="nil"/>
              <w:tr2bl w:val="nil"/>
            </w:tcBorders>
            <w:noWrap w:val="0"/>
            <w:vAlign w:val="center"/>
          </w:tcPr>
          <w:p w14:paraId="3870BF2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noWrap w:val="0"/>
            <w:vAlign w:val="center"/>
          </w:tcPr>
          <w:p w14:paraId="7D7CCE9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00C3B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6FEA76A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w:t>
            </w:r>
          </w:p>
        </w:tc>
        <w:tc>
          <w:tcPr>
            <w:tcW w:w="3643" w:type="dxa"/>
            <w:gridSpan w:val="2"/>
            <w:tcBorders>
              <w:tl2br w:val="nil"/>
              <w:tr2bl w:val="nil"/>
            </w:tcBorders>
            <w:noWrap w:val="0"/>
            <w:vAlign w:val="center"/>
          </w:tcPr>
          <w:p w14:paraId="5A7974B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屠宰线中央控制系统</w:t>
            </w:r>
          </w:p>
        </w:tc>
        <w:tc>
          <w:tcPr>
            <w:tcW w:w="1727" w:type="dxa"/>
            <w:tcBorders>
              <w:tl2br w:val="nil"/>
              <w:tr2bl w:val="nil"/>
            </w:tcBorders>
            <w:noWrap w:val="0"/>
            <w:vAlign w:val="center"/>
          </w:tcPr>
          <w:p w14:paraId="4BEF7D5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noWrap w:val="0"/>
            <w:vAlign w:val="center"/>
          </w:tcPr>
          <w:p w14:paraId="7B824DB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7B42E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38A41CA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28</w:t>
            </w:r>
          </w:p>
        </w:tc>
        <w:tc>
          <w:tcPr>
            <w:tcW w:w="3643" w:type="dxa"/>
            <w:gridSpan w:val="2"/>
            <w:tcBorders>
              <w:tl2br w:val="nil"/>
              <w:tr2bl w:val="nil"/>
            </w:tcBorders>
            <w:noWrap w:val="0"/>
            <w:vAlign w:val="center"/>
          </w:tcPr>
          <w:p w14:paraId="49EB5EF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牛胴体轨道电子秤</w:t>
            </w:r>
          </w:p>
        </w:tc>
        <w:tc>
          <w:tcPr>
            <w:tcW w:w="1727" w:type="dxa"/>
            <w:tcBorders>
              <w:tl2br w:val="nil"/>
              <w:tr2bl w:val="nil"/>
            </w:tcBorders>
            <w:noWrap w:val="0"/>
            <w:vAlign w:val="center"/>
          </w:tcPr>
          <w:p w14:paraId="60D6DF8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noWrap w:val="0"/>
            <w:vAlign w:val="center"/>
          </w:tcPr>
          <w:p w14:paraId="3A3F8FE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r>
      <w:tr w14:paraId="7BF6B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7A9376D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3643" w:type="dxa"/>
            <w:gridSpan w:val="2"/>
            <w:tcBorders>
              <w:tl2br w:val="nil"/>
              <w:tr2bl w:val="nil"/>
            </w:tcBorders>
            <w:noWrap w:val="0"/>
            <w:vAlign w:val="center"/>
          </w:tcPr>
          <w:p w14:paraId="20385BD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四分体下降系统</w:t>
            </w:r>
          </w:p>
        </w:tc>
        <w:tc>
          <w:tcPr>
            <w:tcW w:w="1727" w:type="dxa"/>
            <w:tcBorders>
              <w:tl2br w:val="nil"/>
              <w:tr2bl w:val="nil"/>
            </w:tcBorders>
            <w:shd w:val="clear" w:color="auto" w:fill="auto"/>
            <w:noWrap w:val="0"/>
            <w:vAlign w:val="center"/>
          </w:tcPr>
          <w:p w14:paraId="1969AB8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134B440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07B05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71B8BEA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3643" w:type="dxa"/>
            <w:gridSpan w:val="2"/>
            <w:tcBorders>
              <w:tl2br w:val="nil"/>
              <w:tr2bl w:val="nil"/>
            </w:tcBorders>
            <w:noWrap w:val="0"/>
            <w:vAlign w:val="center"/>
          </w:tcPr>
          <w:p w14:paraId="3765332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四分体提升机</w:t>
            </w:r>
          </w:p>
        </w:tc>
        <w:tc>
          <w:tcPr>
            <w:tcW w:w="1727" w:type="dxa"/>
            <w:tcBorders>
              <w:tl2br w:val="nil"/>
              <w:tr2bl w:val="nil"/>
            </w:tcBorders>
            <w:shd w:val="clear" w:color="auto" w:fill="auto"/>
            <w:noWrap w:val="0"/>
            <w:vAlign w:val="center"/>
          </w:tcPr>
          <w:p w14:paraId="0F45E0C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0462CF9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5CBCB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65A5980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w:t>
            </w:r>
          </w:p>
        </w:tc>
        <w:tc>
          <w:tcPr>
            <w:tcW w:w="3643" w:type="dxa"/>
            <w:gridSpan w:val="2"/>
            <w:tcBorders>
              <w:tl2br w:val="nil"/>
              <w:tr2bl w:val="nil"/>
            </w:tcBorders>
            <w:noWrap w:val="0"/>
            <w:vAlign w:val="center"/>
          </w:tcPr>
          <w:p w14:paraId="6FF9BE2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开胸锯</w:t>
            </w:r>
          </w:p>
        </w:tc>
        <w:tc>
          <w:tcPr>
            <w:tcW w:w="1727" w:type="dxa"/>
            <w:tcBorders>
              <w:tl2br w:val="nil"/>
              <w:tr2bl w:val="nil"/>
            </w:tcBorders>
            <w:shd w:val="clear" w:color="auto" w:fill="auto"/>
            <w:noWrap w:val="0"/>
            <w:vAlign w:val="center"/>
          </w:tcPr>
          <w:p w14:paraId="5623AED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0E42625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71C1D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26FF6F3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3643" w:type="dxa"/>
            <w:gridSpan w:val="2"/>
            <w:tcBorders>
              <w:tl2br w:val="nil"/>
              <w:tr2bl w:val="nil"/>
            </w:tcBorders>
            <w:noWrap w:val="0"/>
            <w:vAlign w:val="center"/>
          </w:tcPr>
          <w:p w14:paraId="172E005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带式劈半锯</w:t>
            </w:r>
          </w:p>
        </w:tc>
        <w:tc>
          <w:tcPr>
            <w:tcW w:w="1727" w:type="dxa"/>
            <w:tcBorders>
              <w:tl2br w:val="nil"/>
              <w:tr2bl w:val="nil"/>
            </w:tcBorders>
            <w:shd w:val="clear" w:color="auto" w:fill="auto"/>
            <w:noWrap w:val="0"/>
            <w:vAlign w:val="center"/>
          </w:tcPr>
          <w:p w14:paraId="2CD96B5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603388C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68925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4FE8817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w:t>
            </w:r>
          </w:p>
        </w:tc>
        <w:tc>
          <w:tcPr>
            <w:tcW w:w="3643" w:type="dxa"/>
            <w:gridSpan w:val="2"/>
            <w:tcBorders>
              <w:tl2br w:val="nil"/>
              <w:tr2bl w:val="nil"/>
            </w:tcBorders>
            <w:noWrap w:val="0"/>
            <w:vAlign w:val="center"/>
          </w:tcPr>
          <w:p w14:paraId="100327D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牛羊车间用带刀具消毒器的洗手装置</w:t>
            </w:r>
          </w:p>
        </w:tc>
        <w:tc>
          <w:tcPr>
            <w:tcW w:w="1727" w:type="dxa"/>
            <w:tcBorders>
              <w:tl2br w:val="nil"/>
              <w:tr2bl w:val="nil"/>
            </w:tcBorders>
            <w:noWrap w:val="0"/>
            <w:vAlign w:val="center"/>
          </w:tcPr>
          <w:p w14:paraId="2DB1ABA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noWrap w:val="0"/>
            <w:vAlign w:val="center"/>
          </w:tcPr>
          <w:p w14:paraId="1FF6996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r>
      <w:tr w14:paraId="5905E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2C96D8E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3643" w:type="dxa"/>
            <w:gridSpan w:val="2"/>
            <w:tcBorders>
              <w:tl2br w:val="nil"/>
              <w:tr2bl w:val="nil"/>
            </w:tcBorders>
            <w:noWrap w:val="0"/>
            <w:vAlign w:val="center"/>
          </w:tcPr>
          <w:p w14:paraId="7A85EE4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白内脏接收台</w:t>
            </w:r>
          </w:p>
        </w:tc>
        <w:tc>
          <w:tcPr>
            <w:tcW w:w="1727" w:type="dxa"/>
            <w:tcBorders>
              <w:tl2br w:val="nil"/>
              <w:tr2bl w:val="nil"/>
            </w:tcBorders>
            <w:shd w:val="clear" w:color="auto" w:fill="auto"/>
            <w:noWrap w:val="0"/>
            <w:vAlign w:val="center"/>
          </w:tcPr>
          <w:p w14:paraId="3E19BF2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2A973BA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3ED3E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3E24EB5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3643" w:type="dxa"/>
            <w:gridSpan w:val="2"/>
            <w:tcBorders>
              <w:tl2br w:val="nil"/>
              <w:tr2bl w:val="nil"/>
            </w:tcBorders>
            <w:noWrap w:val="0"/>
            <w:vAlign w:val="center"/>
          </w:tcPr>
          <w:p w14:paraId="2D26A8D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红内脏接收台</w:t>
            </w:r>
          </w:p>
        </w:tc>
        <w:tc>
          <w:tcPr>
            <w:tcW w:w="1727" w:type="dxa"/>
            <w:tcBorders>
              <w:tl2br w:val="nil"/>
              <w:tr2bl w:val="nil"/>
            </w:tcBorders>
            <w:shd w:val="clear" w:color="auto" w:fill="auto"/>
            <w:noWrap w:val="0"/>
            <w:vAlign w:val="center"/>
          </w:tcPr>
          <w:p w14:paraId="024A94C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5CEDE13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3B626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7E7E911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w:t>
            </w:r>
          </w:p>
        </w:tc>
        <w:tc>
          <w:tcPr>
            <w:tcW w:w="3643" w:type="dxa"/>
            <w:gridSpan w:val="2"/>
            <w:tcBorders>
              <w:tl2br w:val="nil"/>
              <w:tr2bl w:val="nil"/>
            </w:tcBorders>
            <w:noWrap w:val="0"/>
            <w:vAlign w:val="center"/>
          </w:tcPr>
          <w:p w14:paraId="5947E95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大肠接收台</w:t>
            </w:r>
          </w:p>
        </w:tc>
        <w:tc>
          <w:tcPr>
            <w:tcW w:w="1727" w:type="dxa"/>
            <w:tcBorders>
              <w:tl2br w:val="nil"/>
              <w:tr2bl w:val="nil"/>
            </w:tcBorders>
            <w:shd w:val="clear" w:color="auto" w:fill="auto"/>
            <w:noWrap w:val="0"/>
            <w:vAlign w:val="center"/>
          </w:tcPr>
          <w:p w14:paraId="50D2DF9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14585C5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1E78F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422AA44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3643" w:type="dxa"/>
            <w:gridSpan w:val="2"/>
            <w:tcBorders>
              <w:tl2br w:val="nil"/>
              <w:tr2bl w:val="nil"/>
            </w:tcBorders>
            <w:noWrap w:val="0"/>
            <w:vAlign w:val="center"/>
          </w:tcPr>
          <w:p w14:paraId="20C7A9D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大肠翻洗池</w:t>
            </w:r>
          </w:p>
        </w:tc>
        <w:tc>
          <w:tcPr>
            <w:tcW w:w="1727" w:type="dxa"/>
            <w:tcBorders>
              <w:tl2br w:val="nil"/>
              <w:tr2bl w:val="nil"/>
            </w:tcBorders>
            <w:shd w:val="clear" w:color="auto" w:fill="auto"/>
            <w:noWrap w:val="0"/>
            <w:vAlign w:val="center"/>
          </w:tcPr>
          <w:p w14:paraId="6572D49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6139D77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29DF0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28562BB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38</w:t>
            </w:r>
          </w:p>
        </w:tc>
        <w:tc>
          <w:tcPr>
            <w:tcW w:w="3643" w:type="dxa"/>
            <w:gridSpan w:val="2"/>
            <w:tcBorders>
              <w:tl2br w:val="nil"/>
              <w:tr2bl w:val="nil"/>
            </w:tcBorders>
            <w:noWrap w:val="0"/>
            <w:vAlign w:val="center"/>
          </w:tcPr>
          <w:p w14:paraId="1B22A93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胃清洗整理台</w:t>
            </w:r>
          </w:p>
        </w:tc>
        <w:tc>
          <w:tcPr>
            <w:tcW w:w="1727" w:type="dxa"/>
            <w:tcBorders>
              <w:tl2br w:val="nil"/>
              <w:tr2bl w:val="nil"/>
            </w:tcBorders>
            <w:shd w:val="clear" w:color="auto" w:fill="auto"/>
            <w:noWrap w:val="0"/>
            <w:vAlign w:val="center"/>
          </w:tcPr>
          <w:p w14:paraId="2650BCF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1E27CB0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461A0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0798548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w:t>
            </w:r>
          </w:p>
        </w:tc>
        <w:tc>
          <w:tcPr>
            <w:tcW w:w="3643" w:type="dxa"/>
            <w:gridSpan w:val="2"/>
            <w:tcBorders>
              <w:tl2br w:val="nil"/>
              <w:tr2bl w:val="nil"/>
            </w:tcBorders>
            <w:noWrap w:val="0"/>
            <w:vAlign w:val="center"/>
          </w:tcPr>
          <w:p w14:paraId="1DC5931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洗肚机</w:t>
            </w:r>
          </w:p>
        </w:tc>
        <w:tc>
          <w:tcPr>
            <w:tcW w:w="1727" w:type="dxa"/>
            <w:tcBorders>
              <w:tl2br w:val="nil"/>
              <w:tr2bl w:val="nil"/>
            </w:tcBorders>
            <w:shd w:val="clear" w:color="auto" w:fill="auto"/>
            <w:noWrap w:val="0"/>
            <w:vAlign w:val="center"/>
          </w:tcPr>
          <w:p w14:paraId="22EC1D2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28E4773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05FD9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1BC1A1D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3643" w:type="dxa"/>
            <w:gridSpan w:val="2"/>
            <w:tcBorders>
              <w:tl2br w:val="nil"/>
              <w:tr2bl w:val="nil"/>
            </w:tcBorders>
            <w:noWrap w:val="0"/>
            <w:vAlign w:val="center"/>
          </w:tcPr>
          <w:p w14:paraId="6476CA3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胃容物吹送系统</w:t>
            </w:r>
          </w:p>
        </w:tc>
        <w:tc>
          <w:tcPr>
            <w:tcW w:w="1727" w:type="dxa"/>
            <w:tcBorders>
              <w:tl2br w:val="nil"/>
              <w:tr2bl w:val="nil"/>
            </w:tcBorders>
            <w:shd w:val="clear" w:color="auto" w:fill="auto"/>
            <w:noWrap w:val="0"/>
            <w:vAlign w:val="center"/>
          </w:tcPr>
          <w:p w14:paraId="0400BC5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73E3E1F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30C50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491A140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w:t>
            </w:r>
          </w:p>
        </w:tc>
        <w:tc>
          <w:tcPr>
            <w:tcW w:w="3643" w:type="dxa"/>
            <w:gridSpan w:val="2"/>
            <w:tcBorders>
              <w:tl2br w:val="nil"/>
              <w:tr2bl w:val="nil"/>
            </w:tcBorders>
            <w:noWrap w:val="0"/>
            <w:vAlign w:val="center"/>
          </w:tcPr>
          <w:p w14:paraId="645C799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包装工作台</w:t>
            </w:r>
          </w:p>
        </w:tc>
        <w:tc>
          <w:tcPr>
            <w:tcW w:w="1727" w:type="dxa"/>
            <w:tcBorders>
              <w:tl2br w:val="nil"/>
              <w:tr2bl w:val="nil"/>
            </w:tcBorders>
            <w:shd w:val="clear" w:color="auto" w:fill="auto"/>
            <w:noWrap w:val="0"/>
            <w:vAlign w:val="center"/>
          </w:tcPr>
          <w:p w14:paraId="1E6DED1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25EE3C3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0A7EA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17" w:type="dxa"/>
            <w:gridSpan w:val="8"/>
            <w:tcBorders>
              <w:tl2br w:val="nil"/>
              <w:tr2bl w:val="nil"/>
            </w:tcBorders>
            <w:noWrap w:val="0"/>
            <w:vAlign w:val="center"/>
          </w:tcPr>
          <w:p w14:paraId="2841ADA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羊屠宰加工流水线</w:t>
            </w:r>
          </w:p>
        </w:tc>
      </w:tr>
      <w:tr w14:paraId="6D80D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38985FE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3643" w:type="dxa"/>
            <w:gridSpan w:val="2"/>
            <w:tcBorders>
              <w:tl2br w:val="nil"/>
              <w:tr2bl w:val="nil"/>
            </w:tcBorders>
            <w:noWrap w:val="0"/>
            <w:vAlign w:val="center"/>
          </w:tcPr>
          <w:p w14:paraId="771A544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集血槽</w:t>
            </w:r>
          </w:p>
        </w:tc>
        <w:tc>
          <w:tcPr>
            <w:tcW w:w="1727" w:type="dxa"/>
            <w:tcBorders>
              <w:tl2br w:val="nil"/>
              <w:tr2bl w:val="nil"/>
            </w:tcBorders>
            <w:noWrap w:val="0"/>
            <w:vAlign w:val="center"/>
          </w:tcPr>
          <w:p w14:paraId="07D08AE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件</w:t>
            </w:r>
          </w:p>
        </w:tc>
        <w:tc>
          <w:tcPr>
            <w:tcW w:w="1393" w:type="dxa"/>
            <w:gridSpan w:val="2"/>
            <w:tcBorders>
              <w:tl2br w:val="nil"/>
              <w:tr2bl w:val="nil"/>
            </w:tcBorders>
            <w:noWrap w:val="0"/>
            <w:vAlign w:val="center"/>
          </w:tcPr>
          <w:p w14:paraId="3817A48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156A4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63BDE80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3643" w:type="dxa"/>
            <w:gridSpan w:val="2"/>
            <w:tcBorders>
              <w:tl2br w:val="nil"/>
              <w:tr2bl w:val="nil"/>
            </w:tcBorders>
            <w:noWrap w:val="0"/>
            <w:vAlign w:val="center"/>
          </w:tcPr>
          <w:p w14:paraId="382377C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宰杀放血输送线</w:t>
            </w:r>
          </w:p>
        </w:tc>
        <w:tc>
          <w:tcPr>
            <w:tcW w:w="1727" w:type="dxa"/>
            <w:tcBorders>
              <w:tl2br w:val="nil"/>
              <w:tr2bl w:val="nil"/>
            </w:tcBorders>
            <w:shd w:val="clear" w:color="auto" w:fill="auto"/>
            <w:noWrap w:val="0"/>
            <w:vAlign w:val="center"/>
          </w:tcPr>
          <w:p w14:paraId="46E4937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246E03C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5DB23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08B48FC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3643" w:type="dxa"/>
            <w:gridSpan w:val="2"/>
            <w:tcBorders>
              <w:tl2br w:val="nil"/>
              <w:tr2bl w:val="nil"/>
            </w:tcBorders>
            <w:noWrap w:val="0"/>
            <w:vAlign w:val="center"/>
          </w:tcPr>
          <w:p w14:paraId="3B5F4CB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一次转挂后腿-换轨站台</w:t>
            </w:r>
          </w:p>
        </w:tc>
        <w:tc>
          <w:tcPr>
            <w:tcW w:w="1727" w:type="dxa"/>
            <w:tcBorders>
              <w:tl2br w:val="nil"/>
              <w:tr2bl w:val="nil"/>
            </w:tcBorders>
            <w:shd w:val="clear" w:color="auto" w:fill="auto"/>
            <w:noWrap w:val="0"/>
            <w:vAlign w:val="center"/>
          </w:tcPr>
          <w:p w14:paraId="21711D2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3FB1164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18F79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0718F46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3643" w:type="dxa"/>
            <w:gridSpan w:val="2"/>
            <w:tcBorders>
              <w:tl2br w:val="nil"/>
              <w:tr2bl w:val="nil"/>
            </w:tcBorders>
            <w:noWrap w:val="0"/>
            <w:vAlign w:val="center"/>
          </w:tcPr>
          <w:p w14:paraId="2B85ABB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预剥后蹄站台</w:t>
            </w:r>
          </w:p>
        </w:tc>
        <w:tc>
          <w:tcPr>
            <w:tcW w:w="1727" w:type="dxa"/>
            <w:tcBorders>
              <w:tl2br w:val="nil"/>
              <w:tr2bl w:val="nil"/>
            </w:tcBorders>
            <w:noWrap w:val="0"/>
            <w:vAlign w:val="center"/>
          </w:tcPr>
          <w:p w14:paraId="7D85B75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noWrap w:val="0"/>
            <w:vAlign w:val="center"/>
          </w:tcPr>
          <w:p w14:paraId="5D28583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r>
      <w:tr w14:paraId="6766E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0A9C137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3643" w:type="dxa"/>
            <w:gridSpan w:val="2"/>
            <w:tcBorders>
              <w:tl2br w:val="nil"/>
              <w:tr2bl w:val="nil"/>
            </w:tcBorders>
            <w:noWrap w:val="0"/>
            <w:vAlign w:val="center"/>
          </w:tcPr>
          <w:p w14:paraId="6896E4A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羊气动斜拉式扯皮机</w:t>
            </w:r>
          </w:p>
        </w:tc>
        <w:tc>
          <w:tcPr>
            <w:tcW w:w="1727" w:type="dxa"/>
            <w:tcBorders>
              <w:tl2br w:val="nil"/>
              <w:tr2bl w:val="nil"/>
            </w:tcBorders>
            <w:shd w:val="clear" w:color="auto" w:fill="auto"/>
            <w:noWrap w:val="0"/>
            <w:vAlign w:val="center"/>
          </w:tcPr>
          <w:p w14:paraId="31DE791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1B0688B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5C89D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560230D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3643" w:type="dxa"/>
            <w:gridSpan w:val="2"/>
            <w:tcBorders>
              <w:tl2br w:val="nil"/>
              <w:tr2bl w:val="nil"/>
            </w:tcBorders>
            <w:noWrap w:val="0"/>
            <w:vAlign w:val="center"/>
          </w:tcPr>
          <w:p w14:paraId="2ADE866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水平预剥后蹄输送线</w:t>
            </w:r>
          </w:p>
        </w:tc>
        <w:tc>
          <w:tcPr>
            <w:tcW w:w="1727" w:type="dxa"/>
            <w:tcBorders>
              <w:tl2br w:val="nil"/>
              <w:tr2bl w:val="nil"/>
            </w:tcBorders>
            <w:shd w:val="clear" w:color="auto" w:fill="auto"/>
            <w:noWrap w:val="0"/>
            <w:vAlign w:val="center"/>
          </w:tcPr>
          <w:p w14:paraId="68214F3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shd w:val="clear" w:color="auto" w:fill="auto"/>
            <w:noWrap w:val="0"/>
            <w:vAlign w:val="center"/>
          </w:tcPr>
          <w:p w14:paraId="4F3C844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r>
      <w:tr w14:paraId="0229C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7F6D2A2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3643" w:type="dxa"/>
            <w:gridSpan w:val="2"/>
            <w:tcBorders>
              <w:tl2br w:val="nil"/>
              <w:tr2bl w:val="nil"/>
            </w:tcBorders>
            <w:noWrap w:val="0"/>
            <w:vAlign w:val="center"/>
          </w:tcPr>
          <w:p w14:paraId="0D54BFD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掏内脏胴体输送线</w:t>
            </w:r>
          </w:p>
        </w:tc>
        <w:tc>
          <w:tcPr>
            <w:tcW w:w="1727" w:type="dxa"/>
            <w:tcBorders>
              <w:tl2br w:val="nil"/>
              <w:tr2bl w:val="nil"/>
            </w:tcBorders>
            <w:noWrap w:val="0"/>
            <w:vAlign w:val="center"/>
          </w:tcPr>
          <w:p w14:paraId="7F2EEED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noWrap w:val="0"/>
            <w:vAlign w:val="center"/>
          </w:tcPr>
          <w:p w14:paraId="240F536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476D3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13B3DDE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3643" w:type="dxa"/>
            <w:gridSpan w:val="2"/>
            <w:tcBorders>
              <w:tl2br w:val="nil"/>
              <w:tr2bl w:val="nil"/>
            </w:tcBorders>
            <w:noWrap w:val="0"/>
            <w:vAlign w:val="center"/>
          </w:tcPr>
          <w:p w14:paraId="669AED6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落地式红白脏输送线</w:t>
            </w:r>
          </w:p>
        </w:tc>
        <w:tc>
          <w:tcPr>
            <w:tcW w:w="1727" w:type="dxa"/>
            <w:tcBorders>
              <w:tl2br w:val="nil"/>
              <w:tr2bl w:val="nil"/>
            </w:tcBorders>
            <w:noWrap w:val="0"/>
            <w:vAlign w:val="center"/>
          </w:tcPr>
          <w:p w14:paraId="33593E98">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93" w:type="dxa"/>
            <w:gridSpan w:val="2"/>
            <w:tcBorders>
              <w:tl2br w:val="nil"/>
              <w:tr2bl w:val="nil"/>
            </w:tcBorders>
            <w:noWrap w:val="0"/>
            <w:vAlign w:val="center"/>
          </w:tcPr>
          <w:p w14:paraId="2CBB539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57293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noWrap w:val="0"/>
            <w:vAlign w:val="center"/>
          </w:tcPr>
          <w:p w14:paraId="434B3D6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3643" w:type="dxa"/>
            <w:gridSpan w:val="2"/>
            <w:tcBorders>
              <w:tl2br w:val="nil"/>
              <w:tr2bl w:val="nil"/>
            </w:tcBorders>
            <w:noWrap w:val="0"/>
            <w:vAlign w:val="center"/>
          </w:tcPr>
          <w:p w14:paraId="1FBB3A1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白脏滑槽</w:t>
            </w:r>
          </w:p>
        </w:tc>
        <w:tc>
          <w:tcPr>
            <w:tcW w:w="1727" w:type="dxa"/>
            <w:tcBorders>
              <w:tl2br w:val="nil"/>
              <w:tr2bl w:val="nil"/>
            </w:tcBorders>
            <w:noWrap w:val="0"/>
            <w:vAlign w:val="center"/>
          </w:tcPr>
          <w:p w14:paraId="13B9C6E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件</w:t>
            </w:r>
          </w:p>
        </w:tc>
        <w:tc>
          <w:tcPr>
            <w:tcW w:w="1393" w:type="dxa"/>
            <w:gridSpan w:val="2"/>
            <w:tcBorders>
              <w:tl2br w:val="nil"/>
              <w:tr2bl w:val="nil"/>
            </w:tcBorders>
            <w:noWrap w:val="0"/>
            <w:vAlign w:val="center"/>
          </w:tcPr>
          <w:p w14:paraId="761BA5F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1EC54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tcBorders>
              <w:tl2br w:val="nil"/>
              <w:tr2bl w:val="nil"/>
            </w:tcBorders>
            <w:noWrap w:val="0"/>
            <w:vAlign w:val="center"/>
          </w:tcPr>
          <w:p w14:paraId="12ECF1B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3657" w:type="dxa"/>
            <w:gridSpan w:val="4"/>
            <w:tcBorders>
              <w:tl2br w:val="nil"/>
              <w:tr2bl w:val="nil"/>
            </w:tcBorders>
            <w:noWrap w:val="0"/>
            <w:vAlign w:val="center"/>
          </w:tcPr>
          <w:p w14:paraId="368E536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红脏滑槽</w:t>
            </w:r>
          </w:p>
        </w:tc>
        <w:tc>
          <w:tcPr>
            <w:tcW w:w="1727" w:type="dxa"/>
            <w:tcBorders>
              <w:tl2br w:val="nil"/>
              <w:tr2bl w:val="nil"/>
            </w:tcBorders>
            <w:noWrap w:val="0"/>
            <w:vAlign w:val="center"/>
          </w:tcPr>
          <w:p w14:paraId="6670463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件</w:t>
            </w:r>
          </w:p>
        </w:tc>
        <w:tc>
          <w:tcPr>
            <w:tcW w:w="1393" w:type="dxa"/>
            <w:gridSpan w:val="2"/>
            <w:tcBorders>
              <w:tl2br w:val="nil"/>
              <w:tr2bl w:val="nil"/>
            </w:tcBorders>
            <w:noWrap w:val="0"/>
            <w:vAlign w:val="center"/>
          </w:tcPr>
          <w:p w14:paraId="0890576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0E773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tcBorders>
              <w:tl2br w:val="nil"/>
              <w:tr2bl w:val="nil"/>
            </w:tcBorders>
            <w:noWrap w:val="0"/>
            <w:vAlign w:val="center"/>
          </w:tcPr>
          <w:p w14:paraId="4FB86F0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3657" w:type="dxa"/>
            <w:gridSpan w:val="4"/>
            <w:tcBorders>
              <w:tl2br w:val="nil"/>
              <w:tr2bl w:val="nil"/>
            </w:tcBorders>
            <w:noWrap w:val="0"/>
            <w:vAlign w:val="center"/>
          </w:tcPr>
          <w:p w14:paraId="18C38AF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取内脏站台</w:t>
            </w:r>
          </w:p>
        </w:tc>
        <w:tc>
          <w:tcPr>
            <w:tcW w:w="1736" w:type="dxa"/>
            <w:gridSpan w:val="2"/>
            <w:tcBorders>
              <w:tl2br w:val="nil"/>
              <w:tr2bl w:val="nil"/>
            </w:tcBorders>
            <w:shd w:val="clear" w:color="auto" w:fill="auto"/>
            <w:noWrap w:val="0"/>
            <w:vAlign w:val="center"/>
          </w:tcPr>
          <w:p w14:paraId="3A0455B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84" w:type="dxa"/>
            <w:tcBorders>
              <w:tl2br w:val="nil"/>
              <w:tr2bl w:val="nil"/>
            </w:tcBorders>
            <w:shd w:val="clear" w:color="auto" w:fill="auto"/>
            <w:noWrap w:val="0"/>
            <w:vAlign w:val="center"/>
          </w:tcPr>
          <w:p w14:paraId="3DDD8228">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652C1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tcBorders>
              <w:tl2br w:val="nil"/>
              <w:tr2bl w:val="nil"/>
            </w:tcBorders>
            <w:noWrap w:val="0"/>
            <w:vAlign w:val="center"/>
          </w:tcPr>
          <w:p w14:paraId="39625065">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3657" w:type="dxa"/>
            <w:gridSpan w:val="4"/>
            <w:tcBorders>
              <w:tl2br w:val="nil"/>
              <w:tr2bl w:val="nil"/>
            </w:tcBorders>
            <w:noWrap w:val="0"/>
            <w:vAlign w:val="center"/>
          </w:tcPr>
          <w:p w14:paraId="5E788160">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羊屠宰线中央控制系统</w:t>
            </w:r>
          </w:p>
        </w:tc>
        <w:tc>
          <w:tcPr>
            <w:tcW w:w="1736" w:type="dxa"/>
            <w:gridSpan w:val="2"/>
            <w:tcBorders>
              <w:tl2br w:val="nil"/>
              <w:tr2bl w:val="nil"/>
            </w:tcBorders>
            <w:shd w:val="clear" w:color="auto" w:fill="auto"/>
            <w:noWrap w:val="0"/>
            <w:vAlign w:val="center"/>
          </w:tcPr>
          <w:p w14:paraId="08F190A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84" w:type="dxa"/>
            <w:tcBorders>
              <w:tl2br w:val="nil"/>
              <w:tr2bl w:val="nil"/>
            </w:tcBorders>
            <w:shd w:val="clear" w:color="auto" w:fill="auto"/>
            <w:noWrap w:val="0"/>
            <w:vAlign w:val="center"/>
          </w:tcPr>
          <w:p w14:paraId="774C592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224F7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40B9A1F4">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3643" w:type="dxa"/>
            <w:gridSpan w:val="2"/>
            <w:tcBorders>
              <w:tl2br w:val="nil"/>
              <w:tr2bl w:val="nil"/>
            </w:tcBorders>
            <w:shd w:val="clear" w:color="auto" w:fill="auto"/>
            <w:noWrap w:val="0"/>
            <w:vAlign w:val="center"/>
          </w:tcPr>
          <w:p w14:paraId="3B62AE50">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内脏接收台</w:t>
            </w:r>
          </w:p>
        </w:tc>
        <w:tc>
          <w:tcPr>
            <w:tcW w:w="1736" w:type="dxa"/>
            <w:gridSpan w:val="2"/>
            <w:tcBorders>
              <w:tl2br w:val="nil"/>
              <w:tr2bl w:val="nil"/>
            </w:tcBorders>
            <w:shd w:val="clear" w:color="auto" w:fill="auto"/>
            <w:noWrap w:val="0"/>
            <w:vAlign w:val="center"/>
          </w:tcPr>
          <w:p w14:paraId="1F9D85D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84" w:type="dxa"/>
            <w:tcBorders>
              <w:tl2br w:val="nil"/>
              <w:tr2bl w:val="nil"/>
            </w:tcBorders>
            <w:shd w:val="clear" w:color="auto" w:fill="auto"/>
            <w:noWrap w:val="0"/>
            <w:vAlign w:val="center"/>
          </w:tcPr>
          <w:p w14:paraId="51A027D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70863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3BA65371">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w:t>
            </w:r>
          </w:p>
        </w:tc>
        <w:tc>
          <w:tcPr>
            <w:tcW w:w="3643" w:type="dxa"/>
            <w:gridSpan w:val="2"/>
            <w:tcBorders>
              <w:tl2br w:val="nil"/>
              <w:tr2bl w:val="nil"/>
            </w:tcBorders>
            <w:shd w:val="clear" w:color="auto" w:fill="auto"/>
            <w:noWrap w:val="0"/>
            <w:vAlign w:val="center"/>
          </w:tcPr>
          <w:p w14:paraId="7C057839">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大肠接收台</w:t>
            </w:r>
          </w:p>
        </w:tc>
        <w:tc>
          <w:tcPr>
            <w:tcW w:w="1736" w:type="dxa"/>
            <w:gridSpan w:val="2"/>
            <w:tcBorders>
              <w:tl2br w:val="nil"/>
              <w:tr2bl w:val="nil"/>
            </w:tcBorders>
            <w:shd w:val="clear" w:color="auto" w:fill="auto"/>
            <w:noWrap w:val="0"/>
            <w:vAlign w:val="center"/>
          </w:tcPr>
          <w:p w14:paraId="2F39B9B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84" w:type="dxa"/>
            <w:tcBorders>
              <w:tl2br w:val="nil"/>
              <w:tr2bl w:val="nil"/>
            </w:tcBorders>
            <w:shd w:val="clear" w:color="auto" w:fill="auto"/>
            <w:noWrap w:val="0"/>
            <w:vAlign w:val="center"/>
          </w:tcPr>
          <w:p w14:paraId="712C922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0FC51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3689AFD0">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w:t>
            </w:r>
          </w:p>
        </w:tc>
        <w:tc>
          <w:tcPr>
            <w:tcW w:w="3643" w:type="dxa"/>
            <w:gridSpan w:val="2"/>
            <w:tcBorders>
              <w:tl2br w:val="nil"/>
              <w:tr2bl w:val="nil"/>
            </w:tcBorders>
            <w:shd w:val="clear" w:color="auto" w:fill="auto"/>
            <w:noWrap w:val="0"/>
            <w:vAlign w:val="center"/>
          </w:tcPr>
          <w:p w14:paraId="7FADC007">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大肠翻洗池</w:t>
            </w:r>
          </w:p>
        </w:tc>
        <w:tc>
          <w:tcPr>
            <w:tcW w:w="1736" w:type="dxa"/>
            <w:gridSpan w:val="2"/>
            <w:tcBorders>
              <w:tl2br w:val="nil"/>
              <w:tr2bl w:val="nil"/>
            </w:tcBorders>
            <w:shd w:val="clear" w:color="auto" w:fill="auto"/>
            <w:noWrap w:val="0"/>
            <w:vAlign w:val="center"/>
          </w:tcPr>
          <w:p w14:paraId="4A5BBCC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84" w:type="dxa"/>
            <w:tcBorders>
              <w:tl2br w:val="nil"/>
              <w:tr2bl w:val="nil"/>
            </w:tcBorders>
            <w:shd w:val="clear" w:color="auto" w:fill="auto"/>
            <w:noWrap w:val="0"/>
            <w:vAlign w:val="center"/>
          </w:tcPr>
          <w:p w14:paraId="6998F4D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19A20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730F4CD8">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c>
          <w:tcPr>
            <w:tcW w:w="3643" w:type="dxa"/>
            <w:gridSpan w:val="2"/>
            <w:tcBorders>
              <w:tl2br w:val="nil"/>
              <w:tr2bl w:val="nil"/>
            </w:tcBorders>
            <w:shd w:val="clear" w:color="auto" w:fill="auto"/>
            <w:noWrap w:val="0"/>
            <w:vAlign w:val="center"/>
          </w:tcPr>
          <w:p w14:paraId="3E4F623E">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胃清洗整理台</w:t>
            </w:r>
          </w:p>
        </w:tc>
        <w:tc>
          <w:tcPr>
            <w:tcW w:w="1736" w:type="dxa"/>
            <w:gridSpan w:val="2"/>
            <w:tcBorders>
              <w:tl2br w:val="nil"/>
              <w:tr2bl w:val="nil"/>
            </w:tcBorders>
            <w:shd w:val="clear" w:color="auto" w:fill="auto"/>
            <w:noWrap w:val="0"/>
            <w:vAlign w:val="center"/>
          </w:tcPr>
          <w:p w14:paraId="1D9DD778">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84" w:type="dxa"/>
            <w:tcBorders>
              <w:tl2br w:val="nil"/>
              <w:tr2bl w:val="nil"/>
            </w:tcBorders>
            <w:shd w:val="clear" w:color="auto" w:fill="auto"/>
            <w:noWrap w:val="0"/>
            <w:vAlign w:val="center"/>
          </w:tcPr>
          <w:p w14:paraId="13EC200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19FF0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7E394CBD">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w:t>
            </w:r>
          </w:p>
        </w:tc>
        <w:tc>
          <w:tcPr>
            <w:tcW w:w="3643" w:type="dxa"/>
            <w:gridSpan w:val="2"/>
            <w:tcBorders>
              <w:tl2br w:val="nil"/>
              <w:tr2bl w:val="nil"/>
            </w:tcBorders>
            <w:shd w:val="clear" w:color="auto" w:fill="auto"/>
            <w:noWrap w:val="0"/>
            <w:vAlign w:val="center"/>
          </w:tcPr>
          <w:p w14:paraId="0C3CDFA4">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洗肚机</w:t>
            </w:r>
          </w:p>
        </w:tc>
        <w:tc>
          <w:tcPr>
            <w:tcW w:w="1736" w:type="dxa"/>
            <w:gridSpan w:val="2"/>
            <w:tcBorders>
              <w:tl2br w:val="nil"/>
              <w:tr2bl w:val="nil"/>
            </w:tcBorders>
            <w:shd w:val="clear" w:color="auto" w:fill="auto"/>
            <w:noWrap w:val="0"/>
            <w:vAlign w:val="center"/>
          </w:tcPr>
          <w:p w14:paraId="68A0D9C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84" w:type="dxa"/>
            <w:tcBorders>
              <w:tl2br w:val="nil"/>
              <w:tr2bl w:val="nil"/>
            </w:tcBorders>
            <w:shd w:val="clear" w:color="auto" w:fill="auto"/>
            <w:noWrap w:val="0"/>
            <w:vAlign w:val="center"/>
          </w:tcPr>
          <w:p w14:paraId="46F3B80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5E838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5B7AC4BB">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3643" w:type="dxa"/>
            <w:gridSpan w:val="2"/>
            <w:tcBorders>
              <w:tl2br w:val="nil"/>
              <w:tr2bl w:val="nil"/>
            </w:tcBorders>
            <w:shd w:val="clear" w:color="auto" w:fill="auto"/>
            <w:noWrap w:val="0"/>
            <w:vAlign w:val="center"/>
          </w:tcPr>
          <w:p w14:paraId="02D4B134">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胃容物吹送系统</w:t>
            </w:r>
          </w:p>
        </w:tc>
        <w:tc>
          <w:tcPr>
            <w:tcW w:w="1736" w:type="dxa"/>
            <w:gridSpan w:val="2"/>
            <w:tcBorders>
              <w:tl2br w:val="nil"/>
              <w:tr2bl w:val="nil"/>
            </w:tcBorders>
            <w:shd w:val="clear" w:color="auto" w:fill="auto"/>
            <w:noWrap w:val="0"/>
            <w:vAlign w:val="center"/>
          </w:tcPr>
          <w:p w14:paraId="5D090C6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84" w:type="dxa"/>
            <w:tcBorders>
              <w:tl2br w:val="nil"/>
              <w:tr2bl w:val="nil"/>
            </w:tcBorders>
            <w:shd w:val="clear" w:color="auto" w:fill="auto"/>
            <w:noWrap w:val="0"/>
            <w:vAlign w:val="center"/>
          </w:tcPr>
          <w:p w14:paraId="0ABA422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4FD31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0DD5B382">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w:t>
            </w:r>
          </w:p>
        </w:tc>
        <w:tc>
          <w:tcPr>
            <w:tcW w:w="3643" w:type="dxa"/>
            <w:gridSpan w:val="2"/>
            <w:tcBorders>
              <w:tl2br w:val="nil"/>
              <w:tr2bl w:val="nil"/>
            </w:tcBorders>
            <w:shd w:val="clear" w:color="auto" w:fill="auto"/>
            <w:noWrap w:val="0"/>
            <w:vAlign w:val="center"/>
          </w:tcPr>
          <w:p w14:paraId="55F683F4">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牛羊车间用带刀具消毒器的洗手装置</w:t>
            </w:r>
          </w:p>
        </w:tc>
        <w:tc>
          <w:tcPr>
            <w:tcW w:w="1736" w:type="dxa"/>
            <w:gridSpan w:val="2"/>
            <w:tcBorders>
              <w:tl2br w:val="nil"/>
              <w:tr2bl w:val="nil"/>
            </w:tcBorders>
            <w:shd w:val="clear" w:color="auto" w:fill="auto"/>
            <w:noWrap w:val="0"/>
            <w:vAlign w:val="center"/>
          </w:tcPr>
          <w:p w14:paraId="411369C8">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84" w:type="dxa"/>
            <w:tcBorders>
              <w:tl2br w:val="nil"/>
              <w:tr2bl w:val="nil"/>
            </w:tcBorders>
            <w:shd w:val="clear" w:color="auto" w:fill="auto"/>
            <w:noWrap w:val="0"/>
            <w:vAlign w:val="center"/>
          </w:tcPr>
          <w:p w14:paraId="0AB2EBC2">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r>
      <w:tr w14:paraId="08E74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0EE6904A">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22</w:t>
            </w:r>
          </w:p>
        </w:tc>
        <w:tc>
          <w:tcPr>
            <w:tcW w:w="3643" w:type="dxa"/>
            <w:gridSpan w:val="2"/>
            <w:tcBorders>
              <w:tl2br w:val="nil"/>
              <w:tr2bl w:val="nil"/>
            </w:tcBorders>
            <w:shd w:val="clear" w:color="auto" w:fill="auto"/>
            <w:noWrap w:val="0"/>
            <w:vAlign w:val="center"/>
          </w:tcPr>
          <w:p w14:paraId="7E4A8C09">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热缩机</w:t>
            </w:r>
          </w:p>
        </w:tc>
        <w:tc>
          <w:tcPr>
            <w:tcW w:w="1736" w:type="dxa"/>
            <w:gridSpan w:val="2"/>
            <w:tcBorders>
              <w:tl2br w:val="nil"/>
              <w:tr2bl w:val="nil"/>
            </w:tcBorders>
            <w:shd w:val="clear" w:color="auto" w:fill="auto"/>
            <w:noWrap w:val="0"/>
            <w:vAlign w:val="center"/>
          </w:tcPr>
          <w:p w14:paraId="558DE0D8">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w:t>
            </w:r>
          </w:p>
        </w:tc>
        <w:tc>
          <w:tcPr>
            <w:tcW w:w="1384" w:type="dxa"/>
            <w:tcBorders>
              <w:tl2br w:val="nil"/>
              <w:tr2bl w:val="nil"/>
            </w:tcBorders>
            <w:shd w:val="clear" w:color="auto" w:fill="auto"/>
            <w:noWrap w:val="0"/>
            <w:vAlign w:val="center"/>
          </w:tcPr>
          <w:p w14:paraId="6F2F198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5CCBD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0C84D2A3">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23</w:t>
            </w:r>
          </w:p>
        </w:tc>
        <w:tc>
          <w:tcPr>
            <w:tcW w:w="3643" w:type="dxa"/>
            <w:gridSpan w:val="2"/>
            <w:tcBorders>
              <w:tl2br w:val="nil"/>
              <w:tr2bl w:val="nil"/>
            </w:tcBorders>
            <w:shd w:val="clear" w:color="auto" w:fill="auto"/>
            <w:noWrap w:val="0"/>
            <w:vAlign w:val="center"/>
          </w:tcPr>
          <w:p w14:paraId="43CDDC77">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分割线电器控制</w:t>
            </w:r>
          </w:p>
        </w:tc>
        <w:tc>
          <w:tcPr>
            <w:tcW w:w="1736" w:type="dxa"/>
            <w:gridSpan w:val="2"/>
            <w:tcBorders>
              <w:tl2br w:val="nil"/>
              <w:tr2bl w:val="nil"/>
            </w:tcBorders>
            <w:shd w:val="clear" w:color="auto" w:fill="auto"/>
            <w:noWrap w:val="0"/>
            <w:vAlign w:val="center"/>
          </w:tcPr>
          <w:p w14:paraId="3E0553D5">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1384" w:type="dxa"/>
            <w:tcBorders>
              <w:tl2br w:val="nil"/>
              <w:tr2bl w:val="nil"/>
            </w:tcBorders>
            <w:shd w:val="clear" w:color="auto" w:fill="auto"/>
            <w:noWrap w:val="0"/>
            <w:vAlign w:val="center"/>
          </w:tcPr>
          <w:p w14:paraId="4614968A">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1B503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gridSpan w:val="3"/>
            <w:tcBorders>
              <w:tl2br w:val="nil"/>
              <w:tr2bl w:val="nil"/>
            </w:tcBorders>
            <w:shd w:val="clear" w:color="auto" w:fill="auto"/>
            <w:noWrap w:val="0"/>
            <w:vAlign w:val="center"/>
          </w:tcPr>
          <w:p w14:paraId="55218D82">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w:t>
            </w:r>
          </w:p>
        </w:tc>
        <w:tc>
          <w:tcPr>
            <w:tcW w:w="3643" w:type="dxa"/>
            <w:gridSpan w:val="2"/>
            <w:tcBorders>
              <w:tl2br w:val="nil"/>
              <w:tr2bl w:val="nil"/>
            </w:tcBorders>
            <w:shd w:val="clear" w:color="auto" w:fill="auto"/>
            <w:noWrap w:val="0"/>
            <w:vAlign w:val="center"/>
          </w:tcPr>
          <w:p w14:paraId="5F767C00">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锯骨机</w:t>
            </w:r>
          </w:p>
        </w:tc>
        <w:tc>
          <w:tcPr>
            <w:tcW w:w="1727" w:type="dxa"/>
            <w:tcBorders>
              <w:tl2br w:val="nil"/>
              <w:tr2bl w:val="nil"/>
            </w:tcBorders>
            <w:shd w:val="clear" w:color="auto" w:fill="auto"/>
            <w:noWrap w:val="0"/>
            <w:vAlign w:val="center"/>
          </w:tcPr>
          <w:p w14:paraId="056A5C7D">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1393" w:type="dxa"/>
            <w:gridSpan w:val="2"/>
            <w:tcBorders>
              <w:tl2br w:val="nil"/>
              <w:tr2bl w:val="nil"/>
            </w:tcBorders>
            <w:shd w:val="clear" w:color="auto" w:fill="auto"/>
            <w:noWrap w:val="0"/>
            <w:vAlign w:val="center"/>
          </w:tcPr>
          <w:p w14:paraId="0AA6CE72">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bl>
    <w:p w14:paraId="6AA7D403">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2.1.6公用工程</w:t>
      </w:r>
    </w:p>
    <w:p w14:paraId="42746ED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宋体" w:cs="Times New Roman"/>
          <w:b/>
          <w:bCs w:val="0"/>
          <w:color w:val="auto"/>
          <w:sz w:val="24"/>
          <w:szCs w:val="24"/>
          <w:lang w:val="en-US" w:eastAsia="zh-CN"/>
        </w:rPr>
      </w:pPr>
      <w:bookmarkStart w:id="273" w:name="_Toc79307938"/>
      <w:r>
        <w:rPr>
          <w:rFonts w:hint="default" w:ascii="Times New Roman" w:hAnsi="Times New Roman" w:eastAsia="黑体" w:cs="Times New Roman"/>
          <w:b/>
          <w:bCs w:val="0"/>
          <w:color w:val="auto"/>
          <w:sz w:val="24"/>
          <w:szCs w:val="24"/>
          <w:lang w:val="en-US" w:eastAsia="zh-CN"/>
        </w:rPr>
        <w:t>2.1.6.1</w:t>
      </w:r>
      <w:r>
        <w:rPr>
          <w:rFonts w:hint="default" w:ascii="Times New Roman" w:hAnsi="Times New Roman" w:eastAsia="宋体" w:cs="Times New Roman"/>
          <w:b/>
          <w:bCs w:val="0"/>
          <w:color w:val="auto"/>
          <w:sz w:val="24"/>
          <w:szCs w:val="24"/>
          <w:lang w:val="en-US" w:eastAsia="zh-CN"/>
        </w:rPr>
        <w:t>给排水</w:t>
      </w:r>
      <w:bookmarkEnd w:id="273"/>
    </w:p>
    <w:p w14:paraId="61180837">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szCs w:val="24"/>
        </w:rPr>
      </w:pPr>
      <w:r>
        <w:rPr>
          <w:rFonts w:hint="eastAsia" w:ascii="Times New Roman" w:hAnsi="Times New Roman" w:cs="Times New Roman"/>
          <w:color w:val="auto"/>
          <w:sz w:val="24"/>
          <w:szCs w:val="24"/>
          <w:lang w:val="en-US" w:eastAsia="zh-CN"/>
        </w:rPr>
        <w:t>（1）</w:t>
      </w:r>
      <w:r>
        <w:rPr>
          <w:rFonts w:hint="eastAsia" w:cs="Times New Roman"/>
          <w:color w:val="auto"/>
          <w:sz w:val="24"/>
          <w:highlight w:val="none"/>
          <w:lang w:val="en-US" w:eastAsia="zh-CN"/>
        </w:rPr>
        <w:t>给水</w:t>
      </w:r>
    </w:p>
    <w:p w14:paraId="4DFD767A">
      <w:pPr>
        <w:keepNext w:val="0"/>
        <w:keepLines w:val="0"/>
        <w:pageBreakBefore w:val="0"/>
        <w:kinsoku/>
        <w:wordWrap/>
        <w:overflowPunct/>
        <w:topLinePunct w:val="0"/>
        <w:autoSpaceDE/>
        <w:autoSpaceDN/>
        <w:bidi w:val="0"/>
        <w:adjustRightInd/>
        <w:snapToGrid/>
        <w:ind w:left="0" w:leftChars="0"/>
        <w:textAlignment w:val="auto"/>
        <w:rPr>
          <w:rFonts w:hint="eastAsia"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项目用水由市政管网提供</w:t>
      </w:r>
      <w:r>
        <w:rPr>
          <w:rFonts w:hint="default"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lang w:val="en-US" w:eastAsia="zh-CN"/>
        </w:rPr>
        <w:t>生活用水及屠宰用水定额依据《宁夏回族自治区水利厅 宁夏回族自治区市场监督管理厅关于印发〈宁夏回族自治区有关行业用水定额（修订）的通知〉》（宁水节供发〔2025〕11号）</w:t>
      </w:r>
      <w:r>
        <w:rPr>
          <w:rFonts w:hint="eastAsia" w:ascii="Times New Roman" w:hAnsi="Times New Roman" w:eastAsia="仿宋_GB2312" w:cs="Times New Roman"/>
          <w:color w:val="auto"/>
          <w:sz w:val="24"/>
          <w:highlight w:val="none"/>
          <w:lang w:eastAsia="zh-CN"/>
        </w:rPr>
        <w:t>进行核算，</w:t>
      </w:r>
      <w:r>
        <w:rPr>
          <w:rFonts w:hint="default" w:ascii="Times New Roman" w:hAnsi="Times New Roman" w:eastAsia="仿宋_GB2312" w:cs="Times New Roman"/>
          <w:color w:val="auto"/>
          <w:sz w:val="24"/>
          <w:highlight w:val="none"/>
        </w:rPr>
        <w:t>根据《屠宰与肉类加工废水治理工程技术规范》（HJ2004-2010），屠宰过</w:t>
      </w:r>
      <w:r>
        <w:rPr>
          <w:rFonts w:hint="eastAsia" w:ascii="Times New Roman" w:hAnsi="Times New Roman" w:eastAsia="仿宋_GB2312" w:cs="Times New Roman"/>
          <w:color w:val="auto"/>
          <w:sz w:val="24"/>
          <w:highlight w:val="none"/>
        </w:rPr>
        <w:t>程指屠宰时进行的圈栏冲洗、宰前淋洗、宰后烫毛或剥皮、开腔、劈半、解体、内脏洗涤及车间冲洗等过程，屠宰用水包括屠宰过程中所有用水。</w:t>
      </w:r>
      <w:r>
        <w:rPr>
          <w:rFonts w:hint="eastAsia" w:cs="Times New Roman"/>
          <w:color w:val="auto"/>
          <w:sz w:val="24"/>
          <w:highlight w:val="none"/>
          <w:lang w:val="en-US" w:eastAsia="zh-CN"/>
        </w:rPr>
        <w:t>车辆冲洗废水依据《建筑给水排水设计标准》（GB50015-2019）进行核算，</w:t>
      </w:r>
      <w:r>
        <w:rPr>
          <w:rFonts w:hint="eastAsia" w:ascii="Times New Roman" w:hAnsi="Times New Roman" w:eastAsia="仿宋_GB2312" w:cs="Times New Roman"/>
          <w:color w:val="auto"/>
          <w:sz w:val="24"/>
          <w:highlight w:val="none"/>
          <w:lang w:eastAsia="zh-CN"/>
        </w:rPr>
        <w:t>具体详见表</w:t>
      </w:r>
      <w:r>
        <w:rPr>
          <w:rFonts w:hint="eastAsia" w:ascii="Times New Roman" w:hAnsi="Times New Roman" w:eastAsia="仿宋_GB2312" w:cs="Times New Roman"/>
          <w:color w:val="auto"/>
          <w:sz w:val="24"/>
          <w:highlight w:val="none"/>
          <w:lang w:val="en-US" w:eastAsia="zh-CN"/>
        </w:rPr>
        <w:t>2.1-</w:t>
      </w:r>
      <w:r>
        <w:rPr>
          <w:rFonts w:hint="eastAsia" w:cs="Times New Roman"/>
          <w:color w:val="auto"/>
          <w:sz w:val="24"/>
          <w:highlight w:val="none"/>
          <w:lang w:val="en-US" w:eastAsia="zh-CN"/>
        </w:rPr>
        <w:t>8</w:t>
      </w:r>
      <w:r>
        <w:rPr>
          <w:rFonts w:hint="eastAsia" w:ascii="Times New Roman" w:hAnsi="Times New Roman" w:eastAsia="仿宋_GB2312" w:cs="Times New Roman"/>
          <w:color w:val="auto"/>
          <w:sz w:val="24"/>
          <w:highlight w:val="none"/>
          <w:lang w:val="en-US" w:eastAsia="zh-CN"/>
        </w:rPr>
        <w:t>。</w:t>
      </w:r>
    </w:p>
    <w:p w14:paraId="76F8B95D">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b/>
          <w:bCs/>
          <w:color w:val="auto"/>
          <w:sz w:val="24"/>
          <w:highlight w:val="none"/>
        </w:rPr>
      </w:pPr>
      <w:r>
        <w:rPr>
          <w:rFonts w:hint="default" w:ascii="Times New Roman" w:hAnsi="Times New Roman" w:eastAsia="宋体" w:cs="Times New Roman"/>
          <w:snapToGrid w:val="0"/>
          <w:color w:val="auto"/>
          <w:kern w:val="0"/>
          <w:sz w:val="21"/>
          <w:szCs w:val="21"/>
        </w:rPr>
        <w:t>表2.</w:t>
      </w:r>
      <w:r>
        <w:rPr>
          <w:rFonts w:hint="default" w:ascii="Times New Roman" w:hAnsi="Times New Roman" w:eastAsia="宋体" w:cs="Times New Roman"/>
          <w:snapToGrid w:val="0"/>
          <w:color w:val="auto"/>
          <w:kern w:val="0"/>
          <w:sz w:val="21"/>
          <w:szCs w:val="21"/>
          <w:lang w:val="en-US" w:eastAsia="zh-CN"/>
        </w:rPr>
        <w:t>1</w:t>
      </w:r>
      <w:r>
        <w:rPr>
          <w:rFonts w:hint="default" w:ascii="Times New Roman" w:hAnsi="Times New Roman" w:eastAsia="宋体" w:cs="Times New Roman"/>
          <w:snapToGrid w:val="0"/>
          <w:color w:val="auto"/>
          <w:kern w:val="0"/>
          <w:sz w:val="21"/>
          <w:szCs w:val="21"/>
        </w:rPr>
        <w:t>-</w:t>
      </w:r>
      <w:r>
        <w:rPr>
          <w:rFonts w:hint="eastAsia" w:eastAsia="宋体" w:cs="Times New Roman"/>
          <w:snapToGrid w:val="0"/>
          <w:color w:val="auto"/>
          <w:kern w:val="0"/>
          <w:sz w:val="21"/>
          <w:szCs w:val="21"/>
          <w:lang w:val="en-US" w:eastAsia="zh-CN"/>
        </w:rPr>
        <w:t>8</w:t>
      </w:r>
      <w:r>
        <w:rPr>
          <w:rFonts w:hint="eastAsia" w:cs="Times New Roman"/>
          <w:color w:val="auto"/>
          <w:szCs w:val="18"/>
          <w:highlight w:val="none"/>
          <w:lang w:val="en-US" w:eastAsia="zh-CN"/>
        </w:rPr>
        <w:t xml:space="preserve">            </w:t>
      </w:r>
      <w:r>
        <w:rPr>
          <w:rFonts w:hint="default" w:ascii="Times New Roman" w:hAnsi="Times New Roman" w:cs="Times New Roman"/>
          <w:color w:val="auto"/>
          <w:szCs w:val="18"/>
          <w:highlight w:val="none"/>
        </w:rPr>
        <w:t xml:space="preserve"> </w:t>
      </w:r>
      <w:r>
        <w:rPr>
          <w:rFonts w:hint="default" w:ascii="Times New Roman" w:hAnsi="Times New Roman" w:cs="Times New Roman"/>
          <w:b/>
          <w:bCs/>
          <w:color w:val="auto"/>
          <w:sz w:val="24"/>
          <w:highlight w:val="none"/>
        </w:rPr>
        <w:t xml:space="preserve"> </w:t>
      </w:r>
      <w:r>
        <w:rPr>
          <w:rFonts w:hint="default" w:ascii="Times New Roman" w:hAnsi="Times New Roman" w:eastAsia="宋体" w:cs="Times New Roman"/>
          <w:b/>
          <w:bCs/>
          <w:snapToGrid w:val="0"/>
          <w:color w:val="auto"/>
          <w:kern w:val="0"/>
          <w:sz w:val="24"/>
          <w:lang w:val="en-US" w:eastAsia="zh-CN"/>
        </w:rPr>
        <w:t>项目用水环节及定额</w:t>
      </w:r>
      <w:r>
        <w:rPr>
          <w:rFonts w:hint="default" w:ascii="Times New Roman" w:hAnsi="Times New Roman" w:eastAsia="宋体" w:cs="Times New Roman"/>
          <w:b/>
          <w:bCs/>
          <w:snapToGrid w:val="0"/>
          <w:color w:val="auto"/>
          <w:kern w:val="0"/>
          <w:sz w:val="24"/>
        </w:rPr>
        <w:t>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84"/>
        <w:gridCol w:w="3622"/>
        <w:gridCol w:w="2842"/>
      </w:tblGrid>
      <w:tr w14:paraId="3EC37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1" w:type="dxa"/>
            <w:noWrap w:val="0"/>
            <w:vAlign w:val="center"/>
          </w:tcPr>
          <w:p w14:paraId="41C69A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用水环节</w:t>
            </w:r>
          </w:p>
        </w:tc>
        <w:tc>
          <w:tcPr>
            <w:tcW w:w="3663" w:type="dxa"/>
            <w:tcBorders>
              <w:right w:val="single" w:color="auto" w:sz="4" w:space="0"/>
            </w:tcBorders>
            <w:noWrap w:val="0"/>
            <w:vAlign w:val="center"/>
          </w:tcPr>
          <w:p w14:paraId="3D1631E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用水定额</w:t>
            </w:r>
          </w:p>
        </w:tc>
        <w:tc>
          <w:tcPr>
            <w:tcW w:w="2874" w:type="dxa"/>
            <w:tcBorders>
              <w:left w:val="single" w:color="auto" w:sz="4" w:space="0"/>
            </w:tcBorders>
            <w:noWrap w:val="0"/>
            <w:vAlign w:val="center"/>
          </w:tcPr>
          <w:p w14:paraId="21E430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总用水量</w:t>
            </w:r>
          </w:p>
        </w:tc>
      </w:tr>
      <w:tr w14:paraId="03367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11" w:type="dxa"/>
            <w:noWrap w:val="0"/>
            <w:vAlign w:val="center"/>
          </w:tcPr>
          <w:p w14:paraId="6E68DED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生活用水</w:t>
            </w:r>
          </w:p>
        </w:tc>
        <w:tc>
          <w:tcPr>
            <w:tcW w:w="3663" w:type="dxa"/>
            <w:tcBorders>
              <w:right w:val="single" w:color="auto" w:sz="4" w:space="0"/>
            </w:tcBorders>
            <w:noWrap w:val="0"/>
            <w:vAlign w:val="center"/>
          </w:tcPr>
          <w:p w14:paraId="3CCEF4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根据</w:t>
            </w:r>
            <w:r>
              <w:rPr>
                <w:rFonts w:hint="default" w:ascii="Times New Roman" w:hAnsi="Times New Roman" w:eastAsia="宋体" w:cs="Times New Roman"/>
                <w:b w:val="0"/>
                <w:bCs w:val="0"/>
                <w:color w:val="auto"/>
                <w:sz w:val="21"/>
                <w:szCs w:val="21"/>
                <w:highlight w:val="none"/>
                <w:lang w:val="en-US" w:eastAsia="zh-CN"/>
              </w:rPr>
              <w:t>“宁水节供发〔2025〕11号”</w:t>
            </w:r>
            <w:r>
              <w:rPr>
                <w:rFonts w:hint="eastAsia" w:eastAsia="宋体" w:cs="Times New Roman"/>
                <w:b w:val="0"/>
                <w:bCs w:val="0"/>
                <w:color w:val="auto"/>
                <w:sz w:val="21"/>
                <w:szCs w:val="21"/>
                <w:highlight w:val="none"/>
                <w:lang w:val="en-US" w:eastAsia="zh-CN"/>
              </w:rPr>
              <w:t>中宁夏生活用水定额，</w:t>
            </w:r>
            <w:r>
              <w:rPr>
                <w:rFonts w:hint="default" w:ascii="Times New Roman" w:hAnsi="Times New Roman" w:eastAsia="宋体" w:cs="Times New Roman"/>
                <w:b w:val="0"/>
                <w:bCs w:val="0"/>
                <w:color w:val="auto"/>
                <w:sz w:val="21"/>
                <w:szCs w:val="21"/>
                <w:highlight w:val="none"/>
                <w:lang w:val="en-US" w:eastAsia="zh-CN"/>
              </w:rPr>
              <w:t>表2</w:t>
            </w:r>
            <w:r>
              <w:rPr>
                <w:rFonts w:hint="eastAsia" w:eastAsia="宋体" w:cs="Times New Roman"/>
                <w:b w:val="0"/>
                <w:bCs w:val="0"/>
                <w:color w:val="auto"/>
                <w:sz w:val="21"/>
                <w:szCs w:val="21"/>
                <w:highlight w:val="none"/>
                <w:lang w:val="en-US" w:eastAsia="zh-CN"/>
              </w:rPr>
              <w:t xml:space="preserve">服务业用水定额表 </w:t>
            </w:r>
            <w:r>
              <w:rPr>
                <w:rFonts w:hint="default" w:ascii="Times New Roman" w:hAnsi="Times New Roman" w:eastAsia="宋体" w:cs="Times New Roman"/>
                <w:b w:val="0"/>
                <w:bCs w:val="0"/>
                <w:color w:val="auto"/>
                <w:sz w:val="21"/>
                <w:szCs w:val="21"/>
                <w:highlight w:val="none"/>
                <w:lang w:val="en-US" w:eastAsia="zh-CN"/>
              </w:rPr>
              <w:t>机关、企事业管理机构和社会团体用水（</w:t>
            </w:r>
            <w:r>
              <w:rPr>
                <w:rFonts w:hint="eastAsia" w:eastAsia="宋体" w:cs="Times New Roman"/>
                <w:b w:val="0"/>
                <w:bCs w:val="0"/>
                <w:color w:val="auto"/>
                <w:sz w:val="21"/>
                <w:szCs w:val="21"/>
                <w:highlight w:val="none"/>
                <w:lang w:val="en-US" w:eastAsia="zh-CN"/>
              </w:rPr>
              <w:t>通用</w:t>
            </w:r>
            <w:r>
              <w:rPr>
                <w:rFonts w:hint="default" w:ascii="Times New Roman" w:hAnsi="Times New Roman" w:eastAsia="宋体" w:cs="Times New Roman"/>
                <w:b w:val="0"/>
                <w:bCs w:val="0"/>
                <w:color w:val="auto"/>
                <w:sz w:val="21"/>
                <w:szCs w:val="21"/>
                <w:highlight w:val="none"/>
                <w:lang w:val="en-US" w:eastAsia="zh-CN"/>
              </w:rPr>
              <w:t>），</w:t>
            </w:r>
            <w:r>
              <w:rPr>
                <w:rFonts w:hint="eastAsia" w:eastAsia="宋体"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取</w:t>
            </w:r>
            <w:r>
              <w:rPr>
                <w:rFonts w:hint="eastAsia" w:eastAsia="宋体" w:cs="Times New Roman"/>
                <w:b w:val="0"/>
                <w:bCs w:val="0"/>
                <w:color w:val="auto"/>
                <w:sz w:val="21"/>
                <w:szCs w:val="21"/>
                <w:highlight w:val="none"/>
                <w:lang w:val="en-US" w:eastAsia="zh-CN"/>
              </w:rPr>
              <w:t>25</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/人</w:t>
            </w:r>
            <w:r>
              <w:rPr>
                <w:rFonts w:hint="default" w:ascii="Times New Roman" w:hAnsi="Times New Roman" w:eastAsia="微软雅黑"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a</w:t>
            </w:r>
          </w:p>
        </w:tc>
        <w:tc>
          <w:tcPr>
            <w:tcW w:w="2874" w:type="dxa"/>
            <w:tcBorders>
              <w:left w:val="single" w:color="auto" w:sz="4" w:space="0"/>
            </w:tcBorders>
            <w:noWrap w:val="0"/>
            <w:vAlign w:val="center"/>
          </w:tcPr>
          <w:p w14:paraId="31BA3C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项目劳动定员</w:t>
            </w:r>
            <w:r>
              <w:rPr>
                <w:rFonts w:hint="eastAsia" w:eastAsia="宋体" w:cs="Times New Roman"/>
                <w:b w:val="0"/>
                <w:bCs w:val="0"/>
                <w:color w:val="auto"/>
                <w:sz w:val="21"/>
                <w:szCs w:val="21"/>
                <w:highlight w:val="none"/>
                <w:lang w:val="en-US" w:eastAsia="zh-CN"/>
              </w:rPr>
              <w:t>26</w:t>
            </w:r>
            <w:r>
              <w:rPr>
                <w:rFonts w:hint="default" w:ascii="Times New Roman" w:hAnsi="Times New Roman" w:eastAsia="宋体" w:cs="Times New Roman"/>
                <w:b w:val="0"/>
                <w:bCs w:val="0"/>
                <w:color w:val="auto"/>
                <w:sz w:val="21"/>
                <w:szCs w:val="21"/>
                <w:highlight w:val="none"/>
                <w:lang w:val="en-US" w:eastAsia="zh-CN"/>
              </w:rPr>
              <w:t>人，用水量为</w:t>
            </w:r>
            <w:r>
              <w:rPr>
                <w:rFonts w:hint="eastAsia" w:eastAsia="宋体" w:cs="Times New Roman"/>
                <w:b w:val="0"/>
                <w:bCs w:val="0"/>
                <w:color w:val="auto"/>
                <w:sz w:val="21"/>
                <w:szCs w:val="21"/>
                <w:highlight w:val="none"/>
                <w:lang w:val="en-US" w:eastAsia="zh-CN"/>
              </w:rPr>
              <w:t>650</w:t>
            </w:r>
            <w:r>
              <w:rPr>
                <w:rFonts w:hint="default" w:ascii="Times New Roman" w:hAnsi="Times New Roman" w:eastAsia="宋体" w:cs="Times New Roman"/>
                <w:b w:val="0"/>
                <w:bCs w:val="0"/>
                <w:color w:val="auto"/>
                <w:sz w:val="21"/>
                <w:szCs w:val="21"/>
                <w:highlight w:val="none"/>
                <w:lang w:val="zh-CN" w:eastAsia="zh-CN"/>
              </w:rPr>
              <w:t>m</w:t>
            </w:r>
            <w:r>
              <w:rPr>
                <w:rFonts w:hint="default" w:ascii="Times New Roman" w:hAnsi="Times New Roman" w:eastAsia="宋体" w:cs="Times New Roman"/>
                <w:b w:val="0"/>
                <w:bCs w:val="0"/>
                <w:color w:val="auto"/>
                <w:sz w:val="21"/>
                <w:szCs w:val="21"/>
                <w:highlight w:val="none"/>
                <w:vertAlign w:val="superscript"/>
                <w:lang w:val="zh-CN" w:eastAsia="zh-CN"/>
              </w:rPr>
              <w:t>3</w:t>
            </w:r>
            <w:r>
              <w:rPr>
                <w:rFonts w:hint="default" w:ascii="Times New Roman" w:hAnsi="Times New Roman" w:eastAsia="宋体" w:cs="Times New Roman"/>
                <w:b w:val="0"/>
                <w:bCs w:val="0"/>
                <w:color w:val="auto"/>
                <w:sz w:val="21"/>
                <w:szCs w:val="21"/>
                <w:highlight w:val="none"/>
                <w:lang w:val="zh-CN" w:eastAsia="zh-CN"/>
              </w:rPr>
              <w:t>/a</w:t>
            </w:r>
          </w:p>
        </w:tc>
      </w:tr>
      <w:tr w14:paraId="28186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1" w:type="dxa"/>
            <w:noWrap w:val="0"/>
            <w:vAlign w:val="center"/>
          </w:tcPr>
          <w:p w14:paraId="3E2F5D1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待宰牛饮用水</w:t>
            </w:r>
          </w:p>
        </w:tc>
        <w:tc>
          <w:tcPr>
            <w:tcW w:w="3663" w:type="dxa"/>
            <w:tcBorders>
              <w:right w:val="single" w:color="auto" w:sz="4" w:space="0"/>
            </w:tcBorders>
            <w:noWrap w:val="0"/>
            <w:vAlign w:val="center"/>
          </w:tcPr>
          <w:p w14:paraId="4E18E6C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宁水节供发〔2025〕11号</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val="en-US" w:eastAsia="zh-CN"/>
              </w:rPr>
              <w:t>宁夏</w:t>
            </w:r>
            <w:r>
              <w:rPr>
                <w:rFonts w:hint="eastAsia" w:eastAsia="宋体" w:cs="Times New Roman"/>
                <w:color w:val="auto"/>
                <w:sz w:val="21"/>
                <w:szCs w:val="21"/>
                <w:highlight w:val="none"/>
                <w:lang w:val="en-US" w:eastAsia="zh-CN"/>
              </w:rPr>
              <w:t>农业</w:t>
            </w:r>
            <w:r>
              <w:rPr>
                <w:rFonts w:hint="default" w:ascii="Times New Roman" w:hAnsi="Times New Roman" w:eastAsia="宋体" w:cs="Times New Roman"/>
                <w:color w:val="auto"/>
                <w:sz w:val="21"/>
                <w:szCs w:val="21"/>
                <w:highlight w:val="none"/>
                <w:lang w:val="en-US" w:eastAsia="zh-CN"/>
              </w:rPr>
              <w:t>用水定额，表</w:t>
            </w:r>
            <w:r>
              <w:rPr>
                <w:rFonts w:hint="eastAsia" w:eastAsia="宋体" w:cs="Times New Roman"/>
                <w:color w:val="auto"/>
                <w:sz w:val="21"/>
                <w:szCs w:val="21"/>
                <w:highlight w:val="none"/>
                <w:lang w:val="en-US" w:eastAsia="zh-CN"/>
              </w:rPr>
              <w:t>7主畜禽水产养殖</w:t>
            </w:r>
            <w:r>
              <w:rPr>
                <w:rFonts w:hint="default" w:ascii="Times New Roman" w:hAnsi="Times New Roman" w:eastAsia="宋体" w:cs="Times New Roman"/>
                <w:color w:val="auto"/>
                <w:sz w:val="21"/>
                <w:szCs w:val="21"/>
                <w:highlight w:val="none"/>
                <w:lang w:val="en-US" w:eastAsia="zh-CN"/>
              </w:rPr>
              <w:t>用水定额表，牲畜：</w:t>
            </w:r>
            <w:r>
              <w:rPr>
                <w:rFonts w:hint="eastAsia" w:eastAsia="宋体" w:cs="Times New Roman"/>
                <w:color w:val="auto"/>
                <w:sz w:val="21"/>
                <w:szCs w:val="21"/>
                <w:highlight w:val="none"/>
                <w:lang w:val="en-US" w:eastAsia="zh-CN"/>
              </w:rPr>
              <w:t>肉</w:t>
            </w:r>
            <w:r>
              <w:rPr>
                <w:rFonts w:hint="default" w:ascii="Times New Roman" w:hAnsi="Times New Roman" w:eastAsia="宋体" w:cs="Times New Roman"/>
                <w:color w:val="auto"/>
                <w:sz w:val="21"/>
                <w:szCs w:val="21"/>
                <w:highlight w:val="none"/>
                <w:lang w:val="en-US" w:eastAsia="zh-CN"/>
              </w:rPr>
              <w:t>牛</w:t>
            </w:r>
            <w:r>
              <w:rPr>
                <w:rFonts w:hint="eastAsia" w:eastAsia="宋体" w:cs="Times New Roman"/>
                <w:color w:val="auto"/>
                <w:sz w:val="21"/>
                <w:szCs w:val="21"/>
                <w:highlight w:val="none"/>
                <w:lang w:val="en-US" w:eastAsia="zh-CN"/>
              </w:rPr>
              <w:t>50L</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头</w:t>
            </w:r>
            <w:r>
              <w:rPr>
                <w:rFonts w:hint="default" w:ascii="Times New Roman" w:hAnsi="Times New Roman" w:eastAsia="仿宋_GB2312" w:cs="Times New Roman"/>
                <w:b w:val="0"/>
                <w:bCs w:val="0"/>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w:t>
            </w:r>
            <w:r>
              <w:rPr>
                <w:rFonts w:hint="eastAsia" w:eastAsia="宋体" w:cs="Times New Roman"/>
                <w:color w:val="auto"/>
                <w:sz w:val="21"/>
                <w:szCs w:val="21"/>
                <w:highlight w:val="none"/>
                <w:lang w:val="en-US" w:eastAsia="zh-CN"/>
              </w:rPr>
              <w:t>）</w:t>
            </w:r>
          </w:p>
        </w:tc>
        <w:tc>
          <w:tcPr>
            <w:tcW w:w="2874" w:type="dxa"/>
            <w:tcBorders>
              <w:left w:val="single" w:color="auto" w:sz="4" w:space="0"/>
            </w:tcBorders>
            <w:noWrap w:val="0"/>
            <w:vAlign w:val="center"/>
          </w:tcPr>
          <w:p w14:paraId="4BF144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本项目年屠宰牛</w:t>
            </w:r>
            <w:r>
              <w:rPr>
                <w:rFonts w:hint="eastAsia" w:eastAsia="宋体" w:cs="Times New Roman"/>
                <w:color w:val="auto"/>
                <w:sz w:val="21"/>
                <w:szCs w:val="21"/>
                <w:highlight w:val="none"/>
                <w:lang w:val="en-US" w:eastAsia="zh-CN"/>
              </w:rPr>
              <w:t>10000</w:t>
            </w:r>
            <w:r>
              <w:rPr>
                <w:rFonts w:hint="default" w:ascii="Times New Roman" w:hAnsi="Times New Roman" w:eastAsia="宋体" w:cs="Times New Roman"/>
                <w:color w:val="auto"/>
                <w:sz w:val="21"/>
                <w:szCs w:val="21"/>
                <w:highlight w:val="none"/>
              </w:rPr>
              <w:t>头，每头牛在厂区最多停留1天，待宰牛饮用水量约</w:t>
            </w:r>
            <w:r>
              <w:rPr>
                <w:rFonts w:hint="eastAsia" w:eastAsia="宋体" w:cs="Times New Roman"/>
                <w:color w:val="auto"/>
                <w:sz w:val="21"/>
                <w:szCs w:val="21"/>
                <w:highlight w:val="none"/>
                <w:lang w:val="en-US" w:eastAsia="zh-CN"/>
              </w:rPr>
              <w:t>500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r>
      <w:tr w14:paraId="47E72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1" w:type="dxa"/>
            <w:shd w:val="clear" w:color="auto" w:fill="auto"/>
            <w:noWrap w:val="0"/>
            <w:vAlign w:val="center"/>
          </w:tcPr>
          <w:p w14:paraId="2EB3D6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待宰羊</w:t>
            </w:r>
            <w:r>
              <w:rPr>
                <w:rFonts w:hint="default" w:ascii="Times New Roman" w:hAnsi="Times New Roman" w:eastAsia="宋体" w:cs="Times New Roman"/>
                <w:color w:val="auto"/>
                <w:sz w:val="21"/>
                <w:szCs w:val="21"/>
                <w:highlight w:val="none"/>
              </w:rPr>
              <w:t>饮</w:t>
            </w:r>
            <w:r>
              <w:rPr>
                <w:rFonts w:hint="eastAsia" w:ascii="Times New Roman" w:hAnsi="Times New Roman" w:eastAsia="宋体" w:cs="Times New Roman"/>
                <w:color w:val="auto"/>
                <w:sz w:val="21"/>
                <w:szCs w:val="21"/>
                <w:highlight w:val="none"/>
                <w:lang w:val="en-US" w:eastAsia="zh-CN"/>
              </w:rPr>
              <w:t>用水</w:t>
            </w:r>
          </w:p>
        </w:tc>
        <w:tc>
          <w:tcPr>
            <w:tcW w:w="3663" w:type="dxa"/>
            <w:tcBorders>
              <w:right w:val="single" w:color="auto" w:sz="4" w:space="0"/>
            </w:tcBorders>
            <w:shd w:val="clear" w:color="auto" w:fill="auto"/>
            <w:noWrap w:val="0"/>
            <w:vAlign w:val="center"/>
          </w:tcPr>
          <w:p w14:paraId="0951C0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宁水节供发〔2025〕11号</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val="en-US" w:eastAsia="zh-CN"/>
              </w:rPr>
              <w:t>宁夏</w:t>
            </w:r>
            <w:r>
              <w:rPr>
                <w:rFonts w:hint="eastAsia" w:eastAsia="宋体" w:cs="Times New Roman"/>
                <w:color w:val="auto"/>
                <w:sz w:val="21"/>
                <w:szCs w:val="21"/>
                <w:highlight w:val="none"/>
                <w:lang w:val="en-US" w:eastAsia="zh-CN"/>
              </w:rPr>
              <w:t>农业</w:t>
            </w:r>
            <w:r>
              <w:rPr>
                <w:rFonts w:hint="default" w:ascii="Times New Roman" w:hAnsi="Times New Roman" w:eastAsia="宋体" w:cs="Times New Roman"/>
                <w:color w:val="auto"/>
                <w:sz w:val="21"/>
                <w:szCs w:val="21"/>
                <w:highlight w:val="none"/>
                <w:lang w:val="en-US" w:eastAsia="zh-CN"/>
              </w:rPr>
              <w:t>用水定额，表</w:t>
            </w:r>
            <w:r>
              <w:rPr>
                <w:rFonts w:hint="eastAsia" w:eastAsia="宋体" w:cs="Times New Roman"/>
                <w:color w:val="auto"/>
                <w:sz w:val="21"/>
                <w:szCs w:val="21"/>
                <w:highlight w:val="none"/>
                <w:lang w:val="en-US" w:eastAsia="zh-CN"/>
              </w:rPr>
              <w:t>7主畜禽水产养殖</w:t>
            </w:r>
            <w:r>
              <w:rPr>
                <w:rFonts w:hint="default" w:ascii="Times New Roman" w:hAnsi="Times New Roman" w:eastAsia="宋体" w:cs="Times New Roman"/>
                <w:color w:val="auto"/>
                <w:sz w:val="21"/>
                <w:szCs w:val="21"/>
                <w:highlight w:val="none"/>
                <w:lang w:val="en-US" w:eastAsia="zh-CN"/>
              </w:rPr>
              <w:t>用水定额表，牲畜：</w:t>
            </w:r>
            <w:r>
              <w:rPr>
                <w:rFonts w:hint="eastAsia" w:eastAsia="宋体" w:cs="Times New Roman"/>
                <w:color w:val="auto"/>
                <w:sz w:val="21"/>
                <w:szCs w:val="21"/>
                <w:highlight w:val="none"/>
                <w:lang w:val="en-US" w:eastAsia="zh-CN"/>
              </w:rPr>
              <w:t>羊8L</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只</w:t>
            </w:r>
            <w:r>
              <w:rPr>
                <w:rFonts w:hint="default" w:ascii="Times New Roman" w:hAnsi="Times New Roman" w:eastAsia="仿宋_GB2312" w:cs="Times New Roman"/>
                <w:b w:val="0"/>
                <w:bCs w:val="0"/>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w:t>
            </w:r>
            <w:r>
              <w:rPr>
                <w:rFonts w:hint="eastAsia" w:eastAsia="宋体" w:cs="Times New Roman"/>
                <w:color w:val="auto"/>
                <w:sz w:val="21"/>
                <w:szCs w:val="21"/>
                <w:highlight w:val="none"/>
                <w:lang w:val="en-US" w:eastAsia="zh-CN"/>
              </w:rPr>
              <w:t>）</w:t>
            </w:r>
          </w:p>
        </w:tc>
        <w:tc>
          <w:tcPr>
            <w:tcW w:w="2874" w:type="dxa"/>
            <w:tcBorders>
              <w:left w:val="single" w:color="auto" w:sz="4" w:space="0"/>
            </w:tcBorders>
            <w:shd w:val="clear" w:color="auto" w:fill="auto"/>
            <w:noWrap w:val="0"/>
            <w:vAlign w:val="center"/>
          </w:tcPr>
          <w:p w14:paraId="3EDA52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本项目年屠宰</w:t>
            </w:r>
            <w:r>
              <w:rPr>
                <w:rFonts w:hint="eastAsia" w:ascii="Times New Roman" w:hAnsi="Times New Roman" w:eastAsia="宋体" w:cs="Times New Roman"/>
                <w:color w:val="auto"/>
                <w:sz w:val="21"/>
                <w:szCs w:val="21"/>
                <w:highlight w:val="none"/>
                <w:lang w:val="en-US" w:eastAsia="zh-CN"/>
              </w:rPr>
              <w:t>羊</w:t>
            </w:r>
            <w:r>
              <w:rPr>
                <w:rFonts w:hint="eastAsia" w:eastAsia="宋体"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万只</w:t>
            </w:r>
            <w:r>
              <w:rPr>
                <w:rFonts w:hint="default" w:ascii="Times New Roman" w:hAnsi="Times New Roman" w:eastAsia="宋体" w:cs="Times New Roman"/>
                <w:color w:val="auto"/>
                <w:sz w:val="21"/>
                <w:szCs w:val="21"/>
                <w:highlight w:val="none"/>
              </w:rPr>
              <w:t>，每</w:t>
            </w:r>
            <w:r>
              <w:rPr>
                <w:rFonts w:hint="eastAsia" w:ascii="Times New Roman" w:hAnsi="Times New Roman" w:eastAsia="宋体" w:cs="Times New Roman"/>
                <w:color w:val="auto"/>
                <w:sz w:val="21"/>
                <w:szCs w:val="21"/>
                <w:highlight w:val="none"/>
                <w:lang w:val="en-US" w:eastAsia="zh-CN"/>
              </w:rPr>
              <w:t>只羊</w:t>
            </w:r>
            <w:r>
              <w:rPr>
                <w:rFonts w:hint="default" w:ascii="Times New Roman" w:hAnsi="Times New Roman" w:eastAsia="宋体" w:cs="Times New Roman"/>
                <w:color w:val="auto"/>
                <w:sz w:val="21"/>
                <w:szCs w:val="21"/>
                <w:highlight w:val="none"/>
              </w:rPr>
              <w:t>在厂区最多停留1天，待宰</w:t>
            </w:r>
            <w:r>
              <w:rPr>
                <w:rFonts w:hint="eastAsia" w:ascii="Times New Roman" w:hAnsi="Times New Roman" w:eastAsia="宋体" w:cs="Times New Roman"/>
                <w:color w:val="auto"/>
                <w:sz w:val="21"/>
                <w:szCs w:val="21"/>
                <w:highlight w:val="none"/>
                <w:lang w:val="en-US" w:eastAsia="zh-CN"/>
              </w:rPr>
              <w:t>羊</w:t>
            </w:r>
            <w:r>
              <w:rPr>
                <w:rFonts w:hint="default" w:ascii="Times New Roman" w:hAnsi="Times New Roman" w:eastAsia="宋体" w:cs="Times New Roman"/>
                <w:color w:val="auto"/>
                <w:sz w:val="21"/>
                <w:szCs w:val="21"/>
                <w:highlight w:val="none"/>
              </w:rPr>
              <w:t>饮用水量约</w:t>
            </w:r>
            <w:r>
              <w:rPr>
                <w:rFonts w:hint="eastAsia"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r>
      <w:tr w14:paraId="57D80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1" w:type="dxa"/>
            <w:shd w:val="clear" w:color="auto" w:fill="auto"/>
            <w:noWrap w:val="0"/>
            <w:vAlign w:val="center"/>
          </w:tcPr>
          <w:p w14:paraId="4BB135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屠宰</w:t>
            </w:r>
            <w:r>
              <w:rPr>
                <w:rFonts w:hint="eastAsia" w:ascii="Times New Roman" w:hAnsi="Times New Roman" w:eastAsia="宋体" w:cs="Times New Roman"/>
                <w:color w:val="auto"/>
                <w:sz w:val="21"/>
                <w:szCs w:val="21"/>
                <w:highlight w:val="none"/>
                <w:lang w:val="en-US" w:eastAsia="zh-CN"/>
              </w:rPr>
              <w:t>牛</w:t>
            </w:r>
            <w:r>
              <w:rPr>
                <w:rFonts w:hint="default" w:ascii="Times New Roman" w:hAnsi="Times New Roman" w:eastAsia="宋体" w:cs="Times New Roman"/>
                <w:color w:val="auto"/>
                <w:sz w:val="21"/>
                <w:szCs w:val="21"/>
                <w:highlight w:val="none"/>
              </w:rPr>
              <w:t>用水</w:t>
            </w:r>
          </w:p>
          <w:p w14:paraId="2FC8E5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屠宰用水</w:t>
            </w:r>
            <w:r>
              <w:rPr>
                <w:rFonts w:hint="default" w:ascii="Times New Roman" w:hAnsi="Times New Roman" w:eastAsia="宋体" w:cs="Times New Roman"/>
                <w:color w:val="auto"/>
                <w:sz w:val="21"/>
                <w:szCs w:val="21"/>
                <w:highlight w:val="none"/>
                <w:lang w:val="en-US" w:eastAsia="zh-CN"/>
              </w:rPr>
              <w:t>包括</w:t>
            </w:r>
            <w:r>
              <w:rPr>
                <w:rFonts w:hint="default" w:ascii="Times New Roman" w:hAnsi="Times New Roman" w:eastAsia="宋体" w:cs="Times New Roman"/>
                <w:color w:val="auto"/>
                <w:sz w:val="21"/>
                <w:szCs w:val="21"/>
                <w:highlight w:val="none"/>
                <w:lang w:eastAsia="zh-CN"/>
              </w:rPr>
              <w:t>待宰圈</w:t>
            </w:r>
            <w:r>
              <w:rPr>
                <w:rFonts w:hint="default" w:ascii="Times New Roman" w:hAnsi="Times New Roman" w:eastAsia="宋体" w:cs="Times New Roman"/>
                <w:color w:val="auto"/>
                <w:sz w:val="21"/>
                <w:szCs w:val="21"/>
                <w:highlight w:val="none"/>
              </w:rPr>
              <w:t>地面冲洗用水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内脏及胴体清洗用水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设备及屠宰车间冲洗用水</w:t>
            </w:r>
            <w:r>
              <w:rPr>
                <w:rFonts w:hint="default" w:ascii="Times New Roman" w:hAnsi="Times New Roman" w:eastAsia="宋体" w:cs="Times New Roman"/>
                <w:color w:val="auto"/>
                <w:sz w:val="21"/>
                <w:szCs w:val="21"/>
                <w:highlight w:val="none"/>
                <w:lang w:eastAsia="zh-CN"/>
              </w:rPr>
              <w:t>）</w:t>
            </w:r>
          </w:p>
        </w:tc>
        <w:tc>
          <w:tcPr>
            <w:tcW w:w="3663" w:type="dxa"/>
            <w:tcBorders>
              <w:right w:val="single" w:color="auto" w:sz="4" w:space="0"/>
            </w:tcBorders>
            <w:shd w:val="clear" w:color="auto" w:fill="auto"/>
            <w:noWrap w:val="0"/>
            <w:vAlign w:val="center"/>
          </w:tcPr>
          <w:p w14:paraId="09FA852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宁水节供发〔2025〕11号</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val="en-US" w:eastAsia="zh-CN"/>
              </w:rPr>
              <w:t>宁夏</w:t>
            </w:r>
            <w:r>
              <w:rPr>
                <w:rFonts w:hint="eastAsia" w:eastAsia="宋体" w:cs="Times New Roman"/>
                <w:color w:val="auto"/>
                <w:sz w:val="21"/>
                <w:szCs w:val="21"/>
                <w:highlight w:val="none"/>
                <w:lang w:val="en-US" w:eastAsia="zh-CN"/>
              </w:rPr>
              <w:t>工业</w:t>
            </w:r>
            <w:r>
              <w:rPr>
                <w:rFonts w:hint="default" w:ascii="Times New Roman" w:hAnsi="Times New Roman" w:eastAsia="宋体" w:cs="Times New Roman"/>
                <w:color w:val="auto"/>
                <w:sz w:val="21"/>
                <w:szCs w:val="21"/>
                <w:highlight w:val="none"/>
                <w:lang w:val="en-US" w:eastAsia="zh-CN"/>
              </w:rPr>
              <w:t>用水定额，表3</w:t>
            </w:r>
            <w:r>
              <w:rPr>
                <w:rFonts w:hint="eastAsia" w:eastAsia="宋体" w:cs="Times New Roman"/>
                <w:color w:val="auto"/>
                <w:sz w:val="21"/>
                <w:szCs w:val="21"/>
                <w:highlight w:val="none"/>
                <w:lang w:val="en-US" w:eastAsia="zh-CN"/>
              </w:rPr>
              <w:t>主要工业产品</w:t>
            </w:r>
            <w:r>
              <w:rPr>
                <w:rFonts w:hint="default" w:ascii="Times New Roman" w:hAnsi="Times New Roman" w:eastAsia="宋体" w:cs="Times New Roman"/>
                <w:color w:val="auto"/>
                <w:sz w:val="21"/>
                <w:szCs w:val="21"/>
                <w:highlight w:val="none"/>
                <w:lang w:val="en-US" w:eastAsia="zh-CN"/>
              </w:rPr>
              <w:t>用水定额表</w:t>
            </w:r>
            <w:r>
              <w:rPr>
                <w:rFonts w:hint="eastAsia" w:eastAsia="宋体" w:cs="Times New Roman"/>
                <w:color w:val="auto"/>
                <w:sz w:val="21"/>
                <w:szCs w:val="21"/>
                <w:highlight w:val="none"/>
                <w:lang w:val="en-US" w:eastAsia="zh-CN"/>
              </w:rPr>
              <w:t>（先进）</w:t>
            </w:r>
            <w:r>
              <w:rPr>
                <w:rFonts w:hint="default" w:ascii="Times New Roman" w:hAnsi="Times New Roman" w:eastAsia="宋体" w:cs="Times New Roman"/>
                <w:color w:val="auto"/>
                <w:sz w:val="21"/>
                <w:szCs w:val="21"/>
                <w:highlight w:val="none"/>
                <w:lang w:val="en-US" w:eastAsia="zh-CN"/>
              </w:rPr>
              <w:t>，牲畜：牛</w:t>
            </w:r>
            <w:r>
              <w:rPr>
                <w:rFonts w:hint="eastAsia" w:eastAsia="宋体" w:cs="Times New Roman"/>
                <w:color w:val="auto"/>
                <w:sz w:val="21"/>
                <w:szCs w:val="21"/>
                <w:highlight w:val="none"/>
                <w:lang w:val="en-US" w:eastAsia="zh-CN"/>
              </w:rPr>
              <w:t>0.5m</w:t>
            </w:r>
            <w:r>
              <w:rPr>
                <w:rFonts w:hint="eastAsia"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/头</w:t>
            </w:r>
            <w:r>
              <w:rPr>
                <w:rFonts w:hint="eastAsia" w:ascii="仿宋_GB2312" w:hAnsi="仿宋_GB2312" w:eastAsia="仿宋_GB2312" w:cs="仿宋_GB2312"/>
                <w:b w:val="0"/>
                <w:bCs w:val="0"/>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w:t>
            </w:r>
          </w:p>
        </w:tc>
        <w:tc>
          <w:tcPr>
            <w:tcW w:w="2874" w:type="dxa"/>
            <w:tcBorders>
              <w:left w:val="single" w:color="auto" w:sz="4" w:space="0"/>
            </w:tcBorders>
            <w:shd w:val="clear" w:color="auto" w:fill="auto"/>
            <w:noWrap w:val="0"/>
            <w:vAlign w:val="center"/>
          </w:tcPr>
          <w:p w14:paraId="5057C4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项目年屠宰牛</w:t>
            </w:r>
            <w:r>
              <w:rPr>
                <w:rFonts w:hint="eastAsia" w:eastAsia="宋体" w:cs="Times New Roman"/>
                <w:color w:val="auto"/>
                <w:sz w:val="21"/>
                <w:szCs w:val="21"/>
                <w:highlight w:val="none"/>
                <w:lang w:val="en-US" w:eastAsia="zh-CN"/>
              </w:rPr>
              <w:t>10000</w:t>
            </w:r>
            <w:r>
              <w:rPr>
                <w:rFonts w:hint="default" w:ascii="Times New Roman" w:hAnsi="Times New Roman" w:eastAsia="宋体" w:cs="Times New Roman"/>
                <w:color w:val="auto"/>
                <w:sz w:val="21"/>
                <w:szCs w:val="21"/>
                <w:highlight w:val="none"/>
              </w:rPr>
              <w:t>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年用水量</w:t>
            </w:r>
            <w:r>
              <w:rPr>
                <w:rFonts w:hint="eastAsia" w:eastAsia="宋体" w:cs="Times New Roman"/>
                <w:color w:val="auto"/>
                <w:sz w:val="21"/>
                <w:szCs w:val="21"/>
                <w:highlight w:val="none"/>
                <w:lang w:val="en-US" w:eastAsia="zh-CN"/>
              </w:rPr>
              <w:t>5000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r>
      <w:tr w14:paraId="7469E8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1" w:type="dxa"/>
            <w:shd w:val="clear" w:color="auto" w:fill="auto"/>
            <w:noWrap w:val="0"/>
            <w:vAlign w:val="center"/>
          </w:tcPr>
          <w:p w14:paraId="415137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屠宰</w:t>
            </w:r>
            <w:r>
              <w:rPr>
                <w:rFonts w:hint="eastAsia" w:ascii="Times New Roman" w:hAnsi="Times New Roman" w:eastAsia="宋体" w:cs="Times New Roman"/>
                <w:color w:val="auto"/>
                <w:sz w:val="21"/>
                <w:szCs w:val="21"/>
                <w:highlight w:val="none"/>
                <w:lang w:val="en-US" w:eastAsia="zh-CN"/>
              </w:rPr>
              <w:t>羊</w:t>
            </w:r>
            <w:r>
              <w:rPr>
                <w:rFonts w:hint="default" w:ascii="Times New Roman" w:hAnsi="Times New Roman" w:eastAsia="宋体" w:cs="Times New Roman"/>
                <w:color w:val="auto"/>
                <w:sz w:val="21"/>
                <w:szCs w:val="21"/>
                <w:highlight w:val="none"/>
              </w:rPr>
              <w:t>用水</w:t>
            </w:r>
          </w:p>
          <w:p w14:paraId="2D46A83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屠宰用水</w:t>
            </w:r>
            <w:r>
              <w:rPr>
                <w:rFonts w:hint="default" w:ascii="Times New Roman" w:hAnsi="Times New Roman" w:eastAsia="宋体" w:cs="Times New Roman"/>
                <w:color w:val="auto"/>
                <w:sz w:val="21"/>
                <w:szCs w:val="21"/>
                <w:highlight w:val="none"/>
                <w:lang w:val="en-US" w:eastAsia="zh-CN"/>
              </w:rPr>
              <w:t>包括</w:t>
            </w:r>
            <w:r>
              <w:rPr>
                <w:rFonts w:hint="default" w:ascii="Times New Roman" w:hAnsi="Times New Roman" w:eastAsia="宋体" w:cs="Times New Roman"/>
                <w:color w:val="auto"/>
                <w:sz w:val="21"/>
                <w:szCs w:val="21"/>
                <w:highlight w:val="none"/>
                <w:lang w:eastAsia="zh-CN"/>
              </w:rPr>
              <w:t>待宰圈</w:t>
            </w:r>
            <w:r>
              <w:rPr>
                <w:rFonts w:hint="default" w:ascii="Times New Roman" w:hAnsi="Times New Roman" w:eastAsia="宋体" w:cs="Times New Roman"/>
                <w:color w:val="auto"/>
                <w:sz w:val="21"/>
                <w:szCs w:val="21"/>
                <w:highlight w:val="none"/>
              </w:rPr>
              <w:t>地面冲洗用水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内脏及胴体清洗用水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设备及屠宰车间冲洗用水</w:t>
            </w:r>
            <w:r>
              <w:rPr>
                <w:rFonts w:hint="default" w:ascii="Times New Roman" w:hAnsi="Times New Roman" w:eastAsia="宋体" w:cs="Times New Roman"/>
                <w:color w:val="auto"/>
                <w:sz w:val="21"/>
                <w:szCs w:val="21"/>
                <w:highlight w:val="none"/>
                <w:lang w:eastAsia="zh-CN"/>
              </w:rPr>
              <w:t>）</w:t>
            </w:r>
          </w:p>
        </w:tc>
        <w:tc>
          <w:tcPr>
            <w:tcW w:w="3663" w:type="dxa"/>
            <w:tcBorders>
              <w:right w:val="single" w:color="auto" w:sz="4" w:space="0"/>
            </w:tcBorders>
            <w:shd w:val="clear" w:color="auto" w:fill="auto"/>
            <w:noWrap w:val="0"/>
            <w:vAlign w:val="center"/>
          </w:tcPr>
          <w:p w14:paraId="454BBE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宁水节供发〔2025〕11号</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val="en-US" w:eastAsia="zh-CN"/>
              </w:rPr>
              <w:t>宁夏</w:t>
            </w:r>
            <w:r>
              <w:rPr>
                <w:rFonts w:hint="eastAsia" w:eastAsia="宋体" w:cs="Times New Roman"/>
                <w:color w:val="auto"/>
                <w:sz w:val="21"/>
                <w:szCs w:val="21"/>
                <w:highlight w:val="none"/>
                <w:lang w:val="en-US" w:eastAsia="zh-CN"/>
              </w:rPr>
              <w:t>工业</w:t>
            </w:r>
            <w:r>
              <w:rPr>
                <w:rFonts w:hint="default" w:ascii="Times New Roman" w:hAnsi="Times New Roman" w:eastAsia="宋体" w:cs="Times New Roman"/>
                <w:color w:val="auto"/>
                <w:sz w:val="21"/>
                <w:szCs w:val="21"/>
                <w:highlight w:val="none"/>
                <w:lang w:val="en-US" w:eastAsia="zh-CN"/>
              </w:rPr>
              <w:t>用水定额，表3</w:t>
            </w:r>
            <w:r>
              <w:rPr>
                <w:rFonts w:hint="eastAsia" w:eastAsia="宋体" w:cs="Times New Roman"/>
                <w:color w:val="auto"/>
                <w:sz w:val="21"/>
                <w:szCs w:val="21"/>
                <w:highlight w:val="none"/>
                <w:lang w:val="en-US" w:eastAsia="zh-CN"/>
              </w:rPr>
              <w:t>主要工业产品</w:t>
            </w:r>
            <w:r>
              <w:rPr>
                <w:rFonts w:hint="default" w:ascii="Times New Roman" w:hAnsi="Times New Roman" w:eastAsia="宋体" w:cs="Times New Roman"/>
                <w:color w:val="auto"/>
                <w:sz w:val="21"/>
                <w:szCs w:val="21"/>
                <w:highlight w:val="none"/>
                <w:lang w:val="en-US" w:eastAsia="zh-CN"/>
              </w:rPr>
              <w:t>用水定额表</w:t>
            </w:r>
            <w:r>
              <w:rPr>
                <w:rFonts w:hint="eastAsia" w:eastAsia="宋体" w:cs="Times New Roman"/>
                <w:color w:val="auto"/>
                <w:sz w:val="21"/>
                <w:szCs w:val="21"/>
                <w:highlight w:val="none"/>
                <w:lang w:val="en-US" w:eastAsia="zh-CN"/>
              </w:rPr>
              <w:t>（先进）</w:t>
            </w:r>
            <w:r>
              <w:rPr>
                <w:rFonts w:hint="default" w:ascii="Times New Roman" w:hAnsi="Times New Roman" w:eastAsia="宋体" w:cs="Times New Roman"/>
                <w:color w:val="auto"/>
                <w:sz w:val="21"/>
                <w:szCs w:val="21"/>
                <w:highlight w:val="none"/>
                <w:lang w:val="en-US" w:eastAsia="zh-CN"/>
              </w:rPr>
              <w:t>，牲畜</w:t>
            </w:r>
            <w:r>
              <w:rPr>
                <w:rFonts w:hint="eastAsia" w:ascii="Times New Roman" w:hAnsi="Times New Roman" w:eastAsia="宋体" w:cs="Times New Roman"/>
                <w:color w:val="auto"/>
                <w:sz w:val="21"/>
                <w:szCs w:val="21"/>
                <w:highlight w:val="none"/>
                <w:lang w:val="en-US" w:eastAsia="zh-CN"/>
              </w:rPr>
              <w:t>屠宰</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羊</w:t>
            </w:r>
            <w:r>
              <w:rPr>
                <w:rFonts w:hint="eastAsia" w:eastAsia="宋体" w:cs="Times New Roman"/>
                <w:color w:val="auto"/>
                <w:sz w:val="21"/>
                <w:szCs w:val="21"/>
                <w:highlight w:val="none"/>
                <w:lang w:val="en-US" w:eastAsia="zh-CN"/>
              </w:rPr>
              <w:t>0.1m</w:t>
            </w:r>
            <w:r>
              <w:rPr>
                <w:rFonts w:hint="eastAsia"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/头</w:t>
            </w:r>
            <w:r>
              <w:rPr>
                <w:rFonts w:hint="default" w:ascii="Times New Roman" w:hAnsi="Times New Roman" w:eastAsia="仿宋_GB2312" w:cs="Times New Roman"/>
                <w:b w:val="0"/>
                <w:bCs w:val="0"/>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w:t>
            </w:r>
          </w:p>
        </w:tc>
        <w:tc>
          <w:tcPr>
            <w:tcW w:w="2874" w:type="dxa"/>
            <w:tcBorders>
              <w:left w:val="single" w:color="auto" w:sz="4" w:space="0"/>
            </w:tcBorders>
            <w:shd w:val="clear" w:color="auto" w:fill="auto"/>
            <w:noWrap w:val="0"/>
            <w:vAlign w:val="center"/>
          </w:tcPr>
          <w:p w14:paraId="70CDF7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项目年屠宰</w:t>
            </w:r>
            <w:r>
              <w:rPr>
                <w:rFonts w:hint="eastAsia" w:eastAsia="宋体" w:cs="Times New Roman"/>
                <w:color w:val="auto"/>
                <w:sz w:val="21"/>
                <w:szCs w:val="21"/>
                <w:highlight w:val="none"/>
                <w:lang w:val="en-US" w:eastAsia="zh-CN"/>
              </w:rPr>
              <w:t>羊15</w:t>
            </w:r>
            <w:r>
              <w:rPr>
                <w:rFonts w:hint="eastAsia" w:ascii="Times New Roman" w:hAnsi="Times New Roman" w:eastAsia="宋体" w:cs="Times New Roman"/>
                <w:color w:val="auto"/>
                <w:sz w:val="21"/>
                <w:szCs w:val="21"/>
                <w:highlight w:val="none"/>
                <w:lang w:val="en-US" w:eastAsia="zh-CN"/>
              </w:rPr>
              <w:t>万</w:t>
            </w:r>
            <w:r>
              <w:rPr>
                <w:rFonts w:hint="eastAsia" w:eastAsia="宋体" w:cs="Times New Roman"/>
                <w:color w:val="auto"/>
                <w:sz w:val="21"/>
                <w:szCs w:val="21"/>
                <w:highlight w:val="none"/>
                <w:lang w:val="en-US" w:eastAsia="zh-CN"/>
              </w:rPr>
              <w:t>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年用水量</w:t>
            </w:r>
            <w:r>
              <w:rPr>
                <w:rFonts w:hint="eastAsia" w:eastAsia="宋体"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r>
      <w:tr w14:paraId="68B49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1" w:type="dxa"/>
            <w:noWrap w:val="0"/>
            <w:vAlign w:val="center"/>
          </w:tcPr>
          <w:p w14:paraId="39468DF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车辆冲洗用水</w:t>
            </w:r>
          </w:p>
        </w:tc>
        <w:tc>
          <w:tcPr>
            <w:tcW w:w="3663" w:type="dxa"/>
            <w:tcBorders>
              <w:right w:val="single" w:color="auto" w:sz="4" w:space="0"/>
            </w:tcBorders>
            <w:noWrap w:val="0"/>
            <w:vAlign w:val="center"/>
          </w:tcPr>
          <w:p w14:paraId="12D47E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val="en-US" w:eastAsia="zh-CN"/>
              </w:rPr>
              <w:t>《建筑给水排水设计标准》（GB50015-2019）</w:t>
            </w:r>
            <w:r>
              <w:rPr>
                <w:rFonts w:hint="eastAsia" w:eastAsia="宋体" w:cs="Times New Roman"/>
                <w:color w:val="auto"/>
                <w:sz w:val="21"/>
                <w:szCs w:val="21"/>
                <w:highlight w:val="none"/>
                <w:lang w:val="en-US" w:eastAsia="zh-CN"/>
              </w:rPr>
              <w:t>表3.2.7，载重汽车高压水枪冲洗80～120L/（辆</w:t>
            </w:r>
            <w:r>
              <w:rPr>
                <w:rFonts w:hint="eastAsia" w:ascii="仿宋_GB2312" w:hAnsi="仿宋_GB2312" w:eastAsia="仿宋_GB2312" w:cs="仿宋_GB2312"/>
                <w:color w:val="auto"/>
                <w:sz w:val="21"/>
                <w:szCs w:val="21"/>
                <w:highlight w:val="none"/>
                <w:lang w:val="en-US" w:eastAsia="zh-CN"/>
              </w:rPr>
              <w:t>·</w:t>
            </w:r>
            <w:r>
              <w:rPr>
                <w:rFonts w:hint="eastAsia" w:eastAsia="宋体" w:cs="Times New Roman"/>
                <w:color w:val="auto"/>
                <w:sz w:val="21"/>
                <w:szCs w:val="21"/>
                <w:highlight w:val="none"/>
                <w:lang w:val="en-US" w:eastAsia="zh-CN"/>
              </w:rPr>
              <w:t>次），本次取100L/（辆</w:t>
            </w:r>
            <w:r>
              <w:rPr>
                <w:rFonts w:hint="eastAsia" w:ascii="仿宋_GB2312" w:hAnsi="仿宋_GB2312" w:eastAsia="仿宋_GB2312" w:cs="仿宋_GB2312"/>
                <w:color w:val="auto"/>
                <w:sz w:val="21"/>
                <w:szCs w:val="21"/>
                <w:highlight w:val="none"/>
                <w:lang w:val="en-US" w:eastAsia="zh-CN"/>
              </w:rPr>
              <w:t>·</w:t>
            </w:r>
            <w:r>
              <w:rPr>
                <w:rFonts w:hint="eastAsia" w:eastAsia="宋体" w:cs="Times New Roman"/>
                <w:color w:val="auto"/>
                <w:sz w:val="21"/>
                <w:szCs w:val="21"/>
                <w:highlight w:val="none"/>
                <w:lang w:val="en-US" w:eastAsia="zh-CN"/>
              </w:rPr>
              <w:t>次）</w:t>
            </w:r>
          </w:p>
        </w:tc>
        <w:tc>
          <w:tcPr>
            <w:tcW w:w="2874" w:type="dxa"/>
            <w:tcBorders>
              <w:left w:val="single" w:color="auto" w:sz="4" w:space="0"/>
            </w:tcBorders>
            <w:noWrap w:val="0"/>
            <w:vAlign w:val="center"/>
          </w:tcPr>
          <w:p w14:paraId="47AB6E7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项目设计年屠宰肉牛</w:t>
            </w:r>
            <w:r>
              <w:rPr>
                <w:rFonts w:hint="eastAsia" w:eastAsia="宋体" w:cs="Times New Roman"/>
                <w:color w:val="auto"/>
                <w:sz w:val="21"/>
                <w:szCs w:val="21"/>
                <w:highlight w:val="none"/>
                <w:lang w:val="en-US" w:eastAsia="zh-CN"/>
              </w:rPr>
              <w:t>10000</w:t>
            </w:r>
            <w:r>
              <w:rPr>
                <w:rFonts w:hint="default" w:ascii="Times New Roman" w:hAnsi="Times New Roman" w:eastAsia="宋体" w:cs="Times New Roman"/>
                <w:color w:val="auto"/>
                <w:sz w:val="21"/>
                <w:szCs w:val="21"/>
                <w:highlight w:val="none"/>
                <w:lang w:val="en-US" w:eastAsia="zh-CN"/>
              </w:rPr>
              <w:t>头、羊</w:t>
            </w:r>
            <w:r>
              <w:rPr>
                <w:rFonts w:hint="eastAsia"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万只，车辆平均运输量按20头牛/车次、40只羊/车次计，则原料活牛、羊车辆运输次数约为</w:t>
            </w:r>
            <w:r>
              <w:rPr>
                <w:rFonts w:hint="eastAsia" w:eastAsia="宋体" w:cs="Times New Roman"/>
                <w:color w:val="auto"/>
                <w:sz w:val="21"/>
                <w:szCs w:val="21"/>
                <w:highlight w:val="none"/>
                <w:lang w:val="en-US" w:eastAsia="zh-CN"/>
              </w:rPr>
              <w:t>4250</w:t>
            </w:r>
            <w:r>
              <w:rPr>
                <w:rFonts w:hint="default" w:ascii="Times New Roman" w:hAnsi="Times New Roman" w:eastAsia="宋体" w:cs="Times New Roman"/>
                <w:color w:val="auto"/>
                <w:sz w:val="21"/>
                <w:szCs w:val="21"/>
                <w:highlight w:val="none"/>
                <w:lang w:val="en-US" w:eastAsia="zh-CN"/>
              </w:rPr>
              <w:t>次/年；产品、副产品等运输量为</w:t>
            </w:r>
            <w:r>
              <w:rPr>
                <w:rFonts w:hint="eastAsia" w:eastAsia="宋体" w:cs="Times New Roman"/>
                <w:color w:val="auto"/>
                <w:sz w:val="21"/>
                <w:szCs w:val="21"/>
                <w:highlight w:val="none"/>
                <w:lang w:val="en-US" w:eastAsia="zh-CN"/>
              </w:rPr>
              <w:t>8450</w:t>
            </w:r>
            <w:r>
              <w:rPr>
                <w:rFonts w:hint="default" w:ascii="Times New Roman" w:hAnsi="Times New Roman" w:eastAsia="宋体" w:cs="Times New Roman"/>
                <w:color w:val="auto"/>
                <w:sz w:val="21"/>
                <w:szCs w:val="21"/>
                <w:highlight w:val="none"/>
                <w:lang w:val="en-US" w:eastAsia="zh-CN"/>
              </w:rPr>
              <w:t>t/年，车辆平均运输量按30t/车次计，则产品车辆运输次数约为</w:t>
            </w:r>
            <w:r>
              <w:rPr>
                <w:rFonts w:hint="eastAsia" w:eastAsia="宋体" w:cs="Times New Roman"/>
                <w:color w:val="auto"/>
                <w:sz w:val="21"/>
                <w:szCs w:val="21"/>
                <w:highlight w:val="none"/>
                <w:lang w:val="en-US" w:eastAsia="zh-CN"/>
              </w:rPr>
              <w:t>282</w:t>
            </w:r>
            <w:r>
              <w:rPr>
                <w:rFonts w:hint="default" w:ascii="Times New Roman" w:hAnsi="Times New Roman" w:eastAsia="宋体" w:cs="Times New Roman"/>
                <w:color w:val="auto"/>
                <w:sz w:val="21"/>
                <w:szCs w:val="21"/>
                <w:highlight w:val="none"/>
                <w:lang w:val="en-US" w:eastAsia="zh-CN"/>
              </w:rPr>
              <w:t>次/年，年用水量约</w:t>
            </w:r>
            <w:r>
              <w:rPr>
                <w:rFonts w:hint="eastAsia" w:eastAsia="宋体" w:cs="Times New Roman"/>
                <w:color w:val="auto"/>
                <w:sz w:val="21"/>
                <w:szCs w:val="21"/>
                <w:highlight w:val="none"/>
                <w:lang w:val="en-US" w:eastAsia="zh-CN"/>
              </w:rPr>
              <w:t>453.2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r>
      <w:tr w14:paraId="77604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1" w:type="dxa"/>
            <w:noWrap w:val="0"/>
            <w:vAlign w:val="center"/>
          </w:tcPr>
          <w:p w14:paraId="674E7E7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绿化用水</w:t>
            </w:r>
          </w:p>
        </w:tc>
        <w:tc>
          <w:tcPr>
            <w:tcW w:w="3663" w:type="dxa"/>
            <w:tcBorders>
              <w:right w:val="single" w:color="auto" w:sz="4" w:space="0"/>
            </w:tcBorders>
            <w:noWrap w:val="0"/>
            <w:vAlign w:val="center"/>
          </w:tcPr>
          <w:p w14:paraId="162576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b w:val="0"/>
                <w:bCs w:val="0"/>
                <w:color w:val="auto"/>
                <w:sz w:val="21"/>
                <w:szCs w:val="21"/>
                <w:highlight w:val="none"/>
                <w:lang w:val="en-US" w:eastAsia="zh-CN"/>
              </w:rPr>
              <w:t>根据</w:t>
            </w:r>
            <w:r>
              <w:rPr>
                <w:rFonts w:hint="default" w:ascii="Times New Roman" w:hAnsi="Times New Roman" w:eastAsia="宋体" w:cs="Times New Roman"/>
                <w:b w:val="0"/>
                <w:bCs w:val="0"/>
                <w:color w:val="auto"/>
                <w:sz w:val="21"/>
                <w:szCs w:val="21"/>
                <w:highlight w:val="none"/>
                <w:lang w:val="en-US" w:eastAsia="zh-CN"/>
              </w:rPr>
              <w:t>“宁水节供发〔2025〕11号”</w:t>
            </w:r>
            <w:r>
              <w:rPr>
                <w:rFonts w:hint="eastAsia" w:eastAsia="宋体" w:cs="Times New Roman"/>
                <w:b w:val="0"/>
                <w:bCs w:val="0"/>
                <w:color w:val="auto"/>
                <w:sz w:val="21"/>
                <w:szCs w:val="21"/>
                <w:highlight w:val="none"/>
                <w:lang w:val="en-US" w:eastAsia="zh-CN"/>
              </w:rPr>
              <w:t>中宁夏生活用水定额，</w:t>
            </w:r>
            <w:r>
              <w:rPr>
                <w:rFonts w:hint="default" w:ascii="Times New Roman" w:hAnsi="Times New Roman" w:eastAsia="宋体" w:cs="Times New Roman"/>
                <w:b w:val="0"/>
                <w:bCs w:val="0"/>
                <w:color w:val="auto"/>
                <w:sz w:val="21"/>
                <w:szCs w:val="21"/>
                <w:highlight w:val="none"/>
                <w:lang w:val="en-US" w:eastAsia="zh-CN"/>
              </w:rPr>
              <w:t>表2</w:t>
            </w:r>
            <w:r>
              <w:rPr>
                <w:rFonts w:hint="eastAsia" w:eastAsia="宋体" w:cs="Times New Roman"/>
                <w:b w:val="0"/>
                <w:bCs w:val="0"/>
                <w:color w:val="auto"/>
                <w:sz w:val="21"/>
                <w:szCs w:val="21"/>
                <w:highlight w:val="none"/>
                <w:lang w:val="en-US" w:eastAsia="zh-CN"/>
              </w:rPr>
              <w:t>服务业用水定额表中公共设施服务用水，南部山区绿化用水（先进值），取0.1m</w:t>
            </w:r>
            <w:r>
              <w:rPr>
                <w:rFonts w:hint="eastAsia" w:eastAsia="宋体" w:cs="Times New Roman"/>
                <w:b w:val="0"/>
                <w:bCs w:val="0"/>
                <w:color w:val="auto"/>
                <w:sz w:val="21"/>
                <w:szCs w:val="21"/>
                <w:highlight w:val="none"/>
                <w:vertAlign w:val="superscript"/>
                <w:lang w:val="en-US" w:eastAsia="zh-CN"/>
              </w:rPr>
              <w:t>3</w:t>
            </w:r>
            <w:r>
              <w:rPr>
                <w:rFonts w:hint="eastAsia" w:eastAsia="宋体" w:cs="Times New Roman"/>
                <w:b w:val="0"/>
                <w:bCs w:val="0"/>
                <w:color w:val="auto"/>
                <w:sz w:val="21"/>
                <w:szCs w:val="21"/>
                <w:highlight w:val="none"/>
                <w:lang w:val="en-US"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a</w:t>
            </w:r>
            <w:r>
              <w:rPr>
                <w:rFonts w:hint="eastAsia" w:eastAsia="宋体" w:cs="Times New Roman"/>
                <w:b w:val="0"/>
                <w:bCs w:val="0"/>
                <w:color w:val="auto"/>
                <w:sz w:val="21"/>
                <w:szCs w:val="21"/>
                <w:highlight w:val="none"/>
                <w:lang w:val="en-US" w:eastAsia="zh-CN"/>
              </w:rPr>
              <w:t>）</w:t>
            </w:r>
          </w:p>
        </w:tc>
        <w:tc>
          <w:tcPr>
            <w:tcW w:w="2874" w:type="dxa"/>
            <w:tcBorders>
              <w:left w:val="single" w:color="auto" w:sz="4" w:space="0"/>
            </w:tcBorders>
            <w:noWrap w:val="0"/>
            <w:vAlign w:val="center"/>
          </w:tcPr>
          <w:p w14:paraId="41230ED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项目总绿化面积为</w:t>
            </w:r>
            <w:r>
              <w:rPr>
                <w:rFonts w:hint="eastAsia" w:eastAsia="宋体" w:cs="Times New Roman"/>
                <w:color w:val="auto"/>
                <w:sz w:val="21"/>
                <w:szCs w:val="21"/>
                <w:highlight w:val="none"/>
                <w:lang w:val="en-US" w:eastAsia="zh-CN"/>
              </w:rPr>
              <w:t>700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，绿化用水量为</w:t>
            </w:r>
            <w:r>
              <w:rPr>
                <w:rFonts w:hint="eastAsia" w:eastAsia="宋体"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r>
    </w:tbl>
    <w:p w14:paraId="6F63334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给水</w:t>
      </w:r>
    </w:p>
    <w:p w14:paraId="31ECDF0A">
      <w:pPr>
        <w:keepNext w:val="0"/>
        <w:keepLines w:val="0"/>
        <w:pageBreakBefore w:val="0"/>
        <w:widowControl w:val="0"/>
        <w:tabs>
          <w:tab w:val="left" w:pos="8400"/>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rPr>
        <w:t>项目用水由</w:t>
      </w:r>
      <w:r>
        <w:rPr>
          <w:rFonts w:hint="eastAsia" w:cs="Times New Roman"/>
          <w:color w:val="auto"/>
          <w:sz w:val="24"/>
          <w:highlight w:val="none"/>
          <w:lang w:val="en-US" w:eastAsia="zh-CN"/>
        </w:rPr>
        <w:t>园区供水</w:t>
      </w:r>
      <w:r>
        <w:rPr>
          <w:rFonts w:hint="default" w:ascii="Times New Roman" w:hAnsi="Times New Roman" w:eastAsia="仿宋_GB2312" w:cs="Times New Roman"/>
          <w:color w:val="auto"/>
          <w:sz w:val="24"/>
          <w:highlight w:val="none"/>
        </w:rPr>
        <w:t>管网提供，项目新鲜水总用量为</w:t>
      </w:r>
      <w:r>
        <w:rPr>
          <w:rFonts w:hint="eastAsia" w:cs="Times New Roman"/>
          <w:color w:val="auto"/>
          <w:sz w:val="24"/>
          <w:highlight w:val="none"/>
          <w:lang w:val="en-US" w:eastAsia="zh-CN"/>
        </w:rPr>
        <w:t>69.31</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/d（</w:t>
      </w:r>
      <w:r>
        <w:rPr>
          <w:rFonts w:hint="eastAsia" w:cs="Times New Roman"/>
          <w:color w:val="auto"/>
          <w:sz w:val="24"/>
          <w:highlight w:val="none"/>
          <w:lang w:val="en-US" w:eastAsia="zh-CN"/>
        </w:rPr>
        <w:t>22873.2</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/a），其中生活用新鲜水量为</w:t>
      </w:r>
      <w:r>
        <w:rPr>
          <w:rFonts w:hint="eastAsia" w:cs="Times New Roman"/>
          <w:color w:val="auto"/>
          <w:sz w:val="24"/>
          <w:highlight w:val="none"/>
          <w:lang w:val="en-US" w:eastAsia="zh-CN"/>
        </w:rPr>
        <w:t>1.9</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/d（</w:t>
      </w:r>
      <w:r>
        <w:rPr>
          <w:rFonts w:hint="eastAsia" w:cs="Times New Roman"/>
          <w:bCs/>
          <w:color w:val="auto"/>
          <w:sz w:val="24"/>
          <w:highlight w:val="none"/>
          <w:lang w:val="en-US" w:eastAsia="zh-CN"/>
        </w:rPr>
        <w:t>650</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default" w:ascii="Times New Roman" w:hAnsi="Times New Roman" w:eastAsia="仿宋_GB2312" w:cs="Times New Roman"/>
          <w:color w:val="auto"/>
          <w:sz w:val="24"/>
          <w:highlight w:val="none"/>
        </w:rPr>
        <w:t>），生产用新鲜水水量为</w:t>
      </w:r>
      <w:r>
        <w:rPr>
          <w:rFonts w:hint="eastAsia" w:cs="Times New Roman"/>
          <w:color w:val="auto"/>
          <w:sz w:val="24"/>
          <w:highlight w:val="none"/>
          <w:lang w:val="en-US" w:eastAsia="zh-CN"/>
        </w:rPr>
        <w:t>67.13</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/d（</w:t>
      </w:r>
      <w:r>
        <w:rPr>
          <w:rFonts w:hint="eastAsia" w:cs="Times New Roman"/>
          <w:color w:val="auto"/>
          <w:sz w:val="24"/>
          <w:highlight w:val="none"/>
          <w:lang w:val="en-US" w:eastAsia="zh-CN"/>
        </w:rPr>
        <w:t>22153.2</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/a），项目生产用水主要为待宰牛饮用水、屠宰用水</w:t>
      </w:r>
      <w:r>
        <w:rPr>
          <w:rFonts w:hint="default"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lang w:val="en-US" w:eastAsia="zh-CN"/>
        </w:rPr>
        <w:t>包括</w:t>
      </w:r>
      <w:r>
        <w:rPr>
          <w:rFonts w:hint="default" w:ascii="Times New Roman" w:hAnsi="Times New Roman" w:eastAsia="仿宋_GB2312" w:cs="Times New Roman"/>
          <w:color w:val="auto"/>
          <w:sz w:val="24"/>
          <w:highlight w:val="none"/>
          <w:lang w:eastAsia="zh-CN"/>
        </w:rPr>
        <w:t>待宰圈</w:t>
      </w:r>
      <w:r>
        <w:rPr>
          <w:rFonts w:hint="default" w:ascii="Times New Roman" w:hAnsi="Times New Roman" w:eastAsia="仿宋_GB2312" w:cs="Times New Roman"/>
          <w:color w:val="auto"/>
          <w:sz w:val="24"/>
          <w:highlight w:val="none"/>
        </w:rPr>
        <w:t>地面冲洗用水内脏及胴体清洗用水设备及屠宰车间冲洗用水</w:t>
      </w:r>
      <w:r>
        <w:rPr>
          <w:rFonts w:hint="default" w:ascii="Times New Roman" w:hAnsi="Times New Roman" w:eastAsia="仿宋_GB2312" w:cs="Times New Roman"/>
          <w:color w:val="auto"/>
          <w:sz w:val="24"/>
          <w:highlight w:val="none"/>
          <w:lang w:eastAsia="zh-CN"/>
        </w:rPr>
        <w:t>）</w:t>
      </w:r>
      <w:r>
        <w:rPr>
          <w:rFonts w:hint="eastAsia" w:cs="Times New Roman"/>
          <w:color w:val="auto"/>
          <w:sz w:val="24"/>
          <w:highlight w:val="none"/>
          <w:lang w:val="en-US" w:eastAsia="zh-CN"/>
        </w:rPr>
        <w:t>及车辆冲洗用水</w:t>
      </w:r>
      <w:r>
        <w:rPr>
          <w:rFonts w:hint="eastAsia" w:ascii="Times New Roman" w:hAnsi="Times New Roman" w:eastAsia="仿宋_GB2312" w:cs="Times New Roman"/>
          <w:color w:val="auto"/>
          <w:sz w:val="24"/>
          <w:highlight w:val="none"/>
          <w:lang w:val="en-US" w:eastAsia="zh-CN"/>
        </w:rPr>
        <w:t>；</w:t>
      </w:r>
      <w:r>
        <w:rPr>
          <w:rFonts w:hint="default" w:ascii="Times New Roman" w:hAnsi="Times New Roman" w:eastAsia="仿宋_GB2312" w:cs="Times New Roman"/>
          <w:color w:val="auto"/>
          <w:sz w:val="24"/>
          <w:highlight w:val="none"/>
        </w:rPr>
        <w:t>绿化用</w:t>
      </w:r>
      <w:r>
        <w:rPr>
          <w:rFonts w:hint="default" w:ascii="Times New Roman" w:hAnsi="Times New Roman" w:eastAsia="仿宋_GB2312" w:cs="Times New Roman"/>
          <w:color w:val="auto"/>
          <w:sz w:val="24"/>
          <w:highlight w:val="none"/>
          <w:lang w:eastAsia="zh-CN"/>
        </w:rPr>
        <w:t>新鲜水</w:t>
      </w:r>
      <w:r>
        <w:rPr>
          <w:rFonts w:hint="default" w:ascii="Times New Roman" w:hAnsi="Times New Roman" w:eastAsia="仿宋_GB2312" w:cs="Times New Roman"/>
          <w:color w:val="auto"/>
          <w:sz w:val="24"/>
          <w:highlight w:val="none"/>
        </w:rPr>
        <w:t>水量为</w:t>
      </w:r>
      <w:r>
        <w:rPr>
          <w:rFonts w:hint="eastAsia" w:cs="Times New Roman"/>
          <w:color w:val="auto"/>
          <w:sz w:val="24"/>
          <w:highlight w:val="none"/>
          <w:lang w:val="en-US" w:eastAsia="zh-CN"/>
        </w:rPr>
        <w:t>70</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/a</w:t>
      </w:r>
      <w:r>
        <w:rPr>
          <w:rFonts w:hint="default" w:ascii="Times New Roman" w:hAnsi="Times New Roman" w:eastAsia="仿宋_GB2312" w:cs="Times New Roman"/>
          <w:color w:val="auto"/>
          <w:sz w:val="24"/>
          <w:highlight w:val="none"/>
          <w:lang w:val="zh-CN"/>
        </w:rPr>
        <w:t>。</w:t>
      </w:r>
    </w:p>
    <w:p w14:paraId="647FADC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lang w:val="zh-CN"/>
        </w:rPr>
      </w:pPr>
      <w:r>
        <w:rPr>
          <w:rFonts w:hint="default" w:ascii="Times New Roman" w:hAnsi="Times New Roman" w:eastAsia="仿宋_GB2312" w:cs="Times New Roman"/>
          <w:color w:val="auto"/>
          <w:sz w:val="24"/>
          <w:highlight w:val="none"/>
        </w:rPr>
        <w:t>①</w:t>
      </w:r>
      <w:r>
        <w:rPr>
          <w:rFonts w:hint="default" w:ascii="Times New Roman" w:hAnsi="Times New Roman" w:eastAsia="仿宋_GB2312" w:cs="Times New Roman"/>
          <w:color w:val="auto"/>
          <w:sz w:val="24"/>
          <w:highlight w:val="none"/>
          <w:lang w:val="zh-CN"/>
        </w:rPr>
        <w:t>生活用水</w:t>
      </w:r>
    </w:p>
    <w:p w14:paraId="39C9DEF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lang w:val="zh-CN"/>
        </w:rPr>
      </w:pPr>
      <w:r>
        <w:rPr>
          <w:rFonts w:hint="default" w:ascii="Times New Roman" w:hAnsi="Times New Roman" w:eastAsia="仿宋_GB2312" w:cs="Times New Roman"/>
          <w:bCs/>
          <w:color w:val="auto"/>
          <w:sz w:val="24"/>
          <w:highlight w:val="none"/>
        </w:rPr>
        <w:t>生活用水系统主要供给厂区内职工办公生活用水，项目劳动定员</w:t>
      </w:r>
      <w:r>
        <w:rPr>
          <w:rFonts w:hint="eastAsia" w:cs="Times New Roman"/>
          <w:bCs/>
          <w:color w:val="auto"/>
          <w:sz w:val="24"/>
          <w:highlight w:val="none"/>
          <w:lang w:val="en-US" w:eastAsia="zh-CN"/>
        </w:rPr>
        <w:t>26</w:t>
      </w:r>
      <w:r>
        <w:rPr>
          <w:rFonts w:hint="default" w:ascii="Times New Roman" w:hAnsi="Times New Roman" w:eastAsia="仿宋_GB2312" w:cs="Times New Roman"/>
          <w:bCs/>
          <w:color w:val="auto"/>
          <w:sz w:val="24"/>
          <w:highlight w:val="none"/>
        </w:rPr>
        <w:t>人，用水</w:t>
      </w:r>
      <w:r>
        <w:rPr>
          <w:rFonts w:hint="default" w:ascii="Times New Roman" w:hAnsi="Times New Roman" w:eastAsia="仿宋_GB2312" w:cs="Times New Roman"/>
          <w:color w:val="auto"/>
          <w:sz w:val="24"/>
          <w:highlight w:val="none"/>
        </w:rPr>
        <w:t>定额按</w:t>
      </w:r>
      <w:r>
        <w:rPr>
          <w:rFonts w:hint="default" w:ascii="Times New Roman" w:hAnsi="Times New Roman" w:eastAsia="仿宋_GB2312" w:cs="Times New Roman"/>
          <w:bCs/>
          <w:color w:val="auto"/>
          <w:sz w:val="24"/>
          <w:highlight w:val="none"/>
        </w:rPr>
        <w:t>照</w:t>
      </w:r>
      <w:r>
        <w:rPr>
          <w:rFonts w:hint="default" w:ascii="Times New Roman" w:hAnsi="Times New Roman" w:eastAsia="仿宋_GB2312" w:cs="Times New Roman"/>
          <w:bCs/>
          <w:color w:val="auto"/>
          <w:sz w:val="24"/>
          <w:highlight w:val="none"/>
          <w:lang w:val="en-US" w:eastAsia="zh-CN"/>
        </w:rPr>
        <w:t>“宁水节供发〔2025〕11号”</w:t>
      </w:r>
      <w:r>
        <w:rPr>
          <w:rFonts w:hint="eastAsia" w:ascii="Times New Roman" w:hAnsi="Times New Roman" w:eastAsia="仿宋_GB2312" w:cs="Times New Roman"/>
          <w:bCs/>
          <w:color w:val="auto"/>
          <w:sz w:val="24"/>
          <w:highlight w:val="none"/>
          <w:lang w:val="en-US" w:eastAsia="zh-CN"/>
        </w:rPr>
        <w:t>中宁夏生活用水定额，</w:t>
      </w:r>
      <w:r>
        <w:rPr>
          <w:rFonts w:hint="default" w:ascii="Times New Roman" w:hAnsi="Times New Roman" w:eastAsia="仿宋_GB2312" w:cs="Times New Roman"/>
          <w:bCs/>
          <w:color w:val="auto"/>
          <w:sz w:val="24"/>
          <w:highlight w:val="none"/>
          <w:lang w:val="en-US" w:eastAsia="zh-CN"/>
        </w:rPr>
        <w:t>表2</w:t>
      </w:r>
      <w:r>
        <w:rPr>
          <w:rFonts w:hint="eastAsia" w:ascii="Times New Roman" w:hAnsi="Times New Roman" w:eastAsia="仿宋_GB2312" w:cs="Times New Roman"/>
          <w:bCs/>
          <w:color w:val="auto"/>
          <w:sz w:val="24"/>
          <w:highlight w:val="none"/>
          <w:lang w:val="en-US" w:eastAsia="zh-CN"/>
        </w:rPr>
        <w:t xml:space="preserve">服务业用水定额表 </w:t>
      </w:r>
      <w:r>
        <w:rPr>
          <w:rFonts w:hint="default" w:ascii="Times New Roman" w:hAnsi="Times New Roman" w:eastAsia="仿宋_GB2312" w:cs="Times New Roman"/>
          <w:bCs/>
          <w:color w:val="auto"/>
          <w:sz w:val="24"/>
          <w:highlight w:val="none"/>
          <w:lang w:val="en-US" w:eastAsia="zh-CN"/>
        </w:rPr>
        <w:t>机关、企事业管理机构和社会团体用水（</w:t>
      </w:r>
      <w:r>
        <w:rPr>
          <w:rFonts w:hint="eastAsia" w:cs="Times New Roman"/>
          <w:bCs/>
          <w:color w:val="auto"/>
          <w:sz w:val="24"/>
          <w:highlight w:val="none"/>
          <w:lang w:val="en-US" w:eastAsia="zh-CN"/>
        </w:rPr>
        <w:t>通用</w:t>
      </w:r>
      <w:r>
        <w:rPr>
          <w:rFonts w:hint="default" w:ascii="Times New Roman" w:hAnsi="Times New Roman" w:eastAsia="仿宋_GB2312" w:cs="Times New Roman"/>
          <w:bCs/>
          <w:color w:val="auto"/>
          <w:sz w:val="24"/>
          <w:highlight w:val="none"/>
          <w:lang w:val="en-US" w:eastAsia="zh-CN"/>
        </w:rPr>
        <w:t>）</w:t>
      </w:r>
      <w:r>
        <w:rPr>
          <w:rFonts w:hint="default" w:ascii="Times New Roman" w:hAnsi="Times New Roman" w:eastAsia="仿宋_GB2312" w:cs="Times New Roman"/>
          <w:bCs/>
          <w:color w:val="auto"/>
          <w:sz w:val="24"/>
          <w:highlight w:val="none"/>
        </w:rPr>
        <w:t>，</w:t>
      </w:r>
      <w:r>
        <w:rPr>
          <w:rFonts w:hint="default" w:ascii="Times New Roman" w:hAnsi="Times New Roman" w:eastAsia="仿宋_GB2312" w:cs="Times New Roman"/>
          <w:color w:val="auto"/>
          <w:sz w:val="24"/>
          <w:highlight w:val="none"/>
        </w:rPr>
        <w:t>取</w:t>
      </w:r>
      <w:r>
        <w:rPr>
          <w:rFonts w:hint="eastAsia" w:cs="Times New Roman"/>
          <w:color w:val="auto"/>
          <w:sz w:val="24"/>
          <w:highlight w:val="none"/>
          <w:lang w:val="en-US" w:eastAsia="zh-CN"/>
        </w:rPr>
        <w:t>25</w:t>
      </w:r>
      <w:r>
        <w:rPr>
          <w:rFonts w:hint="default" w:ascii="Times New Roman" w:hAnsi="Times New Roman" w:eastAsia="仿宋_GB2312" w:cs="Times New Roman"/>
          <w:color w:val="auto"/>
          <w:sz w:val="24"/>
          <w:highlight w:val="none"/>
          <w:lang w:val="en-US" w:eastAsia="zh-CN"/>
        </w:rPr>
        <w:t>m</w:t>
      </w:r>
      <w:r>
        <w:rPr>
          <w:rFonts w:hint="default" w:ascii="Times New Roman" w:hAnsi="Times New Roman" w:eastAsia="仿宋_GB2312" w:cs="Times New Roman"/>
          <w:color w:val="auto"/>
          <w:sz w:val="24"/>
          <w:highlight w:val="none"/>
          <w:vertAlign w:val="superscript"/>
          <w:lang w:val="en-US" w:eastAsia="zh-CN"/>
        </w:rPr>
        <w:t>3</w:t>
      </w:r>
      <w:r>
        <w:rPr>
          <w:rFonts w:hint="default" w:ascii="Times New Roman" w:hAnsi="Times New Roman" w:eastAsia="仿宋_GB2312" w:cs="Times New Roman"/>
          <w:color w:val="auto"/>
          <w:sz w:val="24"/>
          <w:highlight w:val="none"/>
        </w:rPr>
        <w:t>/人</w:t>
      </w:r>
      <w:r>
        <w:rPr>
          <w:rFonts w:hint="eastAsia" w:ascii="仿宋_GB2312" w:hAnsi="仿宋_GB2312" w:eastAsia="仿宋_GB2312" w:cs="仿宋_GB2312"/>
          <w:b w:val="0"/>
          <w:bCs w:val="0"/>
          <w:color w:val="auto"/>
          <w:sz w:val="21"/>
          <w:szCs w:val="21"/>
          <w:highlight w:val="none"/>
          <w:lang w:val="en-US" w:eastAsia="zh-CN"/>
        </w:rPr>
        <w:t>·</w:t>
      </w:r>
      <w:r>
        <w:rPr>
          <w:rFonts w:hint="default" w:ascii="Times New Roman" w:hAnsi="Times New Roman" w:eastAsia="仿宋_GB2312" w:cs="Times New Roman"/>
          <w:color w:val="auto"/>
          <w:sz w:val="24"/>
          <w:highlight w:val="none"/>
          <w:lang w:val="en-US" w:eastAsia="zh-CN"/>
        </w:rPr>
        <w:t>a</w:t>
      </w:r>
      <w:r>
        <w:rPr>
          <w:rFonts w:hint="default" w:ascii="Times New Roman" w:hAnsi="Times New Roman" w:eastAsia="仿宋_GB2312" w:cs="Times New Roman"/>
          <w:bCs/>
          <w:color w:val="auto"/>
          <w:sz w:val="24"/>
          <w:highlight w:val="none"/>
        </w:rPr>
        <w:t>，则项目生活用水量约为</w:t>
      </w:r>
      <w:r>
        <w:rPr>
          <w:rFonts w:hint="eastAsia" w:cs="Times New Roman"/>
          <w:color w:val="auto"/>
          <w:sz w:val="24"/>
          <w:highlight w:val="none"/>
          <w:lang w:val="en-US" w:eastAsia="zh-CN"/>
        </w:rPr>
        <w:t>1.9</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/d（</w:t>
      </w:r>
      <w:r>
        <w:rPr>
          <w:rFonts w:hint="eastAsia" w:cs="Times New Roman"/>
          <w:bCs/>
          <w:color w:val="auto"/>
          <w:sz w:val="24"/>
          <w:highlight w:val="none"/>
          <w:lang w:val="en-US" w:eastAsia="zh-CN"/>
        </w:rPr>
        <w:t>650</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default" w:ascii="Times New Roman" w:hAnsi="Times New Roman" w:eastAsia="仿宋_GB2312" w:cs="Times New Roman"/>
          <w:color w:val="auto"/>
          <w:sz w:val="24"/>
          <w:highlight w:val="none"/>
        </w:rPr>
        <w:t>）</w:t>
      </w:r>
      <w:r>
        <w:rPr>
          <w:rFonts w:hint="default" w:ascii="Times New Roman" w:hAnsi="Times New Roman" w:eastAsia="仿宋_GB2312" w:cs="Times New Roman"/>
          <w:color w:val="auto"/>
          <w:sz w:val="24"/>
          <w:highlight w:val="none"/>
          <w:lang w:val="zh-CN"/>
        </w:rPr>
        <w:t>。</w:t>
      </w:r>
    </w:p>
    <w:p w14:paraId="7E84E21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lang w:val="zh-CN"/>
        </w:rPr>
        <w:t>②</w:t>
      </w:r>
      <w:r>
        <w:rPr>
          <w:rFonts w:hint="default" w:ascii="Times New Roman" w:hAnsi="Times New Roman" w:eastAsia="仿宋_GB2312" w:cs="Times New Roman"/>
          <w:color w:val="auto"/>
          <w:sz w:val="24"/>
          <w:highlight w:val="none"/>
        </w:rPr>
        <w:t>待宰牛饮用水</w:t>
      </w:r>
    </w:p>
    <w:p w14:paraId="5F1267D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根据“宁水节供发〔2025〕11号”中宁夏农业用水定额，表7主畜禽水产养殖用水定额表，牲畜：肉牛50L/（头·d）</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每头牛在厂区最多停留1天，本项目年屠宰牛</w:t>
      </w:r>
      <w:r>
        <w:rPr>
          <w:rFonts w:hint="eastAsia" w:cs="Times New Roman"/>
          <w:color w:val="auto"/>
          <w:sz w:val="24"/>
          <w:highlight w:val="none"/>
          <w:lang w:val="en-US" w:eastAsia="zh-CN"/>
        </w:rPr>
        <w:t>10000</w:t>
      </w:r>
      <w:r>
        <w:rPr>
          <w:rFonts w:hint="default" w:ascii="Times New Roman" w:hAnsi="Times New Roman" w:eastAsia="仿宋_GB2312" w:cs="Times New Roman"/>
          <w:color w:val="auto"/>
          <w:sz w:val="24"/>
          <w:highlight w:val="none"/>
        </w:rPr>
        <w:t>头，待宰牛饮用水量</w:t>
      </w:r>
      <w:r>
        <w:rPr>
          <w:rFonts w:hint="eastAsia" w:cs="Times New Roman"/>
          <w:color w:val="auto"/>
          <w:sz w:val="24"/>
          <w:highlight w:val="none"/>
          <w:lang w:val="en-US" w:eastAsia="zh-CN"/>
        </w:rPr>
        <w:t>500</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/a。</w:t>
      </w:r>
    </w:p>
    <w:p w14:paraId="3489BD67">
      <w:pPr>
        <w:keepNext w:val="0"/>
        <w:keepLines w:val="0"/>
        <w:pageBreakBefore w:val="0"/>
        <w:widowControl w:val="0"/>
        <w:kinsoku/>
        <w:wordWrap/>
        <w:overflowPunct/>
        <w:topLinePunct w:val="0"/>
        <w:autoSpaceDE/>
        <w:autoSpaceDN/>
        <w:bidi w:val="0"/>
        <w:adjustRightInd/>
        <w:snapToGrid/>
        <w:ind w:left="0" w:leftChars="0"/>
        <w:textAlignment w:val="auto"/>
        <w:rPr>
          <w:rFonts w:hint="default" w:eastAsia="仿宋_GB2312"/>
          <w:color w:val="auto"/>
          <w:lang w:val="en-US" w:eastAsia="zh-CN"/>
        </w:rPr>
      </w:pPr>
      <w:r>
        <w:rPr>
          <w:rFonts w:hint="default" w:ascii="Times New Roman" w:hAnsi="Times New Roman" w:eastAsia="仿宋_GB2312" w:cs="Times New Roman"/>
          <w:color w:val="auto"/>
          <w:sz w:val="24"/>
          <w:highlight w:val="none"/>
        </w:rPr>
        <w:t>③</w:t>
      </w:r>
      <w:r>
        <w:rPr>
          <w:rFonts w:hint="eastAsia" w:cs="Times New Roman"/>
          <w:color w:val="auto"/>
          <w:sz w:val="24"/>
          <w:highlight w:val="none"/>
          <w:lang w:val="en-US" w:eastAsia="zh-CN"/>
        </w:rPr>
        <w:t>待宰羊用水</w:t>
      </w:r>
    </w:p>
    <w:p w14:paraId="4224D693">
      <w:pPr>
        <w:keepNext w:val="0"/>
        <w:keepLines w:val="0"/>
        <w:pageBreakBefore w:val="0"/>
        <w:widowControl w:val="0"/>
        <w:kinsoku/>
        <w:wordWrap/>
        <w:overflowPunct/>
        <w:topLinePunct w:val="0"/>
        <w:autoSpaceDE/>
        <w:autoSpaceDN/>
        <w:bidi w:val="0"/>
        <w:adjustRightInd/>
        <w:snapToGrid/>
        <w:ind w:left="0" w:leftChars="0"/>
        <w:textAlignment w:val="auto"/>
        <w:rPr>
          <w:rFonts w:hint="default"/>
          <w:color w:val="auto"/>
          <w:lang w:val="en-US" w:eastAsia="zh-CN"/>
        </w:rPr>
      </w:pPr>
      <w:r>
        <w:rPr>
          <w:rFonts w:hint="default" w:ascii="Times New Roman" w:hAnsi="Times New Roman" w:eastAsia="仿宋_GB2312" w:cs="Times New Roman"/>
          <w:color w:val="auto"/>
          <w:sz w:val="24"/>
          <w:lang w:val="en-US" w:eastAsia="zh-CN"/>
        </w:rPr>
        <w:t>根据“宁水节供发〔2025〕11号”中宁夏农业用水定额，表7主畜禽水产养殖用水定额表，牲畜：羊8L/（只·d），</w:t>
      </w:r>
      <w:r>
        <w:rPr>
          <w:rFonts w:hint="default" w:ascii="Times New Roman" w:hAnsi="Times New Roman" w:eastAsia="仿宋_GB2312" w:cs="Times New Roman"/>
          <w:color w:val="auto"/>
          <w:sz w:val="24"/>
          <w:highlight w:val="none"/>
        </w:rPr>
        <w:t>每</w:t>
      </w:r>
      <w:r>
        <w:rPr>
          <w:rFonts w:hint="eastAsia" w:cs="Times New Roman"/>
          <w:color w:val="auto"/>
          <w:sz w:val="24"/>
          <w:highlight w:val="none"/>
          <w:lang w:val="en-US" w:eastAsia="zh-CN"/>
        </w:rPr>
        <w:t>只羊</w:t>
      </w:r>
      <w:r>
        <w:rPr>
          <w:rFonts w:hint="default" w:ascii="Times New Roman" w:hAnsi="Times New Roman" w:eastAsia="仿宋_GB2312" w:cs="Times New Roman"/>
          <w:color w:val="auto"/>
          <w:sz w:val="24"/>
          <w:highlight w:val="none"/>
        </w:rPr>
        <w:t>在厂区最多停留1天，本项目年屠宰</w:t>
      </w:r>
      <w:r>
        <w:rPr>
          <w:rFonts w:hint="eastAsia" w:cs="Times New Roman"/>
          <w:color w:val="auto"/>
          <w:sz w:val="24"/>
          <w:highlight w:val="none"/>
          <w:lang w:val="en-US" w:eastAsia="zh-CN"/>
        </w:rPr>
        <w:t>羊150000</w:t>
      </w:r>
      <w:r>
        <w:rPr>
          <w:rFonts w:hint="default" w:ascii="Times New Roman" w:hAnsi="Times New Roman" w:eastAsia="仿宋_GB2312" w:cs="Times New Roman"/>
          <w:color w:val="auto"/>
          <w:sz w:val="24"/>
          <w:highlight w:val="none"/>
        </w:rPr>
        <w:t>头，待宰</w:t>
      </w:r>
      <w:r>
        <w:rPr>
          <w:rFonts w:hint="eastAsia" w:cs="Times New Roman"/>
          <w:color w:val="auto"/>
          <w:sz w:val="24"/>
          <w:highlight w:val="none"/>
          <w:lang w:val="en-US" w:eastAsia="zh-CN"/>
        </w:rPr>
        <w:t>羊</w:t>
      </w:r>
      <w:r>
        <w:rPr>
          <w:rFonts w:hint="default" w:ascii="Times New Roman" w:hAnsi="Times New Roman" w:eastAsia="仿宋_GB2312" w:cs="Times New Roman"/>
          <w:color w:val="auto"/>
          <w:sz w:val="24"/>
          <w:highlight w:val="none"/>
        </w:rPr>
        <w:t>饮用水量约</w:t>
      </w:r>
      <w:r>
        <w:rPr>
          <w:rFonts w:hint="eastAsia" w:cs="Times New Roman"/>
          <w:color w:val="auto"/>
          <w:sz w:val="24"/>
          <w:highlight w:val="none"/>
          <w:lang w:val="en-US" w:eastAsia="zh-CN"/>
        </w:rPr>
        <w:t>1200</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/a。</w:t>
      </w:r>
    </w:p>
    <w:p w14:paraId="1B66F4F7">
      <w:pPr>
        <w:keepNext w:val="0"/>
        <w:keepLines w:val="0"/>
        <w:pageBreakBefore w:val="0"/>
        <w:widowControl w:val="0"/>
        <w:tabs>
          <w:tab w:val="left" w:pos="8400"/>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rPr>
        <w:fldChar w:fldCharType="begin"/>
      </w:r>
      <w:r>
        <w:rPr>
          <w:rFonts w:hint="default" w:ascii="Times New Roman" w:hAnsi="Times New Roman" w:eastAsia="仿宋_GB2312" w:cs="Times New Roman"/>
          <w:color w:val="auto"/>
          <w:sz w:val="24"/>
          <w:highlight w:val="none"/>
        </w:rPr>
        <w:instrText xml:space="preserve"> = 4 \* GB3 \* MERGEFORMAT </w:instrText>
      </w:r>
      <w:r>
        <w:rPr>
          <w:rFonts w:hint="default" w:ascii="Times New Roman" w:hAnsi="Times New Roman" w:eastAsia="仿宋_GB2312" w:cs="Times New Roman"/>
          <w:color w:val="auto"/>
          <w:sz w:val="24"/>
          <w:highlight w:val="none"/>
        </w:rPr>
        <w:fldChar w:fldCharType="separate"/>
      </w:r>
      <w:r>
        <w:rPr>
          <w:rFonts w:hint="default" w:ascii="Times New Roman" w:hAnsi="Times New Roman" w:cs="Times New Roman"/>
          <w:color w:val="auto"/>
        </w:rPr>
        <w:t>④</w:t>
      </w:r>
      <w:r>
        <w:rPr>
          <w:rFonts w:hint="default" w:ascii="Times New Roman" w:hAnsi="Times New Roman" w:eastAsia="仿宋_GB2312" w:cs="Times New Roman"/>
          <w:color w:val="auto"/>
          <w:sz w:val="24"/>
          <w:highlight w:val="none"/>
        </w:rPr>
        <w:fldChar w:fldCharType="end"/>
      </w:r>
      <w:r>
        <w:rPr>
          <w:rFonts w:hint="default" w:ascii="Times New Roman" w:hAnsi="Times New Roman" w:eastAsia="仿宋_GB2312" w:cs="Times New Roman"/>
          <w:color w:val="auto"/>
          <w:sz w:val="24"/>
          <w:highlight w:val="none"/>
        </w:rPr>
        <w:t>屠宰</w:t>
      </w:r>
      <w:r>
        <w:rPr>
          <w:rFonts w:hint="eastAsia" w:cs="Times New Roman"/>
          <w:color w:val="auto"/>
          <w:sz w:val="24"/>
          <w:highlight w:val="none"/>
          <w:lang w:val="en-US" w:eastAsia="zh-CN"/>
        </w:rPr>
        <w:t>牛</w:t>
      </w:r>
      <w:r>
        <w:rPr>
          <w:rFonts w:hint="default" w:ascii="Times New Roman" w:hAnsi="Times New Roman" w:eastAsia="仿宋_GB2312" w:cs="Times New Roman"/>
          <w:color w:val="auto"/>
          <w:sz w:val="24"/>
          <w:highlight w:val="none"/>
        </w:rPr>
        <w:t>用水</w:t>
      </w:r>
      <w:r>
        <w:rPr>
          <w:rFonts w:hint="default"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lang w:val="en-US" w:eastAsia="zh-CN"/>
        </w:rPr>
        <w:t>包括</w:t>
      </w:r>
      <w:r>
        <w:rPr>
          <w:rFonts w:hint="default" w:ascii="Times New Roman" w:hAnsi="Times New Roman" w:eastAsia="仿宋_GB2312" w:cs="Times New Roman"/>
          <w:color w:val="auto"/>
          <w:sz w:val="24"/>
          <w:highlight w:val="none"/>
          <w:lang w:eastAsia="zh-CN"/>
        </w:rPr>
        <w:t>待宰圈</w:t>
      </w:r>
      <w:r>
        <w:rPr>
          <w:rFonts w:hint="default" w:ascii="Times New Roman" w:hAnsi="Times New Roman" w:eastAsia="仿宋_GB2312" w:cs="Times New Roman"/>
          <w:color w:val="auto"/>
          <w:sz w:val="24"/>
          <w:highlight w:val="none"/>
        </w:rPr>
        <w:t>地面冲洗用水内脏及胴体清洗用水设备及屠宰车间冲洗用水</w:t>
      </w:r>
      <w:r>
        <w:rPr>
          <w:rFonts w:hint="default" w:ascii="Times New Roman" w:hAnsi="Times New Roman" w:eastAsia="仿宋_GB2312" w:cs="Times New Roman"/>
          <w:color w:val="auto"/>
          <w:sz w:val="24"/>
          <w:highlight w:val="none"/>
          <w:lang w:eastAsia="zh-CN"/>
        </w:rPr>
        <w:t>）</w:t>
      </w:r>
    </w:p>
    <w:p w14:paraId="5E8A5AF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_GB2312" w:cs="Times New Roman"/>
          <w:color w:val="auto"/>
          <w:sz w:val="24"/>
          <w:lang w:val="zh-CN" w:eastAsia="zh-CN"/>
        </w:rPr>
      </w:pPr>
      <w:r>
        <w:rPr>
          <w:rFonts w:hint="default" w:ascii="Times New Roman" w:hAnsi="Times New Roman" w:eastAsia="仿宋_GB2312" w:cs="Times New Roman"/>
          <w:color w:val="auto"/>
          <w:sz w:val="24"/>
        </w:rPr>
        <w:t>根据“宁水节供发〔2025〕11号”中宁夏工业用水定额，表3主要工业产品用水定额表（先进），牲畜：牛0.5m</w:t>
      </w:r>
      <w:r>
        <w:rPr>
          <w:rFonts w:hint="default" w:ascii="Times New Roman" w:hAnsi="Times New Roman" w:eastAsia="仿宋_GB2312" w:cs="Times New Roman"/>
          <w:color w:val="auto"/>
          <w:sz w:val="24"/>
          <w:vertAlign w:val="superscript"/>
        </w:rPr>
        <w:t>3</w:t>
      </w:r>
      <w:r>
        <w:rPr>
          <w:rFonts w:hint="default" w:ascii="Times New Roman" w:hAnsi="Times New Roman" w:eastAsia="仿宋_GB2312" w:cs="Times New Roman"/>
          <w:color w:val="auto"/>
          <w:sz w:val="24"/>
        </w:rPr>
        <w:t>/头·d</w:t>
      </w:r>
      <w:r>
        <w:rPr>
          <w:rFonts w:hint="eastAsia" w:cs="Times New Roman"/>
          <w:color w:val="auto"/>
          <w:sz w:val="24"/>
          <w:lang w:eastAsia="zh-CN"/>
        </w:rPr>
        <w:t>，</w:t>
      </w:r>
      <w:r>
        <w:rPr>
          <w:rFonts w:hint="default" w:ascii="Times New Roman" w:hAnsi="Times New Roman" w:eastAsia="仿宋_GB2312" w:cs="Times New Roman"/>
          <w:color w:val="auto"/>
          <w:sz w:val="24"/>
        </w:rPr>
        <w:t>项目年屠宰牛</w:t>
      </w:r>
      <w:r>
        <w:rPr>
          <w:rFonts w:hint="eastAsia" w:cs="Times New Roman"/>
          <w:color w:val="auto"/>
          <w:sz w:val="24"/>
          <w:lang w:val="en-US" w:eastAsia="zh-CN"/>
        </w:rPr>
        <w:t>10000</w:t>
      </w:r>
      <w:r>
        <w:rPr>
          <w:rFonts w:hint="default" w:ascii="Times New Roman" w:hAnsi="Times New Roman" w:eastAsia="仿宋_GB2312" w:cs="Times New Roman"/>
          <w:color w:val="auto"/>
          <w:sz w:val="24"/>
        </w:rPr>
        <w:t>头，年工作3</w:t>
      </w:r>
      <w:r>
        <w:rPr>
          <w:rFonts w:hint="eastAsia" w:cs="Times New Roman"/>
          <w:color w:val="auto"/>
          <w:sz w:val="24"/>
          <w:lang w:val="en-US" w:eastAsia="zh-CN"/>
        </w:rPr>
        <w:t>3</w:t>
      </w:r>
      <w:r>
        <w:rPr>
          <w:rFonts w:hint="default" w:ascii="Times New Roman" w:hAnsi="Times New Roman" w:eastAsia="仿宋_GB2312" w:cs="Times New Roman"/>
          <w:color w:val="auto"/>
          <w:sz w:val="24"/>
        </w:rPr>
        <w:t>0d，每日屠宰牛总数量约</w:t>
      </w:r>
      <w:r>
        <w:rPr>
          <w:rFonts w:hint="eastAsia" w:cs="Times New Roman"/>
          <w:color w:val="auto"/>
          <w:sz w:val="24"/>
          <w:lang w:val="en-US" w:eastAsia="zh-CN"/>
        </w:rPr>
        <w:t>30</w:t>
      </w:r>
      <w:r>
        <w:rPr>
          <w:rFonts w:hint="default" w:ascii="Times New Roman" w:hAnsi="Times New Roman" w:eastAsia="仿宋_GB2312" w:cs="Times New Roman"/>
          <w:color w:val="auto"/>
          <w:sz w:val="24"/>
        </w:rPr>
        <w:t>头，则项目牛屠宰用水总量约为</w:t>
      </w:r>
      <w:r>
        <w:rPr>
          <w:rFonts w:hint="eastAsia" w:cs="Times New Roman"/>
          <w:color w:val="auto"/>
          <w:sz w:val="24"/>
          <w:lang w:val="en-US" w:eastAsia="zh-CN"/>
        </w:rPr>
        <w:t>15.15</w:t>
      </w:r>
      <w:r>
        <w:rPr>
          <w:rFonts w:hint="default" w:ascii="Times New Roman" w:hAnsi="Times New Roman" w:eastAsia="仿宋_GB2312" w:cs="Times New Roman"/>
          <w:color w:val="auto"/>
          <w:sz w:val="24"/>
        </w:rPr>
        <w:t>m</w:t>
      </w:r>
      <w:r>
        <w:rPr>
          <w:rFonts w:hint="default" w:ascii="Times New Roman" w:hAnsi="Times New Roman" w:eastAsia="仿宋_GB2312" w:cs="Times New Roman"/>
          <w:color w:val="auto"/>
          <w:sz w:val="24"/>
          <w:vertAlign w:val="superscript"/>
        </w:rPr>
        <w:t>3</w:t>
      </w:r>
      <w:r>
        <w:rPr>
          <w:rFonts w:hint="default" w:ascii="Times New Roman" w:hAnsi="Times New Roman" w:eastAsia="仿宋_GB2312" w:cs="Times New Roman"/>
          <w:color w:val="auto"/>
          <w:sz w:val="24"/>
        </w:rPr>
        <w:t>/d（</w:t>
      </w:r>
      <w:r>
        <w:rPr>
          <w:rFonts w:hint="eastAsia" w:cs="Times New Roman"/>
          <w:color w:val="auto"/>
          <w:sz w:val="24"/>
          <w:lang w:val="en-US" w:eastAsia="zh-CN"/>
        </w:rPr>
        <w:t>5000</w:t>
      </w:r>
      <w:r>
        <w:rPr>
          <w:rFonts w:hint="default" w:ascii="Times New Roman" w:hAnsi="Times New Roman" w:eastAsia="仿宋_GB2312" w:cs="Times New Roman"/>
          <w:color w:val="auto"/>
          <w:sz w:val="24"/>
          <w:lang w:val="zh-CN"/>
        </w:rPr>
        <w:t>m</w:t>
      </w:r>
      <w:r>
        <w:rPr>
          <w:rFonts w:hint="default" w:ascii="Times New Roman" w:hAnsi="Times New Roman" w:eastAsia="仿宋_GB2312" w:cs="Times New Roman"/>
          <w:color w:val="auto"/>
          <w:sz w:val="24"/>
          <w:vertAlign w:val="superscript"/>
          <w:lang w:val="zh-CN"/>
        </w:rPr>
        <w:t>3</w:t>
      </w:r>
      <w:r>
        <w:rPr>
          <w:rFonts w:hint="default" w:ascii="Times New Roman" w:hAnsi="Times New Roman" w:eastAsia="仿宋_GB2312" w:cs="Times New Roman"/>
          <w:color w:val="auto"/>
          <w:sz w:val="24"/>
          <w:lang w:val="zh-CN"/>
        </w:rPr>
        <w:t>/a）</w:t>
      </w:r>
      <w:r>
        <w:rPr>
          <w:rFonts w:hint="eastAsia" w:cs="Times New Roman"/>
          <w:color w:val="auto"/>
          <w:sz w:val="24"/>
          <w:lang w:val="zh-CN"/>
        </w:rPr>
        <w:t>。</w:t>
      </w:r>
    </w:p>
    <w:p w14:paraId="687180A7">
      <w:pPr>
        <w:keepNext w:val="0"/>
        <w:keepLines w:val="0"/>
        <w:pageBreakBefore w:val="0"/>
        <w:widowControl w:val="0"/>
        <w:kinsoku/>
        <w:wordWrap/>
        <w:overflowPunct/>
        <w:topLinePunct w:val="0"/>
        <w:autoSpaceDE/>
        <w:autoSpaceDN/>
        <w:bidi w:val="0"/>
        <w:adjustRightInd/>
        <w:snapToGrid/>
        <w:ind w:left="0" w:leftChars="0"/>
        <w:textAlignment w:val="auto"/>
        <w:rPr>
          <w:rFonts w:hint="default"/>
          <w:color w:val="auto"/>
          <w:lang w:val="zh-CN"/>
        </w:rPr>
      </w:pPr>
      <w:r>
        <w:rPr>
          <w:rFonts w:hint="default" w:ascii="Times New Roman" w:hAnsi="Times New Roman" w:eastAsia="仿宋_GB2312" w:cs="Times New Roman"/>
          <w:color w:val="auto"/>
          <w:sz w:val="24"/>
          <w:highlight w:val="none"/>
        </w:rPr>
        <w:fldChar w:fldCharType="begin"/>
      </w:r>
      <w:r>
        <w:rPr>
          <w:rFonts w:hint="default" w:ascii="Times New Roman" w:hAnsi="Times New Roman" w:eastAsia="仿宋_GB2312" w:cs="Times New Roman"/>
          <w:color w:val="auto"/>
          <w:sz w:val="24"/>
          <w:highlight w:val="none"/>
        </w:rPr>
        <w:instrText xml:space="preserve"> = 5 \* GB3 \* MERGEFORMAT </w:instrText>
      </w:r>
      <w:r>
        <w:rPr>
          <w:rFonts w:hint="default" w:ascii="Times New Roman" w:hAnsi="Times New Roman" w:eastAsia="仿宋_GB2312" w:cs="Times New Roman"/>
          <w:color w:val="auto"/>
          <w:sz w:val="24"/>
          <w:highlight w:val="none"/>
        </w:rPr>
        <w:fldChar w:fldCharType="separate"/>
      </w:r>
      <w:r>
        <w:rPr>
          <w:color w:val="auto"/>
        </w:rPr>
        <w:t>⑤</w:t>
      </w:r>
      <w:r>
        <w:rPr>
          <w:rFonts w:hint="default" w:ascii="Times New Roman" w:hAnsi="Times New Roman" w:eastAsia="仿宋_GB2312" w:cs="Times New Roman"/>
          <w:color w:val="auto"/>
          <w:sz w:val="24"/>
          <w:highlight w:val="none"/>
        </w:rPr>
        <w:fldChar w:fldCharType="end"/>
      </w:r>
      <w:r>
        <w:rPr>
          <w:rFonts w:hint="default" w:ascii="Times New Roman" w:hAnsi="Times New Roman" w:eastAsia="仿宋_GB2312" w:cs="Times New Roman"/>
          <w:color w:val="auto"/>
          <w:sz w:val="24"/>
          <w:highlight w:val="none"/>
        </w:rPr>
        <w:t>屠宰</w:t>
      </w:r>
      <w:r>
        <w:rPr>
          <w:rFonts w:hint="eastAsia" w:cs="Times New Roman"/>
          <w:color w:val="auto"/>
          <w:sz w:val="24"/>
          <w:highlight w:val="none"/>
          <w:lang w:val="en-US" w:eastAsia="zh-CN"/>
        </w:rPr>
        <w:t>羊</w:t>
      </w:r>
      <w:r>
        <w:rPr>
          <w:rFonts w:hint="default" w:ascii="Times New Roman" w:hAnsi="Times New Roman" w:eastAsia="仿宋_GB2312" w:cs="Times New Roman"/>
          <w:color w:val="auto"/>
          <w:sz w:val="24"/>
          <w:highlight w:val="none"/>
        </w:rPr>
        <w:t>用水</w:t>
      </w:r>
      <w:r>
        <w:rPr>
          <w:rFonts w:hint="default"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lang w:val="en-US" w:eastAsia="zh-CN"/>
        </w:rPr>
        <w:t>包括</w:t>
      </w:r>
      <w:r>
        <w:rPr>
          <w:rFonts w:hint="default" w:ascii="Times New Roman" w:hAnsi="Times New Roman" w:eastAsia="仿宋_GB2312" w:cs="Times New Roman"/>
          <w:color w:val="auto"/>
          <w:sz w:val="24"/>
          <w:highlight w:val="none"/>
          <w:lang w:eastAsia="zh-CN"/>
        </w:rPr>
        <w:t>待宰圈</w:t>
      </w:r>
      <w:r>
        <w:rPr>
          <w:rFonts w:hint="default" w:ascii="Times New Roman" w:hAnsi="Times New Roman" w:eastAsia="仿宋_GB2312" w:cs="Times New Roman"/>
          <w:color w:val="auto"/>
          <w:sz w:val="24"/>
          <w:highlight w:val="none"/>
        </w:rPr>
        <w:t>地面冲洗用水内脏及胴体清洗用水设备及屠宰车间冲洗用水</w:t>
      </w:r>
      <w:r>
        <w:rPr>
          <w:rFonts w:hint="default" w:ascii="Times New Roman" w:hAnsi="Times New Roman" w:eastAsia="仿宋_GB2312" w:cs="Times New Roman"/>
          <w:color w:val="auto"/>
          <w:sz w:val="24"/>
          <w:highlight w:val="none"/>
          <w:lang w:eastAsia="zh-CN"/>
        </w:rPr>
        <w:t>）</w:t>
      </w:r>
    </w:p>
    <w:p w14:paraId="0104A091">
      <w:pPr>
        <w:keepNext w:val="0"/>
        <w:keepLines w:val="0"/>
        <w:pageBreakBefore w:val="0"/>
        <w:widowControl w:val="0"/>
        <w:kinsoku/>
        <w:wordWrap/>
        <w:overflowPunct/>
        <w:topLinePunct w:val="0"/>
        <w:autoSpaceDE/>
        <w:autoSpaceDN/>
        <w:bidi w:val="0"/>
        <w:adjustRightInd/>
        <w:snapToGrid/>
        <w:ind w:left="0" w:leftChars="0"/>
        <w:textAlignment w:val="auto"/>
        <w:rPr>
          <w:rFonts w:hint="default"/>
          <w:color w:val="auto"/>
        </w:rPr>
      </w:pPr>
      <w:r>
        <w:rPr>
          <w:rFonts w:hint="default" w:ascii="Times New Roman" w:hAnsi="Times New Roman" w:eastAsia="仿宋_GB2312" w:cs="Times New Roman"/>
          <w:color w:val="auto"/>
          <w:sz w:val="24"/>
          <w:lang w:val="en-US" w:eastAsia="zh-CN"/>
        </w:rPr>
        <w:t>根据“宁水节供发〔2025〕11号”中宁夏工业用水定额，表3主要工业产品用水定额表（先进），牲畜屠宰：羊0.1m</w:t>
      </w:r>
      <w:r>
        <w:rPr>
          <w:rFonts w:hint="default"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val="en-US" w:eastAsia="zh-CN"/>
        </w:rPr>
        <w:t>/头·d，</w:t>
      </w:r>
      <w:r>
        <w:rPr>
          <w:rFonts w:hint="default" w:ascii="Times New Roman" w:hAnsi="Times New Roman" w:eastAsia="仿宋_GB2312" w:cs="Times New Roman"/>
          <w:color w:val="auto"/>
          <w:sz w:val="24"/>
        </w:rPr>
        <w:t>项目年屠宰</w:t>
      </w:r>
      <w:r>
        <w:rPr>
          <w:rFonts w:hint="eastAsia" w:cs="Times New Roman"/>
          <w:color w:val="auto"/>
          <w:sz w:val="24"/>
          <w:lang w:val="en-US" w:eastAsia="zh-CN"/>
        </w:rPr>
        <w:t>羊150000只</w:t>
      </w:r>
      <w:r>
        <w:rPr>
          <w:rFonts w:hint="default" w:ascii="Times New Roman" w:hAnsi="Times New Roman" w:eastAsia="仿宋_GB2312" w:cs="Times New Roman"/>
          <w:color w:val="auto"/>
          <w:sz w:val="24"/>
        </w:rPr>
        <w:t>，年工作3</w:t>
      </w:r>
      <w:r>
        <w:rPr>
          <w:rFonts w:hint="eastAsia" w:cs="Times New Roman"/>
          <w:color w:val="auto"/>
          <w:sz w:val="24"/>
          <w:lang w:val="en-US" w:eastAsia="zh-CN"/>
        </w:rPr>
        <w:t>3</w:t>
      </w:r>
      <w:r>
        <w:rPr>
          <w:rFonts w:hint="default" w:ascii="Times New Roman" w:hAnsi="Times New Roman" w:eastAsia="仿宋_GB2312" w:cs="Times New Roman"/>
          <w:color w:val="auto"/>
          <w:sz w:val="24"/>
        </w:rPr>
        <w:t>0d，每日屠宰</w:t>
      </w:r>
      <w:r>
        <w:rPr>
          <w:rFonts w:hint="eastAsia" w:cs="Times New Roman"/>
          <w:color w:val="auto"/>
          <w:sz w:val="24"/>
          <w:lang w:val="en-US" w:eastAsia="zh-CN"/>
        </w:rPr>
        <w:t>羊</w:t>
      </w:r>
      <w:r>
        <w:rPr>
          <w:rFonts w:hint="default" w:ascii="Times New Roman" w:hAnsi="Times New Roman" w:eastAsia="仿宋_GB2312" w:cs="Times New Roman"/>
          <w:color w:val="auto"/>
          <w:sz w:val="24"/>
        </w:rPr>
        <w:t>总数量约</w:t>
      </w:r>
      <w:r>
        <w:rPr>
          <w:rFonts w:hint="eastAsia" w:cs="Times New Roman"/>
          <w:color w:val="auto"/>
          <w:sz w:val="24"/>
          <w:lang w:val="en-US" w:eastAsia="zh-CN"/>
        </w:rPr>
        <w:t>455只</w:t>
      </w:r>
      <w:r>
        <w:rPr>
          <w:rFonts w:hint="default" w:ascii="Times New Roman" w:hAnsi="Times New Roman" w:eastAsia="仿宋_GB2312" w:cs="Times New Roman"/>
          <w:color w:val="auto"/>
          <w:sz w:val="24"/>
        </w:rPr>
        <w:t>，则项目</w:t>
      </w:r>
      <w:r>
        <w:rPr>
          <w:rFonts w:hint="eastAsia" w:cs="Times New Roman"/>
          <w:color w:val="auto"/>
          <w:sz w:val="24"/>
          <w:lang w:val="en-US" w:eastAsia="zh-CN"/>
        </w:rPr>
        <w:t>羊</w:t>
      </w:r>
      <w:r>
        <w:rPr>
          <w:rFonts w:hint="default" w:ascii="Times New Roman" w:hAnsi="Times New Roman" w:eastAsia="仿宋_GB2312" w:cs="Times New Roman"/>
          <w:color w:val="auto"/>
          <w:sz w:val="24"/>
        </w:rPr>
        <w:t>屠宰用水总量约为</w:t>
      </w:r>
      <w:r>
        <w:rPr>
          <w:rFonts w:hint="eastAsia" w:cs="Times New Roman"/>
          <w:color w:val="auto"/>
          <w:sz w:val="24"/>
          <w:lang w:val="en-US" w:eastAsia="zh-CN"/>
        </w:rPr>
        <w:t>45.45</w:t>
      </w:r>
      <w:r>
        <w:rPr>
          <w:rFonts w:hint="default" w:ascii="Times New Roman" w:hAnsi="Times New Roman" w:eastAsia="仿宋_GB2312" w:cs="Times New Roman"/>
          <w:color w:val="auto"/>
          <w:sz w:val="24"/>
        </w:rPr>
        <w:t>m</w:t>
      </w:r>
      <w:r>
        <w:rPr>
          <w:rFonts w:hint="default" w:ascii="Times New Roman" w:hAnsi="Times New Roman" w:eastAsia="仿宋_GB2312" w:cs="Times New Roman"/>
          <w:color w:val="auto"/>
          <w:sz w:val="24"/>
          <w:vertAlign w:val="superscript"/>
        </w:rPr>
        <w:t>3</w:t>
      </w:r>
      <w:r>
        <w:rPr>
          <w:rFonts w:hint="default" w:ascii="Times New Roman" w:hAnsi="Times New Roman" w:eastAsia="仿宋_GB2312" w:cs="Times New Roman"/>
          <w:color w:val="auto"/>
          <w:sz w:val="24"/>
        </w:rPr>
        <w:t>/d（</w:t>
      </w:r>
      <w:r>
        <w:rPr>
          <w:rFonts w:hint="eastAsia" w:cs="Times New Roman"/>
          <w:color w:val="auto"/>
          <w:sz w:val="24"/>
          <w:lang w:val="en-US" w:eastAsia="zh-CN"/>
        </w:rPr>
        <w:t>15000</w:t>
      </w:r>
      <w:r>
        <w:rPr>
          <w:rFonts w:hint="default" w:ascii="Times New Roman" w:hAnsi="Times New Roman" w:eastAsia="仿宋_GB2312" w:cs="Times New Roman"/>
          <w:color w:val="auto"/>
          <w:sz w:val="24"/>
          <w:lang w:val="zh-CN"/>
        </w:rPr>
        <w:t>m</w:t>
      </w:r>
      <w:r>
        <w:rPr>
          <w:rFonts w:hint="default" w:ascii="Times New Roman" w:hAnsi="Times New Roman" w:eastAsia="仿宋_GB2312" w:cs="Times New Roman"/>
          <w:color w:val="auto"/>
          <w:sz w:val="24"/>
          <w:vertAlign w:val="superscript"/>
          <w:lang w:val="zh-CN"/>
        </w:rPr>
        <w:t>3</w:t>
      </w:r>
      <w:r>
        <w:rPr>
          <w:rFonts w:hint="default" w:ascii="Times New Roman" w:hAnsi="Times New Roman" w:eastAsia="仿宋_GB2312" w:cs="Times New Roman"/>
          <w:color w:val="auto"/>
          <w:sz w:val="24"/>
          <w:lang w:val="zh-CN"/>
        </w:rPr>
        <w:t>/a）</w:t>
      </w:r>
      <w:r>
        <w:rPr>
          <w:rFonts w:hint="eastAsia" w:cs="Times New Roman"/>
          <w:color w:val="auto"/>
          <w:sz w:val="24"/>
          <w:lang w:val="zh-CN"/>
        </w:rPr>
        <w:t>。</w:t>
      </w:r>
    </w:p>
    <w:p w14:paraId="68CFF3E5">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⑥</w:t>
      </w:r>
      <w:r>
        <w:rPr>
          <w:rFonts w:hint="eastAsia" w:ascii="Times New Roman" w:hAnsi="Times New Roman" w:eastAsia="仿宋_GB2312" w:cs="Times New Roman"/>
          <w:color w:val="auto"/>
          <w:sz w:val="24"/>
          <w:lang w:val="en-US" w:eastAsia="zh-CN"/>
        </w:rPr>
        <w:t>车辆冲洗</w:t>
      </w:r>
      <w:r>
        <w:rPr>
          <w:rFonts w:hint="eastAsia" w:cs="Times New Roman"/>
          <w:color w:val="auto"/>
          <w:sz w:val="24"/>
          <w:lang w:val="en-US" w:eastAsia="zh-CN"/>
        </w:rPr>
        <w:t>用</w:t>
      </w:r>
      <w:r>
        <w:rPr>
          <w:rFonts w:hint="eastAsia" w:ascii="Times New Roman" w:hAnsi="Times New Roman" w:eastAsia="仿宋_GB2312" w:cs="Times New Roman"/>
          <w:color w:val="auto"/>
          <w:sz w:val="24"/>
          <w:lang w:val="en-US" w:eastAsia="zh-CN"/>
        </w:rPr>
        <w:t>水</w:t>
      </w:r>
    </w:p>
    <w:p w14:paraId="65AD52EF">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eastAsia="仿宋_GB2312" w:cs="Times New Roman"/>
          <w:color w:val="auto"/>
          <w:sz w:val="24"/>
          <w:lang w:val="en-US" w:eastAsia="zh-CN"/>
        </w:rPr>
      </w:pPr>
      <w:r>
        <w:rPr>
          <w:rFonts w:hint="eastAsia" w:cs="Times New Roman"/>
          <w:color w:val="auto"/>
          <w:sz w:val="24"/>
          <w:lang w:val="en-US" w:eastAsia="zh-CN"/>
        </w:rPr>
        <w:t>根据</w:t>
      </w:r>
      <w:r>
        <w:rPr>
          <w:rFonts w:hint="default" w:ascii="Times New Roman" w:hAnsi="Times New Roman" w:eastAsia="仿宋_GB2312" w:cs="Times New Roman"/>
          <w:color w:val="auto"/>
          <w:sz w:val="24"/>
          <w:lang w:val="en-US" w:eastAsia="zh-CN"/>
        </w:rPr>
        <w:t>《建筑给水排水设计标准》（GB50015-2019）</w:t>
      </w:r>
      <w:r>
        <w:rPr>
          <w:rFonts w:hint="eastAsia" w:ascii="Times New Roman" w:hAnsi="Times New Roman" w:eastAsia="仿宋_GB2312" w:cs="Times New Roman"/>
          <w:color w:val="auto"/>
          <w:sz w:val="24"/>
          <w:lang w:val="en-US" w:eastAsia="zh-CN"/>
        </w:rPr>
        <w:t>表3.2.7，载重汽车高压水枪冲洗80</w:t>
      </w:r>
      <w:r>
        <w:rPr>
          <w:rFonts w:hint="eastAsia" w:cs="Times New Roman"/>
          <w:color w:val="auto"/>
          <w:sz w:val="24"/>
          <w:lang w:val="en-US" w:eastAsia="zh-CN"/>
        </w:rPr>
        <w:t>～</w:t>
      </w:r>
      <w:r>
        <w:rPr>
          <w:rFonts w:hint="eastAsia" w:ascii="Times New Roman" w:hAnsi="Times New Roman" w:eastAsia="仿宋_GB2312" w:cs="Times New Roman"/>
          <w:color w:val="auto"/>
          <w:sz w:val="24"/>
          <w:lang w:val="en-US" w:eastAsia="zh-CN"/>
        </w:rPr>
        <w:t>120L/（辆·次），本次取100L/</w:t>
      </w:r>
      <w:r>
        <w:rPr>
          <w:rFonts w:hint="default" w:ascii="Times New Roman" w:hAnsi="Times New Roman" w:eastAsia="仿宋_GB2312" w:cs="Times New Roman"/>
          <w:color w:val="auto"/>
          <w:sz w:val="24"/>
          <w:szCs w:val="24"/>
          <w:lang w:val="en-US" w:eastAsia="zh-CN"/>
        </w:rPr>
        <w:t>（辆·次）。项目设计年屠宰肉牛10000头、羊15万只，车辆平均运输量按20头牛/车次、40只羊/车次计，则原料活牛、羊车辆运输次数约为4250次/年；产品、副产品等运输量为8450t/年，车辆平均运输量按30t/车次计，则产品车辆运输次数约为282次/年，年用水量约453.2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z w:val="24"/>
          <w:szCs w:val="24"/>
          <w:lang w:val="en-US" w:eastAsia="zh-CN"/>
        </w:rPr>
        <w:t>。</w:t>
      </w:r>
    </w:p>
    <w:p w14:paraId="45BC9A2C">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eastAsia="仿宋_GB2312" w:cs="Times New Roman"/>
          <w:color w:val="auto"/>
          <w:sz w:val="24"/>
          <w:highlight w:val="none"/>
        </w:rPr>
      </w:pPr>
      <w:r>
        <w:rPr>
          <w:rFonts w:hint="default" w:ascii="Times New Roman" w:hAnsi="Times New Roman" w:eastAsia="微软雅黑" w:cs="Times New Roman"/>
          <w:color w:val="auto"/>
          <w:sz w:val="24"/>
          <w:highlight w:val="none"/>
        </w:rPr>
        <w:t>⑦</w:t>
      </w:r>
      <w:r>
        <w:rPr>
          <w:rFonts w:hint="default" w:ascii="Times New Roman" w:hAnsi="Times New Roman" w:eastAsia="仿宋_GB2312" w:cs="Times New Roman"/>
          <w:color w:val="auto"/>
          <w:sz w:val="24"/>
          <w:highlight w:val="none"/>
        </w:rPr>
        <w:t>绿化用水</w:t>
      </w:r>
    </w:p>
    <w:p w14:paraId="2A56FEE1">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cs="Times New Roman"/>
          <w:color w:val="auto"/>
          <w:sz w:val="24"/>
          <w:highlight w:val="none"/>
          <w:lang w:val="en-US" w:eastAsia="zh-CN"/>
        </w:rPr>
        <w:t>根据“宁水节供发〔2025〕11号”中宁夏生活用水定额，表2服务业用水定额表中公共设施服务用水，南部山区绿化用水（先进值），取0.1m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·a）。本</w:t>
      </w:r>
      <w:r>
        <w:rPr>
          <w:rFonts w:hint="default" w:ascii="Times New Roman" w:hAnsi="Times New Roman" w:eastAsia="仿宋_GB2312" w:cs="Times New Roman"/>
          <w:color w:val="auto"/>
          <w:sz w:val="24"/>
          <w:highlight w:val="none"/>
        </w:rPr>
        <w:t>项目总绿化面积为</w:t>
      </w:r>
      <w:r>
        <w:rPr>
          <w:rFonts w:hint="eastAsia" w:cs="Times New Roman"/>
          <w:color w:val="auto"/>
          <w:sz w:val="24"/>
          <w:highlight w:val="none"/>
          <w:lang w:val="en-US" w:eastAsia="zh-CN"/>
        </w:rPr>
        <w:t>700</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2</w:t>
      </w:r>
      <w:r>
        <w:rPr>
          <w:rFonts w:hint="default" w:ascii="Times New Roman" w:hAnsi="Times New Roman" w:eastAsia="仿宋_GB2312" w:cs="Times New Roman"/>
          <w:color w:val="auto"/>
          <w:sz w:val="24"/>
          <w:highlight w:val="none"/>
        </w:rPr>
        <w:t>，绿化用水量为</w:t>
      </w:r>
      <w:r>
        <w:rPr>
          <w:rFonts w:hint="eastAsia" w:cs="Times New Roman"/>
          <w:color w:val="auto"/>
          <w:sz w:val="24"/>
          <w:highlight w:val="none"/>
          <w:lang w:val="en-US" w:eastAsia="zh-CN"/>
        </w:rPr>
        <w:t>70</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/a。</w:t>
      </w:r>
    </w:p>
    <w:p w14:paraId="707B85B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排水</w:t>
      </w:r>
    </w:p>
    <w:p w14:paraId="1F0F216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_GB2312" w:cs="Times New Roman"/>
          <w:color w:val="auto"/>
          <w:sz w:val="24"/>
          <w:highlight w:val="none"/>
          <w:lang w:val="zh-CN" w:eastAsia="zh-CN"/>
        </w:rPr>
      </w:pPr>
      <w:r>
        <w:rPr>
          <w:rFonts w:hint="default" w:ascii="Times New Roman" w:hAnsi="Times New Roman" w:eastAsia="仿宋_GB2312" w:cs="Times New Roman"/>
          <w:color w:val="auto"/>
          <w:sz w:val="24"/>
          <w:highlight w:val="none"/>
          <w:lang w:val="zh-CN"/>
        </w:rPr>
        <w:t>本项目废水主要为运营过程产生的屠宰废水、</w:t>
      </w:r>
      <w:r>
        <w:rPr>
          <w:rFonts w:hint="eastAsia" w:cs="Times New Roman"/>
          <w:color w:val="auto"/>
          <w:sz w:val="24"/>
          <w:highlight w:val="none"/>
          <w:lang w:val="en-US" w:eastAsia="zh-CN"/>
        </w:rPr>
        <w:t>车辆冲洗废水和</w:t>
      </w:r>
      <w:r>
        <w:rPr>
          <w:rFonts w:hint="default" w:ascii="Times New Roman" w:hAnsi="Times New Roman" w:eastAsia="仿宋_GB2312" w:cs="Times New Roman"/>
          <w:color w:val="auto"/>
          <w:sz w:val="24"/>
          <w:highlight w:val="none"/>
          <w:lang w:val="zh-CN"/>
        </w:rPr>
        <w:t>工作人员生活污水</w:t>
      </w:r>
      <w:r>
        <w:rPr>
          <w:rFonts w:hint="eastAsia" w:cs="Times New Roman"/>
          <w:color w:val="auto"/>
          <w:sz w:val="24"/>
          <w:highlight w:val="none"/>
          <w:lang w:val="zh-CN"/>
        </w:rPr>
        <w:t>，</w:t>
      </w:r>
      <w:r>
        <w:rPr>
          <w:rFonts w:hint="default" w:ascii="Times New Roman" w:hAnsi="Times New Roman" w:eastAsia="仿宋_GB2312" w:cs="Times New Roman"/>
          <w:color w:val="auto"/>
          <w:sz w:val="24"/>
          <w:highlight w:val="none"/>
          <w:lang w:val="zh-CN"/>
        </w:rPr>
        <w:t>废水产生总量为</w:t>
      </w:r>
      <w:r>
        <w:rPr>
          <w:rFonts w:hint="eastAsia" w:cs="Times New Roman"/>
          <w:color w:val="auto"/>
          <w:sz w:val="24"/>
          <w:highlight w:val="none"/>
          <w:lang w:val="en-US" w:eastAsia="zh-CN"/>
        </w:rPr>
        <w:t>18927.88</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cs="Times New Roman"/>
          <w:color w:val="auto"/>
          <w:sz w:val="24"/>
          <w:highlight w:val="none"/>
          <w:lang w:val="zh-CN"/>
        </w:rPr>
        <w:t>。</w:t>
      </w:r>
      <w:r>
        <w:rPr>
          <w:rFonts w:hint="eastAsia" w:cs="Times New Roman"/>
          <w:color w:val="auto"/>
          <w:sz w:val="24"/>
          <w:highlight w:val="none"/>
          <w:lang w:val="en-US" w:eastAsia="zh-CN"/>
        </w:rPr>
        <w:t>其中，</w:t>
      </w:r>
      <w:r>
        <w:rPr>
          <w:rFonts w:hint="default" w:ascii="Times New Roman" w:hAnsi="Times New Roman" w:eastAsia="仿宋_GB2312" w:cs="Times New Roman"/>
          <w:color w:val="auto"/>
          <w:sz w:val="24"/>
          <w:highlight w:val="none"/>
          <w:lang w:val="zh-CN"/>
        </w:rPr>
        <w:t>屠宰废水为</w:t>
      </w:r>
      <w:r>
        <w:rPr>
          <w:rFonts w:hint="eastAsia" w:cs="Times New Roman"/>
          <w:color w:val="auto"/>
          <w:sz w:val="24"/>
          <w:highlight w:val="none"/>
          <w:lang w:val="en-US" w:eastAsia="zh-CN"/>
        </w:rPr>
        <w:t>18000</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cs="Times New Roman"/>
          <w:color w:val="auto"/>
          <w:sz w:val="24"/>
          <w:highlight w:val="none"/>
          <w:lang w:val="en-US" w:eastAsia="zh-CN"/>
        </w:rPr>
        <w:t>车辆冲洗废水为407.88</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cs="Times New Roman"/>
          <w:color w:val="auto"/>
          <w:sz w:val="24"/>
          <w:highlight w:val="none"/>
          <w:lang w:val="zh-CN"/>
        </w:rPr>
        <w:t>，</w:t>
      </w:r>
      <w:r>
        <w:rPr>
          <w:rFonts w:hint="default" w:ascii="Times New Roman" w:hAnsi="Times New Roman" w:eastAsia="仿宋_GB2312" w:cs="Times New Roman"/>
          <w:color w:val="auto"/>
          <w:sz w:val="24"/>
          <w:highlight w:val="none"/>
          <w:lang w:val="zh-CN"/>
        </w:rPr>
        <w:t>生活污水为</w:t>
      </w:r>
      <w:r>
        <w:rPr>
          <w:rFonts w:hint="eastAsia" w:cs="Times New Roman"/>
          <w:color w:val="auto"/>
          <w:sz w:val="24"/>
          <w:highlight w:val="none"/>
          <w:lang w:val="en-US" w:eastAsia="zh-CN"/>
        </w:rPr>
        <w:t>520</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ascii="Times New Roman" w:hAnsi="Times New Roman" w:cs="Times New Roman"/>
          <w:color w:val="auto"/>
          <w:sz w:val="24"/>
          <w:highlight w:val="none"/>
          <w:lang w:val="zh-CN"/>
        </w:rPr>
        <w:t>。</w:t>
      </w:r>
    </w:p>
    <w:p w14:paraId="0706F0C7">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default" w:ascii="Times New Roman" w:hAnsi="Times New Roman" w:eastAsia="仿宋_GB2312" w:cs="Times New Roman"/>
          <w:snapToGrid/>
          <w:color w:val="auto"/>
          <w:kern w:val="2"/>
          <w:highlight w:val="none"/>
          <w:lang w:val="zh-CN"/>
        </w:rPr>
      </w:pPr>
      <w:r>
        <w:rPr>
          <w:rFonts w:hint="default" w:ascii="Times New Roman" w:hAnsi="Times New Roman" w:eastAsia="仿宋_GB2312" w:cs="Times New Roman"/>
          <w:color w:val="auto"/>
          <w:sz w:val="24"/>
          <w:highlight w:val="none"/>
          <w:lang w:val="zh-CN"/>
        </w:rPr>
        <w:fldChar w:fldCharType="begin"/>
      </w:r>
      <w:r>
        <w:rPr>
          <w:rFonts w:hint="default" w:ascii="Times New Roman" w:hAnsi="Times New Roman" w:eastAsia="仿宋_GB2312" w:cs="Times New Roman"/>
          <w:color w:val="auto"/>
          <w:sz w:val="24"/>
          <w:highlight w:val="none"/>
          <w:lang w:val="zh-CN"/>
        </w:rPr>
        <w:instrText xml:space="preserve"> = 1 \* GB3 </w:instrText>
      </w:r>
      <w:r>
        <w:rPr>
          <w:rFonts w:hint="default" w:ascii="Times New Roman" w:hAnsi="Times New Roman" w:eastAsia="仿宋_GB2312" w:cs="Times New Roman"/>
          <w:color w:val="auto"/>
          <w:sz w:val="24"/>
          <w:highlight w:val="none"/>
          <w:lang w:val="zh-CN"/>
        </w:rPr>
        <w:fldChar w:fldCharType="separate"/>
      </w:r>
      <w:r>
        <w:rPr>
          <w:rFonts w:hint="default" w:ascii="Times New Roman" w:hAnsi="Times New Roman" w:eastAsia="仿宋_GB2312" w:cs="Times New Roman"/>
          <w:color w:val="auto"/>
          <w:sz w:val="24"/>
          <w:highlight w:val="none"/>
          <w:lang w:val="zh-CN"/>
        </w:rPr>
        <w:t>①</w:t>
      </w:r>
      <w:r>
        <w:rPr>
          <w:rFonts w:hint="default" w:ascii="Times New Roman" w:hAnsi="Times New Roman" w:eastAsia="仿宋_GB2312" w:cs="Times New Roman"/>
          <w:color w:val="auto"/>
          <w:sz w:val="24"/>
          <w:highlight w:val="none"/>
          <w:lang w:val="zh-CN"/>
        </w:rPr>
        <w:fldChar w:fldCharType="end"/>
      </w:r>
      <w:r>
        <w:rPr>
          <w:rFonts w:hint="default" w:ascii="Times New Roman" w:hAnsi="Times New Roman" w:eastAsia="仿宋_GB2312" w:cs="Times New Roman"/>
          <w:color w:val="auto"/>
          <w:sz w:val="24"/>
          <w:highlight w:val="none"/>
          <w:lang w:val="en-US" w:eastAsia="zh-CN"/>
        </w:rPr>
        <w:t>屠宰</w:t>
      </w:r>
      <w:r>
        <w:rPr>
          <w:rFonts w:hint="eastAsia" w:ascii="Times New Roman" w:hAnsi="Times New Roman" w:cs="Times New Roman"/>
          <w:color w:val="auto"/>
          <w:sz w:val="24"/>
          <w:highlight w:val="none"/>
          <w:lang w:val="en-US" w:eastAsia="zh-CN"/>
        </w:rPr>
        <w:t>牛</w:t>
      </w:r>
      <w:r>
        <w:rPr>
          <w:rFonts w:hint="default" w:ascii="Times New Roman" w:hAnsi="Times New Roman" w:eastAsia="仿宋_GB2312" w:cs="Times New Roman"/>
          <w:color w:val="auto"/>
          <w:sz w:val="24"/>
          <w:highlight w:val="none"/>
          <w:lang w:val="en-US" w:eastAsia="zh-CN"/>
        </w:rPr>
        <w:t>废水：</w:t>
      </w:r>
      <w:r>
        <w:rPr>
          <w:rFonts w:hint="default" w:ascii="Times New Roman" w:hAnsi="Times New Roman" w:eastAsia="仿宋_GB2312" w:cs="Times New Roman"/>
          <w:snapToGrid/>
          <w:color w:val="auto"/>
          <w:kern w:val="2"/>
          <w:highlight w:val="none"/>
        </w:rPr>
        <w:t>本项目</w:t>
      </w:r>
      <w:r>
        <w:rPr>
          <w:rFonts w:hint="default" w:ascii="Times New Roman" w:hAnsi="Times New Roman" w:eastAsia="仿宋_GB2312" w:cs="Times New Roman"/>
          <w:color w:val="auto"/>
          <w:sz w:val="24"/>
          <w:highlight w:val="none"/>
          <w:lang w:val="en-US" w:eastAsia="zh-CN"/>
        </w:rPr>
        <w:t>屠宰</w:t>
      </w:r>
      <w:r>
        <w:rPr>
          <w:rFonts w:hint="eastAsia" w:ascii="Times New Roman" w:hAnsi="Times New Roman" w:cs="Times New Roman"/>
          <w:color w:val="auto"/>
          <w:sz w:val="24"/>
          <w:highlight w:val="none"/>
          <w:lang w:val="en-US" w:eastAsia="zh-CN"/>
        </w:rPr>
        <w:t>牛</w:t>
      </w:r>
      <w:r>
        <w:rPr>
          <w:rFonts w:hint="default" w:ascii="Times New Roman" w:hAnsi="Times New Roman" w:eastAsia="仿宋_GB2312" w:cs="Times New Roman"/>
          <w:snapToGrid/>
          <w:color w:val="auto"/>
          <w:kern w:val="2"/>
          <w:highlight w:val="none"/>
        </w:rPr>
        <w:t>废水按用水量的90%计，则废水产生量为</w:t>
      </w:r>
      <w:r>
        <w:rPr>
          <w:rFonts w:hint="eastAsia" w:cs="Times New Roman"/>
          <w:snapToGrid/>
          <w:color w:val="auto"/>
          <w:kern w:val="2"/>
          <w:highlight w:val="none"/>
          <w:lang w:val="en-US" w:eastAsia="zh-CN"/>
        </w:rPr>
        <w:t>4500</w:t>
      </w:r>
      <w:r>
        <w:rPr>
          <w:rFonts w:hint="default" w:ascii="Times New Roman" w:hAnsi="Times New Roman" w:eastAsia="仿宋_GB2312" w:cs="Times New Roman"/>
          <w:snapToGrid/>
          <w:color w:val="auto"/>
          <w:kern w:val="2"/>
          <w:highlight w:val="none"/>
          <w:lang w:val="zh-CN"/>
        </w:rPr>
        <w:t>m</w:t>
      </w:r>
      <w:r>
        <w:rPr>
          <w:rFonts w:hint="default" w:ascii="Times New Roman" w:hAnsi="Times New Roman" w:eastAsia="仿宋_GB2312" w:cs="Times New Roman"/>
          <w:snapToGrid/>
          <w:color w:val="auto"/>
          <w:kern w:val="2"/>
          <w:highlight w:val="none"/>
          <w:vertAlign w:val="superscript"/>
          <w:lang w:val="zh-CN"/>
        </w:rPr>
        <w:t>3</w:t>
      </w:r>
      <w:r>
        <w:rPr>
          <w:rFonts w:hint="default" w:ascii="Times New Roman" w:hAnsi="Times New Roman" w:eastAsia="仿宋_GB2312" w:cs="Times New Roman"/>
          <w:snapToGrid/>
          <w:color w:val="auto"/>
          <w:kern w:val="2"/>
          <w:highlight w:val="none"/>
          <w:lang w:val="zh-CN"/>
        </w:rPr>
        <w:t>/a；</w:t>
      </w:r>
    </w:p>
    <w:p w14:paraId="6BCA619A">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default" w:ascii="Times New Roman" w:hAnsi="Times New Roman" w:eastAsia="仿宋_GB2312" w:cs="Times New Roman"/>
          <w:snapToGrid/>
          <w:color w:val="auto"/>
          <w:kern w:val="2"/>
          <w:highlight w:val="none"/>
          <w:lang w:val="zh-CN"/>
        </w:rPr>
      </w:pPr>
      <w:r>
        <w:rPr>
          <w:rFonts w:hint="default" w:ascii="Times New Roman" w:hAnsi="Times New Roman" w:eastAsia="仿宋_GB2312" w:cs="Times New Roman"/>
          <w:color w:val="auto"/>
          <w:sz w:val="24"/>
          <w:highlight w:val="none"/>
          <w:lang w:val="zh-CN"/>
        </w:rPr>
        <w:fldChar w:fldCharType="begin"/>
      </w:r>
      <w:r>
        <w:rPr>
          <w:rFonts w:hint="default" w:ascii="Times New Roman" w:hAnsi="Times New Roman" w:eastAsia="仿宋_GB2312" w:cs="Times New Roman"/>
          <w:color w:val="auto"/>
          <w:sz w:val="24"/>
          <w:highlight w:val="none"/>
          <w:lang w:val="zh-CN"/>
        </w:rPr>
        <w:instrText xml:space="preserve"> = 2 \* GB3 </w:instrText>
      </w:r>
      <w:r>
        <w:rPr>
          <w:rFonts w:hint="default" w:ascii="Times New Roman" w:hAnsi="Times New Roman" w:eastAsia="仿宋_GB2312" w:cs="Times New Roman"/>
          <w:color w:val="auto"/>
          <w:sz w:val="24"/>
          <w:highlight w:val="none"/>
          <w:lang w:val="zh-CN"/>
        </w:rPr>
        <w:fldChar w:fldCharType="separate"/>
      </w:r>
      <w:r>
        <w:rPr>
          <w:rFonts w:hint="default" w:ascii="Times New Roman" w:hAnsi="Times New Roman" w:eastAsia="仿宋_GB2312" w:cs="Times New Roman"/>
          <w:color w:val="auto"/>
          <w:sz w:val="24"/>
          <w:highlight w:val="none"/>
          <w:lang w:val="zh-CN"/>
        </w:rPr>
        <w:t>②</w:t>
      </w:r>
      <w:r>
        <w:rPr>
          <w:rFonts w:hint="default" w:ascii="Times New Roman" w:hAnsi="Times New Roman" w:eastAsia="仿宋_GB2312" w:cs="Times New Roman"/>
          <w:color w:val="auto"/>
          <w:sz w:val="24"/>
          <w:highlight w:val="none"/>
          <w:lang w:val="zh-CN"/>
        </w:rPr>
        <w:fldChar w:fldCharType="end"/>
      </w:r>
      <w:r>
        <w:rPr>
          <w:rFonts w:hint="eastAsia" w:ascii="Times New Roman" w:hAnsi="Times New Roman" w:cs="Times New Roman"/>
          <w:color w:val="auto"/>
          <w:sz w:val="24"/>
          <w:highlight w:val="none"/>
          <w:lang w:val="en-US" w:eastAsia="zh-CN"/>
        </w:rPr>
        <w:t>屠宰羊废水：</w:t>
      </w:r>
      <w:r>
        <w:rPr>
          <w:rFonts w:hint="default" w:ascii="Times New Roman" w:hAnsi="Times New Roman" w:eastAsia="仿宋_GB2312" w:cs="Times New Roman"/>
          <w:snapToGrid/>
          <w:color w:val="auto"/>
          <w:kern w:val="2"/>
          <w:highlight w:val="none"/>
        </w:rPr>
        <w:t>本项目</w:t>
      </w:r>
      <w:r>
        <w:rPr>
          <w:rFonts w:hint="default" w:ascii="Times New Roman" w:hAnsi="Times New Roman" w:eastAsia="仿宋_GB2312" w:cs="Times New Roman"/>
          <w:color w:val="auto"/>
          <w:sz w:val="24"/>
          <w:highlight w:val="none"/>
          <w:lang w:val="en-US" w:eastAsia="zh-CN"/>
        </w:rPr>
        <w:t>屠宰</w:t>
      </w:r>
      <w:r>
        <w:rPr>
          <w:rFonts w:hint="eastAsia" w:ascii="Times New Roman" w:hAnsi="Times New Roman" w:cs="Times New Roman"/>
          <w:color w:val="auto"/>
          <w:sz w:val="24"/>
          <w:highlight w:val="none"/>
          <w:lang w:val="en-US" w:eastAsia="zh-CN"/>
        </w:rPr>
        <w:t>羊</w:t>
      </w:r>
      <w:r>
        <w:rPr>
          <w:rFonts w:hint="default" w:ascii="Times New Roman" w:hAnsi="Times New Roman" w:eastAsia="仿宋_GB2312" w:cs="Times New Roman"/>
          <w:snapToGrid/>
          <w:color w:val="auto"/>
          <w:kern w:val="2"/>
          <w:highlight w:val="none"/>
        </w:rPr>
        <w:t>废水按用水量的90%计，则废水产生量为</w:t>
      </w:r>
      <w:r>
        <w:rPr>
          <w:rFonts w:hint="eastAsia" w:cs="Times New Roman"/>
          <w:snapToGrid/>
          <w:color w:val="auto"/>
          <w:kern w:val="2"/>
          <w:highlight w:val="none"/>
          <w:lang w:val="en-US" w:eastAsia="zh-CN"/>
        </w:rPr>
        <w:t>13500</w:t>
      </w:r>
      <w:r>
        <w:rPr>
          <w:rFonts w:hint="default" w:ascii="Times New Roman" w:hAnsi="Times New Roman" w:eastAsia="仿宋_GB2312" w:cs="Times New Roman"/>
          <w:snapToGrid/>
          <w:color w:val="auto"/>
          <w:kern w:val="2"/>
          <w:highlight w:val="none"/>
          <w:lang w:val="zh-CN"/>
        </w:rPr>
        <w:t>m</w:t>
      </w:r>
      <w:r>
        <w:rPr>
          <w:rFonts w:hint="default" w:ascii="Times New Roman" w:hAnsi="Times New Roman" w:eastAsia="仿宋_GB2312" w:cs="Times New Roman"/>
          <w:snapToGrid/>
          <w:color w:val="auto"/>
          <w:kern w:val="2"/>
          <w:highlight w:val="none"/>
          <w:vertAlign w:val="superscript"/>
          <w:lang w:val="zh-CN"/>
        </w:rPr>
        <w:t>3</w:t>
      </w:r>
      <w:r>
        <w:rPr>
          <w:rFonts w:hint="default" w:ascii="Times New Roman" w:hAnsi="Times New Roman" w:eastAsia="仿宋_GB2312" w:cs="Times New Roman"/>
          <w:snapToGrid/>
          <w:color w:val="auto"/>
          <w:kern w:val="2"/>
          <w:highlight w:val="none"/>
          <w:lang w:val="zh-CN"/>
        </w:rPr>
        <w:t>/a；</w:t>
      </w:r>
    </w:p>
    <w:p w14:paraId="7F383902">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zh-CN"/>
        </w:rPr>
        <w:fldChar w:fldCharType="begin"/>
      </w:r>
      <w:r>
        <w:rPr>
          <w:rFonts w:hint="default" w:ascii="Times New Roman" w:hAnsi="Times New Roman" w:eastAsia="仿宋_GB2312" w:cs="Times New Roman"/>
          <w:color w:val="auto"/>
          <w:sz w:val="24"/>
          <w:highlight w:val="none"/>
          <w:lang w:val="zh-CN"/>
        </w:rPr>
        <w:instrText xml:space="preserve"> = 3 \* GB3 \* MERGEFORMAT </w:instrText>
      </w:r>
      <w:r>
        <w:rPr>
          <w:rFonts w:hint="default" w:ascii="Times New Roman" w:hAnsi="Times New Roman" w:eastAsia="仿宋_GB2312" w:cs="Times New Roman"/>
          <w:color w:val="auto"/>
          <w:sz w:val="24"/>
          <w:highlight w:val="none"/>
          <w:lang w:val="zh-CN"/>
        </w:rPr>
        <w:fldChar w:fldCharType="separate"/>
      </w:r>
      <w:r>
        <w:rPr>
          <w:rFonts w:hint="default" w:ascii="Times New Roman" w:hAnsi="Times New Roman" w:cs="Times New Roman"/>
          <w:color w:val="auto"/>
        </w:rPr>
        <w:t>③</w:t>
      </w:r>
      <w:r>
        <w:rPr>
          <w:rFonts w:hint="default" w:ascii="Times New Roman" w:hAnsi="Times New Roman" w:eastAsia="仿宋_GB2312" w:cs="Times New Roman"/>
          <w:color w:val="auto"/>
          <w:sz w:val="24"/>
          <w:highlight w:val="none"/>
          <w:lang w:val="zh-CN"/>
        </w:rPr>
        <w:fldChar w:fldCharType="end"/>
      </w:r>
      <w:r>
        <w:rPr>
          <w:rFonts w:hint="eastAsia" w:cs="Times New Roman"/>
          <w:color w:val="auto"/>
          <w:sz w:val="24"/>
          <w:highlight w:val="none"/>
          <w:lang w:val="en-US" w:eastAsia="zh-CN"/>
        </w:rPr>
        <w:t>车辆冲洗废水：本项目车辆冲洗废水产生量按用水量的90%计，则车辆冲洗废水产生量为407.88</w:t>
      </w:r>
      <w:r>
        <w:rPr>
          <w:rFonts w:hint="default" w:ascii="Times New Roman" w:hAnsi="Times New Roman" w:eastAsia="仿宋_GB2312" w:cs="Times New Roman"/>
          <w:snapToGrid/>
          <w:color w:val="auto"/>
          <w:kern w:val="2"/>
          <w:highlight w:val="none"/>
          <w:lang w:val="zh-CN"/>
        </w:rPr>
        <w:t>m</w:t>
      </w:r>
      <w:r>
        <w:rPr>
          <w:rFonts w:hint="default" w:ascii="Times New Roman" w:hAnsi="Times New Roman" w:eastAsia="仿宋_GB2312" w:cs="Times New Roman"/>
          <w:snapToGrid/>
          <w:color w:val="auto"/>
          <w:kern w:val="2"/>
          <w:highlight w:val="none"/>
          <w:vertAlign w:val="superscript"/>
          <w:lang w:val="zh-CN"/>
        </w:rPr>
        <w:t>3</w:t>
      </w:r>
      <w:r>
        <w:rPr>
          <w:rFonts w:hint="default" w:ascii="Times New Roman" w:hAnsi="Times New Roman" w:eastAsia="仿宋_GB2312" w:cs="Times New Roman"/>
          <w:snapToGrid/>
          <w:color w:val="auto"/>
          <w:kern w:val="2"/>
          <w:highlight w:val="none"/>
          <w:lang w:val="zh-CN"/>
        </w:rPr>
        <w:t>/a</w:t>
      </w:r>
      <w:r>
        <w:rPr>
          <w:rFonts w:hint="eastAsia" w:cs="Times New Roman"/>
          <w:snapToGrid/>
          <w:color w:val="auto"/>
          <w:kern w:val="2"/>
          <w:highlight w:val="none"/>
          <w:lang w:val="zh-CN"/>
        </w:rPr>
        <w:t>（</w:t>
      </w:r>
      <w:r>
        <w:rPr>
          <w:rFonts w:hint="eastAsia" w:cs="Times New Roman"/>
          <w:snapToGrid/>
          <w:color w:val="auto"/>
          <w:kern w:val="2"/>
          <w:highlight w:val="none"/>
          <w:lang w:val="en-US" w:eastAsia="zh-CN"/>
        </w:rPr>
        <w:t>1.236m</w:t>
      </w:r>
      <w:r>
        <w:rPr>
          <w:rFonts w:hint="eastAsia" w:cs="Times New Roman"/>
          <w:snapToGrid/>
          <w:color w:val="auto"/>
          <w:kern w:val="2"/>
          <w:highlight w:val="none"/>
          <w:vertAlign w:val="superscript"/>
          <w:lang w:val="en-US" w:eastAsia="zh-CN"/>
        </w:rPr>
        <w:t>3</w:t>
      </w:r>
      <w:r>
        <w:rPr>
          <w:rFonts w:hint="eastAsia" w:cs="Times New Roman"/>
          <w:snapToGrid/>
          <w:color w:val="auto"/>
          <w:kern w:val="2"/>
          <w:highlight w:val="none"/>
          <w:lang w:val="en-US" w:eastAsia="zh-CN"/>
        </w:rPr>
        <w:t>/d</w:t>
      </w:r>
      <w:r>
        <w:rPr>
          <w:rFonts w:hint="eastAsia" w:cs="Times New Roman"/>
          <w:snapToGrid/>
          <w:color w:val="auto"/>
          <w:kern w:val="2"/>
          <w:highlight w:val="none"/>
          <w:lang w:val="zh-CN"/>
        </w:rPr>
        <w:t>）</w:t>
      </w:r>
      <w:r>
        <w:rPr>
          <w:rFonts w:hint="default" w:ascii="Times New Roman" w:hAnsi="Times New Roman" w:eastAsia="仿宋_GB2312" w:cs="Times New Roman"/>
          <w:snapToGrid/>
          <w:color w:val="auto"/>
          <w:kern w:val="2"/>
          <w:highlight w:val="none"/>
          <w:lang w:val="zh-CN"/>
        </w:rPr>
        <w:t>；</w:t>
      </w:r>
    </w:p>
    <w:p w14:paraId="713D3E43">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default" w:ascii="Times New Roman" w:hAnsi="Times New Roman" w:eastAsia="仿宋_GB2312" w:cs="Times New Roman"/>
          <w:color w:val="auto"/>
          <w:sz w:val="24"/>
          <w:highlight w:val="none"/>
          <w:lang w:val="en-US" w:eastAsia="zh-CN"/>
        </w:rPr>
      </w:pPr>
      <w:r>
        <w:rPr>
          <w:rFonts w:hint="eastAsia" w:cs="Times New Roman"/>
          <w:color w:val="auto"/>
          <w:sz w:val="24"/>
          <w:highlight w:val="none"/>
          <w:lang w:val="en-US" w:eastAsia="zh-CN"/>
        </w:rPr>
        <w:t>屠宰废水、车辆冲洗废水</w:t>
      </w:r>
      <w:r>
        <w:rPr>
          <w:rFonts w:hint="default" w:ascii="Times New Roman" w:hAnsi="Times New Roman" w:eastAsia="仿宋_GB2312" w:cs="Times New Roman"/>
          <w:color w:val="auto"/>
          <w:sz w:val="24"/>
          <w:highlight w:val="none"/>
        </w:rPr>
        <w:t>排入厂区污水处理站处理，水质满足</w:t>
      </w:r>
      <w:r>
        <w:rPr>
          <w:rFonts w:hint="eastAsia"/>
          <w:color w:val="auto"/>
          <w:lang w:val="en-US" w:eastAsia="zh-CN"/>
        </w:rPr>
        <w:t>《屠宰及肉类加工工业水污染物排放标准》（GB13457-2025）</w:t>
      </w:r>
      <w:r>
        <w:rPr>
          <w:rFonts w:hint="eastAsia" w:ascii="Times New Roman" w:hAnsi="Times New Roman"/>
          <w:color w:val="auto"/>
          <w:lang w:val="en-US" w:eastAsia="zh-CN"/>
        </w:rPr>
        <w:t>表</w:t>
      </w:r>
      <w:r>
        <w:rPr>
          <w:rFonts w:hint="eastAsia"/>
          <w:color w:val="auto"/>
          <w:lang w:val="en-US" w:eastAsia="zh-CN"/>
        </w:rPr>
        <w:t>1间接排放</w:t>
      </w:r>
      <w:r>
        <w:rPr>
          <w:rFonts w:hint="eastAsia" w:ascii="Times New Roman" w:hAnsi="Times New Roman"/>
          <w:color w:val="auto"/>
          <w:lang w:val="en-US" w:eastAsia="zh-CN"/>
        </w:rPr>
        <w:t>标准</w:t>
      </w:r>
      <w:r>
        <w:rPr>
          <w:rFonts w:hint="eastAsia"/>
          <w:color w:val="auto"/>
          <w:lang w:val="en-US" w:eastAsia="zh-CN"/>
        </w:rPr>
        <w:t>、</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eastAsia" w:cs="Times New Roman"/>
          <w:color w:val="auto"/>
          <w:sz w:val="24"/>
          <w:highlight w:val="none"/>
          <w:lang w:val="en-US" w:eastAsia="zh-CN"/>
        </w:rPr>
        <w:t>后</w:t>
      </w:r>
      <w:r>
        <w:rPr>
          <w:rFonts w:hint="eastAsia"/>
          <w:color w:val="auto"/>
          <w:lang w:val="en-US" w:eastAsia="zh-CN"/>
        </w:rPr>
        <w:t>排至城区污水处理厂处理</w:t>
      </w:r>
      <w:r>
        <w:rPr>
          <w:rFonts w:hint="default" w:ascii="Times New Roman" w:hAnsi="Times New Roman" w:eastAsia="仿宋_GB2312" w:cs="Times New Roman"/>
          <w:color w:val="auto"/>
          <w:sz w:val="24"/>
          <w:highlight w:val="none"/>
        </w:rPr>
        <w:t>。</w:t>
      </w:r>
    </w:p>
    <w:p w14:paraId="5C638308">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color w:val="auto"/>
          <w:lang w:val="en-US"/>
        </w:rPr>
      </w:pPr>
      <w:r>
        <w:rPr>
          <w:rFonts w:hint="default" w:ascii="Times New Roman" w:hAnsi="Times New Roman" w:eastAsia="微软雅黑" w:cs="Times New Roman"/>
          <w:color w:val="auto"/>
          <w:sz w:val="24"/>
          <w:highlight w:val="none"/>
          <w:lang w:val="zh-CN"/>
        </w:rPr>
        <w:t>④</w:t>
      </w:r>
      <w:r>
        <w:rPr>
          <w:rFonts w:hint="default" w:ascii="Times New Roman" w:hAnsi="Times New Roman" w:eastAsia="仿宋_GB2312" w:cs="Times New Roman"/>
          <w:color w:val="auto"/>
          <w:sz w:val="24"/>
          <w:highlight w:val="none"/>
          <w:lang w:val="zh-CN"/>
        </w:rPr>
        <w:t>生活污水：生活污水排水量按照用水量</w:t>
      </w:r>
      <w:r>
        <w:rPr>
          <w:rFonts w:hint="default" w:ascii="Times New Roman" w:hAnsi="Times New Roman" w:eastAsia="仿宋_GB2312" w:cs="Times New Roman"/>
          <w:color w:val="auto"/>
          <w:sz w:val="24"/>
          <w:highlight w:val="none"/>
        </w:rPr>
        <w:t>80</w:t>
      </w:r>
      <w:r>
        <w:rPr>
          <w:rFonts w:hint="default" w:ascii="Times New Roman" w:hAnsi="Times New Roman" w:eastAsia="仿宋_GB2312" w:cs="Times New Roman"/>
          <w:color w:val="auto"/>
          <w:sz w:val="24"/>
          <w:highlight w:val="none"/>
          <w:lang w:val="zh-CN"/>
        </w:rPr>
        <w:t>%计算，则排水量为</w:t>
      </w:r>
      <w:r>
        <w:rPr>
          <w:rFonts w:hint="eastAsia" w:cs="Times New Roman"/>
          <w:color w:val="auto"/>
          <w:sz w:val="24"/>
          <w:highlight w:val="none"/>
          <w:lang w:val="en-US" w:eastAsia="zh-CN"/>
        </w:rPr>
        <w:t>520</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default" w:ascii="Times New Roman" w:hAnsi="Times New Roman" w:eastAsia="仿宋_GB2312" w:cs="Times New Roman"/>
          <w:color w:val="auto"/>
          <w:sz w:val="24"/>
          <w:highlight w:val="none"/>
        </w:rPr>
        <w:t>（</w:t>
      </w:r>
      <w:r>
        <w:rPr>
          <w:rFonts w:hint="eastAsia" w:cs="Times New Roman"/>
          <w:color w:val="auto"/>
          <w:sz w:val="24"/>
          <w:highlight w:val="none"/>
          <w:lang w:val="en-US" w:eastAsia="zh-CN"/>
        </w:rPr>
        <w:t>1.58</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/d）</w:t>
      </w:r>
      <w:r>
        <w:rPr>
          <w:rFonts w:hint="default" w:ascii="Times New Roman" w:hAnsi="Times New Roman" w:eastAsia="仿宋_GB2312" w:cs="Times New Roman"/>
          <w:color w:val="auto"/>
          <w:sz w:val="24"/>
          <w:highlight w:val="none"/>
          <w:lang w:val="zh-CN"/>
        </w:rPr>
        <w:t>。</w:t>
      </w:r>
      <w:r>
        <w:rPr>
          <w:rFonts w:hint="default" w:ascii="Times New Roman" w:hAnsi="Times New Roman" w:eastAsia="仿宋_GB2312" w:cs="Times New Roman"/>
          <w:color w:val="auto"/>
          <w:sz w:val="24"/>
          <w:highlight w:val="none"/>
        </w:rPr>
        <w:t>生活污水经化粪池</w:t>
      </w:r>
      <w:r>
        <w:rPr>
          <w:rFonts w:hint="eastAsia" w:ascii="Times New Roman" w:hAnsi="Times New Roman" w:cs="Times New Roman"/>
          <w:color w:val="auto"/>
          <w:sz w:val="24"/>
          <w:highlight w:val="none"/>
          <w:lang w:val="en-US" w:eastAsia="zh-CN"/>
        </w:rPr>
        <w:t>收集</w:t>
      </w:r>
      <w:r>
        <w:rPr>
          <w:rFonts w:hint="default" w:ascii="Times New Roman" w:hAnsi="Times New Roman" w:eastAsia="仿宋_GB2312" w:cs="Times New Roman"/>
          <w:color w:val="auto"/>
          <w:sz w:val="24"/>
          <w:highlight w:val="none"/>
        </w:rPr>
        <w:t>后</w:t>
      </w:r>
      <w:r>
        <w:rPr>
          <w:rFonts w:hint="eastAsia" w:ascii="Times New Roman" w:hAnsi="Times New Roman" w:cs="Times New Roman"/>
          <w:color w:val="auto"/>
          <w:sz w:val="24"/>
          <w:highlight w:val="none"/>
          <w:lang w:val="en-US" w:eastAsia="zh-CN"/>
        </w:rPr>
        <w:t>达到《污水综合排放标准》（GB8978-1996）三级排放标准及城区污水处理厂接管标准《污水排入城镇下水道水质标准》（GB/T31962-2015）A级排放标准</w:t>
      </w:r>
      <w:r>
        <w:rPr>
          <w:rFonts w:hint="eastAsia" w:cs="Times New Roman"/>
          <w:color w:val="auto"/>
          <w:sz w:val="24"/>
          <w:highlight w:val="none"/>
          <w:lang w:val="en-US" w:eastAsia="zh-CN"/>
        </w:rPr>
        <w:t>后排至</w:t>
      </w:r>
      <w:r>
        <w:rPr>
          <w:rFonts w:hint="eastAsia" w:ascii="Times New Roman" w:hAnsi="Times New Roman" w:cs="Times New Roman"/>
          <w:color w:val="auto"/>
          <w:sz w:val="24"/>
          <w:highlight w:val="none"/>
          <w:lang w:val="en-US" w:eastAsia="zh-CN"/>
        </w:rPr>
        <w:t>城区污水处理厂处理</w:t>
      </w:r>
      <w:r>
        <w:rPr>
          <w:rFonts w:hint="eastAsia" w:cs="Times New Roman"/>
          <w:color w:val="auto"/>
          <w:sz w:val="24"/>
          <w:highlight w:val="none"/>
          <w:lang w:val="en-US" w:eastAsia="zh-CN"/>
        </w:rPr>
        <w:t>。</w:t>
      </w:r>
    </w:p>
    <w:p w14:paraId="03FE84B2">
      <w:pPr>
        <w:pageBreakBefore w:val="0"/>
        <w:kinsoku/>
        <w:wordWrap/>
        <w:topLinePunct w:val="0"/>
        <w:bidi w:val="0"/>
        <w:adjustRightInd/>
        <w:snapToGrid/>
        <w:spacing w:line="240" w:lineRule="auto"/>
        <w:ind w:left="0" w:leftChars="0" w:firstLine="420" w:firstLineChars="20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表2.</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9</w:t>
      </w:r>
      <w:r>
        <w:rPr>
          <w:rFonts w:hint="default" w:ascii="Times New Roman" w:hAnsi="Times New Roman" w:cs="Times New Roman"/>
          <w:color w:val="auto"/>
          <w:highlight w:val="none"/>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b/>
          <w:bCs/>
          <w:snapToGrid w:val="0"/>
          <w:color w:val="auto"/>
          <w:kern w:val="0"/>
          <w:sz w:val="24"/>
          <w:lang w:val="en-US" w:eastAsia="zh-CN"/>
        </w:rPr>
        <w:t>项目给排水情况表</w:t>
      </w:r>
      <w:r>
        <w:rPr>
          <w:rFonts w:hint="default" w:ascii="Times New Roman" w:hAnsi="Times New Roman" w:cs="Times New Roman"/>
          <w:b/>
          <w:color w:val="auto"/>
          <w:highlight w:val="none"/>
        </w:rPr>
        <w:t xml:space="preserve">  </w:t>
      </w:r>
      <w:r>
        <w:rPr>
          <w:rFonts w:hint="eastAsia" w:ascii="Times New Roman" w:hAnsi="Times New Roman" w:cs="Times New Roman"/>
          <w:b/>
          <w:color w:val="auto"/>
          <w:highlight w:val="none"/>
          <w:lang w:val="en-US" w:eastAsia="zh-CN"/>
        </w:rPr>
        <w:t xml:space="preserve">       </w:t>
      </w:r>
      <w:r>
        <w:rPr>
          <w:rFonts w:hint="default" w:ascii="Times New Roman" w:hAnsi="Times New Roman" w:eastAsia="宋体" w:cs="Times New Roman"/>
          <w:color w:val="auto"/>
          <w:szCs w:val="21"/>
          <w:highlight w:val="none"/>
        </w:rPr>
        <w:t>单位：m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4"/>
          <w:highlight w:val="none"/>
        </w:rPr>
        <w:t>a</w:t>
      </w:r>
    </w:p>
    <w:tbl>
      <w:tblPr>
        <w:tblStyle w:val="27"/>
        <w:tblW w:w="49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6"/>
        <w:gridCol w:w="571"/>
        <w:gridCol w:w="1669"/>
        <w:gridCol w:w="1462"/>
        <w:gridCol w:w="1137"/>
        <w:gridCol w:w="1887"/>
        <w:gridCol w:w="1387"/>
      </w:tblGrid>
      <w:tr w14:paraId="69B41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7" w:type="dxa"/>
            <w:tcBorders>
              <w:tl2br w:val="nil"/>
              <w:tr2bl w:val="nil"/>
            </w:tcBorders>
            <w:noWrap w:val="0"/>
            <w:vAlign w:val="center"/>
          </w:tcPr>
          <w:p w14:paraId="5F4495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069" w:type="dxa"/>
            <w:gridSpan w:val="2"/>
            <w:tcBorders>
              <w:tl2br w:val="nil"/>
              <w:tr2bl w:val="nil"/>
            </w:tcBorders>
            <w:noWrap w:val="0"/>
            <w:vAlign w:val="center"/>
          </w:tcPr>
          <w:p w14:paraId="2EB3E2D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用水单元</w:t>
            </w:r>
          </w:p>
        </w:tc>
        <w:tc>
          <w:tcPr>
            <w:tcW w:w="1350" w:type="dxa"/>
            <w:tcBorders>
              <w:tl2br w:val="nil"/>
              <w:tr2bl w:val="nil"/>
            </w:tcBorders>
            <w:noWrap w:val="0"/>
            <w:vAlign w:val="center"/>
          </w:tcPr>
          <w:p w14:paraId="319937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新鲜水用量</w:t>
            </w:r>
          </w:p>
        </w:tc>
        <w:tc>
          <w:tcPr>
            <w:tcW w:w="1050" w:type="dxa"/>
            <w:tcBorders>
              <w:tl2br w:val="nil"/>
              <w:tr2bl w:val="nil"/>
            </w:tcBorders>
            <w:noWrap w:val="0"/>
            <w:vAlign w:val="center"/>
          </w:tcPr>
          <w:p w14:paraId="33A594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消耗量</w:t>
            </w:r>
          </w:p>
        </w:tc>
        <w:tc>
          <w:tcPr>
            <w:tcW w:w="1743" w:type="dxa"/>
            <w:tcBorders>
              <w:tl2br w:val="nil"/>
              <w:tr2bl w:val="nil"/>
            </w:tcBorders>
            <w:noWrap w:val="0"/>
            <w:vAlign w:val="center"/>
          </w:tcPr>
          <w:p w14:paraId="20DED8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污水产生单元</w:t>
            </w:r>
          </w:p>
        </w:tc>
        <w:tc>
          <w:tcPr>
            <w:tcW w:w="1281" w:type="dxa"/>
            <w:tcBorders>
              <w:tl2br w:val="nil"/>
              <w:tr2bl w:val="nil"/>
            </w:tcBorders>
            <w:noWrap w:val="0"/>
            <w:vAlign w:val="center"/>
          </w:tcPr>
          <w:p w14:paraId="2EBF4D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废水产生量</w:t>
            </w:r>
          </w:p>
        </w:tc>
      </w:tr>
      <w:tr w14:paraId="555E4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7" w:type="dxa"/>
            <w:tcBorders>
              <w:tl2br w:val="nil"/>
              <w:tr2bl w:val="nil"/>
            </w:tcBorders>
            <w:noWrap w:val="0"/>
            <w:vAlign w:val="center"/>
          </w:tcPr>
          <w:p w14:paraId="0B3E22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069" w:type="dxa"/>
            <w:gridSpan w:val="2"/>
            <w:tcBorders>
              <w:tl2br w:val="nil"/>
              <w:tr2bl w:val="nil"/>
            </w:tcBorders>
            <w:noWrap w:val="0"/>
            <w:vAlign w:val="center"/>
          </w:tcPr>
          <w:p w14:paraId="11C47DA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生活用水</w:t>
            </w:r>
          </w:p>
        </w:tc>
        <w:tc>
          <w:tcPr>
            <w:tcW w:w="1350" w:type="dxa"/>
            <w:tcBorders>
              <w:tl2br w:val="nil"/>
              <w:tr2bl w:val="nil"/>
            </w:tcBorders>
            <w:noWrap w:val="0"/>
            <w:vAlign w:val="center"/>
          </w:tcPr>
          <w:p w14:paraId="16A4D2E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650</w:t>
            </w:r>
          </w:p>
        </w:tc>
        <w:tc>
          <w:tcPr>
            <w:tcW w:w="1050" w:type="dxa"/>
            <w:tcBorders>
              <w:tl2br w:val="nil"/>
              <w:tr2bl w:val="nil"/>
            </w:tcBorders>
            <w:noWrap w:val="0"/>
            <w:vAlign w:val="center"/>
          </w:tcPr>
          <w:p w14:paraId="37E1B2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130</w:t>
            </w:r>
          </w:p>
        </w:tc>
        <w:tc>
          <w:tcPr>
            <w:tcW w:w="1743" w:type="dxa"/>
            <w:tcBorders>
              <w:tl2br w:val="nil"/>
              <w:tr2bl w:val="nil"/>
            </w:tcBorders>
            <w:noWrap w:val="0"/>
            <w:vAlign w:val="center"/>
          </w:tcPr>
          <w:p w14:paraId="5E2D56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281" w:type="dxa"/>
            <w:tcBorders>
              <w:tl2br w:val="nil"/>
              <w:tr2bl w:val="nil"/>
            </w:tcBorders>
            <w:noWrap w:val="0"/>
            <w:vAlign w:val="center"/>
          </w:tcPr>
          <w:p w14:paraId="10E6B3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520</w:t>
            </w:r>
          </w:p>
        </w:tc>
      </w:tr>
      <w:tr w14:paraId="3B58A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7" w:type="dxa"/>
            <w:tcBorders>
              <w:tl2br w:val="nil"/>
              <w:tr2bl w:val="nil"/>
            </w:tcBorders>
            <w:noWrap w:val="0"/>
            <w:vAlign w:val="center"/>
          </w:tcPr>
          <w:p w14:paraId="70ADA77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27" w:type="dxa"/>
            <w:vMerge w:val="restart"/>
            <w:tcBorders>
              <w:tl2br w:val="nil"/>
              <w:tr2bl w:val="nil"/>
            </w:tcBorders>
            <w:noWrap w:val="0"/>
            <w:vAlign w:val="center"/>
          </w:tcPr>
          <w:p w14:paraId="29EA704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w:t>
            </w:r>
          </w:p>
          <w:p w14:paraId="3CD4AFC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w:t>
            </w:r>
          </w:p>
          <w:p w14:paraId="330BEE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w:t>
            </w:r>
          </w:p>
          <w:p w14:paraId="0BA583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tc>
        <w:tc>
          <w:tcPr>
            <w:tcW w:w="1542" w:type="dxa"/>
            <w:tcBorders>
              <w:tl2br w:val="nil"/>
              <w:tr2bl w:val="nil"/>
            </w:tcBorders>
            <w:noWrap w:val="0"/>
            <w:vAlign w:val="center"/>
          </w:tcPr>
          <w:p w14:paraId="4FEE974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待宰牛饮用水</w:t>
            </w:r>
          </w:p>
        </w:tc>
        <w:tc>
          <w:tcPr>
            <w:tcW w:w="1350" w:type="dxa"/>
            <w:tcBorders>
              <w:tl2br w:val="nil"/>
              <w:tr2bl w:val="nil"/>
            </w:tcBorders>
            <w:noWrap w:val="0"/>
            <w:vAlign w:val="center"/>
          </w:tcPr>
          <w:p w14:paraId="6DE316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500</w:t>
            </w:r>
          </w:p>
        </w:tc>
        <w:tc>
          <w:tcPr>
            <w:tcW w:w="1050" w:type="dxa"/>
            <w:tcBorders>
              <w:tl2br w:val="nil"/>
              <w:tr2bl w:val="nil"/>
            </w:tcBorders>
            <w:shd w:val="clear" w:color="auto" w:fill="auto"/>
            <w:noWrap w:val="0"/>
            <w:vAlign w:val="center"/>
          </w:tcPr>
          <w:p w14:paraId="3DCE48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500</w:t>
            </w:r>
          </w:p>
        </w:tc>
        <w:tc>
          <w:tcPr>
            <w:tcW w:w="1743" w:type="dxa"/>
            <w:tcBorders>
              <w:tl2br w:val="nil"/>
              <w:tr2bl w:val="nil"/>
            </w:tcBorders>
            <w:noWrap w:val="0"/>
            <w:vAlign w:val="center"/>
          </w:tcPr>
          <w:p w14:paraId="6155E5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待宰牛饮用水</w:t>
            </w:r>
          </w:p>
        </w:tc>
        <w:tc>
          <w:tcPr>
            <w:tcW w:w="1281" w:type="dxa"/>
            <w:tcBorders>
              <w:tl2br w:val="nil"/>
              <w:tr2bl w:val="nil"/>
            </w:tcBorders>
            <w:noWrap w:val="0"/>
            <w:vAlign w:val="center"/>
          </w:tcPr>
          <w:p w14:paraId="3144EE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p>
        </w:tc>
      </w:tr>
      <w:tr w14:paraId="277E4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7" w:type="dxa"/>
            <w:tcBorders>
              <w:tl2br w:val="nil"/>
              <w:tr2bl w:val="nil"/>
            </w:tcBorders>
            <w:noWrap w:val="0"/>
            <w:vAlign w:val="center"/>
          </w:tcPr>
          <w:p w14:paraId="6139D6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527" w:type="dxa"/>
            <w:vMerge w:val="continue"/>
            <w:tcBorders>
              <w:tl2br w:val="nil"/>
              <w:tr2bl w:val="nil"/>
            </w:tcBorders>
            <w:noWrap w:val="0"/>
            <w:vAlign w:val="center"/>
          </w:tcPr>
          <w:p w14:paraId="036A764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542" w:type="dxa"/>
            <w:tcBorders>
              <w:tl2br w:val="nil"/>
              <w:tr2bl w:val="nil"/>
            </w:tcBorders>
            <w:noWrap w:val="0"/>
            <w:vAlign w:val="center"/>
          </w:tcPr>
          <w:p w14:paraId="767437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待宰羊饮用水</w:t>
            </w:r>
          </w:p>
        </w:tc>
        <w:tc>
          <w:tcPr>
            <w:tcW w:w="1350" w:type="dxa"/>
            <w:tcBorders>
              <w:tl2br w:val="nil"/>
              <w:tr2bl w:val="nil"/>
            </w:tcBorders>
            <w:noWrap w:val="0"/>
            <w:vAlign w:val="center"/>
          </w:tcPr>
          <w:p w14:paraId="5AA022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1200</w:t>
            </w:r>
          </w:p>
        </w:tc>
        <w:tc>
          <w:tcPr>
            <w:tcW w:w="1050" w:type="dxa"/>
            <w:tcBorders>
              <w:tl2br w:val="nil"/>
              <w:tr2bl w:val="nil"/>
            </w:tcBorders>
            <w:shd w:val="clear" w:color="auto" w:fill="auto"/>
            <w:noWrap w:val="0"/>
            <w:vAlign w:val="center"/>
          </w:tcPr>
          <w:p w14:paraId="4A76CB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1200</w:t>
            </w:r>
          </w:p>
        </w:tc>
        <w:tc>
          <w:tcPr>
            <w:tcW w:w="1743" w:type="dxa"/>
            <w:tcBorders>
              <w:tl2br w:val="nil"/>
              <w:tr2bl w:val="nil"/>
            </w:tcBorders>
            <w:shd w:val="clear" w:color="auto" w:fill="auto"/>
            <w:noWrap w:val="0"/>
            <w:vAlign w:val="center"/>
          </w:tcPr>
          <w:p w14:paraId="6D2D65A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待宰羊饮用水</w:t>
            </w:r>
          </w:p>
        </w:tc>
        <w:tc>
          <w:tcPr>
            <w:tcW w:w="1281" w:type="dxa"/>
            <w:tcBorders>
              <w:tl2br w:val="nil"/>
              <w:tr2bl w:val="nil"/>
            </w:tcBorders>
            <w:noWrap w:val="0"/>
            <w:vAlign w:val="center"/>
          </w:tcPr>
          <w:p w14:paraId="278D55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p>
        </w:tc>
      </w:tr>
      <w:tr w14:paraId="32C92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7" w:type="dxa"/>
            <w:tcBorders>
              <w:tl2br w:val="nil"/>
              <w:tr2bl w:val="nil"/>
            </w:tcBorders>
            <w:noWrap w:val="0"/>
            <w:vAlign w:val="center"/>
          </w:tcPr>
          <w:p w14:paraId="67BE22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4</w:t>
            </w:r>
          </w:p>
        </w:tc>
        <w:tc>
          <w:tcPr>
            <w:tcW w:w="527" w:type="dxa"/>
            <w:vMerge w:val="continue"/>
            <w:tcBorders>
              <w:tl2br w:val="nil"/>
              <w:tr2bl w:val="nil"/>
            </w:tcBorders>
            <w:noWrap w:val="0"/>
            <w:vAlign w:val="center"/>
          </w:tcPr>
          <w:p w14:paraId="7D980D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542" w:type="dxa"/>
            <w:tcBorders>
              <w:tl2br w:val="nil"/>
              <w:tr2bl w:val="nil"/>
            </w:tcBorders>
            <w:noWrap w:val="0"/>
            <w:vAlign w:val="center"/>
          </w:tcPr>
          <w:p w14:paraId="627C9E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屠宰牛用水</w:t>
            </w:r>
          </w:p>
        </w:tc>
        <w:tc>
          <w:tcPr>
            <w:tcW w:w="1350" w:type="dxa"/>
            <w:tcBorders>
              <w:tl2br w:val="nil"/>
              <w:tr2bl w:val="nil"/>
            </w:tcBorders>
            <w:noWrap w:val="0"/>
            <w:vAlign w:val="center"/>
          </w:tcPr>
          <w:p w14:paraId="768FA3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5000</w:t>
            </w:r>
          </w:p>
        </w:tc>
        <w:tc>
          <w:tcPr>
            <w:tcW w:w="1050" w:type="dxa"/>
            <w:tcBorders>
              <w:tl2br w:val="nil"/>
              <w:tr2bl w:val="nil"/>
            </w:tcBorders>
            <w:noWrap w:val="0"/>
            <w:vAlign w:val="center"/>
          </w:tcPr>
          <w:p w14:paraId="647FD7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500</w:t>
            </w:r>
          </w:p>
        </w:tc>
        <w:tc>
          <w:tcPr>
            <w:tcW w:w="1743" w:type="dxa"/>
            <w:tcBorders>
              <w:tl2br w:val="nil"/>
              <w:tr2bl w:val="nil"/>
            </w:tcBorders>
            <w:shd w:val="clear" w:color="auto" w:fill="auto"/>
            <w:noWrap w:val="0"/>
            <w:vAlign w:val="center"/>
          </w:tcPr>
          <w:p w14:paraId="0062F5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屠宰牛用水</w:t>
            </w:r>
          </w:p>
        </w:tc>
        <w:tc>
          <w:tcPr>
            <w:tcW w:w="1281" w:type="dxa"/>
            <w:tcBorders>
              <w:tl2br w:val="nil"/>
              <w:tr2bl w:val="nil"/>
            </w:tcBorders>
            <w:shd w:val="clear" w:color="auto" w:fill="auto"/>
            <w:noWrap w:val="0"/>
            <w:vAlign w:val="center"/>
          </w:tcPr>
          <w:p w14:paraId="367973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4500</w:t>
            </w:r>
          </w:p>
        </w:tc>
      </w:tr>
      <w:tr w14:paraId="68D36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7" w:type="dxa"/>
            <w:tcBorders>
              <w:tl2br w:val="nil"/>
              <w:tr2bl w:val="nil"/>
            </w:tcBorders>
            <w:noWrap w:val="0"/>
            <w:vAlign w:val="center"/>
          </w:tcPr>
          <w:p w14:paraId="51F12F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527" w:type="dxa"/>
            <w:vMerge w:val="continue"/>
            <w:tcBorders>
              <w:tl2br w:val="nil"/>
              <w:tr2bl w:val="nil"/>
            </w:tcBorders>
            <w:noWrap w:val="0"/>
            <w:vAlign w:val="center"/>
          </w:tcPr>
          <w:p w14:paraId="189656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542" w:type="dxa"/>
            <w:tcBorders>
              <w:tl2br w:val="nil"/>
              <w:tr2bl w:val="nil"/>
            </w:tcBorders>
            <w:noWrap w:val="0"/>
            <w:vAlign w:val="center"/>
          </w:tcPr>
          <w:p w14:paraId="217719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屠宰羊用水</w:t>
            </w:r>
          </w:p>
        </w:tc>
        <w:tc>
          <w:tcPr>
            <w:tcW w:w="1350" w:type="dxa"/>
            <w:tcBorders>
              <w:tl2br w:val="nil"/>
              <w:tr2bl w:val="nil"/>
            </w:tcBorders>
            <w:noWrap w:val="0"/>
            <w:vAlign w:val="center"/>
          </w:tcPr>
          <w:p w14:paraId="0419A8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15000</w:t>
            </w:r>
          </w:p>
        </w:tc>
        <w:tc>
          <w:tcPr>
            <w:tcW w:w="1050" w:type="dxa"/>
            <w:tcBorders>
              <w:tl2br w:val="nil"/>
              <w:tr2bl w:val="nil"/>
            </w:tcBorders>
            <w:noWrap w:val="0"/>
            <w:vAlign w:val="center"/>
          </w:tcPr>
          <w:p w14:paraId="0F2658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1500</w:t>
            </w:r>
          </w:p>
        </w:tc>
        <w:tc>
          <w:tcPr>
            <w:tcW w:w="1743" w:type="dxa"/>
            <w:tcBorders>
              <w:tl2br w:val="nil"/>
              <w:tr2bl w:val="nil"/>
            </w:tcBorders>
            <w:shd w:val="clear" w:color="auto" w:fill="auto"/>
            <w:noWrap w:val="0"/>
            <w:vAlign w:val="center"/>
          </w:tcPr>
          <w:p w14:paraId="21B47D6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屠宰羊用水</w:t>
            </w:r>
          </w:p>
        </w:tc>
        <w:tc>
          <w:tcPr>
            <w:tcW w:w="1281" w:type="dxa"/>
            <w:tcBorders>
              <w:tl2br w:val="nil"/>
              <w:tr2bl w:val="nil"/>
            </w:tcBorders>
            <w:shd w:val="clear" w:color="auto" w:fill="auto"/>
            <w:noWrap w:val="0"/>
            <w:vAlign w:val="center"/>
          </w:tcPr>
          <w:p w14:paraId="7D2070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13500</w:t>
            </w:r>
          </w:p>
        </w:tc>
      </w:tr>
      <w:tr w14:paraId="0B972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7" w:type="dxa"/>
            <w:tcBorders>
              <w:tl2br w:val="nil"/>
              <w:tr2bl w:val="nil"/>
            </w:tcBorders>
            <w:noWrap w:val="0"/>
            <w:vAlign w:val="center"/>
          </w:tcPr>
          <w:p w14:paraId="71586CF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527" w:type="dxa"/>
            <w:vMerge w:val="continue"/>
            <w:tcBorders>
              <w:tl2br w:val="nil"/>
              <w:tr2bl w:val="nil"/>
            </w:tcBorders>
            <w:noWrap w:val="0"/>
            <w:vAlign w:val="center"/>
          </w:tcPr>
          <w:p w14:paraId="62458E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542" w:type="dxa"/>
            <w:tcBorders>
              <w:tl2br w:val="nil"/>
              <w:tr2bl w:val="nil"/>
            </w:tcBorders>
            <w:noWrap w:val="0"/>
            <w:vAlign w:val="center"/>
          </w:tcPr>
          <w:p w14:paraId="5454B5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车辆冲洗用水</w:t>
            </w:r>
          </w:p>
        </w:tc>
        <w:tc>
          <w:tcPr>
            <w:tcW w:w="1350" w:type="dxa"/>
            <w:tcBorders>
              <w:tl2br w:val="nil"/>
              <w:tr2bl w:val="nil"/>
            </w:tcBorders>
            <w:noWrap w:val="0"/>
            <w:vAlign w:val="center"/>
          </w:tcPr>
          <w:p w14:paraId="36FF82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453.2</w:t>
            </w:r>
          </w:p>
        </w:tc>
        <w:tc>
          <w:tcPr>
            <w:tcW w:w="1050" w:type="dxa"/>
            <w:tcBorders>
              <w:tl2br w:val="nil"/>
              <w:tr2bl w:val="nil"/>
            </w:tcBorders>
            <w:noWrap w:val="0"/>
            <w:vAlign w:val="center"/>
          </w:tcPr>
          <w:p w14:paraId="39CE5E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45.32</w:t>
            </w:r>
          </w:p>
        </w:tc>
        <w:tc>
          <w:tcPr>
            <w:tcW w:w="1743" w:type="dxa"/>
            <w:tcBorders>
              <w:tl2br w:val="nil"/>
              <w:tr2bl w:val="nil"/>
            </w:tcBorders>
            <w:shd w:val="clear" w:color="auto" w:fill="auto"/>
            <w:noWrap w:val="0"/>
            <w:vAlign w:val="center"/>
          </w:tcPr>
          <w:p w14:paraId="48BA9D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车辆冲洗</w:t>
            </w:r>
          </w:p>
        </w:tc>
        <w:tc>
          <w:tcPr>
            <w:tcW w:w="1281" w:type="dxa"/>
            <w:tcBorders>
              <w:tl2br w:val="nil"/>
              <w:tr2bl w:val="nil"/>
            </w:tcBorders>
            <w:shd w:val="clear" w:color="auto" w:fill="auto"/>
            <w:noWrap w:val="0"/>
            <w:vAlign w:val="center"/>
          </w:tcPr>
          <w:p w14:paraId="23222F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407.88</w:t>
            </w:r>
          </w:p>
        </w:tc>
      </w:tr>
      <w:tr w14:paraId="387D9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7" w:type="dxa"/>
            <w:tcBorders>
              <w:tl2br w:val="nil"/>
              <w:tr2bl w:val="nil"/>
            </w:tcBorders>
            <w:noWrap w:val="0"/>
            <w:vAlign w:val="center"/>
          </w:tcPr>
          <w:p w14:paraId="34238B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w:t>
            </w:r>
          </w:p>
        </w:tc>
        <w:tc>
          <w:tcPr>
            <w:tcW w:w="2069" w:type="dxa"/>
            <w:gridSpan w:val="2"/>
            <w:tcBorders>
              <w:tl2br w:val="nil"/>
              <w:tr2bl w:val="nil"/>
            </w:tcBorders>
            <w:noWrap w:val="0"/>
            <w:vAlign w:val="center"/>
          </w:tcPr>
          <w:p w14:paraId="16E8E1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绿化用水</w:t>
            </w:r>
          </w:p>
        </w:tc>
        <w:tc>
          <w:tcPr>
            <w:tcW w:w="1350" w:type="dxa"/>
            <w:tcBorders>
              <w:tl2br w:val="nil"/>
              <w:tr2bl w:val="nil"/>
            </w:tcBorders>
            <w:noWrap w:val="0"/>
            <w:vAlign w:val="center"/>
          </w:tcPr>
          <w:p w14:paraId="4A65E1B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70</w:t>
            </w:r>
          </w:p>
        </w:tc>
        <w:tc>
          <w:tcPr>
            <w:tcW w:w="1050" w:type="dxa"/>
            <w:tcBorders>
              <w:tl2br w:val="nil"/>
              <w:tr2bl w:val="nil"/>
            </w:tcBorders>
            <w:noWrap w:val="0"/>
            <w:vAlign w:val="center"/>
          </w:tcPr>
          <w:p w14:paraId="144E38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70</w:t>
            </w:r>
          </w:p>
        </w:tc>
        <w:tc>
          <w:tcPr>
            <w:tcW w:w="1743" w:type="dxa"/>
            <w:tcBorders>
              <w:tl2br w:val="nil"/>
              <w:tr2bl w:val="nil"/>
            </w:tcBorders>
            <w:noWrap w:val="0"/>
            <w:vAlign w:val="center"/>
          </w:tcPr>
          <w:p w14:paraId="7269C64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绿化用水</w:t>
            </w:r>
          </w:p>
        </w:tc>
        <w:tc>
          <w:tcPr>
            <w:tcW w:w="1281" w:type="dxa"/>
            <w:tcBorders>
              <w:tl2br w:val="nil"/>
              <w:tr2bl w:val="nil"/>
            </w:tcBorders>
            <w:noWrap w:val="0"/>
            <w:vAlign w:val="center"/>
          </w:tcPr>
          <w:p w14:paraId="0CA9937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p>
        </w:tc>
      </w:tr>
      <w:tr w14:paraId="60383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6" w:type="dxa"/>
            <w:gridSpan w:val="3"/>
            <w:tcBorders>
              <w:tl2br w:val="nil"/>
              <w:tr2bl w:val="nil"/>
            </w:tcBorders>
            <w:noWrap w:val="0"/>
            <w:vAlign w:val="center"/>
          </w:tcPr>
          <w:p w14:paraId="77DDC3F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合计</w:t>
            </w:r>
          </w:p>
        </w:tc>
        <w:tc>
          <w:tcPr>
            <w:tcW w:w="1350" w:type="dxa"/>
            <w:tcBorders>
              <w:tl2br w:val="nil"/>
              <w:tr2bl w:val="nil"/>
            </w:tcBorders>
            <w:noWrap w:val="0"/>
            <w:vAlign w:val="center"/>
          </w:tcPr>
          <w:p w14:paraId="63C256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22873.2</w:t>
            </w:r>
          </w:p>
        </w:tc>
        <w:tc>
          <w:tcPr>
            <w:tcW w:w="1050" w:type="dxa"/>
            <w:tcBorders>
              <w:tl2br w:val="nil"/>
              <w:tr2bl w:val="nil"/>
            </w:tcBorders>
            <w:noWrap w:val="0"/>
            <w:vAlign w:val="center"/>
          </w:tcPr>
          <w:p w14:paraId="3125608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3945.32</w:t>
            </w:r>
          </w:p>
        </w:tc>
        <w:tc>
          <w:tcPr>
            <w:tcW w:w="1743" w:type="dxa"/>
            <w:tcBorders>
              <w:tl2br w:val="nil"/>
              <w:tr2bl w:val="nil"/>
            </w:tcBorders>
            <w:noWrap w:val="0"/>
            <w:vAlign w:val="center"/>
          </w:tcPr>
          <w:p w14:paraId="53CE45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81" w:type="dxa"/>
            <w:tcBorders>
              <w:tl2br w:val="nil"/>
              <w:tr2bl w:val="nil"/>
            </w:tcBorders>
            <w:noWrap w:val="0"/>
            <w:vAlign w:val="center"/>
          </w:tcPr>
          <w:p w14:paraId="3237F2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18927.88</w:t>
            </w:r>
          </w:p>
        </w:tc>
      </w:tr>
    </w:tbl>
    <w:p w14:paraId="660C702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p>
    <w:p w14:paraId="39442379">
      <w:pPr>
        <w:pageBreakBefore w:val="0"/>
        <w:kinsoku/>
        <w:wordWrap/>
        <w:topLinePunct w:val="0"/>
        <w:bidi w:val="0"/>
        <w:adjustRightInd/>
        <w:snapToGrid/>
        <w:ind w:left="0" w:leftChars="0" w:firstLine="0" w:firstLineChars="0"/>
        <w:jc w:val="center"/>
        <w:rPr>
          <w:rFonts w:hint="default" w:ascii="Times New Roman" w:hAnsi="Times New Roman" w:eastAsia="宋体" w:cs="Times New Roman"/>
          <w:color w:val="auto"/>
          <w:sz w:val="24"/>
          <w:szCs w:val="24"/>
        </w:rPr>
      </w:pPr>
      <w:r>
        <w:rPr>
          <w:rFonts w:hint="eastAsia" w:ascii="Times New Roman" w:hAnsi="Times New Roman"/>
          <w:color w:val="auto"/>
        </w:rPr>
        <w:object>
          <v:shape id="_x0000_i1027" o:spt="75" type="#_x0000_t75" style="height:444.45pt;width:441.6pt;" o:ole="t" filled="f" o:preferrelative="t" stroked="f" coordsize="21600,21600">
            <v:path/>
            <v:fill on="f" focussize="0,0"/>
            <v:stroke on="f"/>
            <v:imagedata r:id="rId51" o:title=""/>
            <o:lock v:ext="edit" aspectratio="f"/>
            <w10:wrap type="none"/>
            <w10:anchorlock/>
          </v:shape>
          <o:OLEObject Type="Embed" ProgID="Visio.Drawing.15" ShapeID="_x0000_i1027" DrawAspect="Content" ObjectID="_1468075728" r:id="rId50">
            <o:LockedField>false</o:LockedField>
          </o:OLEObject>
        </w:object>
      </w:r>
      <w:r>
        <w:rPr>
          <w:rFonts w:hint="default" w:ascii="Times New Roman" w:hAnsi="Times New Roman" w:eastAsia="宋体" w:cs="Times New Roman"/>
          <w:color w:val="auto"/>
          <w:sz w:val="24"/>
          <w:szCs w:val="24"/>
          <w:lang w:eastAsia="zh-CN"/>
        </w:rPr>
        <w:t>图</w:t>
      </w:r>
      <w:r>
        <w:rPr>
          <w:rFonts w:hint="default" w:ascii="Times New Roman" w:hAnsi="Times New Roman" w:eastAsia="宋体" w:cs="Times New Roman"/>
          <w:color w:val="auto"/>
          <w:sz w:val="24"/>
          <w:szCs w:val="24"/>
          <w:lang w:val="en-US" w:eastAsia="zh-CN"/>
        </w:rPr>
        <w:t>2.1-3</w:t>
      </w:r>
      <w:r>
        <w:rPr>
          <w:rFonts w:hint="default"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b/>
          <w:color w:val="auto"/>
          <w:sz w:val="24"/>
          <w:szCs w:val="24"/>
        </w:rPr>
        <w:t xml:space="preserve">本项目水平衡图         </w:t>
      </w:r>
      <w:r>
        <w:rPr>
          <w:rFonts w:hint="default" w:ascii="Times New Roman" w:hAnsi="Times New Roman" w:eastAsia="宋体" w:cs="Times New Roman"/>
          <w:color w:val="auto"/>
          <w:sz w:val="24"/>
          <w:szCs w:val="24"/>
        </w:rPr>
        <w:t>单位：m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a</w:t>
      </w:r>
    </w:p>
    <w:p w14:paraId="7B03AE5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2.1.6.2供电</w:t>
      </w:r>
    </w:p>
    <w:p w14:paraId="578D6EAD">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eastAsia="仿宋_GB2312" w:cs="Times New Roman"/>
          <w:color w:val="auto"/>
          <w:sz w:val="24"/>
          <w:highlight w:val="none"/>
          <w:lang w:val="zh-CN"/>
        </w:rPr>
      </w:pPr>
      <w:r>
        <w:rPr>
          <w:rFonts w:hint="default" w:ascii="Times New Roman" w:hAnsi="Times New Roman" w:eastAsia="仿宋_GB2312" w:cs="Times New Roman"/>
          <w:color w:val="auto"/>
          <w:sz w:val="24"/>
          <w:highlight w:val="none"/>
        </w:rPr>
        <w:t>本项目供电由</w:t>
      </w:r>
      <w:r>
        <w:rPr>
          <w:rFonts w:hint="eastAsia" w:ascii="Times New Roman" w:hAnsi="Times New Roman" w:cs="Times New Roman"/>
          <w:color w:val="auto"/>
          <w:sz w:val="24"/>
          <w:highlight w:val="none"/>
          <w:lang w:val="en-US" w:eastAsia="zh-CN"/>
        </w:rPr>
        <w:t>园区供电电网统一</w:t>
      </w:r>
      <w:r>
        <w:rPr>
          <w:rFonts w:hint="default" w:ascii="Times New Roman" w:hAnsi="Times New Roman" w:eastAsia="仿宋_GB2312" w:cs="Times New Roman"/>
          <w:color w:val="auto"/>
          <w:sz w:val="24"/>
          <w:highlight w:val="none"/>
        </w:rPr>
        <w:t>提供。</w:t>
      </w:r>
    </w:p>
    <w:p w14:paraId="218206E7">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2.1.6.3供暖及通风</w:t>
      </w:r>
    </w:p>
    <w:p w14:paraId="3467428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lang w:val="zh-CN"/>
        </w:rPr>
        <w:t>供暖：本项目办公区及生产车间</w:t>
      </w:r>
      <w:r>
        <w:rPr>
          <w:rFonts w:hint="eastAsia" w:ascii="Times New Roman" w:hAnsi="Times New Roman" w:cs="Times New Roman"/>
          <w:color w:val="auto"/>
          <w:sz w:val="24"/>
          <w:highlight w:val="none"/>
          <w:lang w:val="en-US" w:eastAsia="zh-CN"/>
        </w:rPr>
        <w:t>由园区供暖管网统一提供</w:t>
      </w:r>
      <w:r>
        <w:rPr>
          <w:rFonts w:hint="default" w:ascii="Times New Roman" w:hAnsi="Times New Roman" w:eastAsia="仿宋_GB2312" w:cs="Times New Roman"/>
          <w:color w:val="auto"/>
          <w:sz w:val="24"/>
          <w:highlight w:val="none"/>
        </w:rPr>
        <w:t>。</w:t>
      </w:r>
    </w:p>
    <w:p w14:paraId="377A16B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通风：本项目屠宰</w:t>
      </w:r>
      <w:r>
        <w:rPr>
          <w:rFonts w:hint="eastAsia" w:cs="Times New Roman"/>
          <w:color w:val="auto"/>
          <w:sz w:val="24"/>
          <w:highlight w:val="none"/>
          <w:lang w:val="en-US" w:eastAsia="zh-CN"/>
        </w:rPr>
        <w:t>加工</w:t>
      </w:r>
      <w:r>
        <w:rPr>
          <w:rFonts w:hint="default" w:ascii="Times New Roman" w:hAnsi="Times New Roman" w:eastAsia="仿宋_GB2312" w:cs="Times New Roman"/>
          <w:color w:val="auto"/>
          <w:sz w:val="24"/>
          <w:highlight w:val="none"/>
        </w:rPr>
        <w:t>车间设置机械通风</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可以加强屠宰</w:t>
      </w:r>
      <w:r>
        <w:rPr>
          <w:rFonts w:hint="eastAsia" w:ascii="Times New Roman" w:hAnsi="Times New Roman" w:cs="Times New Roman"/>
          <w:color w:val="auto"/>
          <w:sz w:val="24"/>
          <w:highlight w:val="none"/>
          <w:lang w:val="en-US" w:eastAsia="zh-CN"/>
        </w:rPr>
        <w:t>加工</w:t>
      </w:r>
      <w:r>
        <w:rPr>
          <w:rFonts w:hint="default" w:ascii="Times New Roman" w:hAnsi="Times New Roman" w:eastAsia="仿宋_GB2312" w:cs="Times New Roman"/>
          <w:color w:val="auto"/>
          <w:sz w:val="24"/>
          <w:highlight w:val="none"/>
        </w:rPr>
        <w:t>车间内空气流动，改善屠宰</w:t>
      </w:r>
      <w:r>
        <w:rPr>
          <w:rFonts w:hint="eastAsia" w:ascii="Times New Roman" w:hAnsi="Times New Roman" w:cs="Times New Roman"/>
          <w:color w:val="auto"/>
          <w:sz w:val="24"/>
          <w:highlight w:val="none"/>
          <w:lang w:val="en-US" w:eastAsia="zh-CN"/>
        </w:rPr>
        <w:t>加工</w:t>
      </w:r>
      <w:r>
        <w:rPr>
          <w:rFonts w:hint="default" w:ascii="Times New Roman" w:hAnsi="Times New Roman" w:eastAsia="仿宋_GB2312" w:cs="Times New Roman"/>
          <w:color w:val="auto"/>
          <w:sz w:val="24"/>
          <w:highlight w:val="none"/>
        </w:rPr>
        <w:t>车间内空气环境。</w:t>
      </w:r>
    </w:p>
    <w:p w14:paraId="71C69689">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2.1.6.4制冷</w:t>
      </w:r>
    </w:p>
    <w:p w14:paraId="26C4A4A2">
      <w:pPr>
        <w:keepNext w:val="0"/>
        <w:keepLines w:val="0"/>
        <w:pageBreakBefore w:val="0"/>
        <w:widowControl w:val="0"/>
        <w:kinsoku/>
        <w:wordWrap/>
        <w:overflowPunct/>
        <w:topLinePunct w:val="0"/>
        <w:autoSpaceDE/>
        <w:autoSpaceDN/>
        <w:bidi w:val="0"/>
        <w:adjustRightInd/>
        <w:snapToGrid/>
        <w:spacing w:line="372" w:lineRule="auto"/>
        <w:ind w:left="0" w:leftChars="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本工程属于屠宰加工项目，综合考虑制冷系统安全、节能、环保及节省后期运行费用等方面，屠宰</w:t>
      </w:r>
      <w:r>
        <w:rPr>
          <w:rFonts w:hint="default" w:ascii="Times New Roman" w:hAnsi="Times New Roman" w:eastAsia="仿宋_GB2312" w:cs="Times New Roman"/>
          <w:color w:val="auto"/>
          <w:sz w:val="24"/>
          <w:highlight w:val="none"/>
          <w:lang w:val="en-US" w:eastAsia="zh-CN"/>
        </w:rPr>
        <w:t>加工</w:t>
      </w:r>
      <w:r>
        <w:rPr>
          <w:rFonts w:hint="default" w:ascii="Times New Roman" w:hAnsi="Times New Roman" w:eastAsia="仿宋_GB2312" w:cs="Times New Roman"/>
          <w:color w:val="auto"/>
          <w:sz w:val="24"/>
          <w:highlight w:val="none"/>
        </w:rPr>
        <w:t>车间采用R</w:t>
      </w:r>
      <w:r>
        <w:rPr>
          <w:rFonts w:hint="default" w:ascii="Times New Roman" w:hAnsi="Times New Roman" w:eastAsia="仿宋_GB2312" w:cs="Times New Roman"/>
          <w:color w:val="auto"/>
          <w:sz w:val="24"/>
          <w:highlight w:val="none"/>
          <w:lang w:val="en-US" w:eastAsia="zh-CN"/>
        </w:rPr>
        <w:t>507</w:t>
      </w:r>
      <w:r>
        <w:rPr>
          <w:rFonts w:hint="default" w:ascii="Times New Roman" w:hAnsi="Times New Roman" w:eastAsia="仿宋_GB2312" w:cs="Times New Roman"/>
          <w:color w:val="auto"/>
          <w:sz w:val="24"/>
          <w:highlight w:val="none"/>
        </w:rPr>
        <w:t>制冷系统，-35℃冷藏库</w:t>
      </w:r>
      <w:r>
        <w:rPr>
          <w:rFonts w:hint="eastAsia" w:ascii="Times New Roman" w:hAnsi="Times New Roman" w:cs="Times New Roman"/>
          <w:color w:val="auto"/>
          <w:sz w:val="24"/>
          <w:highlight w:val="none"/>
          <w:lang w:val="en-US" w:eastAsia="zh-CN"/>
        </w:rPr>
        <w:t>、速冻库</w:t>
      </w:r>
      <w:r>
        <w:rPr>
          <w:rFonts w:hint="default" w:ascii="Times New Roman" w:hAnsi="Times New Roman" w:eastAsia="仿宋_GB2312" w:cs="Times New Roman"/>
          <w:color w:val="auto"/>
          <w:sz w:val="24"/>
          <w:highlight w:val="none"/>
        </w:rPr>
        <w:t>采用R</w:t>
      </w:r>
      <w:r>
        <w:rPr>
          <w:rFonts w:hint="default" w:ascii="Times New Roman" w:hAnsi="Times New Roman" w:eastAsia="仿宋_GB2312" w:cs="Times New Roman"/>
          <w:color w:val="auto"/>
          <w:sz w:val="24"/>
          <w:highlight w:val="none"/>
          <w:lang w:val="en-US" w:eastAsia="zh-CN"/>
        </w:rPr>
        <w:t>507</w:t>
      </w:r>
      <w:r>
        <w:rPr>
          <w:rFonts w:hint="default" w:ascii="Times New Roman" w:hAnsi="Times New Roman" w:eastAsia="仿宋_GB2312" w:cs="Times New Roman"/>
          <w:color w:val="auto"/>
          <w:sz w:val="24"/>
          <w:highlight w:val="none"/>
        </w:rPr>
        <w:t>制冷系统，0~4℃排酸库采用R</w:t>
      </w:r>
      <w:r>
        <w:rPr>
          <w:rFonts w:hint="default" w:ascii="Times New Roman" w:hAnsi="Times New Roman" w:eastAsia="仿宋_GB2312" w:cs="Times New Roman"/>
          <w:color w:val="auto"/>
          <w:sz w:val="24"/>
          <w:highlight w:val="none"/>
          <w:lang w:val="en-US" w:eastAsia="zh-CN"/>
        </w:rPr>
        <w:t>507</w:t>
      </w:r>
      <w:r>
        <w:rPr>
          <w:rFonts w:hint="default" w:ascii="Times New Roman" w:hAnsi="Times New Roman" w:eastAsia="仿宋_GB2312" w:cs="Times New Roman"/>
          <w:color w:val="auto"/>
          <w:sz w:val="24"/>
          <w:highlight w:val="none"/>
        </w:rPr>
        <w:t>载冷式制冷系统。</w:t>
      </w:r>
    </w:p>
    <w:p w14:paraId="58842B1C">
      <w:pPr>
        <w:pStyle w:val="23"/>
        <w:keepNext w:val="0"/>
        <w:keepLines w:val="0"/>
        <w:pageBreakBefore w:val="0"/>
        <w:widowControl w:val="0"/>
        <w:kinsoku/>
        <w:wordWrap/>
        <w:overflowPunct/>
        <w:topLinePunct w:val="0"/>
        <w:autoSpaceDE/>
        <w:autoSpaceDN/>
        <w:bidi w:val="0"/>
        <w:adjustRightInd/>
        <w:snapToGrid/>
        <w:spacing w:after="0" w:line="372"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2.1.</w:t>
      </w:r>
      <w:r>
        <w:rPr>
          <w:rFonts w:hint="eastAsia" w:eastAsia="黑体" w:cs="Times New Roman"/>
          <w:b/>
          <w:bCs w:val="0"/>
          <w:color w:val="auto"/>
          <w:sz w:val="28"/>
          <w:szCs w:val="28"/>
          <w:lang w:val="en-US" w:eastAsia="zh-CN"/>
        </w:rPr>
        <w:t>7</w:t>
      </w:r>
      <w:r>
        <w:rPr>
          <w:rFonts w:hint="default" w:ascii="Times New Roman" w:hAnsi="Times New Roman" w:eastAsia="黑体" w:cs="Times New Roman"/>
          <w:b/>
          <w:bCs w:val="0"/>
          <w:color w:val="auto"/>
          <w:sz w:val="28"/>
          <w:szCs w:val="28"/>
          <w:lang w:val="en-US" w:eastAsia="zh-CN"/>
        </w:rPr>
        <w:t>厂区平面布置</w:t>
      </w:r>
    </w:p>
    <w:p w14:paraId="66C7A5AD">
      <w:pPr>
        <w:keepNext w:val="0"/>
        <w:keepLines w:val="0"/>
        <w:pageBreakBefore w:val="0"/>
        <w:widowControl w:val="0"/>
        <w:kinsoku/>
        <w:wordWrap/>
        <w:overflowPunct/>
        <w:topLinePunct w:val="0"/>
        <w:autoSpaceDE/>
        <w:autoSpaceDN/>
        <w:bidi w:val="0"/>
        <w:adjustRightInd/>
        <w:snapToGrid/>
        <w:spacing w:line="372" w:lineRule="auto"/>
        <w:ind w:left="0" w:leftChars="0"/>
        <w:textAlignment w:val="auto"/>
        <w:rPr>
          <w:rFonts w:hint="eastAsia" w:eastAsia="仿宋_GB2312"/>
          <w:lang w:eastAsia="zh-CN"/>
        </w:rPr>
      </w:pPr>
      <w:r>
        <w:rPr>
          <w:rFonts w:hint="eastAsia"/>
          <w:color w:val="auto"/>
          <w:lang w:eastAsia="zh-CN"/>
        </w:rPr>
        <w:t>本项目建设地点位于</w:t>
      </w:r>
      <w:r>
        <w:rPr>
          <w:rFonts w:hint="eastAsia" w:ascii="Times New Roman" w:hAnsi="Times New Roman"/>
          <w:color w:val="auto"/>
          <w:lang w:eastAsia="zh-CN"/>
        </w:rPr>
        <w:t>固原经济开发区轻工产业园</w:t>
      </w:r>
      <w:r>
        <w:rPr>
          <w:rFonts w:hint="eastAsia" w:cs="Times New Roman"/>
          <w:color w:val="auto"/>
          <w:kern w:val="2"/>
          <w:sz w:val="24"/>
          <w:szCs w:val="24"/>
          <w:lang w:val="en-US" w:eastAsia="zh-CN" w:bidi="ar-SA"/>
        </w:rPr>
        <w:t>（中河乡）</w:t>
      </w:r>
      <w:r>
        <w:rPr>
          <w:rFonts w:hint="eastAsia"/>
          <w:color w:val="auto"/>
          <w:lang w:val="en-US" w:eastAsia="zh-CN"/>
        </w:rPr>
        <w:t>，主要建设内容包括屠宰加工车间、门卫及检疫室、研发中心等。总平面布置依据使用功能与卫生要求等因素，将性质相同、功能相近、联系密切且对环境要求相对一致的建筑物及设施进行功能分区，主要划分为生产区和生活管理区。</w:t>
      </w:r>
    </w:p>
    <w:p w14:paraId="43893FFA">
      <w:pPr>
        <w:keepNext w:val="0"/>
        <w:keepLines w:val="0"/>
        <w:pageBreakBefore w:val="0"/>
        <w:widowControl w:val="0"/>
        <w:numPr>
          <w:ilvl w:val="0"/>
          <w:numId w:val="0"/>
        </w:numPr>
        <w:kinsoku/>
        <w:wordWrap/>
        <w:overflowPunct/>
        <w:topLinePunct w:val="0"/>
        <w:autoSpaceDE/>
        <w:autoSpaceDN/>
        <w:bidi w:val="0"/>
        <w:adjustRightInd/>
        <w:snapToGrid/>
        <w:spacing w:line="372" w:lineRule="auto"/>
        <w:ind w:left="0" w:leftChars="0" w:firstLine="480" w:firstLineChars="200"/>
        <w:textAlignment w:val="auto"/>
        <w:rPr>
          <w:rFonts w:hint="eastAsia" w:eastAsia="仿宋_GB2312"/>
          <w:lang w:eastAsia="zh-CN"/>
        </w:rPr>
      </w:pPr>
      <w:r>
        <w:rPr>
          <w:rFonts w:hint="eastAsia"/>
          <w:color w:val="auto"/>
          <w:lang w:eastAsia="zh-CN"/>
        </w:rPr>
        <w:t>（</w:t>
      </w:r>
      <w:r>
        <w:rPr>
          <w:rFonts w:hint="eastAsia"/>
          <w:color w:val="auto"/>
          <w:lang w:val="en-US" w:eastAsia="zh-CN"/>
        </w:rPr>
        <w:t>1）生产区：屠宰加工车间内设有待宰区、屠宰及分割区、冷藏库区、人员卫生用房区、参观走道及辅助用房区五个功能分区。其中待宰区位于夏季主导风向下风向，配备卸畜站台、赶畜道、检疫间、接收栏、待宰圈、隔离间等设施。生产区还包含屠宰加工车间、污水处理站、消防水池及泵房等建设内容。</w:t>
      </w:r>
    </w:p>
    <w:p w14:paraId="0B89271F">
      <w:pPr>
        <w:keepNext w:val="0"/>
        <w:keepLines w:val="0"/>
        <w:pageBreakBefore w:val="0"/>
        <w:widowControl w:val="0"/>
        <w:kinsoku/>
        <w:wordWrap/>
        <w:overflowPunct/>
        <w:topLinePunct w:val="0"/>
        <w:autoSpaceDE/>
        <w:autoSpaceDN/>
        <w:bidi w:val="0"/>
        <w:adjustRightInd/>
        <w:snapToGrid/>
        <w:spacing w:line="372" w:lineRule="auto"/>
        <w:ind w:left="0" w:leftChars="0"/>
        <w:textAlignment w:val="auto"/>
        <w:rPr>
          <w:rFonts w:hint="eastAsia" w:eastAsia="仿宋_GB2312"/>
          <w:lang w:eastAsia="zh-CN"/>
        </w:rPr>
      </w:pPr>
      <w:r>
        <w:rPr>
          <w:rFonts w:hint="eastAsia"/>
          <w:color w:val="auto"/>
          <w:lang w:eastAsia="zh-CN"/>
        </w:rPr>
        <w:t>（</w:t>
      </w:r>
      <w:r>
        <w:rPr>
          <w:rFonts w:hint="eastAsia"/>
          <w:color w:val="auto"/>
          <w:lang w:val="en-US" w:eastAsia="zh-CN"/>
        </w:rPr>
        <w:t>2）生活管理区：建有研发中心，整体位于厂区南侧，与生产区分隔开。且处于生产区的上风向，可有效降低恶臭对生活管理区的影响。</w:t>
      </w:r>
    </w:p>
    <w:p w14:paraId="6CC4F7A2">
      <w:pPr>
        <w:keepNext w:val="0"/>
        <w:keepLines w:val="0"/>
        <w:pageBreakBefore w:val="0"/>
        <w:widowControl w:val="0"/>
        <w:kinsoku/>
        <w:wordWrap/>
        <w:overflowPunct/>
        <w:topLinePunct w:val="0"/>
        <w:autoSpaceDE/>
        <w:autoSpaceDN/>
        <w:bidi w:val="0"/>
        <w:adjustRightInd/>
        <w:snapToGrid/>
        <w:spacing w:line="372" w:lineRule="auto"/>
        <w:ind w:left="0" w:leftChars="0"/>
        <w:textAlignment w:val="auto"/>
        <w:rPr>
          <w:rFonts w:hint="eastAsia"/>
          <w:color w:val="auto"/>
        </w:rPr>
      </w:pPr>
      <w:r>
        <w:rPr>
          <w:rFonts w:hint="eastAsia"/>
          <w:color w:val="auto"/>
        </w:rPr>
        <w:t>项目总平面布置以满足相关技术规范为前提，以保障工艺流程畅通、工艺管线短捷、分区明确、间距合理、管线短截、运输方便</w:t>
      </w:r>
      <w:r>
        <w:rPr>
          <w:rFonts w:hint="eastAsia"/>
          <w:color w:val="auto"/>
          <w:lang w:eastAsia="zh-CN"/>
        </w:rPr>
        <w:t>、</w:t>
      </w:r>
      <w:r>
        <w:rPr>
          <w:rFonts w:hint="eastAsia"/>
          <w:color w:val="auto"/>
        </w:rPr>
        <w:t>符合环保、安全、卫生、消防相关要求为原则，在充分考虑区域地形、地貌及主导风向等自然因素及周边社会环境组成条件的基础上，将生产区按照生产功能分为生产车间、公用工程区及办公区等，根据各工序生产性质，力求工艺流向合理。</w:t>
      </w:r>
    </w:p>
    <w:p w14:paraId="2756696E">
      <w:pPr>
        <w:keepNext w:val="0"/>
        <w:keepLines w:val="0"/>
        <w:pageBreakBefore w:val="0"/>
        <w:widowControl w:val="0"/>
        <w:kinsoku/>
        <w:wordWrap/>
        <w:overflowPunct/>
        <w:topLinePunct w:val="0"/>
        <w:autoSpaceDE/>
        <w:autoSpaceDN/>
        <w:bidi w:val="0"/>
        <w:adjustRightInd/>
        <w:snapToGrid/>
        <w:spacing w:line="372" w:lineRule="auto"/>
        <w:ind w:left="0" w:leftChars="0"/>
        <w:textAlignment w:val="auto"/>
        <w:rPr>
          <w:rFonts w:hint="eastAsia"/>
          <w:color w:val="auto"/>
        </w:rPr>
      </w:pPr>
      <w:r>
        <w:rPr>
          <w:rFonts w:hint="eastAsia"/>
          <w:color w:val="auto"/>
        </w:rPr>
        <w:t>根据固原市多年地面气象观测统计资料可知，项目区域主导风向为SE。项目生产区不在生活办公区的上风向。项目原料供应系统、生产系统紧邻，方便了原料、产品的运输，且减少运输环节产生的物料损失。因此，项目平面布局合理。项目总平面布置见图2.1-</w:t>
      </w:r>
      <w:r>
        <w:rPr>
          <w:rFonts w:hint="eastAsia"/>
          <w:color w:val="auto"/>
          <w:lang w:val="en-US" w:eastAsia="zh-CN"/>
        </w:rPr>
        <w:t>4，屠宰加工车间平面布置图见图2.1-5</w:t>
      </w:r>
      <w:r>
        <w:rPr>
          <w:rFonts w:hint="eastAsia"/>
          <w:color w:val="auto"/>
        </w:rPr>
        <w:t>。</w:t>
      </w:r>
    </w:p>
    <w:p w14:paraId="0DF586F9">
      <w:pPr>
        <w:pStyle w:val="23"/>
        <w:keepNext w:val="0"/>
        <w:keepLines w:val="0"/>
        <w:pageBreakBefore w:val="0"/>
        <w:widowControl w:val="0"/>
        <w:kinsoku/>
        <w:wordWrap/>
        <w:overflowPunct/>
        <w:topLinePunct w:val="0"/>
        <w:autoSpaceDE/>
        <w:autoSpaceDN/>
        <w:bidi w:val="0"/>
        <w:adjustRightInd/>
        <w:snapToGrid/>
        <w:spacing w:after="0" w:line="372"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2.1.</w:t>
      </w:r>
      <w:r>
        <w:rPr>
          <w:rFonts w:hint="eastAsia" w:eastAsia="黑体" w:cs="Times New Roman"/>
          <w:b/>
          <w:bCs w:val="0"/>
          <w:color w:val="auto"/>
          <w:sz w:val="28"/>
          <w:szCs w:val="28"/>
          <w:lang w:val="en-US" w:eastAsia="zh-CN"/>
        </w:rPr>
        <w:t>8</w:t>
      </w:r>
      <w:r>
        <w:rPr>
          <w:rFonts w:hint="default" w:ascii="Times New Roman" w:hAnsi="Times New Roman" w:eastAsia="黑体" w:cs="Times New Roman"/>
          <w:b/>
          <w:bCs w:val="0"/>
          <w:color w:val="auto"/>
          <w:sz w:val="28"/>
          <w:szCs w:val="28"/>
          <w:lang w:val="en-US" w:eastAsia="zh-CN"/>
        </w:rPr>
        <w:t>道路运输</w:t>
      </w:r>
    </w:p>
    <w:p w14:paraId="5BBF4C94">
      <w:pPr>
        <w:keepNext w:val="0"/>
        <w:keepLines w:val="0"/>
        <w:pageBreakBefore w:val="0"/>
        <w:widowControl w:val="0"/>
        <w:kinsoku/>
        <w:wordWrap/>
        <w:overflowPunct/>
        <w:topLinePunct w:val="0"/>
        <w:autoSpaceDE/>
        <w:autoSpaceDN/>
        <w:bidi w:val="0"/>
        <w:adjustRightInd/>
        <w:snapToGrid/>
        <w:spacing w:line="372" w:lineRule="auto"/>
        <w:ind w:left="0" w:leftChars="0"/>
        <w:textAlignment w:val="auto"/>
        <w:rPr>
          <w:rFonts w:hint="default" w:ascii="Times New Roman" w:hAnsi="Times New Roman" w:eastAsia="仿宋_GB2312" w:cs="Times New Roman"/>
          <w:color w:val="auto"/>
          <w:sz w:val="24"/>
          <w:highlight w:val="none"/>
          <w:lang w:val="zh-CN"/>
        </w:rPr>
      </w:pPr>
      <w:r>
        <w:rPr>
          <w:rFonts w:hint="default" w:ascii="Times New Roman" w:hAnsi="Times New Roman" w:eastAsia="仿宋_GB2312" w:cs="Times New Roman"/>
          <w:color w:val="auto"/>
          <w:sz w:val="24"/>
          <w:highlight w:val="none"/>
          <w:lang w:val="zh-CN"/>
        </w:rPr>
        <w:t>根据项目生产特点及需要，项目原料、成品厂外运输方式为公路运输；项目厂内运输采取道路和机械运输相结合的方式；</w:t>
      </w:r>
      <w:r>
        <w:rPr>
          <w:rFonts w:hint="eastAsia" w:ascii="Times New Roman" w:hAnsi="Times New Roman" w:eastAsia="仿宋_GB2312" w:cs="Times New Roman"/>
          <w:color w:val="auto"/>
          <w:sz w:val="24"/>
          <w:highlight w:val="none"/>
          <w:lang w:val="en-US" w:eastAsia="zh-CN"/>
        </w:rPr>
        <w:t>生产</w:t>
      </w:r>
      <w:r>
        <w:rPr>
          <w:rFonts w:hint="default" w:ascii="Times New Roman" w:hAnsi="Times New Roman" w:eastAsia="仿宋_GB2312" w:cs="Times New Roman"/>
          <w:color w:val="auto"/>
          <w:sz w:val="24"/>
          <w:highlight w:val="none"/>
          <w:lang w:val="zh-CN"/>
        </w:rPr>
        <w:t>区之间主次干道宽度为</w:t>
      </w:r>
      <w:r>
        <w:rPr>
          <w:rFonts w:hint="eastAsia" w:ascii="Times New Roman" w:hAnsi="Times New Roman" w:cs="Times New Roman"/>
          <w:color w:val="auto"/>
          <w:sz w:val="24"/>
          <w:highlight w:val="none"/>
          <w:lang w:val="en-US" w:eastAsia="zh-CN"/>
        </w:rPr>
        <w:t>6</w:t>
      </w:r>
      <w:r>
        <w:rPr>
          <w:rFonts w:hint="default" w:ascii="Times New Roman" w:hAnsi="Times New Roman" w:eastAsia="仿宋_GB2312" w:cs="Times New Roman"/>
          <w:color w:val="auto"/>
          <w:sz w:val="24"/>
          <w:highlight w:val="none"/>
          <w:lang w:val="zh-CN"/>
        </w:rPr>
        <w:t>m，采用水泥砼路面。道路系统呈网状加环线布置，以满足运输和消防需要。对于有装卸作业的车间均设置相应场地。</w:t>
      </w:r>
    </w:p>
    <w:p w14:paraId="2CA02C2F">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2.1.</w:t>
      </w:r>
      <w:r>
        <w:rPr>
          <w:rFonts w:hint="eastAsia" w:eastAsia="黑体" w:cs="Times New Roman"/>
          <w:b/>
          <w:bCs w:val="0"/>
          <w:color w:val="auto"/>
          <w:sz w:val="28"/>
          <w:szCs w:val="28"/>
          <w:lang w:val="en-US" w:eastAsia="zh-CN"/>
        </w:rPr>
        <w:t>9</w:t>
      </w:r>
      <w:r>
        <w:rPr>
          <w:rFonts w:hint="default" w:ascii="Times New Roman" w:hAnsi="Times New Roman" w:eastAsia="黑体" w:cs="Times New Roman"/>
          <w:b/>
          <w:bCs w:val="0"/>
          <w:color w:val="auto"/>
          <w:sz w:val="28"/>
          <w:szCs w:val="28"/>
          <w:lang w:val="en-US" w:eastAsia="zh-CN"/>
        </w:rPr>
        <w:t>劳动定员及生产制度</w:t>
      </w:r>
    </w:p>
    <w:p w14:paraId="24D20F82">
      <w:pPr>
        <w:pageBreakBefore w:val="0"/>
        <w:kinsoku/>
        <w:wordWrap/>
        <w:topLinePunct w:val="0"/>
        <w:bidi w:val="0"/>
        <w:adjustRightInd/>
        <w:snapToGrid/>
        <w:ind w:left="0" w:leftChars="0"/>
        <w:rPr>
          <w:rFonts w:hint="eastAsia"/>
          <w:color w:val="auto"/>
        </w:rPr>
      </w:pPr>
      <w:r>
        <w:rPr>
          <w:rFonts w:hint="default" w:ascii="Times New Roman" w:hAnsi="Times New Roman" w:eastAsia="仿宋_GB2312" w:cs="Times New Roman"/>
          <w:color w:val="auto"/>
          <w:sz w:val="24"/>
          <w:highlight w:val="none"/>
          <w:lang w:val="zh-CN"/>
        </w:rPr>
        <w:t>项目定员</w:t>
      </w:r>
      <w:r>
        <w:rPr>
          <w:rFonts w:hint="eastAsia" w:cs="Times New Roman"/>
          <w:color w:val="auto"/>
          <w:sz w:val="24"/>
          <w:highlight w:val="none"/>
          <w:lang w:val="en-US" w:eastAsia="zh-CN"/>
        </w:rPr>
        <w:t>26</w:t>
      </w:r>
      <w:r>
        <w:rPr>
          <w:rFonts w:hint="default" w:ascii="Times New Roman" w:hAnsi="Times New Roman" w:eastAsia="仿宋_GB2312" w:cs="Times New Roman"/>
          <w:color w:val="auto"/>
          <w:sz w:val="24"/>
          <w:highlight w:val="none"/>
          <w:lang w:val="zh-CN"/>
        </w:rPr>
        <w:t>人，采用年工作3</w:t>
      </w:r>
      <w:r>
        <w:rPr>
          <w:rFonts w:hint="eastAsia" w:ascii="Times New Roman" w:hAnsi="Times New Roman" w:cs="Times New Roman"/>
          <w:color w:val="auto"/>
          <w:sz w:val="24"/>
          <w:highlight w:val="none"/>
          <w:lang w:val="en-US" w:eastAsia="zh-CN"/>
        </w:rPr>
        <w:t>3</w:t>
      </w:r>
      <w:r>
        <w:rPr>
          <w:rFonts w:hint="default" w:ascii="Times New Roman" w:hAnsi="Times New Roman" w:eastAsia="仿宋_GB2312" w:cs="Times New Roman"/>
          <w:color w:val="auto"/>
          <w:sz w:val="24"/>
          <w:highlight w:val="none"/>
          <w:lang w:val="zh-CN"/>
        </w:rPr>
        <w:t>0天，</w:t>
      </w:r>
      <w:r>
        <w:rPr>
          <w:rFonts w:hint="eastAsia" w:cs="Times New Roman"/>
          <w:color w:val="auto"/>
          <w:sz w:val="24"/>
          <w:highlight w:val="none"/>
          <w:lang w:val="en-US" w:eastAsia="zh-CN"/>
        </w:rPr>
        <w:t>每天</w:t>
      </w:r>
      <w:r>
        <w:rPr>
          <w:rFonts w:hint="default" w:ascii="Times New Roman" w:hAnsi="Times New Roman" w:eastAsia="仿宋_GB2312" w:cs="Times New Roman"/>
          <w:color w:val="auto"/>
          <w:sz w:val="24"/>
          <w:highlight w:val="none"/>
        </w:rPr>
        <w:t>8小时工作制</w:t>
      </w:r>
      <w:r>
        <w:rPr>
          <w:rFonts w:hint="default" w:ascii="Times New Roman" w:hAnsi="Times New Roman" w:eastAsia="仿宋_GB2312" w:cs="Times New Roman"/>
          <w:color w:val="auto"/>
          <w:sz w:val="24"/>
          <w:highlight w:val="none"/>
          <w:lang w:val="zh-CN"/>
        </w:rPr>
        <w:t>。</w:t>
      </w:r>
    </w:p>
    <w:p w14:paraId="25CE92C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eastAsia="黑体" w:cs="Times New Roman"/>
          <w:b/>
          <w:color w:val="auto"/>
          <w:sz w:val="28"/>
          <w:szCs w:val="28"/>
          <w:highlight w:val="none"/>
        </w:rPr>
      </w:pPr>
      <w:bookmarkStart w:id="274" w:name="_Toc4667"/>
      <w:bookmarkStart w:id="275" w:name="_Toc21583"/>
      <w:bookmarkStart w:id="276" w:name="_Toc25492"/>
      <w:bookmarkStart w:id="277" w:name="_Toc23251"/>
      <w:bookmarkStart w:id="278" w:name="_Toc14469"/>
      <w:bookmarkStart w:id="279" w:name="_Toc24761"/>
      <w:r>
        <w:rPr>
          <w:rFonts w:hint="default" w:ascii="Times New Roman" w:hAnsi="Times New Roman" w:eastAsia="黑体" w:cs="Times New Roman"/>
          <w:b/>
          <w:color w:val="auto"/>
          <w:sz w:val="28"/>
          <w:szCs w:val="28"/>
          <w:highlight w:val="none"/>
        </w:rPr>
        <w:t>2.</w:t>
      </w:r>
      <w:r>
        <w:rPr>
          <w:rFonts w:hint="default" w:ascii="Times New Roman" w:hAnsi="Times New Roman" w:eastAsia="黑体" w:cs="Times New Roman"/>
          <w:b/>
          <w:color w:val="auto"/>
          <w:sz w:val="28"/>
          <w:szCs w:val="28"/>
          <w:highlight w:val="none"/>
          <w:lang w:val="en-US" w:eastAsia="zh-CN"/>
        </w:rPr>
        <w:t>2</w:t>
      </w:r>
      <w:r>
        <w:rPr>
          <w:rFonts w:hint="default" w:ascii="Times New Roman" w:hAnsi="Times New Roman" w:eastAsia="黑体" w:cs="Times New Roman"/>
          <w:b/>
          <w:color w:val="auto"/>
          <w:sz w:val="28"/>
          <w:szCs w:val="28"/>
          <w:highlight w:val="none"/>
        </w:rPr>
        <w:t>工艺流程分析</w:t>
      </w:r>
      <w:bookmarkEnd w:id="274"/>
      <w:bookmarkEnd w:id="275"/>
      <w:bookmarkEnd w:id="276"/>
      <w:bookmarkEnd w:id="277"/>
      <w:bookmarkEnd w:id="278"/>
      <w:bookmarkEnd w:id="279"/>
    </w:p>
    <w:p w14:paraId="6262E2A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eastAsia" w:ascii="Times New Roman" w:hAnsi="Times New Roman" w:eastAsia="黑体" w:cs="Times New Roman"/>
          <w:b/>
          <w:bCs w:val="0"/>
          <w:color w:val="auto"/>
          <w:sz w:val="28"/>
          <w:szCs w:val="28"/>
          <w:lang w:val="en-US" w:eastAsia="zh-CN"/>
        </w:rPr>
        <w:t>2.2.1施工期工艺流程</w:t>
      </w:r>
    </w:p>
    <w:p w14:paraId="28D7FAE6">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rPr>
          <w:rFonts w:hint="default" w:ascii="Times New Roman" w:hAnsi="Times New Roman" w:eastAsia="仿宋_GB2312" w:cstheme="minorBidi"/>
          <w:color w:val="auto"/>
          <w:spacing w:val="0"/>
          <w:kern w:val="2"/>
          <w:sz w:val="24"/>
          <w:szCs w:val="24"/>
          <w:lang w:val="en-US" w:eastAsia="zh-CN" w:bidi="ar-SA"/>
        </w:rPr>
      </w:pPr>
      <w:r>
        <w:rPr>
          <w:rFonts w:hint="default" w:ascii="Times New Roman" w:hAnsi="Times New Roman" w:eastAsia="仿宋_GB2312" w:cstheme="minorBidi"/>
          <w:color w:val="auto"/>
          <w:spacing w:val="0"/>
          <w:kern w:val="2"/>
          <w:sz w:val="24"/>
          <w:szCs w:val="24"/>
          <w:lang w:val="en-US" w:eastAsia="zh-CN" w:bidi="ar-SA"/>
        </w:rPr>
        <w:t>本项目施工期对环境的影响主要表现为施工作业扬尘、运输车辆扬尘、运输及动力设备运行产生的燃油废气、施工机械噪声、施工垃圾及施工人员</w:t>
      </w:r>
      <w:r>
        <w:rPr>
          <w:rFonts w:hint="eastAsia" w:cstheme="minorBidi"/>
          <w:color w:val="auto"/>
          <w:spacing w:val="0"/>
          <w:kern w:val="2"/>
          <w:sz w:val="24"/>
          <w:szCs w:val="24"/>
          <w:lang w:val="en-US" w:eastAsia="zh-CN" w:bidi="ar-SA"/>
        </w:rPr>
        <w:t>生活污水</w:t>
      </w:r>
      <w:r>
        <w:rPr>
          <w:rFonts w:hint="default" w:ascii="Times New Roman" w:hAnsi="Times New Roman" w:eastAsia="仿宋_GB2312" w:cstheme="minorBidi"/>
          <w:color w:val="auto"/>
          <w:spacing w:val="0"/>
          <w:kern w:val="2"/>
          <w:sz w:val="24"/>
          <w:szCs w:val="24"/>
          <w:lang w:val="en-US" w:eastAsia="zh-CN" w:bidi="ar-SA"/>
        </w:rPr>
        <w:t>、生活垃圾等。</w:t>
      </w:r>
    </w:p>
    <w:p w14:paraId="3502F3C2">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rPr>
          <w:rFonts w:hint="default" w:ascii="Times New Roman" w:hAnsi="Times New Roman" w:eastAsia="仿宋_GB2312" w:cstheme="minorBidi"/>
          <w:color w:val="auto"/>
          <w:spacing w:val="0"/>
          <w:kern w:val="2"/>
          <w:sz w:val="24"/>
          <w:szCs w:val="24"/>
          <w:vertAlign w:val="baseline"/>
          <w:lang w:val="en-US" w:eastAsia="zh-CN" w:bidi="ar-SA"/>
        </w:rPr>
      </w:pPr>
      <w:r>
        <w:rPr>
          <w:rFonts w:hint="default" w:ascii="Times New Roman" w:hAnsi="Times New Roman" w:eastAsia="仿宋_GB2312" w:cstheme="minorBidi"/>
          <w:color w:val="auto"/>
          <w:spacing w:val="0"/>
          <w:kern w:val="2"/>
          <w:sz w:val="24"/>
          <w:szCs w:val="24"/>
          <w:lang w:val="en-US" w:eastAsia="zh-CN" w:bidi="ar-SA"/>
        </w:rPr>
        <w:t>施工阶段分为场地平整、基础工程、主体工程及装饰工程。具体工艺流程图见下图2.2-1。</w:t>
      </w:r>
    </w:p>
    <w:tbl>
      <w:tblPr>
        <w:tblStyle w:val="28"/>
        <w:tblW w:w="4900" w:type="pct"/>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886"/>
      </w:tblGrid>
      <w:tr w14:paraId="735A9359">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c>
          <w:tcPr>
            <w:tcW w:w="8948" w:type="dxa"/>
            <w:tcBorders>
              <w:tl2br w:val="nil"/>
              <w:tr2bl w:val="nil"/>
            </w:tcBorders>
            <w:vAlign w:val="top"/>
          </w:tcPr>
          <w:p w14:paraId="125FE5C8">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rPr>
                <w:rFonts w:hint="default" w:ascii="Times New Roman" w:hAnsi="Times New Roman" w:eastAsia="仿宋_GB2312" w:cstheme="minorBidi"/>
                <w:color w:val="auto"/>
                <w:spacing w:val="0"/>
                <w:kern w:val="2"/>
                <w:sz w:val="24"/>
                <w:szCs w:val="24"/>
                <w:vertAlign w:val="baseline"/>
                <w:lang w:val="en-US" w:eastAsia="zh-CN" w:bidi="ar-SA"/>
              </w:rPr>
            </w:pPr>
            <w:r>
              <w:rPr>
                <w:rFonts w:hint="eastAsia"/>
                <w:color w:val="auto"/>
              </w:rPr>
              <w:drawing>
                <wp:inline distT="0" distB="0" distL="114300" distR="114300">
                  <wp:extent cx="5487670" cy="3459480"/>
                  <wp:effectExtent l="0" t="0" r="17780" b="7620"/>
                  <wp:docPr id="98"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33"/>
                          <pic:cNvPicPr>
                            <a:picLocks noChangeAspect="1" noChangeArrowheads="1"/>
                          </pic:cNvPicPr>
                        </pic:nvPicPr>
                        <pic:blipFill>
                          <a:blip r:embed="rId52" cstate="print"/>
                          <a:srcRect/>
                          <a:stretch>
                            <a:fillRect/>
                          </a:stretch>
                        </pic:blipFill>
                        <pic:spPr>
                          <a:xfrm>
                            <a:off x="0" y="0"/>
                            <a:ext cx="5487670" cy="3459480"/>
                          </a:xfrm>
                          <a:prstGeom prst="rect">
                            <a:avLst/>
                          </a:prstGeom>
                          <a:noFill/>
                          <a:ln w="9525">
                            <a:noFill/>
                            <a:miter lim="800000"/>
                            <a:headEnd/>
                            <a:tailEnd/>
                          </a:ln>
                        </pic:spPr>
                      </pic:pic>
                    </a:graphicData>
                  </a:graphic>
                </wp:inline>
              </w:drawing>
            </w:r>
          </w:p>
        </w:tc>
      </w:tr>
    </w:tbl>
    <w:p w14:paraId="57AACABB">
      <w:pPr>
        <w:pStyle w:val="1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baseline"/>
        <w:rPr>
          <w:rFonts w:hint="default" w:ascii="Times New Roman" w:hAnsi="Times New Roman" w:eastAsia="宋体" w:cs="Times New Roman"/>
          <w:b/>
          <w:bCs w:val="0"/>
          <w:color w:val="auto"/>
          <w:spacing w:val="0"/>
          <w:kern w:val="2"/>
          <w:sz w:val="24"/>
          <w:szCs w:val="24"/>
          <w:lang w:val="en-US" w:eastAsia="zh-CN" w:bidi="ar-SA"/>
        </w:rPr>
      </w:pPr>
      <w:r>
        <w:rPr>
          <w:rFonts w:hint="default" w:ascii="Times New Roman" w:hAnsi="Times New Roman" w:eastAsia="宋体" w:cs="Times New Roman"/>
          <w:b/>
          <w:bCs w:val="0"/>
          <w:color w:val="auto"/>
          <w:sz w:val="24"/>
          <w:szCs w:val="24"/>
        </w:rPr>
        <w:t>图</w:t>
      </w:r>
      <w:r>
        <w:rPr>
          <w:rFonts w:hint="default" w:ascii="Times New Roman" w:hAnsi="Times New Roman" w:eastAsia="宋体"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rPr>
        <w:t>.2-1   施工期工艺流程及产污环节图</w:t>
      </w:r>
    </w:p>
    <w:p w14:paraId="2DE35FD9">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eastAsia" w:ascii="Times New Roman" w:hAnsi="Times New Roman" w:eastAsia="黑体" w:cs="Times New Roman"/>
          <w:b/>
          <w:bCs w:val="0"/>
          <w:color w:val="auto"/>
          <w:sz w:val="28"/>
          <w:szCs w:val="28"/>
          <w:lang w:val="en-US" w:eastAsia="zh-CN"/>
        </w:rPr>
        <w:t>2.2.2施工期污染因素分析</w:t>
      </w:r>
    </w:p>
    <w:p w14:paraId="0977AD7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rPr>
          <w:rFonts w:hint="default" w:ascii="Times New Roman" w:hAnsi="Times New Roman" w:eastAsia="仿宋_GB2312" w:cstheme="minorBidi"/>
          <w:color w:val="auto"/>
          <w:spacing w:val="0"/>
          <w:kern w:val="2"/>
          <w:sz w:val="24"/>
          <w:szCs w:val="24"/>
          <w:lang w:val="en-US" w:eastAsia="zh-CN" w:bidi="ar-SA"/>
        </w:rPr>
      </w:pPr>
      <w:r>
        <w:rPr>
          <w:rFonts w:hint="default" w:ascii="Times New Roman" w:hAnsi="Times New Roman" w:eastAsia="仿宋_GB2312" w:cstheme="minorBidi"/>
          <w:color w:val="auto"/>
          <w:spacing w:val="0"/>
          <w:kern w:val="2"/>
          <w:sz w:val="24"/>
          <w:szCs w:val="24"/>
          <w:lang w:val="en-US" w:eastAsia="zh-CN" w:bidi="ar-SA"/>
        </w:rPr>
        <w:t>针对项目实际和当地气候、环境等特点，项目在施工期对环境的主要污染因素有扬尘、汽车尾气、废水、噪声、建筑施工垃圾和生态植被破坏等。</w:t>
      </w:r>
    </w:p>
    <w:p w14:paraId="28896A7B">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zh-CN" w:eastAsia="zh-CN"/>
        </w:rPr>
      </w:pPr>
      <w:r>
        <w:rPr>
          <w:rFonts w:hint="eastAsia" w:ascii="Times New Roman" w:hAnsi="Times New Roman" w:eastAsia="黑体" w:cs="Times New Roman"/>
          <w:b/>
          <w:bCs w:val="0"/>
          <w:color w:val="auto"/>
          <w:sz w:val="24"/>
          <w:szCs w:val="24"/>
          <w:lang w:val="en-US" w:eastAsia="zh-CN"/>
        </w:rPr>
        <w:t>2.2.2.1</w:t>
      </w:r>
      <w:r>
        <w:rPr>
          <w:rFonts w:hint="default" w:ascii="Times New Roman" w:hAnsi="Times New Roman" w:eastAsia="黑体" w:cs="Times New Roman"/>
          <w:b/>
          <w:bCs w:val="0"/>
          <w:color w:val="auto"/>
          <w:sz w:val="24"/>
          <w:szCs w:val="24"/>
          <w:lang w:val="zh-CN" w:eastAsia="zh-CN"/>
        </w:rPr>
        <w:t>废气</w:t>
      </w:r>
    </w:p>
    <w:p w14:paraId="1A825FCD">
      <w:pPr>
        <w:pStyle w:val="18"/>
        <w:pageBreakBefore w:val="0"/>
        <w:kinsoku/>
        <w:wordWrap/>
        <w:topLinePunct w:val="0"/>
        <w:bidi w:val="0"/>
        <w:adjustRightInd/>
        <w:snapToGrid/>
        <w:spacing w:line="360" w:lineRule="auto"/>
        <w:ind w:left="0" w:leftChars="0" w:firstLine="480" w:firstLineChars="200"/>
        <w:jc w:val="both"/>
        <w:rPr>
          <w:rFonts w:hint="default" w:ascii="Times New Roman" w:hAnsi="Times New Roman" w:eastAsia="仿宋_GB2312" w:cstheme="minorBidi"/>
          <w:color w:val="auto"/>
          <w:spacing w:val="0"/>
          <w:kern w:val="2"/>
          <w:sz w:val="24"/>
          <w:szCs w:val="24"/>
          <w:lang w:val="zh-CN" w:eastAsia="zh-CN" w:bidi="ar-SA"/>
        </w:rPr>
      </w:pPr>
      <w:r>
        <w:rPr>
          <w:rFonts w:hint="default" w:ascii="Times New Roman" w:hAnsi="Times New Roman" w:eastAsia="仿宋_GB2312" w:cstheme="minorBidi"/>
          <w:color w:val="auto"/>
          <w:spacing w:val="0"/>
          <w:kern w:val="2"/>
          <w:sz w:val="24"/>
          <w:szCs w:val="24"/>
          <w:lang w:val="zh-CN" w:eastAsia="zh-CN" w:bidi="ar-SA"/>
        </w:rPr>
        <w:t>施工期环境空气污染物主要为土方挖掘、残土及建筑材料运输过程中产生</w:t>
      </w:r>
      <w:r>
        <w:rPr>
          <w:rFonts w:hint="default" w:ascii="Times New Roman" w:hAnsi="Times New Roman" w:eastAsia="仿宋_GB2312" w:cstheme="minorBidi"/>
          <w:color w:val="auto"/>
          <w:spacing w:val="0"/>
          <w:kern w:val="2"/>
          <w:sz w:val="24"/>
          <w:szCs w:val="24"/>
          <w:lang w:val="en-US" w:eastAsia="zh-CN" w:bidi="ar-SA"/>
        </w:rPr>
        <w:t>的</w:t>
      </w:r>
      <w:r>
        <w:rPr>
          <w:rFonts w:hint="default" w:ascii="Times New Roman" w:hAnsi="Times New Roman" w:eastAsia="仿宋_GB2312" w:cstheme="minorBidi"/>
          <w:color w:val="auto"/>
          <w:spacing w:val="0"/>
          <w:kern w:val="2"/>
          <w:sz w:val="24"/>
          <w:szCs w:val="24"/>
          <w:lang w:val="zh-CN" w:eastAsia="zh-CN" w:bidi="ar-SA"/>
        </w:rPr>
        <w:t>各种扬尘、汽车尾气和水泥、石灰等建筑材料在搅拌及堆放过程中产生的粉尘，若不采取有效的防护措施，将对施工场地周围地区的环境空气质量产生不利影响。</w:t>
      </w:r>
    </w:p>
    <w:p w14:paraId="63960609">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zh-CN" w:eastAsia="zh-CN"/>
        </w:rPr>
      </w:pPr>
      <w:r>
        <w:rPr>
          <w:rFonts w:hint="eastAsia" w:ascii="Times New Roman" w:hAnsi="Times New Roman" w:eastAsia="黑体" w:cs="Times New Roman"/>
          <w:b/>
          <w:bCs w:val="0"/>
          <w:color w:val="auto"/>
          <w:sz w:val="24"/>
          <w:szCs w:val="24"/>
          <w:lang w:val="en-US" w:eastAsia="zh-CN"/>
        </w:rPr>
        <w:t>2.2.2.2</w:t>
      </w:r>
      <w:r>
        <w:rPr>
          <w:rFonts w:hint="eastAsia" w:ascii="Times New Roman" w:hAnsi="Times New Roman" w:eastAsia="黑体" w:cs="Times New Roman"/>
          <w:b/>
          <w:bCs w:val="0"/>
          <w:color w:val="auto"/>
          <w:sz w:val="24"/>
          <w:szCs w:val="24"/>
          <w:lang w:val="zh-CN" w:eastAsia="zh-CN"/>
        </w:rPr>
        <w:t>废水</w:t>
      </w:r>
    </w:p>
    <w:p w14:paraId="4C94B0DB">
      <w:pPr>
        <w:pStyle w:val="18"/>
        <w:pageBreakBefore w:val="0"/>
        <w:kinsoku/>
        <w:wordWrap/>
        <w:topLinePunct w:val="0"/>
        <w:bidi w:val="0"/>
        <w:adjustRightInd/>
        <w:snapToGrid/>
        <w:spacing w:line="360" w:lineRule="auto"/>
        <w:ind w:left="0" w:leftChars="0" w:firstLine="480" w:firstLineChars="200"/>
        <w:jc w:val="both"/>
        <w:rPr>
          <w:rFonts w:hint="default" w:ascii="Times New Roman" w:hAnsi="Times New Roman" w:eastAsia="仿宋_GB2312" w:cstheme="minorBidi"/>
          <w:color w:val="auto"/>
          <w:spacing w:val="0"/>
          <w:kern w:val="2"/>
          <w:sz w:val="24"/>
          <w:szCs w:val="24"/>
          <w:lang w:val="zh-CN" w:eastAsia="zh-CN" w:bidi="ar-SA"/>
        </w:rPr>
      </w:pPr>
      <w:r>
        <w:rPr>
          <w:rFonts w:hint="default" w:ascii="Times New Roman" w:hAnsi="Times New Roman" w:eastAsia="仿宋_GB2312" w:cstheme="minorBidi"/>
          <w:color w:val="auto"/>
          <w:spacing w:val="0"/>
          <w:kern w:val="2"/>
          <w:sz w:val="24"/>
          <w:szCs w:val="24"/>
          <w:lang w:val="zh-CN" w:eastAsia="zh-CN" w:bidi="ar-SA"/>
        </w:rPr>
        <w:t>施工期废水主要为施工人员生活污水及施工废水，项目施工期施工人员数量较少且相对分散，其生活污水排放量较小，但若处理不当，会对周围地表水环境产生一定程度的不利影响，但影响较小。</w:t>
      </w:r>
    </w:p>
    <w:p w14:paraId="75AD86F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zh-CN" w:eastAsia="zh-CN"/>
        </w:rPr>
      </w:pPr>
      <w:r>
        <w:rPr>
          <w:rFonts w:hint="eastAsia" w:ascii="Times New Roman" w:hAnsi="Times New Roman" w:eastAsia="黑体" w:cs="Times New Roman"/>
          <w:b/>
          <w:bCs w:val="0"/>
          <w:color w:val="auto"/>
          <w:sz w:val="24"/>
          <w:szCs w:val="24"/>
          <w:lang w:val="en-US" w:eastAsia="zh-CN"/>
        </w:rPr>
        <w:t>2.2.2.3</w:t>
      </w:r>
      <w:r>
        <w:rPr>
          <w:rFonts w:hint="eastAsia" w:ascii="Times New Roman" w:hAnsi="Times New Roman" w:eastAsia="黑体" w:cs="Times New Roman"/>
          <w:b/>
          <w:bCs w:val="0"/>
          <w:color w:val="auto"/>
          <w:sz w:val="24"/>
          <w:szCs w:val="24"/>
          <w:lang w:val="zh-CN" w:eastAsia="zh-CN"/>
        </w:rPr>
        <w:t>噪声</w:t>
      </w:r>
    </w:p>
    <w:p w14:paraId="6033035D">
      <w:pPr>
        <w:pStyle w:val="18"/>
        <w:pageBreakBefore w:val="0"/>
        <w:kinsoku/>
        <w:wordWrap/>
        <w:topLinePunct w:val="0"/>
        <w:bidi w:val="0"/>
        <w:adjustRightInd/>
        <w:snapToGrid/>
        <w:spacing w:line="360" w:lineRule="auto"/>
        <w:ind w:left="0" w:leftChars="0" w:firstLine="480" w:firstLineChars="200"/>
        <w:jc w:val="both"/>
        <w:rPr>
          <w:rFonts w:hint="default" w:ascii="Times New Roman" w:hAnsi="Times New Roman" w:eastAsia="仿宋_GB2312" w:cstheme="minorBidi"/>
          <w:color w:val="auto"/>
          <w:spacing w:val="0"/>
          <w:kern w:val="2"/>
          <w:sz w:val="24"/>
          <w:szCs w:val="24"/>
          <w:lang w:val="zh-CN" w:eastAsia="zh-CN" w:bidi="ar-SA"/>
        </w:rPr>
      </w:pPr>
      <w:r>
        <w:rPr>
          <w:rFonts w:hint="default" w:ascii="Times New Roman" w:hAnsi="Times New Roman" w:eastAsia="仿宋_GB2312" w:cstheme="minorBidi"/>
          <w:color w:val="auto"/>
          <w:spacing w:val="0"/>
          <w:kern w:val="2"/>
          <w:sz w:val="24"/>
          <w:szCs w:val="24"/>
          <w:lang w:val="zh-CN" w:eastAsia="zh-CN" w:bidi="ar-SA"/>
        </w:rPr>
        <w:t>施工期，主要噪声影响因素有：机械车辆噪声、建筑施工噪声等。各类施工机械噪声值见表</w:t>
      </w:r>
      <w:r>
        <w:rPr>
          <w:rFonts w:hint="eastAsia" w:ascii="Times New Roman" w:hAnsi="Times New Roman" w:cstheme="minorBidi"/>
          <w:color w:val="auto"/>
          <w:spacing w:val="0"/>
          <w:kern w:val="2"/>
          <w:sz w:val="24"/>
          <w:szCs w:val="24"/>
          <w:lang w:val="en-US" w:eastAsia="zh-CN" w:bidi="ar-SA"/>
        </w:rPr>
        <w:t>2</w:t>
      </w:r>
      <w:r>
        <w:rPr>
          <w:rFonts w:hint="eastAsia" w:ascii="Times New Roman" w:hAnsi="Times New Roman" w:eastAsia="仿宋_GB2312" w:cstheme="minorBidi"/>
          <w:color w:val="auto"/>
          <w:spacing w:val="0"/>
          <w:kern w:val="2"/>
          <w:sz w:val="24"/>
          <w:szCs w:val="24"/>
          <w:lang w:val="zh-CN" w:eastAsia="zh-CN" w:bidi="ar-SA"/>
        </w:rPr>
        <w:t>.2</w:t>
      </w:r>
      <w:r>
        <w:rPr>
          <w:rFonts w:hint="default" w:ascii="Times New Roman" w:hAnsi="Times New Roman" w:eastAsia="仿宋_GB2312" w:cstheme="minorBidi"/>
          <w:color w:val="auto"/>
          <w:spacing w:val="0"/>
          <w:kern w:val="2"/>
          <w:sz w:val="24"/>
          <w:szCs w:val="24"/>
          <w:lang w:val="zh-CN" w:eastAsia="zh-CN" w:bidi="ar-SA"/>
        </w:rPr>
        <w:t>-</w:t>
      </w:r>
      <w:r>
        <w:rPr>
          <w:rFonts w:hint="eastAsia" w:ascii="Times New Roman" w:hAnsi="Times New Roman" w:eastAsia="仿宋_GB2312" w:cstheme="minorBidi"/>
          <w:color w:val="auto"/>
          <w:spacing w:val="0"/>
          <w:kern w:val="2"/>
          <w:sz w:val="24"/>
          <w:szCs w:val="24"/>
          <w:lang w:val="zh-CN" w:eastAsia="zh-CN" w:bidi="ar-SA"/>
        </w:rPr>
        <w:t>1</w:t>
      </w:r>
      <w:r>
        <w:rPr>
          <w:rFonts w:hint="default" w:ascii="Times New Roman" w:hAnsi="Times New Roman" w:eastAsia="仿宋_GB2312" w:cstheme="minorBidi"/>
          <w:color w:val="auto"/>
          <w:spacing w:val="0"/>
          <w:kern w:val="2"/>
          <w:sz w:val="24"/>
          <w:szCs w:val="24"/>
          <w:lang w:val="zh-CN" w:eastAsia="zh-CN" w:bidi="ar-SA"/>
        </w:rPr>
        <w:t>。</w:t>
      </w:r>
    </w:p>
    <w:p w14:paraId="0FBE28BA">
      <w:pPr>
        <w:pStyle w:val="18"/>
        <w:pageBreakBefore w:val="0"/>
        <w:kinsoku/>
        <w:wordWrap/>
        <w:topLinePunct w:val="0"/>
        <w:bidi w:val="0"/>
        <w:adjustRightInd/>
        <w:snapToGrid/>
        <w:spacing w:line="240" w:lineRule="auto"/>
        <w:ind w:left="0" w:leftChars="0"/>
        <w:jc w:val="both"/>
        <w:rPr>
          <w:rFonts w:ascii="Times New Roman" w:hAnsi="Times New Roman" w:eastAsia="宋体" w:cs="Times New Roman"/>
          <w:b/>
          <w:bCs/>
          <w:color w:val="auto"/>
          <w:kern w:val="2"/>
          <w:sz w:val="24"/>
          <w:szCs w:val="24"/>
          <w:lang w:val="zh-CN"/>
        </w:rPr>
      </w:pPr>
      <w:r>
        <w:rPr>
          <w:rFonts w:ascii="Times New Roman" w:hAnsi="Times New Roman" w:eastAsia="宋体" w:cs="Times New Roman"/>
          <w:b w:val="0"/>
          <w:bCs w:val="0"/>
          <w:color w:val="auto"/>
          <w:kern w:val="2"/>
          <w:sz w:val="21"/>
          <w:szCs w:val="21"/>
          <w:lang w:val="zh-CN"/>
        </w:rPr>
        <w:t>表</w:t>
      </w:r>
      <w:r>
        <w:rPr>
          <w:rFonts w:hint="eastAsia" w:eastAsia="宋体" w:cs="Times New Roman"/>
          <w:b w:val="0"/>
          <w:bCs w:val="0"/>
          <w:color w:val="auto"/>
          <w:kern w:val="2"/>
          <w:sz w:val="21"/>
          <w:szCs w:val="21"/>
          <w:lang w:val="en-US" w:eastAsia="zh-CN"/>
        </w:rPr>
        <w:t>2</w:t>
      </w:r>
      <w:r>
        <w:rPr>
          <w:rFonts w:ascii="Times New Roman" w:hAnsi="Times New Roman" w:eastAsia="宋体" w:cs="Times New Roman"/>
          <w:b w:val="0"/>
          <w:bCs w:val="0"/>
          <w:color w:val="auto"/>
          <w:kern w:val="2"/>
          <w:sz w:val="21"/>
          <w:szCs w:val="21"/>
        </w:rPr>
        <w:t>.2-1</w:t>
      </w:r>
      <w:r>
        <w:rPr>
          <w:rFonts w:ascii="Times New Roman" w:hAnsi="Times New Roman" w:eastAsia="宋体" w:cs="Times New Roman"/>
          <w:b/>
          <w:bCs/>
          <w:color w:val="auto"/>
          <w:kern w:val="2"/>
          <w:sz w:val="24"/>
          <w:szCs w:val="24"/>
          <w:lang w:val="zh-CN"/>
        </w:rPr>
        <w:t xml:space="preserve">   </w:t>
      </w:r>
      <w:r>
        <w:rPr>
          <w:rFonts w:hint="eastAsia" w:eastAsia="宋体" w:cs="Times New Roman"/>
          <w:b/>
          <w:bCs/>
          <w:color w:val="auto"/>
          <w:kern w:val="2"/>
          <w:sz w:val="24"/>
          <w:szCs w:val="24"/>
          <w:lang w:val="en-US" w:eastAsia="zh-CN"/>
        </w:rPr>
        <w:t xml:space="preserve">             </w:t>
      </w:r>
      <w:r>
        <w:rPr>
          <w:rFonts w:ascii="Times New Roman" w:hAnsi="Times New Roman" w:eastAsia="宋体" w:cs="Times New Roman"/>
          <w:b/>
          <w:bCs/>
          <w:color w:val="auto"/>
          <w:kern w:val="2"/>
          <w:sz w:val="24"/>
          <w:szCs w:val="24"/>
          <w:lang w:val="zh-CN"/>
        </w:rPr>
        <w:t>施工中主要施工机械噪声值</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7"/>
        <w:gridCol w:w="2418"/>
        <w:gridCol w:w="2935"/>
        <w:gridCol w:w="1748"/>
      </w:tblGrid>
      <w:tr w14:paraId="2E02F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1808" w:type="dxa"/>
            <w:tcBorders>
              <w:tl2br w:val="nil"/>
              <w:tr2bl w:val="nil"/>
            </w:tcBorders>
            <w:vAlign w:val="center"/>
          </w:tcPr>
          <w:p w14:paraId="334F34CE">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序号</w:t>
            </w:r>
          </w:p>
        </w:tc>
        <w:tc>
          <w:tcPr>
            <w:tcW w:w="2367" w:type="dxa"/>
            <w:tcBorders>
              <w:tl2br w:val="nil"/>
              <w:tr2bl w:val="nil"/>
            </w:tcBorders>
            <w:vAlign w:val="center"/>
          </w:tcPr>
          <w:p w14:paraId="3981236B">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主要噪声源</w:t>
            </w:r>
          </w:p>
        </w:tc>
        <w:tc>
          <w:tcPr>
            <w:tcW w:w="2873" w:type="dxa"/>
            <w:tcBorders>
              <w:tl2br w:val="nil"/>
              <w:tr2bl w:val="nil"/>
            </w:tcBorders>
            <w:vAlign w:val="center"/>
          </w:tcPr>
          <w:p w14:paraId="76413C8E">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测点距施工设备距离</w:t>
            </w:r>
            <w:r>
              <w:rPr>
                <w:rFonts w:hint="eastAsia" w:eastAsia="宋体" w:cs="Times New Roman"/>
                <w:b/>
                <w:bCs/>
                <w:color w:val="auto"/>
                <w:kern w:val="2"/>
                <w:sz w:val="21"/>
                <w:szCs w:val="21"/>
                <w:lang w:val="zh-CN"/>
              </w:rPr>
              <w:t>（</w:t>
            </w:r>
            <w:r>
              <w:rPr>
                <w:rFonts w:hint="default" w:ascii="Times New Roman" w:hAnsi="Times New Roman" w:eastAsia="宋体" w:cs="Times New Roman"/>
                <w:b/>
                <w:bCs/>
                <w:color w:val="auto"/>
                <w:kern w:val="2"/>
                <w:sz w:val="21"/>
                <w:szCs w:val="21"/>
                <w:lang w:val="zh-CN"/>
              </w:rPr>
              <w:t>m</w:t>
            </w:r>
            <w:r>
              <w:rPr>
                <w:rFonts w:hint="eastAsia" w:eastAsia="宋体" w:cs="Times New Roman"/>
                <w:b/>
                <w:bCs/>
                <w:color w:val="auto"/>
                <w:kern w:val="2"/>
                <w:sz w:val="21"/>
                <w:szCs w:val="21"/>
                <w:lang w:val="zh-CN"/>
              </w:rPr>
              <w:t>）</w:t>
            </w:r>
          </w:p>
        </w:tc>
        <w:tc>
          <w:tcPr>
            <w:tcW w:w="1711" w:type="dxa"/>
            <w:tcBorders>
              <w:tl2br w:val="nil"/>
              <w:tr2bl w:val="nil"/>
            </w:tcBorders>
            <w:vAlign w:val="center"/>
          </w:tcPr>
          <w:p w14:paraId="0C4268A5">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Leqmax</w:t>
            </w:r>
          </w:p>
        </w:tc>
      </w:tr>
      <w:tr w14:paraId="37BE6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1808" w:type="dxa"/>
            <w:tcBorders>
              <w:tl2br w:val="nil"/>
              <w:tr2bl w:val="nil"/>
            </w:tcBorders>
            <w:vAlign w:val="center"/>
          </w:tcPr>
          <w:p w14:paraId="65C74560">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1</w:t>
            </w:r>
          </w:p>
        </w:tc>
        <w:tc>
          <w:tcPr>
            <w:tcW w:w="2367" w:type="dxa"/>
            <w:tcBorders>
              <w:tl2br w:val="nil"/>
              <w:tr2bl w:val="nil"/>
            </w:tcBorders>
            <w:vAlign w:val="center"/>
          </w:tcPr>
          <w:p w14:paraId="46FB705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翻斗车</w:t>
            </w:r>
          </w:p>
        </w:tc>
        <w:tc>
          <w:tcPr>
            <w:tcW w:w="2873" w:type="dxa"/>
            <w:tcBorders>
              <w:tl2br w:val="nil"/>
              <w:tr2bl w:val="nil"/>
            </w:tcBorders>
            <w:vAlign w:val="center"/>
          </w:tcPr>
          <w:p w14:paraId="6A5666A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1</w:t>
            </w:r>
          </w:p>
        </w:tc>
        <w:tc>
          <w:tcPr>
            <w:tcW w:w="1711" w:type="dxa"/>
            <w:tcBorders>
              <w:tl2br w:val="nil"/>
              <w:tr2bl w:val="nil"/>
            </w:tcBorders>
            <w:vAlign w:val="center"/>
          </w:tcPr>
          <w:p w14:paraId="11BA5D9B">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90</w:t>
            </w:r>
          </w:p>
        </w:tc>
      </w:tr>
      <w:tr w14:paraId="78244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1808" w:type="dxa"/>
            <w:tcBorders>
              <w:tl2br w:val="nil"/>
              <w:tr2bl w:val="nil"/>
            </w:tcBorders>
            <w:vAlign w:val="center"/>
          </w:tcPr>
          <w:p w14:paraId="75DEA7C3">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2</w:t>
            </w:r>
          </w:p>
        </w:tc>
        <w:tc>
          <w:tcPr>
            <w:tcW w:w="2367" w:type="dxa"/>
            <w:tcBorders>
              <w:tl2br w:val="nil"/>
              <w:tr2bl w:val="nil"/>
            </w:tcBorders>
            <w:vAlign w:val="center"/>
          </w:tcPr>
          <w:p w14:paraId="7F348497">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推土机</w:t>
            </w:r>
          </w:p>
        </w:tc>
        <w:tc>
          <w:tcPr>
            <w:tcW w:w="2873" w:type="dxa"/>
            <w:tcBorders>
              <w:tl2br w:val="nil"/>
              <w:tr2bl w:val="nil"/>
            </w:tcBorders>
            <w:vAlign w:val="center"/>
          </w:tcPr>
          <w:p w14:paraId="11B2EEB3">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1</w:t>
            </w:r>
          </w:p>
        </w:tc>
        <w:tc>
          <w:tcPr>
            <w:tcW w:w="1711" w:type="dxa"/>
            <w:tcBorders>
              <w:tl2br w:val="nil"/>
              <w:tr2bl w:val="nil"/>
            </w:tcBorders>
            <w:vAlign w:val="center"/>
          </w:tcPr>
          <w:p w14:paraId="4F9B82CD">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90</w:t>
            </w:r>
          </w:p>
        </w:tc>
      </w:tr>
      <w:tr w14:paraId="2CFDD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1808" w:type="dxa"/>
            <w:tcBorders>
              <w:tl2br w:val="nil"/>
              <w:tr2bl w:val="nil"/>
            </w:tcBorders>
            <w:vAlign w:val="center"/>
          </w:tcPr>
          <w:p w14:paraId="51A8EC4D">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3</w:t>
            </w:r>
          </w:p>
        </w:tc>
        <w:tc>
          <w:tcPr>
            <w:tcW w:w="2367" w:type="dxa"/>
            <w:tcBorders>
              <w:tl2br w:val="nil"/>
              <w:tr2bl w:val="nil"/>
            </w:tcBorders>
            <w:vAlign w:val="center"/>
          </w:tcPr>
          <w:p w14:paraId="39587C02">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挖掘机</w:t>
            </w:r>
          </w:p>
        </w:tc>
        <w:tc>
          <w:tcPr>
            <w:tcW w:w="2873" w:type="dxa"/>
            <w:tcBorders>
              <w:tl2br w:val="nil"/>
              <w:tr2bl w:val="nil"/>
            </w:tcBorders>
            <w:vAlign w:val="center"/>
          </w:tcPr>
          <w:p w14:paraId="3A04212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1</w:t>
            </w:r>
          </w:p>
        </w:tc>
        <w:tc>
          <w:tcPr>
            <w:tcW w:w="1711" w:type="dxa"/>
            <w:tcBorders>
              <w:tl2br w:val="nil"/>
              <w:tr2bl w:val="nil"/>
            </w:tcBorders>
            <w:vAlign w:val="center"/>
          </w:tcPr>
          <w:p w14:paraId="13BD7200">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83</w:t>
            </w:r>
          </w:p>
        </w:tc>
      </w:tr>
      <w:tr w14:paraId="5B3C2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1808" w:type="dxa"/>
            <w:tcBorders>
              <w:tl2br w:val="nil"/>
              <w:tr2bl w:val="nil"/>
            </w:tcBorders>
            <w:vAlign w:val="center"/>
          </w:tcPr>
          <w:p w14:paraId="1EA601F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4</w:t>
            </w:r>
          </w:p>
        </w:tc>
        <w:tc>
          <w:tcPr>
            <w:tcW w:w="2367" w:type="dxa"/>
            <w:tcBorders>
              <w:tl2br w:val="nil"/>
              <w:tr2bl w:val="nil"/>
            </w:tcBorders>
            <w:vAlign w:val="center"/>
          </w:tcPr>
          <w:p w14:paraId="51B1702D">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混凝土振捣棒</w:t>
            </w:r>
          </w:p>
        </w:tc>
        <w:tc>
          <w:tcPr>
            <w:tcW w:w="2873" w:type="dxa"/>
            <w:tcBorders>
              <w:tl2br w:val="nil"/>
              <w:tr2bl w:val="nil"/>
            </w:tcBorders>
            <w:vAlign w:val="center"/>
          </w:tcPr>
          <w:p w14:paraId="36FF78EE">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1</w:t>
            </w:r>
          </w:p>
        </w:tc>
        <w:tc>
          <w:tcPr>
            <w:tcW w:w="1711" w:type="dxa"/>
            <w:tcBorders>
              <w:tl2br w:val="nil"/>
              <w:tr2bl w:val="nil"/>
            </w:tcBorders>
            <w:vAlign w:val="center"/>
          </w:tcPr>
          <w:p w14:paraId="48AA734F">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100</w:t>
            </w:r>
          </w:p>
        </w:tc>
      </w:tr>
      <w:tr w14:paraId="18E7B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1808" w:type="dxa"/>
            <w:tcBorders>
              <w:tl2br w:val="nil"/>
              <w:tr2bl w:val="nil"/>
            </w:tcBorders>
            <w:vAlign w:val="center"/>
          </w:tcPr>
          <w:p w14:paraId="4012EB52">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5</w:t>
            </w:r>
          </w:p>
        </w:tc>
        <w:tc>
          <w:tcPr>
            <w:tcW w:w="2367" w:type="dxa"/>
            <w:tcBorders>
              <w:tl2br w:val="nil"/>
              <w:tr2bl w:val="nil"/>
            </w:tcBorders>
            <w:vAlign w:val="center"/>
          </w:tcPr>
          <w:p w14:paraId="39C094F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木工机械（电锯）</w:t>
            </w:r>
          </w:p>
        </w:tc>
        <w:tc>
          <w:tcPr>
            <w:tcW w:w="2873" w:type="dxa"/>
            <w:tcBorders>
              <w:tl2br w:val="nil"/>
              <w:tr2bl w:val="nil"/>
            </w:tcBorders>
            <w:vAlign w:val="center"/>
          </w:tcPr>
          <w:p w14:paraId="312B87E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1</w:t>
            </w:r>
          </w:p>
        </w:tc>
        <w:tc>
          <w:tcPr>
            <w:tcW w:w="1711" w:type="dxa"/>
            <w:tcBorders>
              <w:tl2br w:val="nil"/>
              <w:tr2bl w:val="nil"/>
            </w:tcBorders>
            <w:vAlign w:val="center"/>
          </w:tcPr>
          <w:p w14:paraId="6375C85A">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110</w:t>
            </w:r>
          </w:p>
        </w:tc>
      </w:tr>
      <w:tr w14:paraId="61A73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trPr>
        <w:tc>
          <w:tcPr>
            <w:tcW w:w="1808" w:type="dxa"/>
            <w:tcBorders>
              <w:tl2br w:val="nil"/>
              <w:tr2bl w:val="nil"/>
            </w:tcBorders>
            <w:vAlign w:val="center"/>
          </w:tcPr>
          <w:p w14:paraId="5871E4D6">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6</w:t>
            </w:r>
          </w:p>
        </w:tc>
        <w:tc>
          <w:tcPr>
            <w:tcW w:w="2367" w:type="dxa"/>
            <w:tcBorders>
              <w:tl2br w:val="nil"/>
              <w:tr2bl w:val="nil"/>
            </w:tcBorders>
            <w:vAlign w:val="center"/>
          </w:tcPr>
          <w:p w14:paraId="24B3AFEB">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起重机</w:t>
            </w:r>
          </w:p>
        </w:tc>
        <w:tc>
          <w:tcPr>
            <w:tcW w:w="2873" w:type="dxa"/>
            <w:tcBorders>
              <w:tl2br w:val="nil"/>
              <w:tr2bl w:val="nil"/>
            </w:tcBorders>
            <w:vAlign w:val="center"/>
          </w:tcPr>
          <w:p w14:paraId="4951E02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1</w:t>
            </w:r>
          </w:p>
        </w:tc>
        <w:tc>
          <w:tcPr>
            <w:tcW w:w="1711" w:type="dxa"/>
            <w:tcBorders>
              <w:tl2br w:val="nil"/>
              <w:tr2bl w:val="nil"/>
            </w:tcBorders>
            <w:vAlign w:val="center"/>
          </w:tcPr>
          <w:p w14:paraId="7354272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rPr>
            </w:pPr>
            <w:r>
              <w:rPr>
                <w:rFonts w:hint="default" w:ascii="Times New Roman" w:hAnsi="Times New Roman" w:eastAsia="宋体" w:cs="Times New Roman"/>
                <w:color w:val="auto"/>
                <w:kern w:val="2"/>
                <w:sz w:val="21"/>
                <w:szCs w:val="21"/>
                <w:lang w:val="zh-CN"/>
              </w:rPr>
              <w:t>89</w:t>
            </w:r>
          </w:p>
        </w:tc>
      </w:tr>
    </w:tbl>
    <w:p w14:paraId="0A7456B3">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zh-CN" w:eastAsia="zh-CN"/>
        </w:rPr>
      </w:pPr>
      <w:r>
        <w:rPr>
          <w:rFonts w:hint="eastAsia" w:ascii="Times New Roman" w:hAnsi="Times New Roman" w:eastAsia="黑体" w:cs="Times New Roman"/>
          <w:b/>
          <w:bCs w:val="0"/>
          <w:color w:val="auto"/>
          <w:sz w:val="24"/>
          <w:szCs w:val="24"/>
          <w:lang w:val="en-US" w:eastAsia="zh-CN"/>
        </w:rPr>
        <w:t>2.2.2.4</w:t>
      </w:r>
      <w:r>
        <w:rPr>
          <w:rFonts w:hint="eastAsia" w:ascii="Times New Roman" w:hAnsi="Times New Roman" w:eastAsia="黑体" w:cs="Times New Roman"/>
          <w:b/>
          <w:bCs w:val="0"/>
          <w:color w:val="auto"/>
          <w:sz w:val="24"/>
          <w:szCs w:val="24"/>
          <w:lang w:val="zh-CN" w:eastAsia="zh-CN"/>
        </w:rPr>
        <w:t>固体废物</w:t>
      </w:r>
    </w:p>
    <w:p w14:paraId="0DCDBC91">
      <w:pPr>
        <w:pStyle w:val="18"/>
        <w:pageBreakBefore w:val="0"/>
        <w:kinsoku/>
        <w:wordWrap/>
        <w:topLinePunct w:val="0"/>
        <w:bidi w:val="0"/>
        <w:adjustRightInd/>
        <w:snapToGrid/>
        <w:spacing w:line="360" w:lineRule="auto"/>
        <w:ind w:left="0" w:leftChars="0" w:firstLine="480" w:firstLineChars="200"/>
        <w:jc w:val="both"/>
        <w:rPr>
          <w:rFonts w:ascii="Times New Roman" w:hAnsi="Times New Roman" w:eastAsia="宋体" w:cs="Times New Roman"/>
          <w:color w:val="auto"/>
          <w:kern w:val="2"/>
          <w:sz w:val="24"/>
          <w:szCs w:val="24"/>
          <w:lang w:val="zh-CN"/>
        </w:rPr>
      </w:pPr>
      <w:r>
        <w:rPr>
          <w:rFonts w:hint="default" w:ascii="Times New Roman" w:hAnsi="Times New Roman" w:eastAsia="仿宋_GB2312" w:cstheme="minorBidi"/>
          <w:color w:val="auto"/>
          <w:spacing w:val="0"/>
          <w:kern w:val="2"/>
          <w:sz w:val="24"/>
          <w:szCs w:val="24"/>
          <w:lang w:val="zh-CN" w:eastAsia="zh-CN" w:bidi="ar-SA"/>
        </w:rPr>
        <w:t>施工期产生的固体废物主要为生活垃圾及建筑垃圾，若处理不当，如随意弃置，将对周围环境产生一定的不利影响，尤其对生态环境、土壤、土地资源、环境空气和地下水等方面的影响突出。</w:t>
      </w:r>
    </w:p>
    <w:p w14:paraId="546D5A79">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2"/>
        <w:rPr>
          <w:rFonts w:hint="default" w:ascii="Times New Roman" w:hAnsi="Times New Roman" w:eastAsia="黑体" w:cs="Times New Roman"/>
          <w:b/>
          <w:color w:val="auto"/>
          <w:sz w:val="28"/>
          <w:szCs w:val="28"/>
          <w:highlight w:val="none"/>
        </w:rPr>
      </w:pPr>
      <w:bookmarkStart w:id="280" w:name="_Toc387745587"/>
      <w:bookmarkStart w:id="281" w:name="_Toc407912100"/>
      <w:bookmarkStart w:id="282" w:name="_Toc388619999"/>
      <w:r>
        <w:rPr>
          <w:rFonts w:hint="default" w:ascii="Times New Roman" w:hAnsi="Times New Roman" w:eastAsia="黑体" w:cs="Times New Roman"/>
          <w:b/>
          <w:color w:val="auto"/>
          <w:sz w:val="28"/>
          <w:szCs w:val="28"/>
          <w:highlight w:val="none"/>
        </w:rPr>
        <w:t>2.</w:t>
      </w:r>
      <w:r>
        <w:rPr>
          <w:rFonts w:hint="default" w:ascii="Times New Roman" w:hAnsi="Times New Roman" w:eastAsia="黑体" w:cs="Times New Roman"/>
          <w:b/>
          <w:color w:val="auto"/>
          <w:sz w:val="28"/>
          <w:szCs w:val="28"/>
          <w:highlight w:val="none"/>
          <w:lang w:val="en-US" w:eastAsia="zh-CN"/>
        </w:rPr>
        <w:t>2</w:t>
      </w:r>
      <w:r>
        <w:rPr>
          <w:rFonts w:hint="default" w:ascii="Times New Roman" w:hAnsi="Times New Roman" w:eastAsia="黑体" w:cs="Times New Roman"/>
          <w:b/>
          <w:color w:val="auto"/>
          <w:sz w:val="28"/>
          <w:szCs w:val="28"/>
          <w:highlight w:val="none"/>
        </w:rPr>
        <w:t>.1</w:t>
      </w:r>
      <w:bookmarkEnd w:id="280"/>
      <w:bookmarkEnd w:id="281"/>
      <w:bookmarkEnd w:id="282"/>
      <w:r>
        <w:rPr>
          <w:rFonts w:hint="default" w:ascii="Times New Roman" w:hAnsi="Times New Roman" w:eastAsia="黑体" w:cs="Times New Roman"/>
          <w:b/>
          <w:color w:val="auto"/>
          <w:sz w:val="28"/>
          <w:szCs w:val="28"/>
          <w:highlight w:val="none"/>
        </w:rPr>
        <w:t>屠宰加工工艺流程及产污环节</w:t>
      </w:r>
    </w:p>
    <w:p w14:paraId="2DA839C2">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2.2.1.1工艺原理</w:t>
      </w:r>
    </w:p>
    <w:p w14:paraId="4F49CC27">
      <w:pPr>
        <w:pageBreakBefore w:val="0"/>
        <w:kinsoku/>
        <w:wordWrap/>
        <w:topLinePunct w:val="0"/>
        <w:bidi w:val="0"/>
        <w:adjustRightInd/>
        <w:snapToGrid/>
        <w:ind w:left="0" w:leftChars="0"/>
        <w:rPr>
          <w:rFonts w:hint="eastAsia"/>
          <w:color w:val="auto"/>
        </w:rPr>
      </w:pPr>
      <w:r>
        <w:rPr>
          <w:rFonts w:hint="eastAsia"/>
          <w:color w:val="auto"/>
        </w:rPr>
        <w:t>项目牛</w:t>
      </w:r>
      <w:r>
        <w:rPr>
          <w:rFonts w:hint="eastAsia"/>
          <w:color w:val="auto"/>
          <w:lang w:eastAsia="zh-CN"/>
        </w:rPr>
        <w:t>、</w:t>
      </w:r>
      <w:r>
        <w:rPr>
          <w:rFonts w:hint="eastAsia"/>
          <w:color w:val="auto"/>
          <w:lang w:val="en-US" w:eastAsia="zh-CN"/>
        </w:rPr>
        <w:t>羊</w:t>
      </w:r>
      <w:r>
        <w:rPr>
          <w:rFonts w:hint="eastAsia"/>
          <w:color w:val="auto"/>
        </w:rPr>
        <w:t>屠宰生产线拟选用国内先进的悬挂式成套全自动流水生产线</w:t>
      </w:r>
      <w:r>
        <w:rPr>
          <w:rFonts w:hint="eastAsia"/>
          <w:color w:val="auto"/>
          <w:lang w:eastAsia="zh-CN"/>
        </w:rPr>
        <w:t>，</w:t>
      </w:r>
      <w:r>
        <w:rPr>
          <w:rFonts w:hint="eastAsia"/>
          <w:color w:val="auto"/>
        </w:rPr>
        <w:t>按国家标准要求进行屠宰、分割加工，屠宰后经过低温排酸处理。</w:t>
      </w:r>
    </w:p>
    <w:p w14:paraId="000DFEE7">
      <w:pPr>
        <w:pageBreakBefore w:val="0"/>
        <w:kinsoku/>
        <w:wordWrap/>
        <w:topLinePunct w:val="0"/>
        <w:bidi w:val="0"/>
        <w:adjustRightInd/>
        <w:snapToGrid/>
        <w:ind w:left="0" w:leftChars="0"/>
        <w:rPr>
          <w:rFonts w:hint="eastAsia"/>
          <w:color w:val="auto"/>
        </w:rPr>
      </w:pPr>
      <w:r>
        <w:rPr>
          <w:rFonts w:hint="eastAsia"/>
          <w:color w:val="auto"/>
        </w:rPr>
        <w:t>分割牛肉主要技术规格及质量标准执行《鲜、冻分割牛肉》</w:t>
      </w:r>
      <w:r>
        <w:rPr>
          <w:rFonts w:hint="eastAsia"/>
          <w:color w:val="auto"/>
          <w:lang w:eastAsia="zh-CN"/>
        </w:rPr>
        <w:t>（</w:t>
      </w:r>
      <w:r>
        <w:rPr>
          <w:rFonts w:hint="eastAsia"/>
          <w:color w:val="auto"/>
        </w:rPr>
        <w:t>GB/T17238</w:t>
      </w:r>
      <w:r>
        <w:rPr>
          <w:rFonts w:hint="eastAsia"/>
          <w:color w:val="auto"/>
          <w:lang w:val="en-US" w:eastAsia="zh-CN"/>
        </w:rPr>
        <w:t>-</w:t>
      </w:r>
      <w:r>
        <w:rPr>
          <w:rFonts w:hint="eastAsia"/>
          <w:color w:val="auto"/>
        </w:rPr>
        <w:t>20</w:t>
      </w:r>
      <w:r>
        <w:rPr>
          <w:rFonts w:hint="eastAsia"/>
          <w:color w:val="auto"/>
          <w:lang w:val="en-US" w:eastAsia="zh-CN"/>
        </w:rPr>
        <w:t>22</w:t>
      </w:r>
      <w:r>
        <w:rPr>
          <w:rFonts w:hint="eastAsia"/>
          <w:color w:val="auto"/>
          <w:lang w:eastAsia="zh-CN"/>
        </w:rPr>
        <w:t>）</w:t>
      </w:r>
      <w:r>
        <w:rPr>
          <w:rFonts w:hint="eastAsia"/>
          <w:color w:val="auto"/>
          <w:lang w:val="en-US" w:eastAsia="zh-CN"/>
        </w:rPr>
        <w:t>的相关</w:t>
      </w:r>
      <w:r>
        <w:rPr>
          <w:rFonts w:hint="eastAsia"/>
          <w:color w:val="auto"/>
        </w:rPr>
        <w:t>标准</w:t>
      </w:r>
      <w:r>
        <w:rPr>
          <w:rFonts w:hint="eastAsia"/>
          <w:color w:val="auto"/>
          <w:lang w:eastAsia="zh-CN"/>
        </w:rPr>
        <w:t>；分割羊肉执行《鲜、冻羊肉》（GB/T9961</w:t>
      </w:r>
      <w:r>
        <w:rPr>
          <w:rFonts w:hint="eastAsia"/>
          <w:color w:val="auto"/>
          <w:lang w:val="en-US" w:eastAsia="zh-CN"/>
        </w:rPr>
        <w:t>-2026</w:t>
      </w:r>
      <w:r>
        <w:rPr>
          <w:rFonts w:hint="eastAsia"/>
          <w:color w:val="auto"/>
          <w:lang w:eastAsia="zh-CN"/>
        </w:rPr>
        <w:t>）</w:t>
      </w:r>
      <w:r>
        <w:rPr>
          <w:rFonts w:hint="eastAsia"/>
          <w:color w:val="auto"/>
          <w:lang w:val="en-US" w:eastAsia="zh-CN"/>
        </w:rPr>
        <w:t>的相关标准</w:t>
      </w:r>
      <w:r>
        <w:rPr>
          <w:rFonts w:hint="eastAsia"/>
          <w:color w:val="auto"/>
        </w:rPr>
        <w:t>。实际生产中，按国家标准要求、客户订单要求，制定相应企业标准。</w:t>
      </w:r>
    </w:p>
    <w:p w14:paraId="06DB686B">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2.2.1.2</w:t>
      </w:r>
      <w:r>
        <w:rPr>
          <w:rFonts w:hint="default" w:ascii="Times New Roman" w:hAnsi="Times New Roman" w:eastAsia="黑体" w:cs="Times New Roman"/>
          <w:b/>
          <w:bCs w:val="0"/>
          <w:color w:val="auto"/>
          <w:sz w:val="24"/>
          <w:szCs w:val="24"/>
          <w:lang w:val="en-US" w:eastAsia="zh-CN"/>
        </w:rPr>
        <w:t>工艺流程及产污环节</w:t>
      </w:r>
    </w:p>
    <w:p w14:paraId="11F10371">
      <w:pPr>
        <w:pageBreakBefore w:val="0"/>
        <w:kinsoku/>
        <w:wordWrap/>
        <w:topLinePunct w:val="0"/>
        <w:bidi w:val="0"/>
        <w:adjustRightInd/>
        <w:snapToGrid/>
        <w:ind w:left="0" w:leftChars="0"/>
        <w:rPr>
          <w:rFonts w:hint="default"/>
          <w:color w:val="auto"/>
          <w:lang w:val="en-US" w:eastAsia="zh-CN"/>
        </w:rPr>
      </w:pPr>
      <w:bookmarkStart w:id="283" w:name="_Toc20715"/>
      <w:r>
        <w:rPr>
          <w:rFonts w:hint="eastAsia"/>
          <w:color w:val="auto"/>
          <w:lang w:val="en-US" w:eastAsia="zh-CN"/>
        </w:rPr>
        <w:t>1、牛屠宰工艺流程</w:t>
      </w:r>
      <w:bookmarkEnd w:id="283"/>
    </w:p>
    <w:p w14:paraId="6956A700">
      <w:pPr>
        <w:pageBreakBefore w:val="0"/>
        <w:kinsoku/>
        <w:wordWrap/>
        <w:topLinePunct w:val="0"/>
        <w:bidi w:val="0"/>
        <w:adjustRightInd/>
        <w:snapToGrid/>
        <w:ind w:left="0" w:leftChars="0"/>
        <w:rPr>
          <w:rFonts w:hint="eastAsia"/>
          <w:color w:val="auto"/>
        </w:rPr>
      </w:pPr>
      <w:bookmarkStart w:id="284" w:name="_Toc3531"/>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检疫验收</w:t>
      </w:r>
      <w:bookmarkEnd w:id="284"/>
    </w:p>
    <w:p w14:paraId="44CB6894">
      <w:pPr>
        <w:pageBreakBefore w:val="0"/>
        <w:kinsoku/>
        <w:wordWrap/>
        <w:topLinePunct w:val="0"/>
        <w:bidi w:val="0"/>
        <w:adjustRightInd/>
        <w:snapToGrid/>
        <w:ind w:left="0" w:leftChars="0"/>
        <w:rPr>
          <w:rFonts w:hint="eastAsia"/>
          <w:color w:val="auto"/>
        </w:rPr>
      </w:pPr>
      <w:r>
        <w:rPr>
          <w:rFonts w:hint="eastAsia"/>
          <w:color w:val="auto"/>
        </w:rPr>
        <w:t>运到生产区的肉牛，卸车前应索取产地动物防疫监督机构开具的合格证明，并临车观察未见异常，证货相符后准予卸车。经清点头数，用轻拍的方式驱赶健康的牛进入待宰圈，按牛的健康状况进行分圈管理。待宰的牛送宰前应停食静养</w:t>
      </w:r>
      <w:r>
        <w:rPr>
          <w:rFonts w:hint="eastAsia"/>
          <w:color w:val="auto"/>
          <w:lang w:val="en-US" w:eastAsia="zh-CN"/>
        </w:rPr>
        <w:t>24</w:t>
      </w:r>
      <w:r>
        <w:rPr>
          <w:rFonts w:hint="eastAsia"/>
          <w:color w:val="auto"/>
        </w:rPr>
        <w:t>小时，以便消除运输途中疲劳，恢复正常的生理状态，在静养期间检疫人员定时观察，发现可疑病牛送隔离圈观察，确定有病的牛送急宰间处理，健康合格的牛在宰前3小时停止饮水。</w:t>
      </w:r>
    </w:p>
    <w:p w14:paraId="34C77C26">
      <w:pPr>
        <w:pageBreakBefore w:val="0"/>
        <w:kinsoku/>
        <w:wordWrap/>
        <w:topLinePunct w:val="0"/>
        <w:bidi w:val="0"/>
        <w:adjustRightInd/>
        <w:snapToGrid/>
        <w:ind w:left="0" w:leftChars="0"/>
        <w:rPr>
          <w:rFonts w:hint="eastAsia"/>
          <w:color w:val="auto"/>
        </w:rPr>
      </w:pPr>
      <w:bookmarkStart w:id="285" w:name="_Toc11768"/>
      <w:r>
        <w:rPr>
          <w:rFonts w:hint="eastAsia"/>
          <w:color w:val="auto"/>
          <w:lang w:eastAsia="zh-CN"/>
        </w:rPr>
        <w:t>（</w:t>
      </w:r>
      <w:r>
        <w:rPr>
          <w:rFonts w:hint="eastAsia"/>
          <w:color w:val="auto"/>
          <w:lang w:val="en-US" w:eastAsia="zh-CN"/>
        </w:rPr>
        <w:t>2</w:t>
      </w:r>
      <w:r>
        <w:rPr>
          <w:rFonts w:hint="eastAsia"/>
          <w:color w:val="auto"/>
          <w:lang w:eastAsia="zh-CN"/>
        </w:rPr>
        <w:t>）</w:t>
      </w:r>
      <w:bookmarkEnd w:id="285"/>
      <w:r>
        <w:rPr>
          <w:rFonts w:hint="eastAsia"/>
          <w:color w:val="auto"/>
          <w:lang w:eastAsia="zh-CN"/>
        </w:rPr>
        <w:t>宰杀放血</w:t>
      </w:r>
    </w:p>
    <w:p w14:paraId="0C23DBA1">
      <w:pPr>
        <w:pageBreakBefore w:val="0"/>
        <w:kinsoku/>
        <w:wordWrap/>
        <w:topLinePunct w:val="0"/>
        <w:bidi w:val="0"/>
        <w:adjustRightInd/>
        <w:snapToGrid/>
        <w:ind w:left="0" w:leftChars="0"/>
        <w:rPr>
          <w:rFonts w:hint="eastAsia"/>
          <w:color w:val="auto"/>
        </w:rPr>
      </w:pPr>
      <w:r>
        <w:rPr>
          <w:rFonts w:hint="eastAsia"/>
          <w:color w:val="auto"/>
        </w:rPr>
        <w:t>活牛致昏后用放血吊链拴住一后腿，通过提升装置将牛提升进入放血自动输送线的轨道上进行宰杀放血。</w:t>
      </w:r>
    </w:p>
    <w:p w14:paraId="4B93880E">
      <w:pPr>
        <w:pageBreakBefore w:val="0"/>
        <w:kinsoku/>
        <w:wordWrap/>
        <w:topLinePunct w:val="0"/>
        <w:bidi w:val="0"/>
        <w:adjustRightInd/>
        <w:snapToGrid/>
        <w:ind w:left="0" w:leftChars="0"/>
        <w:rPr>
          <w:rFonts w:hint="eastAsia"/>
          <w:color w:val="auto"/>
        </w:rPr>
      </w:pPr>
      <w:bookmarkStart w:id="286" w:name="_Toc2935"/>
      <w:r>
        <w:rPr>
          <w:rFonts w:hint="eastAsia"/>
          <w:color w:val="auto"/>
          <w:lang w:eastAsia="zh-CN"/>
        </w:rPr>
        <w:t>（</w:t>
      </w:r>
      <w:r>
        <w:rPr>
          <w:rFonts w:hint="eastAsia"/>
          <w:color w:val="auto"/>
          <w:lang w:val="en-US" w:eastAsia="zh-CN"/>
        </w:rPr>
        <w:t>3</w:t>
      </w:r>
      <w:r>
        <w:rPr>
          <w:rFonts w:hint="eastAsia"/>
          <w:color w:val="auto"/>
          <w:lang w:eastAsia="zh-CN"/>
        </w:rPr>
        <w:t>）</w:t>
      </w:r>
      <w:bookmarkEnd w:id="286"/>
      <w:r>
        <w:rPr>
          <w:rFonts w:hint="eastAsia"/>
          <w:color w:val="auto"/>
          <w:lang w:eastAsia="zh-CN"/>
        </w:rPr>
        <w:t>预剥扯皮</w:t>
      </w:r>
    </w:p>
    <w:p w14:paraId="39852921">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①倒挂预剥：牛用叉挡将</w:t>
      </w:r>
      <w:r>
        <w:rPr>
          <w:rFonts w:hint="eastAsia" w:ascii="Times New Roman" w:hAnsi="Times New Roman" w:cs="Times New Roman"/>
          <w:color w:val="auto"/>
          <w:lang w:val="en-US" w:eastAsia="zh-CN"/>
        </w:rPr>
        <w:t>牛</w:t>
      </w:r>
      <w:r>
        <w:rPr>
          <w:rFonts w:hint="default" w:ascii="Times New Roman" w:hAnsi="Times New Roman" w:cs="Times New Roman"/>
          <w:color w:val="auto"/>
        </w:rPr>
        <w:t>的两后腿叉开，以便前腿、后腿和胸部的预剥。</w:t>
      </w:r>
    </w:p>
    <w:p w14:paraId="2F23D413">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②平衡预剥：放血、预剥自动输送线的挂钩勾住</w:t>
      </w:r>
      <w:r>
        <w:rPr>
          <w:rFonts w:hint="eastAsia" w:ascii="Times New Roman" w:hAnsi="Times New Roman" w:cs="Times New Roman"/>
          <w:color w:val="auto"/>
          <w:lang w:val="en-US" w:eastAsia="zh-CN"/>
        </w:rPr>
        <w:t>牛</w:t>
      </w:r>
      <w:r>
        <w:rPr>
          <w:rFonts w:hint="default" w:ascii="Times New Roman" w:hAnsi="Times New Roman" w:cs="Times New Roman"/>
          <w:color w:val="auto"/>
        </w:rPr>
        <w:t>的后腿，扯皮自动输送线的挂钩勾住牛的两前腿，这两条自动线的速度是同步前进的，牛的腹部朝上，背部朝下，平衡前进，在输送的过程中进行预剥皮。这种预剥的方式可有效的控制在预剥过程中毛粘在胴体上。</w:t>
      </w:r>
    </w:p>
    <w:p w14:paraId="5DE73483">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③牛用扯皮机的夹皮装置夹住牛皮，从牛的后腿往前腿方向扯下整张牛皮。</w:t>
      </w:r>
    </w:p>
    <w:p w14:paraId="4C650670">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④将扯下的牛皮通过牛皮输送机输送到</w:t>
      </w:r>
      <w:r>
        <w:rPr>
          <w:rFonts w:hint="eastAsia" w:ascii="Times New Roman" w:hAnsi="Times New Roman" w:cs="Times New Roman"/>
          <w:color w:val="auto"/>
          <w:lang w:val="en-US" w:eastAsia="zh-CN"/>
        </w:rPr>
        <w:t>皮张间</w:t>
      </w:r>
      <w:r>
        <w:rPr>
          <w:rFonts w:hint="default" w:ascii="Times New Roman" w:hAnsi="Times New Roman" w:cs="Times New Roman"/>
          <w:color w:val="auto"/>
        </w:rPr>
        <w:t>内。</w:t>
      </w:r>
    </w:p>
    <w:p w14:paraId="6949BEC1">
      <w:pPr>
        <w:pageBreakBefore w:val="0"/>
        <w:kinsoku/>
        <w:wordWrap/>
        <w:topLinePunct w:val="0"/>
        <w:bidi w:val="0"/>
        <w:adjustRightInd/>
        <w:snapToGrid/>
        <w:ind w:left="0" w:leftChars="0"/>
        <w:rPr>
          <w:rFonts w:hint="eastAsia" w:ascii="Times New Roman" w:hAnsi="Times New Roman" w:eastAsia="仿宋_GB2312"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）去头降尾</w:t>
      </w:r>
    </w:p>
    <w:p w14:paraId="6CF8CD38">
      <w:pPr>
        <w:pageBreakBefore w:val="0"/>
        <w:kinsoku/>
        <w:wordWrap/>
        <w:topLinePunct w:val="0"/>
        <w:bidi w:val="0"/>
        <w:adjustRightInd/>
        <w:snapToGrid/>
        <w:ind w:left="0" w:leftChars="0"/>
        <w:rPr>
          <w:rFonts w:hint="default" w:ascii="Times New Roman" w:hAnsi="Times New Roman" w:cs="Times New Roman"/>
          <w:color w:val="auto"/>
        </w:rPr>
      </w:pPr>
      <w:r>
        <w:rPr>
          <w:rFonts w:hint="eastAsia"/>
          <w:color w:val="auto"/>
        </w:rPr>
        <w:t>去除牛头、牛尾、牛蹄等；去下来的头、蹄、尾进入头蹄加工间处理。</w:t>
      </w:r>
    </w:p>
    <w:p w14:paraId="2BA0EF87">
      <w:pPr>
        <w:pageBreakBefore w:val="0"/>
        <w:kinsoku/>
        <w:wordWrap/>
        <w:topLinePunct w:val="0"/>
        <w:bidi w:val="0"/>
        <w:adjustRightInd/>
        <w:snapToGrid/>
        <w:ind w:left="0" w:leftChars="0"/>
        <w:rPr>
          <w:rFonts w:hint="eastAsia"/>
          <w:color w:val="auto"/>
        </w:rPr>
      </w:pPr>
      <w:bookmarkStart w:id="287" w:name="_Toc12694"/>
      <w:r>
        <w:rPr>
          <w:rFonts w:hint="eastAsia"/>
          <w:color w:val="auto"/>
          <w:lang w:eastAsia="zh-CN"/>
        </w:rPr>
        <w:t>（</w:t>
      </w:r>
      <w:r>
        <w:rPr>
          <w:rFonts w:hint="eastAsia"/>
          <w:color w:val="auto"/>
          <w:lang w:val="en-US" w:eastAsia="zh-CN"/>
        </w:rPr>
        <w:t>5</w:t>
      </w:r>
      <w:r>
        <w:rPr>
          <w:rFonts w:hint="eastAsia"/>
          <w:color w:val="auto"/>
          <w:lang w:eastAsia="zh-CN"/>
        </w:rPr>
        <w:t>）</w:t>
      </w:r>
      <w:bookmarkEnd w:id="287"/>
      <w:r>
        <w:rPr>
          <w:rFonts w:hint="eastAsia"/>
          <w:color w:val="auto"/>
          <w:lang w:eastAsia="zh-CN"/>
        </w:rPr>
        <w:t>胴体加工</w:t>
      </w:r>
    </w:p>
    <w:p w14:paraId="6EA1964A">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①胴体加工工位：开胸、取白内脏、取红内脏、胴体检验、胴体修割等。</w:t>
      </w:r>
    </w:p>
    <w:p w14:paraId="280F28B2">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②打开牛的胸腔后，从牛的胸膛内取下</w:t>
      </w:r>
      <w:r>
        <w:rPr>
          <w:rFonts w:hint="eastAsia" w:ascii="Times New Roman" w:hAnsi="Times New Roman" w:cs="Times New Roman"/>
          <w:color w:val="auto"/>
          <w:lang w:val="en-US" w:eastAsia="zh-CN"/>
        </w:rPr>
        <w:t>红、</w:t>
      </w:r>
      <w:r>
        <w:rPr>
          <w:rFonts w:hint="default" w:ascii="Times New Roman" w:hAnsi="Times New Roman" w:cs="Times New Roman"/>
          <w:color w:val="auto"/>
        </w:rPr>
        <w:t>白内脏。把取出的</w:t>
      </w:r>
      <w:r>
        <w:rPr>
          <w:rFonts w:hint="eastAsia" w:ascii="Times New Roman" w:hAnsi="Times New Roman" w:cs="Times New Roman"/>
          <w:color w:val="auto"/>
          <w:lang w:val="en-US" w:eastAsia="zh-CN"/>
        </w:rPr>
        <w:t>红、</w:t>
      </w:r>
      <w:r>
        <w:rPr>
          <w:rFonts w:hint="default" w:ascii="Times New Roman" w:hAnsi="Times New Roman" w:cs="Times New Roman"/>
          <w:color w:val="auto"/>
        </w:rPr>
        <w:t>白内脏放入同步卫检线的托盘内待检验。</w:t>
      </w:r>
    </w:p>
    <w:p w14:paraId="370444E0">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③牛胴体进行修整，修整后进入轨道电子秤进行胴体的称重。根据称重的结果进行分级盖章。</w:t>
      </w:r>
    </w:p>
    <w:p w14:paraId="318EDF6C">
      <w:pPr>
        <w:pageBreakBefore w:val="0"/>
        <w:kinsoku/>
        <w:wordWrap/>
        <w:topLinePunct w:val="0"/>
        <w:bidi w:val="0"/>
        <w:adjustRightInd/>
        <w:snapToGrid/>
        <w:ind w:left="0" w:leftChars="0"/>
        <w:rPr>
          <w:rFonts w:hint="eastAsia"/>
          <w:color w:val="auto"/>
        </w:rPr>
      </w:pPr>
      <w:bookmarkStart w:id="288" w:name="_Toc22866"/>
      <w:r>
        <w:rPr>
          <w:rFonts w:hint="eastAsia"/>
          <w:color w:val="auto"/>
          <w:lang w:eastAsia="zh-CN"/>
        </w:rPr>
        <w:t>（</w:t>
      </w:r>
      <w:r>
        <w:rPr>
          <w:rFonts w:hint="eastAsia"/>
          <w:color w:val="auto"/>
          <w:lang w:val="en-US" w:eastAsia="zh-CN"/>
        </w:rPr>
        <w:t>6</w:t>
      </w:r>
      <w:r>
        <w:rPr>
          <w:rFonts w:hint="eastAsia"/>
          <w:color w:val="auto"/>
          <w:lang w:eastAsia="zh-CN"/>
        </w:rPr>
        <w:t>）</w:t>
      </w:r>
      <w:bookmarkEnd w:id="288"/>
      <w:r>
        <w:rPr>
          <w:rFonts w:hint="eastAsia"/>
          <w:color w:val="auto"/>
          <w:lang w:eastAsia="zh-CN"/>
        </w:rPr>
        <w:t>同步卫检</w:t>
      </w:r>
    </w:p>
    <w:p w14:paraId="6ED1D21E">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①牛胴体、白内脏、红内脏通过同步卫检线输送到检验区采样检验。</w:t>
      </w:r>
    </w:p>
    <w:p w14:paraId="45DCB121">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②检验不合格的可疑病胴体，通过道岔进入可疑病胴体轨道，进行复检，确定有病的胴体进入病体轨道线，取下有病胴体放入封闭的车内拉出屠宰加工车间处理。</w:t>
      </w:r>
    </w:p>
    <w:p w14:paraId="7DCA1D0F">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③检验不合格的</w:t>
      </w:r>
      <w:r>
        <w:rPr>
          <w:rFonts w:hint="eastAsia" w:ascii="Times New Roman" w:hAnsi="Times New Roman" w:cs="Times New Roman"/>
          <w:color w:val="auto"/>
          <w:lang w:val="en-US" w:eastAsia="zh-CN"/>
        </w:rPr>
        <w:t>红、</w:t>
      </w:r>
      <w:r>
        <w:rPr>
          <w:rFonts w:hint="default" w:ascii="Times New Roman" w:hAnsi="Times New Roman" w:cs="Times New Roman"/>
          <w:color w:val="auto"/>
        </w:rPr>
        <w:t>白内脏，从同步卫检线的托盘内取出，放入封闭的车内拉出屠宰加工车间处理。</w:t>
      </w:r>
    </w:p>
    <w:p w14:paraId="2546F7C8">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④同步卫检线上的红内脏挂钩和白内脏托盘自动通过冷－热－冷水的清洗和消毒。</w:t>
      </w:r>
    </w:p>
    <w:p w14:paraId="6703B480">
      <w:pPr>
        <w:pageBreakBefore w:val="0"/>
        <w:kinsoku/>
        <w:wordWrap/>
        <w:topLinePunct w:val="0"/>
        <w:bidi w:val="0"/>
        <w:adjustRightInd/>
        <w:snapToGrid/>
        <w:ind w:left="0" w:leftChars="0"/>
        <w:rPr>
          <w:rFonts w:hint="eastAsia"/>
          <w:color w:val="auto"/>
        </w:rPr>
      </w:pPr>
      <w:bookmarkStart w:id="289" w:name="_Toc20993"/>
      <w:r>
        <w:rPr>
          <w:rFonts w:hint="eastAsia"/>
          <w:color w:val="auto"/>
          <w:lang w:eastAsia="zh-CN"/>
        </w:rPr>
        <w:t>（</w:t>
      </w:r>
      <w:r>
        <w:rPr>
          <w:rFonts w:hint="eastAsia"/>
          <w:color w:val="auto"/>
          <w:lang w:val="en-US" w:eastAsia="zh-CN"/>
        </w:rPr>
        <w:t>7</w:t>
      </w:r>
      <w:r>
        <w:rPr>
          <w:rFonts w:hint="eastAsia"/>
          <w:color w:val="auto"/>
          <w:lang w:eastAsia="zh-CN"/>
        </w:rPr>
        <w:t>）</w:t>
      </w:r>
      <w:bookmarkEnd w:id="289"/>
      <w:r>
        <w:rPr>
          <w:rFonts w:hint="eastAsia"/>
          <w:color w:val="auto"/>
          <w:lang w:eastAsia="zh-CN"/>
        </w:rPr>
        <w:t>副产品加工</w:t>
      </w:r>
    </w:p>
    <w:p w14:paraId="610D11B1">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合格的</w:t>
      </w:r>
      <w:r>
        <w:rPr>
          <w:rFonts w:hint="eastAsia" w:ascii="Times New Roman" w:hAnsi="Times New Roman" w:cs="Times New Roman"/>
          <w:color w:val="auto"/>
          <w:lang w:val="en-US" w:eastAsia="zh-CN"/>
        </w:rPr>
        <w:t>红、</w:t>
      </w:r>
      <w:r>
        <w:rPr>
          <w:rFonts w:hint="default" w:ascii="Times New Roman" w:hAnsi="Times New Roman" w:cs="Times New Roman"/>
          <w:color w:val="auto"/>
        </w:rPr>
        <w:t>白内脏通过滑槽进入内脏加工间，将清洗后的肠、肚整理包装入冷藏库。</w:t>
      </w:r>
    </w:p>
    <w:p w14:paraId="07016906">
      <w:pPr>
        <w:pageBreakBefore w:val="0"/>
        <w:kinsoku/>
        <w:wordWrap/>
        <w:topLinePunct w:val="0"/>
        <w:bidi w:val="0"/>
        <w:adjustRightInd/>
        <w:snapToGrid/>
        <w:ind w:left="0" w:leftChars="0"/>
        <w:rPr>
          <w:rFonts w:hint="eastAsia"/>
          <w:color w:val="auto"/>
        </w:rPr>
      </w:pPr>
      <w:bookmarkStart w:id="290" w:name="_Toc7613"/>
      <w:r>
        <w:rPr>
          <w:rFonts w:hint="eastAsia"/>
          <w:color w:val="auto"/>
          <w:lang w:eastAsia="zh-CN"/>
        </w:rPr>
        <w:t>（</w:t>
      </w:r>
      <w:r>
        <w:rPr>
          <w:rFonts w:hint="eastAsia"/>
          <w:color w:val="auto"/>
          <w:lang w:val="en-US" w:eastAsia="zh-CN"/>
        </w:rPr>
        <w:t>8</w:t>
      </w:r>
      <w:r>
        <w:rPr>
          <w:rFonts w:hint="eastAsia"/>
          <w:color w:val="auto"/>
          <w:lang w:eastAsia="zh-CN"/>
        </w:rPr>
        <w:t>）</w:t>
      </w:r>
      <w:bookmarkEnd w:id="290"/>
      <w:r>
        <w:rPr>
          <w:rFonts w:hint="eastAsia"/>
          <w:color w:val="auto"/>
          <w:lang w:eastAsia="zh-CN"/>
        </w:rPr>
        <w:t>胴体排酸</w:t>
      </w:r>
    </w:p>
    <w:p w14:paraId="71918FE1">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w:t>
      </w:r>
      <w:r>
        <w:rPr>
          <w:rFonts w:hint="eastAsia" w:ascii="Times New Roman" w:hAnsi="Times New Roman" w:cs="Times New Roman"/>
          <w:color w:val="auto"/>
          <w:lang w:val="en-US" w:eastAsia="zh-CN"/>
        </w:rPr>
        <w:t>检疫完成后合格的</w:t>
      </w:r>
      <w:r>
        <w:rPr>
          <w:rFonts w:hint="default" w:ascii="Times New Roman" w:hAnsi="Times New Roman" w:cs="Times New Roman"/>
          <w:color w:val="auto"/>
        </w:rPr>
        <w:t>牛胴体进排酸间进行</w:t>
      </w:r>
      <w:r>
        <w:rPr>
          <w:rFonts w:hint="eastAsia" w:ascii="Times New Roman" w:hAnsi="Times New Roman" w:cs="Times New Roman"/>
          <w:color w:val="auto"/>
          <w:lang w:eastAsia="zh-CN"/>
        </w:rPr>
        <w:t>“</w:t>
      </w:r>
      <w:r>
        <w:rPr>
          <w:rFonts w:hint="default" w:ascii="Times New Roman" w:hAnsi="Times New Roman" w:cs="Times New Roman"/>
          <w:color w:val="auto"/>
        </w:rPr>
        <w:t>排酸</w:t>
      </w:r>
      <w:r>
        <w:rPr>
          <w:rFonts w:hint="eastAsia" w:ascii="Times New Roman" w:hAnsi="Times New Roman" w:cs="Times New Roman"/>
          <w:color w:val="auto"/>
          <w:lang w:eastAsia="zh-CN"/>
        </w:rPr>
        <w:t>”</w:t>
      </w:r>
      <w:r>
        <w:rPr>
          <w:rFonts w:hint="default" w:ascii="Times New Roman" w:hAnsi="Times New Roman" w:cs="Times New Roman"/>
          <w:color w:val="auto"/>
        </w:rPr>
        <w:t>。</w:t>
      </w:r>
    </w:p>
    <w:p w14:paraId="0926EA74">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②排酸间的温度：0-4℃</w:t>
      </w:r>
      <w:r>
        <w:rPr>
          <w:rFonts w:hint="eastAsia" w:ascii="Times New Roman" w:hAnsi="Times New Roman" w:cs="Times New Roman"/>
          <w:color w:val="auto"/>
          <w:lang w:eastAsia="zh-CN"/>
        </w:rPr>
        <w:t>，</w:t>
      </w:r>
      <w:r>
        <w:rPr>
          <w:rFonts w:hint="default" w:ascii="Times New Roman" w:hAnsi="Times New Roman" w:cs="Times New Roman"/>
          <w:color w:val="auto"/>
        </w:rPr>
        <w:t>排酸时间不超过16小时。</w:t>
      </w:r>
    </w:p>
    <w:p w14:paraId="4744844D">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排酸的目的主要是利用牛肉中所含的各种分解酶的作用，使游离氨基酸、游离脂肪酸、</w:t>
      </w:r>
      <w:r>
        <w:rPr>
          <w:rFonts w:hint="default" w:ascii="Times New Roman" w:hAnsi="Times New Roman" w:cs="Times New Roman"/>
          <w:color w:val="auto"/>
          <w:lang w:eastAsia="zh-CN"/>
        </w:rPr>
        <w:t>肌苷</w:t>
      </w:r>
      <w:r>
        <w:rPr>
          <w:rFonts w:hint="default" w:ascii="Times New Roman" w:hAnsi="Times New Roman" w:cs="Times New Roman"/>
          <w:color w:val="auto"/>
        </w:rPr>
        <w:t>酸等与风味有关的成分在肌肉中蓄积，从而改进牛肉的质量，使牛肉色泽变好，风味变佳，柔软细嫩。</w:t>
      </w:r>
    </w:p>
    <w:p w14:paraId="375D12DE">
      <w:pPr>
        <w:pageBreakBefore w:val="0"/>
        <w:kinsoku/>
        <w:wordWrap/>
        <w:topLinePunct w:val="0"/>
        <w:bidi w:val="0"/>
        <w:adjustRightInd/>
        <w:snapToGrid/>
        <w:ind w:left="0" w:leftChars="0"/>
        <w:rPr>
          <w:rFonts w:hint="eastAsia"/>
          <w:color w:val="auto"/>
        </w:rPr>
      </w:pPr>
      <w:bookmarkStart w:id="291" w:name="_Toc18656"/>
      <w:r>
        <w:rPr>
          <w:rFonts w:hint="eastAsia"/>
          <w:color w:val="auto"/>
          <w:lang w:eastAsia="zh-CN"/>
        </w:rPr>
        <w:t>（</w:t>
      </w:r>
      <w:r>
        <w:rPr>
          <w:rFonts w:hint="eastAsia"/>
          <w:color w:val="auto"/>
          <w:lang w:val="en-US" w:eastAsia="zh-CN"/>
        </w:rPr>
        <w:t>9</w:t>
      </w:r>
      <w:r>
        <w:rPr>
          <w:rFonts w:hint="eastAsia"/>
          <w:color w:val="auto"/>
          <w:lang w:eastAsia="zh-CN"/>
        </w:rPr>
        <w:t>）</w:t>
      </w:r>
      <w:bookmarkEnd w:id="291"/>
      <w:r>
        <w:rPr>
          <w:rFonts w:hint="eastAsia"/>
          <w:color w:val="auto"/>
          <w:lang w:eastAsia="zh-CN"/>
        </w:rPr>
        <w:t>剔骨分割包装</w:t>
      </w:r>
    </w:p>
    <w:p w14:paraId="52A83775">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①吊剔骨：把排酸后牛胴体推到剔骨区域，牛胴体挂在生产线上，剔骨人员把切下的大块肉放在分割输送机上，自动传送给分割人员，再有分割人员分割成各个部位肉。</w:t>
      </w:r>
    </w:p>
    <w:p w14:paraId="56830FBD">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②案板剔骨：把排酸后牛胴体推到剔骨区域，把牛胴体从生产线上拿下放在案板上剔骨。</w:t>
      </w:r>
    </w:p>
    <w:p w14:paraId="039169EF">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③分割好的部位肉真空包装后，放入冷冻盘内用凉肉架车推到</w:t>
      </w:r>
      <w:r>
        <w:rPr>
          <w:rFonts w:hint="eastAsia" w:ascii="Times New Roman" w:hAnsi="Times New Roman" w:cs="Times New Roman"/>
          <w:color w:val="auto"/>
          <w:lang w:val="en-US" w:eastAsia="zh-CN"/>
        </w:rPr>
        <w:t>速冻</w:t>
      </w:r>
      <w:r>
        <w:rPr>
          <w:rFonts w:hint="default" w:ascii="Times New Roman" w:hAnsi="Times New Roman" w:cs="Times New Roman"/>
          <w:color w:val="auto"/>
        </w:rPr>
        <w:t>库（-30℃）</w:t>
      </w:r>
      <w:r>
        <w:rPr>
          <w:rFonts w:hint="eastAsia" w:ascii="Times New Roman" w:hAnsi="Times New Roman" w:cs="Times New Roman"/>
          <w:color w:val="auto"/>
          <w:lang w:val="en-US" w:eastAsia="zh-CN"/>
        </w:rPr>
        <w:t>速冻</w:t>
      </w:r>
      <w:r>
        <w:rPr>
          <w:rFonts w:hint="default" w:ascii="Times New Roman" w:hAnsi="Times New Roman" w:cs="Times New Roman"/>
          <w:color w:val="auto"/>
        </w:rPr>
        <w:t>。</w:t>
      </w:r>
    </w:p>
    <w:p w14:paraId="5AA13B83">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④将</w:t>
      </w:r>
      <w:r>
        <w:rPr>
          <w:rFonts w:hint="eastAsia" w:ascii="Times New Roman" w:hAnsi="Times New Roman" w:cs="Times New Roman"/>
          <w:color w:val="auto"/>
          <w:lang w:val="en-US" w:eastAsia="zh-CN"/>
        </w:rPr>
        <w:t>速</w:t>
      </w:r>
      <w:r>
        <w:rPr>
          <w:rFonts w:hint="default" w:ascii="Times New Roman" w:hAnsi="Times New Roman" w:cs="Times New Roman"/>
          <w:color w:val="auto"/>
        </w:rPr>
        <w:t>冻好的产品装箱，进冷藏库（-18℃）储存。</w:t>
      </w:r>
    </w:p>
    <w:p w14:paraId="7ABDADEA">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⑤剔骨分割间温控：10-15℃</w:t>
      </w:r>
      <w:r>
        <w:rPr>
          <w:rFonts w:hint="eastAsia" w:ascii="Times New Roman" w:hAnsi="Times New Roman" w:cs="Times New Roman"/>
          <w:color w:val="auto"/>
          <w:lang w:eastAsia="zh-CN"/>
        </w:rPr>
        <w:t>，</w:t>
      </w:r>
      <w:r>
        <w:rPr>
          <w:rFonts w:hint="default" w:ascii="Times New Roman" w:hAnsi="Times New Roman" w:cs="Times New Roman"/>
          <w:color w:val="auto"/>
        </w:rPr>
        <w:t>包装间温控：10℃以下。</w:t>
      </w:r>
    </w:p>
    <w:p w14:paraId="634508E3">
      <w:pPr>
        <w:pageBreakBefore w:val="0"/>
        <w:kinsoku/>
        <w:wordWrap/>
        <w:topLinePunct w:val="0"/>
        <w:bidi w:val="0"/>
        <w:adjustRightInd/>
        <w:snapToGrid/>
        <w:ind w:left="0" w:leftChars="0"/>
        <w:rPr>
          <w:rFonts w:hint="eastAsia"/>
          <w:color w:val="auto"/>
        </w:rPr>
      </w:pPr>
      <w:r>
        <w:rPr>
          <w:rFonts w:hint="eastAsia"/>
          <w:color w:val="auto"/>
        </w:rPr>
        <w:t>产污环节：</w:t>
      </w:r>
    </w:p>
    <w:p w14:paraId="7ACBFA57">
      <w:pPr>
        <w:pageBreakBefore w:val="0"/>
        <w:kinsoku/>
        <w:wordWrap/>
        <w:topLinePunct w:val="0"/>
        <w:bidi w:val="0"/>
        <w:adjustRightInd/>
        <w:snapToGrid/>
        <w:ind w:left="0" w:leftChars="0"/>
        <w:rPr>
          <w:rFonts w:hint="eastAsia"/>
          <w:color w:val="auto"/>
        </w:rPr>
      </w:pPr>
      <w:r>
        <w:rPr>
          <w:rFonts w:hint="eastAsia"/>
          <w:color w:val="auto"/>
        </w:rPr>
        <w:t>废气：屠宰</w:t>
      </w:r>
      <w:r>
        <w:rPr>
          <w:rFonts w:hint="eastAsia"/>
          <w:color w:val="auto"/>
          <w:lang w:val="en-US" w:eastAsia="zh-CN"/>
        </w:rPr>
        <w:t>加工</w:t>
      </w:r>
      <w:r>
        <w:rPr>
          <w:rFonts w:hint="eastAsia"/>
          <w:color w:val="auto"/>
        </w:rPr>
        <w:t>车间产生的恶臭</w:t>
      </w:r>
      <w:r>
        <w:rPr>
          <w:rFonts w:hint="eastAsia"/>
          <w:color w:val="auto"/>
          <w:lang w:eastAsia="zh-CN"/>
        </w:rPr>
        <w:t>、</w:t>
      </w:r>
      <w:r>
        <w:rPr>
          <w:rFonts w:hint="eastAsia"/>
          <w:color w:val="auto"/>
          <w:lang w:val="en-US" w:eastAsia="zh-CN"/>
        </w:rPr>
        <w:t>牛待宰圈恶臭</w:t>
      </w:r>
      <w:r>
        <w:rPr>
          <w:rFonts w:hint="eastAsia"/>
          <w:color w:val="auto"/>
        </w:rPr>
        <w:t>；</w:t>
      </w:r>
    </w:p>
    <w:p w14:paraId="65F479E1">
      <w:pPr>
        <w:pageBreakBefore w:val="0"/>
        <w:kinsoku/>
        <w:wordWrap/>
        <w:topLinePunct w:val="0"/>
        <w:bidi w:val="0"/>
        <w:adjustRightInd/>
        <w:snapToGrid/>
        <w:ind w:left="0" w:leftChars="0"/>
        <w:rPr>
          <w:rFonts w:hint="eastAsia"/>
          <w:color w:val="auto"/>
          <w:lang w:eastAsia="zh-CN"/>
        </w:rPr>
      </w:pPr>
      <w:r>
        <w:rPr>
          <w:rFonts w:hint="eastAsia"/>
          <w:color w:val="auto"/>
        </w:rPr>
        <w:t>废水：屠宰</w:t>
      </w:r>
      <w:r>
        <w:rPr>
          <w:rFonts w:hint="eastAsia"/>
          <w:color w:val="auto"/>
          <w:lang w:val="en-US" w:eastAsia="zh-CN"/>
        </w:rPr>
        <w:t>牛</w:t>
      </w:r>
      <w:r>
        <w:rPr>
          <w:rFonts w:hint="eastAsia"/>
          <w:color w:val="auto"/>
        </w:rPr>
        <w:t>废水</w:t>
      </w:r>
      <w:r>
        <w:rPr>
          <w:rFonts w:hint="eastAsia"/>
          <w:color w:val="auto"/>
          <w:lang w:eastAsia="zh-CN"/>
        </w:rPr>
        <w:t>；</w:t>
      </w:r>
    </w:p>
    <w:p w14:paraId="7F1DCA44">
      <w:pPr>
        <w:pageBreakBefore w:val="0"/>
        <w:kinsoku/>
        <w:wordWrap/>
        <w:topLinePunct w:val="0"/>
        <w:bidi w:val="0"/>
        <w:adjustRightInd/>
        <w:snapToGrid/>
        <w:ind w:left="0" w:leftChars="0"/>
        <w:rPr>
          <w:rFonts w:hint="eastAsia"/>
          <w:color w:val="auto"/>
        </w:rPr>
      </w:pPr>
      <w:r>
        <w:rPr>
          <w:rFonts w:hint="eastAsia"/>
          <w:color w:val="auto"/>
        </w:rPr>
        <w:t>固体废物：</w:t>
      </w:r>
      <w:r>
        <w:rPr>
          <w:rFonts w:hint="eastAsia"/>
          <w:color w:val="auto"/>
          <w:lang w:val="en-US" w:eastAsia="zh-CN"/>
        </w:rPr>
        <w:t>病死牛、</w:t>
      </w:r>
      <w:r>
        <w:rPr>
          <w:rFonts w:hint="eastAsia"/>
          <w:color w:val="auto"/>
        </w:rPr>
        <w:t>分割边角料、</w:t>
      </w:r>
      <w:r>
        <w:rPr>
          <w:rFonts w:hint="eastAsia"/>
          <w:color w:val="auto"/>
          <w:lang w:eastAsia="zh-CN"/>
        </w:rPr>
        <w:t>胃内容物</w:t>
      </w:r>
      <w:r>
        <w:rPr>
          <w:rFonts w:hint="eastAsia"/>
          <w:color w:val="auto"/>
        </w:rPr>
        <w:t>、</w:t>
      </w:r>
      <w:r>
        <w:rPr>
          <w:rFonts w:hint="eastAsia"/>
          <w:color w:val="auto"/>
          <w:lang w:val="en-US" w:eastAsia="zh-CN"/>
        </w:rPr>
        <w:t>病变</w:t>
      </w:r>
      <w:r>
        <w:rPr>
          <w:rFonts w:hint="eastAsia"/>
          <w:color w:val="auto"/>
        </w:rPr>
        <w:t>内脏、不合格胴体、牛粪便（含牛尿）；</w:t>
      </w:r>
    </w:p>
    <w:p w14:paraId="0A8D43E3">
      <w:pPr>
        <w:pageBreakBefore w:val="0"/>
        <w:kinsoku/>
        <w:wordWrap/>
        <w:topLinePunct w:val="0"/>
        <w:bidi w:val="0"/>
        <w:adjustRightInd/>
        <w:snapToGrid/>
        <w:ind w:left="0" w:leftChars="0"/>
        <w:rPr>
          <w:rFonts w:hint="eastAsia"/>
          <w:color w:val="auto"/>
        </w:rPr>
      </w:pPr>
      <w:r>
        <w:rPr>
          <w:rFonts w:hint="eastAsia"/>
          <w:color w:val="auto"/>
        </w:rPr>
        <w:t>噪声：牛及设备产生的噪声；</w:t>
      </w:r>
    </w:p>
    <w:p w14:paraId="15316D7C">
      <w:pPr>
        <w:pageBreakBefore w:val="0"/>
        <w:kinsoku/>
        <w:wordWrap/>
        <w:topLinePunct w:val="0"/>
        <w:bidi w:val="0"/>
        <w:adjustRightInd/>
        <w:snapToGrid/>
        <w:ind w:left="0" w:leftChars="0"/>
        <w:rPr>
          <w:rFonts w:hint="eastAsia"/>
          <w:color w:val="auto"/>
        </w:rPr>
      </w:pPr>
      <w:r>
        <w:rPr>
          <w:rFonts w:hint="eastAsia"/>
          <w:color w:val="auto"/>
        </w:rPr>
        <w:t>屠宰</w:t>
      </w:r>
      <w:r>
        <w:rPr>
          <w:rFonts w:hint="eastAsia"/>
          <w:color w:val="auto"/>
          <w:lang w:val="en-US" w:eastAsia="zh-CN"/>
        </w:rPr>
        <w:t>牛</w:t>
      </w:r>
      <w:r>
        <w:rPr>
          <w:rFonts w:hint="eastAsia"/>
          <w:color w:val="auto"/>
        </w:rPr>
        <w:t>工艺流程及产污环节图见图2.2-</w:t>
      </w:r>
      <w:r>
        <w:rPr>
          <w:rFonts w:hint="eastAsia"/>
          <w:color w:val="auto"/>
          <w:lang w:val="en-US" w:eastAsia="zh-CN"/>
        </w:rPr>
        <w:t>2</w:t>
      </w:r>
      <w:r>
        <w:rPr>
          <w:rFonts w:hint="eastAsia"/>
          <w:color w:val="auto"/>
        </w:rPr>
        <w:t>。</w:t>
      </w:r>
    </w:p>
    <w:p w14:paraId="431D21D9">
      <w:pPr>
        <w:pageBreakBefore w:val="0"/>
        <w:kinsoku/>
        <w:wordWrap/>
        <w:topLinePunct w:val="0"/>
        <w:bidi w:val="0"/>
        <w:adjustRightInd/>
        <w:snapToGrid/>
        <w:ind w:left="0" w:leftChars="0" w:firstLine="0" w:firstLineChars="0"/>
        <w:jc w:val="center"/>
        <w:rPr>
          <w:rFonts w:hint="eastAsia"/>
          <w:color w:val="auto"/>
        </w:rPr>
      </w:pPr>
      <w:r>
        <w:rPr>
          <w:rFonts w:hint="default" w:ascii="Times New Roman" w:hAnsi="Times New Roman" w:eastAsia="宋体" w:cs="Times New Roman"/>
          <w:b/>
          <w:bCs w:val="0"/>
          <w:color w:val="auto"/>
          <w:highlight w:val="none"/>
        </w:rPr>
        <w:object>
          <v:shape id="_x0000_i1028" o:spt="75" type="#_x0000_t75" style="height:356.2pt;width:436.05pt;" o:ole="t" filled="f" o:preferrelative="t" stroked="f" coordsize="21600,21600">
            <v:path/>
            <v:fill on="f" focussize="0,0"/>
            <v:stroke on="f"/>
            <v:imagedata r:id="rId54" o:title=""/>
            <o:lock v:ext="edit" aspectratio="f"/>
            <w10:wrap type="none"/>
            <w10:anchorlock/>
          </v:shape>
          <o:OLEObject Type="Embed" ProgID="Visio.Drawing.15" ShapeID="_x0000_i1028" DrawAspect="Content" ObjectID="_1468075729" r:id="rId53">
            <o:LockedField>false</o:LockedField>
          </o:OLEObject>
        </w:object>
      </w:r>
      <w:r>
        <w:rPr>
          <w:rFonts w:hint="default" w:ascii="Times New Roman" w:hAnsi="Times New Roman" w:eastAsia="宋体" w:cs="Times New Roman"/>
          <w:b/>
          <w:bCs w:val="0"/>
          <w:color w:val="auto"/>
          <w:highlight w:val="none"/>
        </w:rPr>
        <w:t>图2.</w:t>
      </w:r>
      <w:r>
        <w:rPr>
          <w:rFonts w:hint="default" w:ascii="Times New Roman" w:hAnsi="Times New Roman" w:eastAsia="宋体" w:cs="Times New Roman"/>
          <w:b/>
          <w:bCs w:val="0"/>
          <w:color w:val="auto"/>
          <w:highlight w:val="none"/>
          <w:lang w:val="en-US" w:eastAsia="zh-CN"/>
        </w:rPr>
        <w:t>2</w:t>
      </w:r>
      <w:r>
        <w:rPr>
          <w:rFonts w:hint="default" w:ascii="Times New Roman" w:hAnsi="Times New Roman" w:eastAsia="宋体" w:cs="Times New Roman"/>
          <w:b/>
          <w:bCs w:val="0"/>
          <w:color w:val="auto"/>
          <w:highlight w:val="none"/>
        </w:rPr>
        <w:t>-</w:t>
      </w:r>
      <w:r>
        <w:rPr>
          <w:rFonts w:hint="eastAsia" w:eastAsia="宋体" w:cs="Times New Roman"/>
          <w:b/>
          <w:bCs w:val="0"/>
          <w:color w:val="auto"/>
          <w:highlight w:val="none"/>
          <w:lang w:val="en-US" w:eastAsia="zh-CN"/>
        </w:rPr>
        <w:t>2</w:t>
      </w:r>
      <w:r>
        <w:rPr>
          <w:rFonts w:hint="default" w:ascii="Times New Roman" w:hAnsi="Times New Roman" w:eastAsia="宋体" w:cs="Times New Roman"/>
          <w:b/>
          <w:color w:val="auto"/>
          <w:highlight w:val="none"/>
        </w:rPr>
        <w:t xml:space="preserve">  项目屠宰</w:t>
      </w:r>
      <w:r>
        <w:rPr>
          <w:rFonts w:hint="eastAsia" w:eastAsia="宋体" w:cs="Times New Roman"/>
          <w:b/>
          <w:color w:val="auto"/>
          <w:highlight w:val="none"/>
          <w:lang w:val="en-US" w:eastAsia="zh-CN"/>
        </w:rPr>
        <w:t>牛</w:t>
      </w:r>
      <w:r>
        <w:rPr>
          <w:rFonts w:hint="default" w:ascii="Times New Roman" w:hAnsi="Times New Roman" w:eastAsia="宋体" w:cs="Times New Roman"/>
          <w:b/>
          <w:color w:val="auto"/>
          <w:highlight w:val="none"/>
        </w:rPr>
        <w:t>工艺流程及产污环节图</w:t>
      </w:r>
    </w:p>
    <w:p w14:paraId="6AB599E0">
      <w:pPr>
        <w:pageBreakBefore w:val="0"/>
        <w:kinsoku/>
        <w:wordWrap/>
        <w:topLinePunct w:val="0"/>
        <w:bidi w:val="0"/>
        <w:adjustRightInd/>
        <w:snapToGrid/>
        <w:ind w:left="0" w:leftChars="0"/>
        <w:rPr>
          <w:rFonts w:hint="eastAsia"/>
          <w:color w:val="auto"/>
        </w:rPr>
      </w:pPr>
      <w:bookmarkStart w:id="292" w:name="_Toc19810"/>
      <w:r>
        <w:rPr>
          <w:rFonts w:hint="eastAsia"/>
          <w:color w:val="auto"/>
        </w:rPr>
        <w:t>2、羊屠宰工艺流程</w:t>
      </w:r>
      <w:bookmarkEnd w:id="292"/>
    </w:p>
    <w:p w14:paraId="46FEADBC">
      <w:pPr>
        <w:pageBreakBefore w:val="0"/>
        <w:kinsoku/>
        <w:wordWrap/>
        <w:topLinePunct w:val="0"/>
        <w:bidi w:val="0"/>
        <w:adjustRightInd/>
        <w:snapToGrid/>
        <w:ind w:left="0" w:leftChars="0"/>
        <w:rPr>
          <w:rFonts w:hint="eastAsia"/>
          <w:color w:val="auto"/>
        </w:rPr>
      </w:pPr>
      <w:bookmarkStart w:id="293" w:name="_Toc23375"/>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检疫验收</w:t>
      </w:r>
      <w:bookmarkEnd w:id="293"/>
    </w:p>
    <w:p w14:paraId="1200FA2D">
      <w:pPr>
        <w:pageBreakBefore w:val="0"/>
        <w:kinsoku/>
        <w:wordWrap/>
        <w:topLinePunct w:val="0"/>
        <w:bidi w:val="0"/>
        <w:adjustRightInd/>
        <w:snapToGrid/>
        <w:ind w:left="0" w:leftChars="0"/>
        <w:rPr>
          <w:rFonts w:hint="eastAsia" w:eastAsia="仿宋_GB2312"/>
          <w:color w:val="auto"/>
          <w:lang w:eastAsia="zh-CN"/>
        </w:rPr>
      </w:pPr>
      <w:r>
        <w:rPr>
          <w:rFonts w:hint="eastAsia"/>
          <w:color w:val="auto"/>
        </w:rPr>
        <w:t>运到生产区的</w:t>
      </w:r>
      <w:r>
        <w:rPr>
          <w:rFonts w:hint="eastAsia"/>
          <w:color w:val="auto"/>
          <w:lang w:val="en-US" w:eastAsia="zh-CN"/>
        </w:rPr>
        <w:t>羊</w:t>
      </w:r>
      <w:r>
        <w:rPr>
          <w:rFonts w:hint="eastAsia"/>
          <w:color w:val="auto"/>
        </w:rPr>
        <w:t>，卸车前应索取产地动物防疫监督机构开具的合格证明，并临车观察未见异常，证货相符后准予卸车。经清点头数，用轻拍的方式驱赶健康的羊进入待宰圈，按羊的健康状况进行分圈管理。待宰的</w:t>
      </w:r>
      <w:r>
        <w:rPr>
          <w:rFonts w:hint="eastAsia"/>
          <w:color w:val="auto"/>
          <w:lang w:val="en-US" w:eastAsia="zh-CN"/>
        </w:rPr>
        <w:t>羊</w:t>
      </w:r>
      <w:r>
        <w:rPr>
          <w:rFonts w:hint="eastAsia"/>
          <w:color w:val="auto"/>
        </w:rPr>
        <w:t>送宰前应停食静养</w:t>
      </w:r>
      <w:r>
        <w:rPr>
          <w:rFonts w:hint="eastAsia"/>
          <w:color w:val="auto"/>
          <w:lang w:val="en-US" w:eastAsia="zh-CN"/>
        </w:rPr>
        <w:t>24</w:t>
      </w:r>
      <w:r>
        <w:rPr>
          <w:rFonts w:hint="eastAsia"/>
          <w:color w:val="auto"/>
        </w:rPr>
        <w:t>小时，以便消除运输途中疲劳，恢复正常的生理状态，在静养期间检疫人员定时观察，发现可疑病</w:t>
      </w:r>
      <w:r>
        <w:rPr>
          <w:rFonts w:hint="eastAsia"/>
          <w:color w:val="auto"/>
          <w:lang w:val="en-US" w:eastAsia="zh-CN"/>
        </w:rPr>
        <w:t>羊</w:t>
      </w:r>
      <w:r>
        <w:rPr>
          <w:rFonts w:hint="eastAsia"/>
          <w:color w:val="auto"/>
        </w:rPr>
        <w:t>送隔离圈观察，确定有病的</w:t>
      </w:r>
      <w:r>
        <w:rPr>
          <w:rFonts w:hint="eastAsia"/>
          <w:color w:val="auto"/>
          <w:lang w:val="en-US" w:eastAsia="zh-CN"/>
        </w:rPr>
        <w:t>羊</w:t>
      </w:r>
      <w:r>
        <w:rPr>
          <w:rFonts w:hint="eastAsia"/>
          <w:color w:val="auto"/>
        </w:rPr>
        <w:t>送急宰间处理，健康合格的</w:t>
      </w:r>
      <w:r>
        <w:rPr>
          <w:rFonts w:hint="eastAsia"/>
          <w:color w:val="auto"/>
          <w:lang w:val="en-US" w:eastAsia="zh-CN"/>
        </w:rPr>
        <w:t>羊</w:t>
      </w:r>
      <w:r>
        <w:rPr>
          <w:rFonts w:hint="eastAsia"/>
          <w:color w:val="auto"/>
        </w:rPr>
        <w:t>在宰前3小时停止饮水。</w:t>
      </w:r>
    </w:p>
    <w:p w14:paraId="785BA6A2">
      <w:pPr>
        <w:pageBreakBefore w:val="0"/>
        <w:kinsoku/>
        <w:wordWrap/>
        <w:topLinePunct w:val="0"/>
        <w:bidi w:val="0"/>
        <w:adjustRightInd/>
        <w:snapToGrid/>
        <w:ind w:left="0" w:leftChars="0"/>
        <w:rPr>
          <w:rFonts w:hint="eastAsia"/>
          <w:color w:val="auto"/>
        </w:rPr>
      </w:pPr>
      <w:bookmarkStart w:id="294" w:name="_Toc6046"/>
      <w:r>
        <w:rPr>
          <w:rFonts w:hint="eastAsia"/>
          <w:color w:val="auto"/>
          <w:lang w:eastAsia="zh-CN"/>
        </w:rPr>
        <w:t>（</w:t>
      </w:r>
      <w:r>
        <w:rPr>
          <w:rFonts w:hint="eastAsia"/>
          <w:color w:val="auto"/>
          <w:lang w:val="en-US" w:eastAsia="zh-CN"/>
        </w:rPr>
        <w:t>2</w:t>
      </w:r>
      <w:r>
        <w:rPr>
          <w:rFonts w:hint="eastAsia"/>
          <w:color w:val="auto"/>
          <w:lang w:eastAsia="zh-CN"/>
        </w:rPr>
        <w:t>）</w:t>
      </w:r>
      <w:bookmarkEnd w:id="294"/>
      <w:r>
        <w:rPr>
          <w:rFonts w:hint="eastAsia"/>
          <w:color w:val="auto"/>
          <w:lang w:eastAsia="zh-CN"/>
        </w:rPr>
        <w:t>宰杀放血</w:t>
      </w:r>
    </w:p>
    <w:p w14:paraId="51A1DB02">
      <w:pPr>
        <w:pageBreakBefore w:val="0"/>
        <w:kinsoku/>
        <w:wordWrap/>
        <w:topLinePunct w:val="0"/>
        <w:bidi w:val="0"/>
        <w:adjustRightInd/>
        <w:snapToGrid/>
        <w:ind w:left="0" w:leftChars="0"/>
        <w:rPr>
          <w:rFonts w:hint="eastAsia"/>
          <w:color w:val="auto"/>
        </w:rPr>
      </w:pPr>
      <w:r>
        <w:rPr>
          <w:rFonts w:hint="eastAsia"/>
          <w:color w:val="auto"/>
        </w:rPr>
        <w:t>活</w:t>
      </w:r>
      <w:r>
        <w:rPr>
          <w:rFonts w:hint="eastAsia"/>
          <w:color w:val="auto"/>
          <w:lang w:val="en-US" w:eastAsia="zh-CN"/>
        </w:rPr>
        <w:t>羊</w:t>
      </w:r>
      <w:r>
        <w:rPr>
          <w:rFonts w:hint="eastAsia"/>
          <w:color w:val="auto"/>
        </w:rPr>
        <w:t>致昏后</w:t>
      </w:r>
      <w:r>
        <w:rPr>
          <w:rFonts w:hint="eastAsia"/>
          <w:color w:val="auto"/>
          <w:lang w:val="en-US" w:eastAsia="zh-CN"/>
        </w:rPr>
        <w:t>通过提升梯输送至2楼，</w:t>
      </w:r>
      <w:r>
        <w:rPr>
          <w:rFonts w:hint="eastAsia"/>
          <w:color w:val="auto"/>
        </w:rPr>
        <w:t>用放血吊链拴住一后腿，通过提升装置将</w:t>
      </w:r>
      <w:r>
        <w:rPr>
          <w:rFonts w:hint="eastAsia"/>
          <w:color w:val="auto"/>
          <w:lang w:val="en-US" w:eastAsia="zh-CN"/>
        </w:rPr>
        <w:t>羊</w:t>
      </w:r>
      <w:r>
        <w:rPr>
          <w:rFonts w:hint="eastAsia"/>
          <w:color w:val="auto"/>
        </w:rPr>
        <w:t>提升进入放血自动输送线的轨道上进行宰杀放血。</w:t>
      </w:r>
    </w:p>
    <w:p w14:paraId="6280BFEF">
      <w:pPr>
        <w:pageBreakBefore w:val="0"/>
        <w:kinsoku/>
        <w:wordWrap/>
        <w:topLinePunct w:val="0"/>
        <w:bidi w:val="0"/>
        <w:adjustRightInd/>
        <w:snapToGrid/>
        <w:ind w:left="0" w:leftChars="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）预剥扯皮</w:t>
      </w:r>
    </w:p>
    <w:p w14:paraId="661FC784">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①倒挂预剥：</w:t>
      </w:r>
      <w:r>
        <w:rPr>
          <w:rFonts w:hint="eastAsia"/>
          <w:color w:val="auto"/>
          <w:lang w:val="en-US" w:eastAsia="zh-CN"/>
        </w:rPr>
        <w:t>羊</w:t>
      </w:r>
      <w:r>
        <w:rPr>
          <w:rFonts w:hint="default" w:ascii="Times New Roman" w:hAnsi="Times New Roman" w:cs="Times New Roman"/>
          <w:color w:val="auto"/>
        </w:rPr>
        <w:t>用叉挡将</w:t>
      </w:r>
      <w:r>
        <w:rPr>
          <w:rFonts w:hint="eastAsia"/>
          <w:color w:val="auto"/>
          <w:lang w:val="en-US" w:eastAsia="zh-CN"/>
        </w:rPr>
        <w:t>羊</w:t>
      </w:r>
      <w:r>
        <w:rPr>
          <w:rFonts w:hint="default" w:ascii="Times New Roman" w:hAnsi="Times New Roman" w:cs="Times New Roman"/>
          <w:color w:val="auto"/>
        </w:rPr>
        <w:t>的两后腿叉开，以便前腿、后腿和胸部的预剥。</w:t>
      </w:r>
    </w:p>
    <w:p w14:paraId="372DBBFD">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②平衡预剥：放血、预剥自动输送线的挂钩勾住</w:t>
      </w:r>
      <w:r>
        <w:rPr>
          <w:rFonts w:hint="eastAsia"/>
          <w:color w:val="auto"/>
          <w:lang w:val="en-US" w:eastAsia="zh-CN"/>
        </w:rPr>
        <w:t>羊</w:t>
      </w:r>
      <w:r>
        <w:rPr>
          <w:rFonts w:hint="default" w:ascii="Times New Roman" w:hAnsi="Times New Roman" w:cs="Times New Roman"/>
          <w:color w:val="auto"/>
        </w:rPr>
        <w:t>的后腿，扯皮自动输送线的挂钩勾住</w:t>
      </w:r>
      <w:r>
        <w:rPr>
          <w:rFonts w:hint="eastAsia"/>
          <w:color w:val="auto"/>
          <w:lang w:val="en-US" w:eastAsia="zh-CN"/>
        </w:rPr>
        <w:t>羊</w:t>
      </w:r>
      <w:r>
        <w:rPr>
          <w:rFonts w:hint="default" w:ascii="Times New Roman" w:hAnsi="Times New Roman" w:cs="Times New Roman"/>
          <w:color w:val="auto"/>
        </w:rPr>
        <w:t>的两前腿，这两条自动线的速度是同步前进的，</w:t>
      </w:r>
      <w:r>
        <w:rPr>
          <w:rFonts w:hint="eastAsia"/>
          <w:color w:val="auto"/>
          <w:lang w:val="en-US" w:eastAsia="zh-CN"/>
        </w:rPr>
        <w:t>羊</w:t>
      </w:r>
      <w:r>
        <w:rPr>
          <w:rFonts w:hint="default" w:ascii="Times New Roman" w:hAnsi="Times New Roman" w:cs="Times New Roman"/>
          <w:color w:val="auto"/>
        </w:rPr>
        <w:t>的腹部朝上，背部朝下，平衡前进，在输送的过程中进行预剥皮。这种预剥的方式可有效的控制在预剥过程中毛粘在胴体上。</w:t>
      </w:r>
    </w:p>
    <w:p w14:paraId="0846B41C">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③</w:t>
      </w:r>
      <w:r>
        <w:rPr>
          <w:rFonts w:hint="eastAsia"/>
          <w:color w:val="auto"/>
          <w:lang w:val="en-US" w:eastAsia="zh-CN"/>
        </w:rPr>
        <w:t>羊</w:t>
      </w:r>
      <w:r>
        <w:rPr>
          <w:rFonts w:hint="default" w:ascii="Times New Roman" w:hAnsi="Times New Roman" w:cs="Times New Roman"/>
          <w:color w:val="auto"/>
        </w:rPr>
        <w:t>用扯皮机的夹皮装置夹住</w:t>
      </w:r>
      <w:r>
        <w:rPr>
          <w:rFonts w:hint="eastAsia"/>
          <w:color w:val="auto"/>
          <w:lang w:val="en-US" w:eastAsia="zh-CN"/>
        </w:rPr>
        <w:t>羊</w:t>
      </w:r>
      <w:r>
        <w:rPr>
          <w:rFonts w:hint="default" w:ascii="Times New Roman" w:hAnsi="Times New Roman" w:cs="Times New Roman"/>
          <w:color w:val="auto"/>
        </w:rPr>
        <w:t>皮，从</w:t>
      </w:r>
      <w:r>
        <w:rPr>
          <w:rFonts w:hint="eastAsia"/>
          <w:color w:val="auto"/>
          <w:lang w:val="en-US" w:eastAsia="zh-CN"/>
        </w:rPr>
        <w:t>羊</w:t>
      </w:r>
      <w:r>
        <w:rPr>
          <w:rFonts w:hint="default" w:ascii="Times New Roman" w:hAnsi="Times New Roman" w:cs="Times New Roman"/>
          <w:color w:val="auto"/>
        </w:rPr>
        <w:t>的后腿往前腿方向扯下整张</w:t>
      </w:r>
      <w:r>
        <w:rPr>
          <w:rFonts w:hint="eastAsia"/>
          <w:color w:val="auto"/>
          <w:lang w:val="en-US" w:eastAsia="zh-CN"/>
        </w:rPr>
        <w:t>羊</w:t>
      </w:r>
      <w:r>
        <w:rPr>
          <w:rFonts w:hint="default" w:ascii="Times New Roman" w:hAnsi="Times New Roman" w:cs="Times New Roman"/>
          <w:color w:val="auto"/>
        </w:rPr>
        <w:t>皮。</w:t>
      </w:r>
    </w:p>
    <w:p w14:paraId="331620C1">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④将扯下的</w:t>
      </w:r>
      <w:r>
        <w:rPr>
          <w:rFonts w:hint="eastAsia"/>
          <w:color w:val="auto"/>
          <w:lang w:val="en-US" w:eastAsia="zh-CN"/>
        </w:rPr>
        <w:t>羊</w:t>
      </w:r>
      <w:r>
        <w:rPr>
          <w:rFonts w:hint="default" w:ascii="Times New Roman" w:hAnsi="Times New Roman" w:cs="Times New Roman"/>
          <w:color w:val="auto"/>
        </w:rPr>
        <w:t>皮通过</w:t>
      </w:r>
      <w:r>
        <w:rPr>
          <w:rFonts w:hint="eastAsia"/>
          <w:color w:val="auto"/>
          <w:lang w:val="en-US" w:eastAsia="zh-CN"/>
        </w:rPr>
        <w:t>羊</w:t>
      </w:r>
      <w:r>
        <w:rPr>
          <w:rFonts w:hint="default" w:ascii="Times New Roman" w:hAnsi="Times New Roman" w:cs="Times New Roman"/>
          <w:color w:val="auto"/>
        </w:rPr>
        <w:t>皮输送机送到</w:t>
      </w:r>
      <w:r>
        <w:rPr>
          <w:rFonts w:hint="eastAsia" w:ascii="Times New Roman" w:hAnsi="Times New Roman" w:cs="Times New Roman"/>
          <w:color w:val="auto"/>
          <w:lang w:val="en-US" w:eastAsia="zh-CN"/>
        </w:rPr>
        <w:t>皮张间</w:t>
      </w:r>
      <w:r>
        <w:rPr>
          <w:rFonts w:hint="default" w:ascii="Times New Roman" w:hAnsi="Times New Roman" w:cs="Times New Roman"/>
          <w:color w:val="auto"/>
        </w:rPr>
        <w:t>内。</w:t>
      </w:r>
    </w:p>
    <w:p w14:paraId="079AC832">
      <w:pPr>
        <w:pageBreakBefore w:val="0"/>
        <w:kinsoku/>
        <w:wordWrap/>
        <w:topLinePunct w:val="0"/>
        <w:bidi w:val="0"/>
        <w:adjustRightInd/>
        <w:snapToGrid/>
        <w:ind w:left="0" w:leftChars="0"/>
        <w:rPr>
          <w:rFonts w:hint="eastAsia" w:ascii="Times New Roman" w:hAnsi="Times New Roman" w:eastAsia="仿宋_GB2312"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）去头降尾</w:t>
      </w:r>
    </w:p>
    <w:p w14:paraId="510C3783">
      <w:pPr>
        <w:pageBreakBefore w:val="0"/>
        <w:kinsoku/>
        <w:wordWrap/>
        <w:topLinePunct w:val="0"/>
        <w:bidi w:val="0"/>
        <w:adjustRightInd/>
        <w:snapToGrid/>
        <w:ind w:left="0" w:leftChars="0"/>
        <w:rPr>
          <w:rFonts w:hint="default" w:ascii="Times New Roman" w:hAnsi="Times New Roman" w:cs="Times New Roman"/>
          <w:color w:val="auto"/>
        </w:rPr>
      </w:pPr>
      <w:r>
        <w:rPr>
          <w:rFonts w:hint="eastAsia"/>
          <w:color w:val="auto"/>
        </w:rPr>
        <w:t>去除</w:t>
      </w:r>
      <w:r>
        <w:rPr>
          <w:rFonts w:hint="eastAsia"/>
          <w:color w:val="auto"/>
          <w:lang w:val="en-US" w:eastAsia="zh-CN"/>
        </w:rPr>
        <w:t>羊</w:t>
      </w:r>
      <w:r>
        <w:rPr>
          <w:rFonts w:hint="eastAsia"/>
          <w:color w:val="auto"/>
        </w:rPr>
        <w:t>头、</w:t>
      </w:r>
      <w:r>
        <w:rPr>
          <w:rFonts w:hint="eastAsia"/>
          <w:color w:val="auto"/>
          <w:lang w:val="en-US" w:eastAsia="zh-CN"/>
        </w:rPr>
        <w:t>羊</w:t>
      </w:r>
      <w:r>
        <w:rPr>
          <w:rFonts w:hint="eastAsia"/>
          <w:color w:val="auto"/>
        </w:rPr>
        <w:t>尾、</w:t>
      </w:r>
      <w:r>
        <w:rPr>
          <w:rFonts w:hint="eastAsia"/>
          <w:color w:val="auto"/>
          <w:lang w:val="en-US" w:eastAsia="zh-CN"/>
        </w:rPr>
        <w:t>羊</w:t>
      </w:r>
      <w:r>
        <w:rPr>
          <w:rFonts w:hint="eastAsia"/>
          <w:color w:val="auto"/>
        </w:rPr>
        <w:t>蹄等；去下来的头、蹄、尾进入头蹄加工间处理。</w:t>
      </w:r>
    </w:p>
    <w:p w14:paraId="7B1632D1">
      <w:pPr>
        <w:pageBreakBefore w:val="0"/>
        <w:kinsoku/>
        <w:wordWrap/>
        <w:topLinePunct w:val="0"/>
        <w:bidi w:val="0"/>
        <w:adjustRightInd/>
        <w:snapToGrid/>
        <w:ind w:left="0" w:leftChars="0"/>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）胴体加工</w:t>
      </w:r>
    </w:p>
    <w:p w14:paraId="5AA0F541">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①胴体加工工位：开胸、取白内脏、取红内脏、胴体检验、胴体修割等。</w:t>
      </w:r>
    </w:p>
    <w:p w14:paraId="77095D9F">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②打开</w:t>
      </w:r>
      <w:r>
        <w:rPr>
          <w:rFonts w:hint="eastAsia"/>
          <w:color w:val="auto"/>
          <w:lang w:val="en-US" w:eastAsia="zh-CN"/>
        </w:rPr>
        <w:t>羊</w:t>
      </w:r>
      <w:r>
        <w:rPr>
          <w:rFonts w:hint="default" w:ascii="Times New Roman" w:hAnsi="Times New Roman" w:cs="Times New Roman"/>
          <w:color w:val="auto"/>
        </w:rPr>
        <w:t>的胸腔后，从</w:t>
      </w:r>
      <w:r>
        <w:rPr>
          <w:rFonts w:hint="eastAsia"/>
          <w:color w:val="auto"/>
          <w:lang w:val="en-US" w:eastAsia="zh-CN"/>
        </w:rPr>
        <w:t>羊</w:t>
      </w:r>
      <w:r>
        <w:rPr>
          <w:rFonts w:hint="default" w:ascii="Times New Roman" w:hAnsi="Times New Roman" w:cs="Times New Roman"/>
          <w:color w:val="auto"/>
        </w:rPr>
        <w:t>的胸膛内取下</w:t>
      </w:r>
      <w:r>
        <w:rPr>
          <w:rFonts w:hint="eastAsia" w:ascii="Times New Roman" w:hAnsi="Times New Roman" w:cs="Times New Roman"/>
          <w:color w:val="auto"/>
          <w:lang w:val="en-US" w:eastAsia="zh-CN"/>
        </w:rPr>
        <w:t>红、</w:t>
      </w:r>
      <w:r>
        <w:rPr>
          <w:rFonts w:hint="default" w:ascii="Times New Roman" w:hAnsi="Times New Roman" w:cs="Times New Roman"/>
          <w:color w:val="auto"/>
        </w:rPr>
        <w:t>白内脏。把取出的</w:t>
      </w:r>
      <w:r>
        <w:rPr>
          <w:rFonts w:hint="eastAsia" w:ascii="Times New Roman" w:hAnsi="Times New Roman" w:cs="Times New Roman"/>
          <w:color w:val="auto"/>
          <w:lang w:val="en-US" w:eastAsia="zh-CN"/>
        </w:rPr>
        <w:t>红、</w:t>
      </w:r>
      <w:r>
        <w:rPr>
          <w:rFonts w:hint="default" w:ascii="Times New Roman" w:hAnsi="Times New Roman" w:cs="Times New Roman"/>
          <w:color w:val="auto"/>
        </w:rPr>
        <w:t>白内脏放入同步卫检线的托盘内待检验。</w:t>
      </w:r>
    </w:p>
    <w:p w14:paraId="44BF19C5">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③</w:t>
      </w:r>
      <w:r>
        <w:rPr>
          <w:rFonts w:hint="eastAsia"/>
          <w:color w:val="auto"/>
          <w:lang w:val="en-US" w:eastAsia="zh-CN"/>
        </w:rPr>
        <w:t>羊</w:t>
      </w:r>
      <w:r>
        <w:rPr>
          <w:rFonts w:hint="default" w:ascii="Times New Roman" w:hAnsi="Times New Roman" w:cs="Times New Roman"/>
          <w:color w:val="auto"/>
        </w:rPr>
        <w:t>胴体进行修整，修整后进入轨道电子秤进行胴体的称重。根据称重的结果进行分级盖章。</w:t>
      </w:r>
    </w:p>
    <w:p w14:paraId="6CC94E5D">
      <w:pPr>
        <w:pageBreakBefore w:val="0"/>
        <w:kinsoku/>
        <w:wordWrap/>
        <w:topLinePunct w:val="0"/>
        <w:bidi w:val="0"/>
        <w:adjustRightInd/>
        <w:snapToGrid/>
        <w:ind w:left="0" w:leftChars="0"/>
        <w:rPr>
          <w:rFonts w:hint="eastAsia"/>
          <w:color w:val="auto"/>
        </w:rPr>
      </w:pPr>
      <w:r>
        <w:rPr>
          <w:rFonts w:hint="eastAsia"/>
          <w:color w:val="auto"/>
          <w:lang w:eastAsia="zh-CN"/>
        </w:rPr>
        <w:t>（</w:t>
      </w:r>
      <w:r>
        <w:rPr>
          <w:rFonts w:hint="eastAsia"/>
          <w:color w:val="auto"/>
          <w:lang w:val="en-US" w:eastAsia="zh-CN"/>
        </w:rPr>
        <w:t>6</w:t>
      </w:r>
      <w:r>
        <w:rPr>
          <w:rFonts w:hint="eastAsia"/>
          <w:color w:val="auto"/>
          <w:lang w:eastAsia="zh-CN"/>
        </w:rPr>
        <w:t>）同步卫检</w:t>
      </w:r>
    </w:p>
    <w:p w14:paraId="61713CED">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w:t>
      </w:r>
      <w:r>
        <w:rPr>
          <w:rFonts w:hint="eastAsia"/>
          <w:color w:val="auto"/>
          <w:lang w:val="en-US" w:eastAsia="zh-CN"/>
        </w:rPr>
        <w:t>羊</w:t>
      </w:r>
      <w:r>
        <w:rPr>
          <w:rFonts w:hint="default" w:ascii="Times New Roman" w:hAnsi="Times New Roman" w:cs="Times New Roman"/>
          <w:color w:val="auto"/>
        </w:rPr>
        <w:t>胴体、白内脏、红内脏通过同步卫检线输送到检验区采样检验。</w:t>
      </w:r>
    </w:p>
    <w:p w14:paraId="0E4A1524">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②检验不合格的可疑病胴体，通过道岔进入可疑病胴体轨道，进行复检，确定有病的胴体进入病体轨道线，取下有病胴体放入封闭的车内拉出屠宰加工车间处理。</w:t>
      </w:r>
    </w:p>
    <w:p w14:paraId="772D3953">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③检验不合格的</w:t>
      </w:r>
      <w:r>
        <w:rPr>
          <w:rFonts w:hint="eastAsia" w:ascii="Times New Roman" w:hAnsi="Times New Roman" w:cs="Times New Roman"/>
          <w:color w:val="auto"/>
          <w:lang w:val="en-US" w:eastAsia="zh-CN"/>
        </w:rPr>
        <w:t>红、</w:t>
      </w:r>
      <w:r>
        <w:rPr>
          <w:rFonts w:hint="default" w:ascii="Times New Roman" w:hAnsi="Times New Roman" w:cs="Times New Roman"/>
          <w:color w:val="auto"/>
        </w:rPr>
        <w:t>白内脏，从同步卫检线的托盘内取出，放入封闭的车内拉出屠宰加工车间处理。</w:t>
      </w:r>
    </w:p>
    <w:p w14:paraId="5EC2F672">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④同步卫检线上的红内脏挂钩和白内脏托盘自动通过冷－热－冷水的清洗和消毒。</w:t>
      </w:r>
    </w:p>
    <w:p w14:paraId="44348065">
      <w:pPr>
        <w:pageBreakBefore w:val="0"/>
        <w:kinsoku/>
        <w:wordWrap/>
        <w:topLinePunct w:val="0"/>
        <w:bidi w:val="0"/>
        <w:adjustRightInd/>
        <w:snapToGrid/>
        <w:ind w:left="0" w:leftChars="0"/>
        <w:rPr>
          <w:rFonts w:hint="eastAsia"/>
          <w:color w:val="auto"/>
        </w:rPr>
      </w:pPr>
      <w:r>
        <w:rPr>
          <w:rFonts w:hint="eastAsia"/>
          <w:color w:val="auto"/>
          <w:lang w:eastAsia="zh-CN"/>
        </w:rPr>
        <w:t>（</w:t>
      </w:r>
      <w:r>
        <w:rPr>
          <w:rFonts w:hint="eastAsia"/>
          <w:color w:val="auto"/>
          <w:lang w:val="en-US" w:eastAsia="zh-CN"/>
        </w:rPr>
        <w:t>7</w:t>
      </w:r>
      <w:r>
        <w:rPr>
          <w:rFonts w:hint="eastAsia"/>
          <w:color w:val="auto"/>
          <w:lang w:eastAsia="zh-CN"/>
        </w:rPr>
        <w:t>）副产品加工</w:t>
      </w:r>
    </w:p>
    <w:p w14:paraId="7B77A6F0">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合格的</w:t>
      </w:r>
      <w:r>
        <w:rPr>
          <w:rFonts w:hint="eastAsia" w:ascii="Times New Roman" w:hAnsi="Times New Roman" w:cs="Times New Roman"/>
          <w:color w:val="auto"/>
          <w:lang w:val="en-US" w:eastAsia="zh-CN"/>
        </w:rPr>
        <w:t>红、</w:t>
      </w:r>
      <w:r>
        <w:rPr>
          <w:rFonts w:hint="default" w:ascii="Times New Roman" w:hAnsi="Times New Roman" w:cs="Times New Roman"/>
          <w:color w:val="auto"/>
        </w:rPr>
        <w:t>白内脏通过滑槽进入内脏加工间，将清洗后的肠、肚整理包装入冷藏库。</w:t>
      </w:r>
    </w:p>
    <w:p w14:paraId="6063E07A">
      <w:pPr>
        <w:pageBreakBefore w:val="0"/>
        <w:kinsoku/>
        <w:wordWrap/>
        <w:topLinePunct w:val="0"/>
        <w:bidi w:val="0"/>
        <w:adjustRightInd/>
        <w:snapToGrid/>
        <w:ind w:left="0" w:leftChars="0"/>
        <w:rPr>
          <w:rFonts w:hint="eastAsia"/>
          <w:color w:val="auto"/>
        </w:rPr>
      </w:pPr>
      <w:r>
        <w:rPr>
          <w:rFonts w:hint="eastAsia"/>
          <w:color w:val="auto"/>
          <w:lang w:eastAsia="zh-CN"/>
        </w:rPr>
        <w:t>（</w:t>
      </w:r>
      <w:r>
        <w:rPr>
          <w:rFonts w:hint="eastAsia"/>
          <w:color w:val="auto"/>
          <w:lang w:val="en-US" w:eastAsia="zh-CN"/>
        </w:rPr>
        <w:t>8</w:t>
      </w:r>
      <w:r>
        <w:rPr>
          <w:rFonts w:hint="eastAsia"/>
          <w:color w:val="auto"/>
          <w:lang w:eastAsia="zh-CN"/>
        </w:rPr>
        <w:t>）胴体排酸</w:t>
      </w:r>
    </w:p>
    <w:p w14:paraId="4122893C">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w:t>
      </w:r>
      <w:r>
        <w:rPr>
          <w:rFonts w:hint="eastAsia"/>
          <w:color w:val="auto"/>
          <w:lang w:val="en-US" w:eastAsia="zh-CN"/>
        </w:rPr>
        <w:t>羊</w:t>
      </w:r>
      <w:r>
        <w:rPr>
          <w:rFonts w:hint="default" w:ascii="Times New Roman" w:hAnsi="Times New Roman" w:cs="Times New Roman"/>
          <w:color w:val="auto"/>
        </w:rPr>
        <w:t>胴体进排酸间进行</w:t>
      </w:r>
      <w:r>
        <w:rPr>
          <w:rFonts w:hint="eastAsia" w:ascii="Times New Roman" w:hAnsi="Times New Roman" w:cs="Times New Roman"/>
          <w:color w:val="auto"/>
          <w:lang w:eastAsia="zh-CN"/>
        </w:rPr>
        <w:t>“</w:t>
      </w:r>
      <w:r>
        <w:rPr>
          <w:rFonts w:hint="default" w:ascii="Times New Roman" w:hAnsi="Times New Roman" w:cs="Times New Roman"/>
          <w:color w:val="auto"/>
        </w:rPr>
        <w:t>排酸</w:t>
      </w:r>
      <w:r>
        <w:rPr>
          <w:rFonts w:hint="eastAsia" w:ascii="Times New Roman" w:hAnsi="Times New Roman" w:cs="Times New Roman"/>
          <w:color w:val="auto"/>
          <w:lang w:eastAsia="zh-CN"/>
        </w:rPr>
        <w:t>”</w:t>
      </w:r>
      <w:r>
        <w:rPr>
          <w:rFonts w:hint="default" w:ascii="Times New Roman" w:hAnsi="Times New Roman" w:cs="Times New Roman"/>
          <w:color w:val="auto"/>
        </w:rPr>
        <w:t>。</w:t>
      </w:r>
    </w:p>
    <w:p w14:paraId="2B905712">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②排酸间的温度：0-4℃</w:t>
      </w:r>
      <w:r>
        <w:rPr>
          <w:rFonts w:hint="eastAsia" w:ascii="Times New Roman" w:hAnsi="Times New Roman" w:cs="Times New Roman"/>
          <w:color w:val="auto"/>
          <w:lang w:eastAsia="zh-CN"/>
        </w:rPr>
        <w:t>，</w:t>
      </w:r>
      <w:r>
        <w:rPr>
          <w:rFonts w:hint="default" w:ascii="Times New Roman" w:hAnsi="Times New Roman" w:cs="Times New Roman"/>
          <w:color w:val="auto"/>
        </w:rPr>
        <w:t>排酸时间不超过16小时。</w:t>
      </w:r>
    </w:p>
    <w:p w14:paraId="24A1F596">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排酸的目的主要是利用</w:t>
      </w:r>
      <w:r>
        <w:rPr>
          <w:rFonts w:hint="eastAsia" w:ascii="Times New Roman" w:hAnsi="Times New Roman" w:cs="Times New Roman"/>
          <w:color w:val="auto"/>
          <w:lang w:val="en-US" w:eastAsia="zh-CN"/>
        </w:rPr>
        <w:t>羊</w:t>
      </w:r>
      <w:r>
        <w:rPr>
          <w:rFonts w:hint="default" w:ascii="Times New Roman" w:hAnsi="Times New Roman" w:cs="Times New Roman"/>
          <w:color w:val="auto"/>
        </w:rPr>
        <w:t>肉中所含的各种分解酶的作用，使游离氨基酸、游离脂肪酸、</w:t>
      </w:r>
      <w:r>
        <w:rPr>
          <w:rFonts w:hint="default" w:ascii="Times New Roman" w:hAnsi="Times New Roman" w:cs="Times New Roman"/>
          <w:color w:val="auto"/>
          <w:lang w:eastAsia="zh-CN"/>
        </w:rPr>
        <w:t>肌苷</w:t>
      </w:r>
      <w:r>
        <w:rPr>
          <w:rFonts w:hint="default" w:ascii="Times New Roman" w:hAnsi="Times New Roman" w:cs="Times New Roman"/>
          <w:color w:val="auto"/>
        </w:rPr>
        <w:t>酸等与风味有关的成分在肌肉中蓄积，从而改进</w:t>
      </w:r>
      <w:r>
        <w:rPr>
          <w:rFonts w:hint="eastAsia" w:ascii="Times New Roman" w:hAnsi="Times New Roman" w:cs="Times New Roman"/>
          <w:color w:val="auto"/>
          <w:lang w:val="en-US" w:eastAsia="zh-CN"/>
        </w:rPr>
        <w:t>羊</w:t>
      </w:r>
      <w:r>
        <w:rPr>
          <w:rFonts w:hint="default" w:ascii="Times New Roman" w:hAnsi="Times New Roman" w:cs="Times New Roman"/>
          <w:color w:val="auto"/>
        </w:rPr>
        <w:t>肉的质量，使</w:t>
      </w:r>
      <w:r>
        <w:rPr>
          <w:rFonts w:hint="eastAsia" w:ascii="Times New Roman" w:hAnsi="Times New Roman" w:cs="Times New Roman"/>
          <w:color w:val="auto"/>
          <w:lang w:val="en-US" w:eastAsia="zh-CN"/>
        </w:rPr>
        <w:t>羊</w:t>
      </w:r>
      <w:r>
        <w:rPr>
          <w:rFonts w:hint="default" w:ascii="Times New Roman" w:hAnsi="Times New Roman" w:cs="Times New Roman"/>
          <w:color w:val="auto"/>
        </w:rPr>
        <w:t>肉色泽变好，风味变佳，柔软细嫩。</w:t>
      </w:r>
    </w:p>
    <w:p w14:paraId="6B2C9E77">
      <w:pPr>
        <w:pageBreakBefore w:val="0"/>
        <w:kinsoku/>
        <w:wordWrap/>
        <w:topLinePunct w:val="0"/>
        <w:bidi w:val="0"/>
        <w:adjustRightInd/>
        <w:snapToGrid/>
        <w:ind w:left="0" w:leftChars="0"/>
        <w:rPr>
          <w:rFonts w:hint="eastAsia"/>
          <w:color w:val="auto"/>
        </w:rPr>
      </w:pPr>
      <w:r>
        <w:rPr>
          <w:rFonts w:hint="eastAsia"/>
          <w:color w:val="auto"/>
          <w:lang w:eastAsia="zh-CN"/>
        </w:rPr>
        <w:t>（</w:t>
      </w:r>
      <w:r>
        <w:rPr>
          <w:rFonts w:hint="eastAsia"/>
          <w:color w:val="auto"/>
          <w:lang w:val="en-US" w:eastAsia="zh-CN"/>
        </w:rPr>
        <w:t>9</w:t>
      </w:r>
      <w:r>
        <w:rPr>
          <w:rFonts w:hint="eastAsia"/>
          <w:color w:val="auto"/>
          <w:lang w:eastAsia="zh-CN"/>
        </w:rPr>
        <w:t>）剔骨分割包装</w:t>
      </w:r>
    </w:p>
    <w:p w14:paraId="1F904959">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①吊剔骨：把排酸后</w:t>
      </w:r>
      <w:r>
        <w:rPr>
          <w:rFonts w:hint="eastAsia"/>
          <w:color w:val="auto"/>
          <w:lang w:val="en-US" w:eastAsia="zh-CN"/>
        </w:rPr>
        <w:t>羊</w:t>
      </w:r>
      <w:r>
        <w:rPr>
          <w:rFonts w:hint="default" w:ascii="Times New Roman" w:hAnsi="Times New Roman" w:cs="Times New Roman"/>
          <w:color w:val="auto"/>
        </w:rPr>
        <w:t>胴体推到剔骨区域，</w:t>
      </w:r>
      <w:r>
        <w:rPr>
          <w:rFonts w:hint="eastAsia"/>
          <w:color w:val="auto"/>
          <w:lang w:val="en-US" w:eastAsia="zh-CN"/>
        </w:rPr>
        <w:t>羊</w:t>
      </w:r>
      <w:r>
        <w:rPr>
          <w:rFonts w:hint="default" w:ascii="Times New Roman" w:hAnsi="Times New Roman" w:cs="Times New Roman"/>
          <w:color w:val="auto"/>
        </w:rPr>
        <w:t>胴体挂在生产线上，剔骨人员把切下的大块肉放在分割输送机上，自动传送给分割人员，再有分割人员分割成各个部位肉。</w:t>
      </w:r>
    </w:p>
    <w:p w14:paraId="7945F587">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②案板剔骨：把排酸后</w:t>
      </w:r>
      <w:r>
        <w:rPr>
          <w:rFonts w:hint="eastAsia"/>
          <w:color w:val="auto"/>
          <w:lang w:val="en-US" w:eastAsia="zh-CN"/>
        </w:rPr>
        <w:t>羊</w:t>
      </w:r>
      <w:r>
        <w:rPr>
          <w:rFonts w:hint="default" w:ascii="Times New Roman" w:hAnsi="Times New Roman" w:cs="Times New Roman"/>
          <w:color w:val="auto"/>
        </w:rPr>
        <w:t>胴体推到剔骨区域，把</w:t>
      </w:r>
      <w:r>
        <w:rPr>
          <w:rFonts w:hint="eastAsia"/>
          <w:color w:val="auto"/>
          <w:lang w:val="en-US" w:eastAsia="zh-CN"/>
        </w:rPr>
        <w:t>羊</w:t>
      </w:r>
      <w:r>
        <w:rPr>
          <w:rFonts w:hint="default" w:ascii="Times New Roman" w:hAnsi="Times New Roman" w:cs="Times New Roman"/>
          <w:color w:val="auto"/>
        </w:rPr>
        <w:t>胴体从生产线上拿下放在案板上剔骨。</w:t>
      </w:r>
    </w:p>
    <w:p w14:paraId="0375A2DC">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③分割好的部位肉真空包装后，放入冷冻盘内用凉肉架车推到</w:t>
      </w:r>
      <w:r>
        <w:rPr>
          <w:rFonts w:hint="eastAsia" w:ascii="Times New Roman" w:hAnsi="Times New Roman" w:cs="Times New Roman"/>
          <w:color w:val="auto"/>
          <w:lang w:val="en-US" w:eastAsia="zh-CN"/>
        </w:rPr>
        <w:t>速冻</w:t>
      </w:r>
      <w:r>
        <w:rPr>
          <w:rFonts w:hint="default" w:ascii="Times New Roman" w:hAnsi="Times New Roman" w:cs="Times New Roman"/>
          <w:color w:val="auto"/>
        </w:rPr>
        <w:t>库（-30℃）</w:t>
      </w:r>
      <w:r>
        <w:rPr>
          <w:rFonts w:hint="eastAsia" w:ascii="Times New Roman" w:hAnsi="Times New Roman" w:cs="Times New Roman"/>
          <w:color w:val="auto"/>
          <w:lang w:val="en-US" w:eastAsia="zh-CN"/>
        </w:rPr>
        <w:t>速冻</w:t>
      </w:r>
      <w:r>
        <w:rPr>
          <w:rFonts w:hint="default" w:ascii="Times New Roman" w:hAnsi="Times New Roman" w:cs="Times New Roman"/>
          <w:color w:val="auto"/>
        </w:rPr>
        <w:t>。</w:t>
      </w:r>
    </w:p>
    <w:p w14:paraId="141E6BBC">
      <w:pPr>
        <w:pageBreakBefore w:val="0"/>
        <w:kinsoku/>
        <w:wordWrap/>
        <w:topLinePunct w:val="0"/>
        <w:bidi w:val="0"/>
        <w:adjustRightInd/>
        <w:snapToGrid/>
        <w:ind w:left="0" w:leftChars="0"/>
        <w:rPr>
          <w:rFonts w:hint="default" w:ascii="Times New Roman" w:hAnsi="Times New Roman" w:cs="Times New Roman"/>
          <w:color w:val="auto"/>
        </w:rPr>
      </w:pPr>
      <w:r>
        <w:rPr>
          <w:rFonts w:hint="default" w:ascii="Times New Roman" w:hAnsi="Times New Roman" w:cs="Times New Roman"/>
          <w:color w:val="auto"/>
        </w:rPr>
        <w:t>④将</w:t>
      </w:r>
      <w:r>
        <w:rPr>
          <w:rFonts w:hint="eastAsia" w:ascii="Times New Roman" w:hAnsi="Times New Roman" w:cs="Times New Roman"/>
          <w:color w:val="auto"/>
          <w:lang w:val="en-US" w:eastAsia="zh-CN"/>
        </w:rPr>
        <w:t>速</w:t>
      </w:r>
      <w:r>
        <w:rPr>
          <w:rFonts w:hint="default" w:ascii="Times New Roman" w:hAnsi="Times New Roman" w:cs="Times New Roman"/>
          <w:color w:val="auto"/>
        </w:rPr>
        <w:t>冻好的产品装箱，进冷藏库（-18℃）储存。</w:t>
      </w:r>
    </w:p>
    <w:p w14:paraId="21C2B9DA">
      <w:pPr>
        <w:pageBreakBefore w:val="0"/>
        <w:kinsoku/>
        <w:wordWrap/>
        <w:topLinePunct w:val="0"/>
        <w:bidi w:val="0"/>
        <w:adjustRightInd/>
        <w:snapToGrid/>
        <w:ind w:left="0" w:leftChars="0"/>
        <w:rPr>
          <w:rFonts w:hint="eastAsia"/>
          <w:color w:val="auto"/>
        </w:rPr>
      </w:pPr>
      <w:r>
        <w:rPr>
          <w:rFonts w:hint="default" w:ascii="Times New Roman" w:hAnsi="Times New Roman" w:cs="Times New Roman"/>
          <w:color w:val="auto"/>
        </w:rPr>
        <w:t>⑤剔骨分割间温控：10-15℃</w:t>
      </w:r>
      <w:r>
        <w:rPr>
          <w:rFonts w:hint="eastAsia" w:ascii="Times New Roman" w:hAnsi="Times New Roman" w:cs="Times New Roman"/>
          <w:color w:val="auto"/>
          <w:lang w:eastAsia="zh-CN"/>
        </w:rPr>
        <w:t>，</w:t>
      </w:r>
      <w:r>
        <w:rPr>
          <w:rFonts w:hint="default" w:ascii="Times New Roman" w:hAnsi="Times New Roman" w:cs="Times New Roman"/>
          <w:color w:val="auto"/>
        </w:rPr>
        <w:t>包装间温控：10℃以下。</w:t>
      </w:r>
    </w:p>
    <w:p w14:paraId="4144C25C">
      <w:pPr>
        <w:pageBreakBefore w:val="0"/>
        <w:kinsoku/>
        <w:wordWrap/>
        <w:topLinePunct w:val="0"/>
        <w:bidi w:val="0"/>
        <w:adjustRightInd/>
        <w:snapToGrid/>
        <w:ind w:left="0" w:leftChars="0"/>
        <w:rPr>
          <w:rFonts w:hint="eastAsia"/>
          <w:color w:val="auto"/>
        </w:rPr>
      </w:pPr>
      <w:r>
        <w:rPr>
          <w:rFonts w:hint="eastAsia"/>
          <w:color w:val="auto"/>
        </w:rPr>
        <w:t>产污环节：</w:t>
      </w:r>
    </w:p>
    <w:p w14:paraId="1F321ECC">
      <w:pPr>
        <w:pageBreakBefore w:val="0"/>
        <w:kinsoku/>
        <w:wordWrap/>
        <w:topLinePunct w:val="0"/>
        <w:bidi w:val="0"/>
        <w:adjustRightInd/>
        <w:snapToGrid/>
        <w:ind w:left="0" w:leftChars="0"/>
        <w:rPr>
          <w:rFonts w:hint="eastAsia"/>
          <w:color w:val="auto"/>
        </w:rPr>
      </w:pPr>
      <w:r>
        <w:rPr>
          <w:rFonts w:hint="eastAsia"/>
          <w:color w:val="auto"/>
        </w:rPr>
        <w:t>废气：屠宰</w:t>
      </w:r>
      <w:r>
        <w:rPr>
          <w:rFonts w:hint="eastAsia"/>
          <w:color w:val="auto"/>
          <w:lang w:val="en-US" w:eastAsia="zh-CN"/>
        </w:rPr>
        <w:t>加工</w:t>
      </w:r>
      <w:r>
        <w:rPr>
          <w:rFonts w:hint="eastAsia"/>
          <w:color w:val="auto"/>
        </w:rPr>
        <w:t>车间产生的恶臭</w:t>
      </w:r>
      <w:r>
        <w:rPr>
          <w:rFonts w:hint="eastAsia"/>
          <w:color w:val="auto"/>
          <w:lang w:eastAsia="zh-CN"/>
        </w:rPr>
        <w:t>、</w:t>
      </w:r>
      <w:r>
        <w:rPr>
          <w:rFonts w:hint="eastAsia"/>
          <w:color w:val="auto"/>
          <w:lang w:val="en-US" w:eastAsia="zh-CN"/>
        </w:rPr>
        <w:t>待宰圈产生的恶臭</w:t>
      </w:r>
      <w:r>
        <w:rPr>
          <w:rFonts w:hint="eastAsia"/>
          <w:color w:val="auto"/>
        </w:rPr>
        <w:t>；</w:t>
      </w:r>
    </w:p>
    <w:p w14:paraId="32934087">
      <w:pPr>
        <w:pageBreakBefore w:val="0"/>
        <w:kinsoku/>
        <w:wordWrap/>
        <w:topLinePunct w:val="0"/>
        <w:bidi w:val="0"/>
        <w:adjustRightInd/>
        <w:snapToGrid/>
        <w:ind w:left="0" w:leftChars="0"/>
        <w:rPr>
          <w:rFonts w:hint="eastAsia"/>
          <w:color w:val="auto"/>
          <w:lang w:eastAsia="zh-CN"/>
        </w:rPr>
      </w:pPr>
      <w:r>
        <w:rPr>
          <w:rFonts w:hint="eastAsia"/>
          <w:color w:val="auto"/>
        </w:rPr>
        <w:t>废水：屠宰</w:t>
      </w:r>
      <w:r>
        <w:rPr>
          <w:rFonts w:hint="eastAsia"/>
          <w:color w:val="auto"/>
          <w:lang w:val="en-US" w:eastAsia="zh-CN"/>
        </w:rPr>
        <w:t>羊</w:t>
      </w:r>
      <w:r>
        <w:rPr>
          <w:rFonts w:hint="eastAsia"/>
          <w:color w:val="auto"/>
        </w:rPr>
        <w:t>废水</w:t>
      </w:r>
      <w:r>
        <w:rPr>
          <w:rFonts w:hint="eastAsia"/>
          <w:color w:val="auto"/>
          <w:lang w:eastAsia="zh-CN"/>
        </w:rPr>
        <w:t>；</w:t>
      </w:r>
    </w:p>
    <w:p w14:paraId="25492366">
      <w:pPr>
        <w:pageBreakBefore w:val="0"/>
        <w:kinsoku/>
        <w:wordWrap/>
        <w:topLinePunct w:val="0"/>
        <w:bidi w:val="0"/>
        <w:adjustRightInd/>
        <w:snapToGrid/>
        <w:ind w:left="0" w:leftChars="0"/>
        <w:rPr>
          <w:rFonts w:hint="eastAsia"/>
          <w:color w:val="auto"/>
        </w:rPr>
      </w:pPr>
      <w:r>
        <w:rPr>
          <w:rFonts w:hint="eastAsia"/>
          <w:color w:val="auto"/>
        </w:rPr>
        <w:t>固体废物：</w:t>
      </w:r>
      <w:r>
        <w:rPr>
          <w:rFonts w:hint="eastAsia"/>
          <w:color w:val="auto"/>
          <w:lang w:val="en-US" w:eastAsia="zh-CN"/>
        </w:rPr>
        <w:t>病死羊、</w:t>
      </w:r>
      <w:r>
        <w:rPr>
          <w:rFonts w:hint="eastAsia"/>
          <w:color w:val="auto"/>
        </w:rPr>
        <w:t>分割边角料、</w:t>
      </w:r>
      <w:r>
        <w:rPr>
          <w:rFonts w:hint="eastAsia"/>
          <w:color w:val="auto"/>
          <w:lang w:eastAsia="zh-CN"/>
        </w:rPr>
        <w:t>胃内容物</w:t>
      </w:r>
      <w:r>
        <w:rPr>
          <w:rFonts w:hint="eastAsia"/>
          <w:color w:val="auto"/>
        </w:rPr>
        <w:t>、</w:t>
      </w:r>
      <w:r>
        <w:rPr>
          <w:rFonts w:hint="eastAsia"/>
          <w:color w:val="auto"/>
          <w:lang w:val="en-US" w:eastAsia="zh-CN"/>
        </w:rPr>
        <w:t>病变</w:t>
      </w:r>
      <w:r>
        <w:rPr>
          <w:rFonts w:hint="eastAsia"/>
          <w:color w:val="auto"/>
        </w:rPr>
        <w:t>内脏、不合格胴体、</w:t>
      </w:r>
      <w:r>
        <w:rPr>
          <w:rFonts w:hint="eastAsia"/>
          <w:color w:val="auto"/>
          <w:lang w:val="en-US" w:eastAsia="zh-CN"/>
        </w:rPr>
        <w:t>羊</w:t>
      </w:r>
      <w:r>
        <w:rPr>
          <w:rFonts w:hint="eastAsia"/>
          <w:color w:val="auto"/>
        </w:rPr>
        <w:t>粪便（含</w:t>
      </w:r>
      <w:r>
        <w:rPr>
          <w:rFonts w:hint="eastAsia"/>
          <w:color w:val="auto"/>
          <w:lang w:val="en-US" w:eastAsia="zh-CN"/>
        </w:rPr>
        <w:t>羊</w:t>
      </w:r>
      <w:r>
        <w:rPr>
          <w:rFonts w:hint="eastAsia"/>
          <w:color w:val="auto"/>
        </w:rPr>
        <w:t>尿）；</w:t>
      </w:r>
    </w:p>
    <w:p w14:paraId="04D08F8D">
      <w:pPr>
        <w:pageBreakBefore w:val="0"/>
        <w:kinsoku/>
        <w:wordWrap/>
        <w:topLinePunct w:val="0"/>
        <w:bidi w:val="0"/>
        <w:adjustRightInd/>
        <w:snapToGrid/>
        <w:ind w:left="0" w:leftChars="0"/>
        <w:rPr>
          <w:rFonts w:hint="eastAsia"/>
          <w:color w:val="auto"/>
        </w:rPr>
      </w:pPr>
      <w:r>
        <w:rPr>
          <w:rFonts w:hint="eastAsia"/>
          <w:color w:val="auto"/>
        </w:rPr>
        <w:t>噪声：</w:t>
      </w:r>
      <w:r>
        <w:rPr>
          <w:rFonts w:hint="eastAsia"/>
          <w:color w:val="auto"/>
          <w:lang w:val="en-US" w:eastAsia="zh-CN"/>
        </w:rPr>
        <w:t>羊</w:t>
      </w:r>
      <w:r>
        <w:rPr>
          <w:rFonts w:hint="eastAsia"/>
          <w:color w:val="auto"/>
        </w:rPr>
        <w:t>及设备产生的噪声；</w:t>
      </w:r>
    </w:p>
    <w:p w14:paraId="2FCBB977">
      <w:pPr>
        <w:pageBreakBefore w:val="0"/>
        <w:kinsoku/>
        <w:wordWrap/>
        <w:topLinePunct w:val="0"/>
        <w:bidi w:val="0"/>
        <w:adjustRightInd/>
        <w:snapToGrid/>
        <w:ind w:left="0" w:leftChars="0"/>
        <w:rPr>
          <w:rFonts w:hint="eastAsia"/>
          <w:color w:val="auto"/>
        </w:rPr>
      </w:pPr>
      <w:r>
        <w:rPr>
          <w:rFonts w:hint="eastAsia"/>
          <w:color w:val="auto"/>
        </w:rPr>
        <w:t>屠宰</w:t>
      </w:r>
      <w:r>
        <w:rPr>
          <w:rFonts w:hint="eastAsia"/>
          <w:color w:val="auto"/>
          <w:lang w:val="en-US" w:eastAsia="zh-CN"/>
        </w:rPr>
        <w:t>羊</w:t>
      </w:r>
      <w:r>
        <w:rPr>
          <w:rFonts w:hint="eastAsia"/>
          <w:color w:val="auto"/>
        </w:rPr>
        <w:t>工艺流程及产污环节图见图2.2-</w:t>
      </w:r>
      <w:r>
        <w:rPr>
          <w:rFonts w:hint="eastAsia"/>
          <w:color w:val="auto"/>
          <w:lang w:val="en-US" w:eastAsia="zh-CN"/>
        </w:rPr>
        <w:t>3</w:t>
      </w:r>
      <w:r>
        <w:rPr>
          <w:rFonts w:hint="eastAsia"/>
          <w:color w:val="auto"/>
        </w:rPr>
        <w:t>。</w:t>
      </w:r>
    </w:p>
    <w:p w14:paraId="23A5B8A5">
      <w:pPr>
        <w:pageBreakBefore w:val="0"/>
        <w:kinsoku/>
        <w:wordWrap/>
        <w:topLinePunct w:val="0"/>
        <w:bidi w:val="0"/>
        <w:adjustRightInd/>
        <w:snapToGrid/>
        <w:ind w:left="0" w:leftChars="0" w:firstLine="0" w:firstLineChars="0"/>
        <w:jc w:val="center"/>
        <w:rPr>
          <w:rFonts w:hint="eastAsia"/>
          <w:color w:val="auto"/>
        </w:rPr>
      </w:pPr>
      <w:r>
        <w:rPr>
          <w:rFonts w:hint="default" w:ascii="Times New Roman" w:hAnsi="Times New Roman" w:eastAsia="宋体" w:cs="Times New Roman"/>
          <w:b/>
          <w:bCs w:val="0"/>
          <w:color w:val="auto"/>
          <w:highlight w:val="none"/>
        </w:rPr>
        <w:object>
          <v:shape id="_x0000_i1029" o:spt="75" type="#_x0000_t75" style="height:356.2pt;width:436.05pt;" o:ole="t" filled="f" o:preferrelative="t" stroked="f" coordsize="21600,21600">
            <v:path/>
            <v:fill on="f" focussize="0,0"/>
            <v:stroke on="f"/>
            <v:imagedata r:id="rId56" o:title=""/>
            <o:lock v:ext="edit" aspectratio="f"/>
            <w10:wrap type="none"/>
            <w10:anchorlock/>
          </v:shape>
          <o:OLEObject Type="Embed" ProgID="Visio.Drawing.15" ShapeID="_x0000_i1029" DrawAspect="Content" ObjectID="_1468075730" r:id="rId55">
            <o:LockedField>false</o:LockedField>
          </o:OLEObject>
        </w:object>
      </w:r>
      <w:r>
        <w:rPr>
          <w:rFonts w:hint="default" w:ascii="Times New Roman" w:hAnsi="Times New Roman" w:eastAsia="宋体" w:cs="Times New Roman"/>
          <w:b/>
          <w:bCs w:val="0"/>
          <w:color w:val="auto"/>
          <w:sz w:val="24"/>
          <w:szCs w:val="24"/>
        </w:rPr>
        <w:t>图</w:t>
      </w:r>
      <w:r>
        <w:rPr>
          <w:rFonts w:hint="default" w:ascii="Times New Roman" w:hAnsi="Times New Roman" w:eastAsia="宋体" w:cs="Times New Roman"/>
          <w:b/>
          <w:bCs w:val="0"/>
          <w:color w:val="auto"/>
          <w:sz w:val="24"/>
          <w:szCs w:val="24"/>
          <w:lang w:val="en-US" w:eastAsia="zh-CN"/>
        </w:rPr>
        <w:t>2.2-</w:t>
      </w:r>
      <w:r>
        <w:rPr>
          <w:rFonts w:hint="eastAsia" w:eastAsia="宋体" w:cs="Times New Roman"/>
          <w:b/>
          <w:bCs w:val="0"/>
          <w:color w:val="auto"/>
          <w:sz w:val="24"/>
          <w:szCs w:val="24"/>
          <w:lang w:val="en-US" w:eastAsia="zh-CN"/>
        </w:rPr>
        <w:t>3</w:t>
      </w:r>
      <w:r>
        <w:rPr>
          <w:rFonts w:hint="default" w:ascii="Times New Roman" w:hAnsi="Times New Roman" w:eastAsia="宋体" w:cs="Times New Roman"/>
          <w:b/>
          <w:color w:val="auto"/>
          <w:sz w:val="24"/>
          <w:szCs w:val="24"/>
        </w:rPr>
        <w:t xml:space="preserve"> </w:t>
      </w:r>
      <w:r>
        <w:rPr>
          <w:rFonts w:hint="eastAsia"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 xml:space="preserve"> 项目</w:t>
      </w:r>
      <w:r>
        <w:rPr>
          <w:rFonts w:hint="default" w:ascii="Times New Roman" w:hAnsi="Times New Roman" w:eastAsia="宋体" w:cs="Times New Roman"/>
          <w:b/>
          <w:color w:val="auto"/>
          <w:sz w:val="24"/>
          <w:szCs w:val="24"/>
          <w:lang w:eastAsia="zh-CN"/>
        </w:rPr>
        <w:t>羊</w:t>
      </w:r>
      <w:r>
        <w:rPr>
          <w:rFonts w:hint="default" w:ascii="Times New Roman" w:hAnsi="Times New Roman" w:eastAsia="宋体" w:cs="Times New Roman"/>
          <w:b/>
          <w:color w:val="auto"/>
          <w:sz w:val="24"/>
          <w:szCs w:val="24"/>
        </w:rPr>
        <w:t>屠宰工艺流程及产污环节图</w:t>
      </w:r>
    </w:p>
    <w:p w14:paraId="45BFF62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2.2.1.3物料平衡</w:t>
      </w:r>
    </w:p>
    <w:p w14:paraId="4FBC51A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（1）</w:t>
      </w:r>
      <w:r>
        <w:rPr>
          <w:rFonts w:hint="eastAsia" w:ascii="Times New Roman" w:hAnsi="Times New Roman" w:eastAsia="仿宋_GB2312" w:cs="Times New Roman"/>
          <w:color w:val="auto"/>
          <w:sz w:val="24"/>
          <w:szCs w:val="24"/>
          <w:lang w:val="en-US" w:eastAsia="zh-CN"/>
        </w:rPr>
        <w:t>牛屠宰工艺物料平衡</w:t>
      </w:r>
    </w:p>
    <w:p w14:paraId="4462B1E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仿宋_GB2312" w:cs="Times New Roman"/>
          <w:color w:val="auto"/>
          <w:sz w:val="24"/>
          <w:szCs w:val="24"/>
          <w:lang w:val="en-US" w:eastAsia="zh-CN"/>
        </w:rPr>
        <w:t>牛屠宰工艺物料平衡见表2.2-</w:t>
      </w:r>
      <w:r>
        <w:rPr>
          <w:rFonts w:hint="eastAsia" w:cs="Times New Roman"/>
          <w:color w:val="auto"/>
          <w:sz w:val="24"/>
          <w:szCs w:val="24"/>
          <w:lang w:val="en-US" w:eastAsia="zh-CN"/>
        </w:rPr>
        <w:t>2</w:t>
      </w:r>
      <w:r>
        <w:rPr>
          <w:rFonts w:hint="eastAsia" w:ascii="Times New Roman" w:hAnsi="Times New Roman" w:eastAsia="仿宋_GB2312" w:cs="Times New Roman"/>
          <w:color w:val="auto"/>
          <w:sz w:val="24"/>
          <w:szCs w:val="24"/>
          <w:lang w:val="en-US" w:eastAsia="zh-CN"/>
        </w:rPr>
        <w:t>，物料平衡见图2.2-</w:t>
      </w:r>
      <w:r>
        <w:rPr>
          <w:rFonts w:hint="eastAsia" w:cs="Times New Roman"/>
          <w:color w:val="auto"/>
          <w:sz w:val="24"/>
          <w:szCs w:val="24"/>
          <w:lang w:val="en-US" w:eastAsia="zh-CN"/>
        </w:rPr>
        <w:t>4</w:t>
      </w:r>
      <w:r>
        <w:rPr>
          <w:rFonts w:hint="eastAsia" w:ascii="Times New Roman" w:hAnsi="Times New Roman" w:eastAsia="仿宋_GB2312" w:cs="Times New Roman"/>
          <w:color w:val="auto"/>
          <w:sz w:val="24"/>
          <w:szCs w:val="24"/>
          <w:lang w:val="en-US" w:eastAsia="zh-CN"/>
        </w:rPr>
        <w:t>。</w:t>
      </w:r>
    </w:p>
    <w:p w14:paraId="60EC32D4">
      <w:pPr>
        <w:pStyle w:val="16"/>
        <w:pageBreakBefore w:val="0"/>
        <w:kinsoku/>
        <w:wordWrap/>
        <w:topLinePunct w:val="0"/>
        <w:bidi w:val="0"/>
        <w:adjustRightInd/>
        <w:snapToGrid/>
        <w:spacing w:line="240" w:lineRule="auto"/>
        <w:ind w:left="0" w:leftChars="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Cs/>
          <w:color w:val="auto"/>
          <w:sz w:val="21"/>
          <w:szCs w:val="21"/>
          <w:highlight w:val="none"/>
        </w:rPr>
        <w:t>表2.</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w:t>
      </w:r>
      <w:r>
        <w:rPr>
          <w:rFonts w:hint="eastAsia" w:eastAsia="宋体" w:cs="Times New Roman"/>
          <w:bCs/>
          <w:color w:val="auto"/>
          <w:sz w:val="21"/>
          <w:szCs w:val="21"/>
          <w:highlight w:val="none"/>
          <w:lang w:val="en-US" w:eastAsia="zh-CN"/>
        </w:rPr>
        <w:t>2</w:t>
      </w:r>
      <w:r>
        <w:rPr>
          <w:rFonts w:hint="default"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lang w:val="en-US" w:eastAsia="zh-CN"/>
        </w:rPr>
        <w:t xml:space="preserve">         </w:t>
      </w:r>
      <w:r>
        <w:rPr>
          <w:rFonts w:hint="eastAsia" w:eastAsia="宋体" w:cs="Times New Roman"/>
          <w:b/>
          <w:color w:val="auto"/>
          <w:sz w:val="24"/>
          <w:highlight w:val="none"/>
          <w:lang w:val="en-US" w:eastAsia="zh-CN"/>
        </w:rPr>
        <w:t>肉牛</w:t>
      </w:r>
      <w:r>
        <w:rPr>
          <w:rFonts w:hint="default" w:ascii="Times New Roman" w:hAnsi="Times New Roman" w:eastAsia="宋体" w:cs="Times New Roman"/>
          <w:b/>
          <w:color w:val="auto"/>
          <w:sz w:val="24"/>
          <w:highlight w:val="none"/>
        </w:rPr>
        <w:t>屠宰工艺物料平衡一览表  单位：</w:t>
      </w:r>
      <w:r>
        <w:rPr>
          <w:rFonts w:hint="default" w:ascii="Times New Roman" w:hAnsi="Times New Roman" w:eastAsia="宋体" w:cs="Times New Roman"/>
          <w:color w:val="auto"/>
          <w:szCs w:val="21"/>
          <w:highlight w:val="none"/>
        </w:rPr>
        <w:t>t/a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353"/>
        <w:gridCol w:w="959"/>
        <w:gridCol w:w="2510"/>
        <w:gridCol w:w="1374"/>
        <w:gridCol w:w="1710"/>
      </w:tblGrid>
      <w:tr w14:paraId="62607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9" w:type="dxa"/>
            <w:gridSpan w:val="2"/>
            <w:tcBorders>
              <w:tl2br w:val="nil"/>
              <w:tr2bl w:val="nil"/>
            </w:tcBorders>
            <w:noWrap w:val="0"/>
            <w:vAlign w:val="center"/>
          </w:tcPr>
          <w:p w14:paraId="6F4492C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输入</w:t>
            </w:r>
          </w:p>
        </w:tc>
        <w:tc>
          <w:tcPr>
            <w:tcW w:w="6400" w:type="dxa"/>
            <w:gridSpan w:val="4"/>
            <w:tcBorders>
              <w:tl2br w:val="nil"/>
              <w:tr2bl w:val="nil"/>
            </w:tcBorders>
            <w:noWrap w:val="0"/>
            <w:vAlign w:val="center"/>
          </w:tcPr>
          <w:p w14:paraId="3072EA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输出</w:t>
            </w:r>
          </w:p>
        </w:tc>
      </w:tr>
      <w:tr w14:paraId="66584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tcBorders>
              <w:tl2br w:val="nil"/>
              <w:tr2bl w:val="nil"/>
            </w:tcBorders>
            <w:noWrap w:val="0"/>
            <w:vAlign w:val="center"/>
          </w:tcPr>
          <w:p w14:paraId="774A59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1321" w:type="dxa"/>
            <w:tcBorders>
              <w:tl2br w:val="nil"/>
              <w:tr2bl w:val="nil"/>
            </w:tcBorders>
            <w:noWrap w:val="0"/>
            <w:vAlign w:val="center"/>
          </w:tcPr>
          <w:p w14:paraId="68AC804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3388" w:type="dxa"/>
            <w:gridSpan w:val="2"/>
            <w:tcBorders>
              <w:tl2br w:val="nil"/>
              <w:tr2bl w:val="nil"/>
            </w:tcBorders>
            <w:noWrap w:val="0"/>
            <w:vAlign w:val="center"/>
          </w:tcPr>
          <w:p w14:paraId="168FB48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1342" w:type="dxa"/>
            <w:tcBorders>
              <w:tl2br w:val="nil"/>
              <w:tr2bl w:val="nil"/>
            </w:tcBorders>
            <w:noWrap w:val="0"/>
            <w:vAlign w:val="center"/>
          </w:tcPr>
          <w:p w14:paraId="3CC6FFF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1670" w:type="dxa"/>
            <w:tcBorders>
              <w:tl2br w:val="nil"/>
              <w:tr2bl w:val="nil"/>
            </w:tcBorders>
            <w:noWrap w:val="0"/>
            <w:vAlign w:val="center"/>
          </w:tcPr>
          <w:p w14:paraId="5F7E58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10F63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restart"/>
            <w:tcBorders>
              <w:tl2br w:val="nil"/>
              <w:tr2bl w:val="nil"/>
            </w:tcBorders>
            <w:noWrap w:val="0"/>
            <w:vAlign w:val="center"/>
          </w:tcPr>
          <w:p w14:paraId="757A3AB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活牛</w:t>
            </w:r>
          </w:p>
        </w:tc>
        <w:tc>
          <w:tcPr>
            <w:tcW w:w="1321" w:type="dxa"/>
            <w:vMerge w:val="restart"/>
            <w:tcBorders>
              <w:tl2br w:val="nil"/>
              <w:tr2bl w:val="nil"/>
            </w:tcBorders>
            <w:noWrap w:val="0"/>
            <w:vAlign w:val="center"/>
          </w:tcPr>
          <w:p w14:paraId="6ED923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rPr>
            </w:pPr>
            <w:r>
              <w:rPr>
                <w:rFonts w:hint="eastAsia" w:eastAsia="宋体" w:cs="Times New Roman"/>
                <w:color w:val="auto"/>
                <w:sz w:val="21"/>
                <w:szCs w:val="21"/>
                <w:highlight w:val="none"/>
                <w:lang w:val="en-US" w:eastAsia="zh-CN"/>
              </w:rPr>
              <w:t>5000</w:t>
            </w:r>
          </w:p>
        </w:tc>
        <w:tc>
          <w:tcPr>
            <w:tcW w:w="937" w:type="dxa"/>
            <w:tcBorders>
              <w:tl2br w:val="nil"/>
              <w:tr2bl w:val="nil"/>
            </w:tcBorders>
            <w:noWrap w:val="0"/>
            <w:vAlign w:val="center"/>
          </w:tcPr>
          <w:p w14:paraId="000541B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主产品</w:t>
            </w:r>
          </w:p>
        </w:tc>
        <w:tc>
          <w:tcPr>
            <w:tcW w:w="2451" w:type="dxa"/>
            <w:tcBorders>
              <w:tl2br w:val="nil"/>
              <w:tr2bl w:val="nil"/>
            </w:tcBorders>
            <w:shd w:val="clear" w:color="auto" w:fill="auto"/>
            <w:noWrap w:val="0"/>
            <w:vAlign w:val="center"/>
          </w:tcPr>
          <w:p w14:paraId="19C6BB9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分割牛肉</w:t>
            </w:r>
          </w:p>
        </w:tc>
        <w:tc>
          <w:tcPr>
            <w:tcW w:w="1342" w:type="dxa"/>
            <w:tcBorders>
              <w:tl2br w:val="nil"/>
              <w:tr2bl w:val="nil"/>
            </w:tcBorders>
            <w:shd w:val="clear" w:color="auto" w:fill="auto"/>
            <w:noWrap w:val="0"/>
            <w:vAlign w:val="center"/>
          </w:tcPr>
          <w:p w14:paraId="39BD220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2500</w:t>
            </w:r>
          </w:p>
        </w:tc>
        <w:tc>
          <w:tcPr>
            <w:tcW w:w="1670" w:type="dxa"/>
            <w:tcBorders>
              <w:tl2br w:val="nil"/>
              <w:tr2bl w:val="nil"/>
            </w:tcBorders>
            <w:noWrap w:val="0"/>
            <w:vAlign w:val="center"/>
          </w:tcPr>
          <w:p w14:paraId="2A63FB2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外售</w:t>
            </w:r>
          </w:p>
        </w:tc>
      </w:tr>
      <w:tr w14:paraId="3254E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shd w:val="clear" w:color="auto" w:fill="auto"/>
            <w:noWrap w:val="0"/>
            <w:vAlign w:val="center"/>
          </w:tcPr>
          <w:p w14:paraId="2BED21E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321" w:type="dxa"/>
            <w:vMerge w:val="continue"/>
            <w:tcBorders>
              <w:tl2br w:val="nil"/>
              <w:tr2bl w:val="nil"/>
            </w:tcBorders>
            <w:shd w:val="clear" w:color="auto" w:fill="auto"/>
            <w:noWrap w:val="0"/>
            <w:vAlign w:val="center"/>
          </w:tcPr>
          <w:p w14:paraId="2F04A79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937" w:type="dxa"/>
            <w:vMerge w:val="restart"/>
            <w:tcBorders>
              <w:tl2br w:val="nil"/>
              <w:tr2bl w:val="nil"/>
            </w:tcBorders>
            <w:noWrap w:val="0"/>
            <w:vAlign w:val="center"/>
          </w:tcPr>
          <w:p w14:paraId="4A2275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副产品</w:t>
            </w:r>
          </w:p>
        </w:tc>
        <w:tc>
          <w:tcPr>
            <w:tcW w:w="2451" w:type="dxa"/>
            <w:tcBorders>
              <w:tl2br w:val="nil"/>
              <w:tr2bl w:val="nil"/>
            </w:tcBorders>
            <w:shd w:val="clear" w:color="auto" w:fill="auto"/>
            <w:noWrap w:val="0"/>
            <w:vAlign w:val="center"/>
          </w:tcPr>
          <w:p w14:paraId="6BC7C9F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头</w:t>
            </w:r>
            <w:r>
              <w:rPr>
                <w:rFonts w:hint="eastAsia"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尾</w:t>
            </w:r>
            <w:r>
              <w:rPr>
                <w:rFonts w:hint="eastAsia"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蹄</w:t>
            </w:r>
          </w:p>
        </w:tc>
        <w:tc>
          <w:tcPr>
            <w:tcW w:w="1342" w:type="dxa"/>
            <w:tcBorders>
              <w:tl2br w:val="nil"/>
              <w:tr2bl w:val="nil"/>
            </w:tcBorders>
            <w:shd w:val="clear" w:color="auto" w:fill="auto"/>
            <w:noWrap w:val="0"/>
            <w:vAlign w:val="center"/>
          </w:tcPr>
          <w:p w14:paraId="48CB5B6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500</w:t>
            </w:r>
          </w:p>
        </w:tc>
        <w:tc>
          <w:tcPr>
            <w:tcW w:w="1670" w:type="dxa"/>
            <w:tcBorders>
              <w:tl2br w:val="nil"/>
              <w:tr2bl w:val="nil"/>
            </w:tcBorders>
            <w:noWrap w:val="0"/>
            <w:vAlign w:val="center"/>
          </w:tcPr>
          <w:p w14:paraId="58A0BC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r w14:paraId="55866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2B311F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2D2104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continue"/>
            <w:tcBorders>
              <w:tl2br w:val="nil"/>
              <w:tr2bl w:val="nil"/>
            </w:tcBorders>
            <w:noWrap w:val="0"/>
            <w:vAlign w:val="center"/>
          </w:tcPr>
          <w:p w14:paraId="546BD9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51" w:type="dxa"/>
            <w:tcBorders>
              <w:tl2br w:val="nil"/>
              <w:tr2bl w:val="nil"/>
            </w:tcBorders>
            <w:shd w:val="clear" w:color="auto" w:fill="auto"/>
            <w:noWrap w:val="0"/>
            <w:vAlign w:val="center"/>
          </w:tcPr>
          <w:p w14:paraId="0A1A43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牛骨</w:t>
            </w:r>
          </w:p>
        </w:tc>
        <w:tc>
          <w:tcPr>
            <w:tcW w:w="1342" w:type="dxa"/>
            <w:tcBorders>
              <w:tl2br w:val="nil"/>
              <w:tr2bl w:val="nil"/>
            </w:tcBorders>
            <w:shd w:val="clear" w:color="auto" w:fill="auto"/>
            <w:noWrap w:val="0"/>
            <w:vAlign w:val="center"/>
          </w:tcPr>
          <w:p w14:paraId="19B6953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500</w:t>
            </w:r>
          </w:p>
        </w:tc>
        <w:tc>
          <w:tcPr>
            <w:tcW w:w="1670" w:type="dxa"/>
            <w:tcBorders>
              <w:tl2br w:val="nil"/>
              <w:tr2bl w:val="nil"/>
            </w:tcBorders>
            <w:noWrap w:val="0"/>
            <w:vAlign w:val="center"/>
          </w:tcPr>
          <w:p w14:paraId="29F3EA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r w14:paraId="13EF7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73B30B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512F900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continue"/>
            <w:tcBorders>
              <w:tl2br w:val="nil"/>
              <w:tr2bl w:val="nil"/>
            </w:tcBorders>
            <w:noWrap w:val="0"/>
            <w:vAlign w:val="center"/>
          </w:tcPr>
          <w:p w14:paraId="580A42A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51" w:type="dxa"/>
            <w:tcBorders>
              <w:tl2br w:val="nil"/>
              <w:tr2bl w:val="nil"/>
            </w:tcBorders>
            <w:shd w:val="clear" w:color="auto" w:fill="auto"/>
            <w:noWrap w:val="0"/>
            <w:vAlign w:val="center"/>
          </w:tcPr>
          <w:p w14:paraId="5281D0A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牛内脏</w:t>
            </w:r>
          </w:p>
        </w:tc>
        <w:tc>
          <w:tcPr>
            <w:tcW w:w="1342" w:type="dxa"/>
            <w:tcBorders>
              <w:tl2br w:val="nil"/>
              <w:tr2bl w:val="nil"/>
            </w:tcBorders>
            <w:shd w:val="clear" w:color="auto" w:fill="auto"/>
            <w:noWrap w:val="0"/>
            <w:vAlign w:val="center"/>
          </w:tcPr>
          <w:p w14:paraId="24A17AC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450</w:t>
            </w:r>
          </w:p>
        </w:tc>
        <w:tc>
          <w:tcPr>
            <w:tcW w:w="1670" w:type="dxa"/>
            <w:tcBorders>
              <w:tl2br w:val="nil"/>
              <w:tr2bl w:val="nil"/>
            </w:tcBorders>
            <w:noWrap w:val="0"/>
            <w:vAlign w:val="center"/>
          </w:tcPr>
          <w:p w14:paraId="6DA7B11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r w14:paraId="05F19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626FDE3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19833BA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continue"/>
            <w:tcBorders>
              <w:tl2br w:val="nil"/>
              <w:tr2bl w:val="nil"/>
            </w:tcBorders>
            <w:noWrap w:val="0"/>
            <w:vAlign w:val="center"/>
          </w:tcPr>
          <w:p w14:paraId="3D59B8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51" w:type="dxa"/>
            <w:tcBorders>
              <w:tl2br w:val="nil"/>
              <w:tr2bl w:val="nil"/>
            </w:tcBorders>
            <w:shd w:val="clear" w:color="auto" w:fill="auto"/>
            <w:noWrap w:val="0"/>
            <w:vAlign w:val="center"/>
          </w:tcPr>
          <w:p w14:paraId="3AABCAF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牛皮</w:t>
            </w:r>
          </w:p>
        </w:tc>
        <w:tc>
          <w:tcPr>
            <w:tcW w:w="1342" w:type="dxa"/>
            <w:tcBorders>
              <w:tl2br w:val="nil"/>
              <w:tr2bl w:val="nil"/>
            </w:tcBorders>
            <w:shd w:val="clear" w:color="auto" w:fill="auto"/>
            <w:noWrap w:val="0"/>
            <w:vAlign w:val="center"/>
          </w:tcPr>
          <w:p w14:paraId="014786B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300</w:t>
            </w:r>
          </w:p>
        </w:tc>
        <w:tc>
          <w:tcPr>
            <w:tcW w:w="1670" w:type="dxa"/>
            <w:tcBorders>
              <w:tl2br w:val="nil"/>
              <w:tr2bl w:val="nil"/>
            </w:tcBorders>
            <w:noWrap w:val="0"/>
            <w:vAlign w:val="center"/>
          </w:tcPr>
          <w:p w14:paraId="2D79B0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r w14:paraId="307BD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45F89E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1AEB5B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continue"/>
            <w:tcBorders>
              <w:tl2br w:val="nil"/>
              <w:tr2bl w:val="nil"/>
            </w:tcBorders>
            <w:noWrap w:val="0"/>
            <w:vAlign w:val="center"/>
          </w:tcPr>
          <w:p w14:paraId="1B40C8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51" w:type="dxa"/>
            <w:tcBorders>
              <w:tl2br w:val="nil"/>
              <w:tr2bl w:val="nil"/>
            </w:tcBorders>
            <w:shd w:val="clear" w:color="auto" w:fill="auto"/>
            <w:noWrap w:val="0"/>
            <w:vAlign w:val="center"/>
          </w:tcPr>
          <w:p w14:paraId="7306897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牛血</w:t>
            </w:r>
          </w:p>
        </w:tc>
        <w:tc>
          <w:tcPr>
            <w:tcW w:w="1342" w:type="dxa"/>
            <w:tcBorders>
              <w:tl2br w:val="nil"/>
              <w:tr2bl w:val="nil"/>
            </w:tcBorders>
            <w:shd w:val="clear" w:color="auto" w:fill="auto"/>
            <w:noWrap w:val="0"/>
            <w:vAlign w:val="center"/>
          </w:tcPr>
          <w:p w14:paraId="58E4111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150</w:t>
            </w:r>
          </w:p>
        </w:tc>
        <w:tc>
          <w:tcPr>
            <w:tcW w:w="1670" w:type="dxa"/>
            <w:tcBorders>
              <w:tl2br w:val="nil"/>
              <w:tr2bl w:val="nil"/>
            </w:tcBorders>
            <w:noWrap w:val="0"/>
            <w:vAlign w:val="center"/>
          </w:tcPr>
          <w:p w14:paraId="60EE95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r w14:paraId="3FFC2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69F35B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418F95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restart"/>
            <w:tcBorders>
              <w:tl2br w:val="nil"/>
              <w:tr2bl w:val="nil"/>
            </w:tcBorders>
            <w:noWrap w:val="0"/>
            <w:vAlign w:val="center"/>
          </w:tcPr>
          <w:p w14:paraId="1AEC74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p w14:paraId="13D56EC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w:t>
            </w:r>
          </w:p>
        </w:tc>
        <w:tc>
          <w:tcPr>
            <w:tcW w:w="2451" w:type="dxa"/>
            <w:tcBorders>
              <w:tl2br w:val="nil"/>
              <w:tr2bl w:val="nil"/>
            </w:tcBorders>
            <w:noWrap w:val="0"/>
            <w:vAlign w:val="center"/>
          </w:tcPr>
          <w:p w14:paraId="0A5E54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牛粪便（含牛尿）</w:t>
            </w:r>
          </w:p>
        </w:tc>
        <w:tc>
          <w:tcPr>
            <w:tcW w:w="1342" w:type="dxa"/>
            <w:tcBorders>
              <w:tl2br w:val="nil"/>
              <w:tr2bl w:val="nil"/>
            </w:tcBorders>
            <w:noWrap w:val="0"/>
            <w:vAlign w:val="center"/>
          </w:tcPr>
          <w:p w14:paraId="6D1B01F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108.8</w:t>
            </w:r>
          </w:p>
        </w:tc>
        <w:tc>
          <w:tcPr>
            <w:tcW w:w="1670" w:type="dxa"/>
            <w:tcBorders>
              <w:tl2br w:val="nil"/>
              <w:tr2bl w:val="nil"/>
            </w:tcBorders>
            <w:noWrap w:val="0"/>
            <w:vAlign w:val="center"/>
          </w:tcPr>
          <w:p w14:paraId="6253F52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r>
      <w:tr w14:paraId="36D40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17F260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14FEEF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continue"/>
            <w:tcBorders>
              <w:tl2br w:val="nil"/>
              <w:tr2bl w:val="nil"/>
            </w:tcBorders>
            <w:noWrap w:val="0"/>
            <w:vAlign w:val="center"/>
          </w:tcPr>
          <w:p w14:paraId="54CBF5E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51" w:type="dxa"/>
            <w:tcBorders>
              <w:tl2br w:val="nil"/>
              <w:tr2bl w:val="nil"/>
            </w:tcBorders>
            <w:noWrap w:val="0"/>
            <w:vAlign w:val="center"/>
          </w:tcPr>
          <w:p w14:paraId="16CA8B7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分割边角料</w:t>
            </w:r>
          </w:p>
        </w:tc>
        <w:tc>
          <w:tcPr>
            <w:tcW w:w="1342" w:type="dxa"/>
            <w:tcBorders>
              <w:tl2br w:val="nil"/>
              <w:tr2bl w:val="nil"/>
            </w:tcBorders>
            <w:noWrap w:val="0"/>
            <w:vAlign w:val="center"/>
          </w:tcPr>
          <w:p w14:paraId="3838E57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100</w:t>
            </w:r>
          </w:p>
        </w:tc>
        <w:tc>
          <w:tcPr>
            <w:tcW w:w="1670" w:type="dxa"/>
            <w:tcBorders>
              <w:tl2br w:val="nil"/>
              <w:tr2bl w:val="nil"/>
            </w:tcBorders>
            <w:noWrap w:val="0"/>
            <w:vAlign w:val="center"/>
          </w:tcPr>
          <w:p w14:paraId="6B2989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6E65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664B89B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35ECE7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continue"/>
            <w:tcBorders>
              <w:tl2br w:val="nil"/>
              <w:tr2bl w:val="nil"/>
            </w:tcBorders>
            <w:noWrap w:val="0"/>
            <w:vAlign w:val="center"/>
          </w:tcPr>
          <w:p w14:paraId="18821D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51" w:type="dxa"/>
            <w:tcBorders>
              <w:tl2br w:val="nil"/>
              <w:tr2bl w:val="nil"/>
            </w:tcBorders>
            <w:noWrap w:val="0"/>
            <w:vAlign w:val="center"/>
          </w:tcPr>
          <w:p w14:paraId="21A5BF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胃内容物</w:t>
            </w:r>
          </w:p>
        </w:tc>
        <w:tc>
          <w:tcPr>
            <w:tcW w:w="1342" w:type="dxa"/>
            <w:tcBorders>
              <w:tl2br w:val="nil"/>
              <w:tr2bl w:val="nil"/>
            </w:tcBorders>
            <w:noWrap w:val="0"/>
            <w:vAlign w:val="center"/>
          </w:tcPr>
          <w:p w14:paraId="2D4CF49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250</w:t>
            </w:r>
          </w:p>
        </w:tc>
        <w:tc>
          <w:tcPr>
            <w:tcW w:w="1670" w:type="dxa"/>
            <w:tcBorders>
              <w:tl2br w:val="nil"/>
              <w:tr2bl w:val="nil"/>
            </w:tcBorders>
            <w:noWrap w:val="0"/>
            <w:vAlign w:val="center"/>
          </w:tcPr>
          <w:p w14:paraId="33D7847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r>
      <w:tr w14:paraId="7A027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0F7C750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1697BCC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continue"/>
            <w:tcBorders>
              <w:tl2br w:val="nil"/>
              <w:tr2bl w:val="nil"/>
            </w:tcBorders>
            <w:noWrap w:val="0"/>
            <w:vAlign w:val="center"/>
          </w:tcPr>
          <w:p w14:paraId="471E3AB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51" w:type="dxa"/>
            <w:tcBorders>
              <w:tl2br w:val="nil"/>
              <w:tr2bl w:val="nil"/>
            </w:tcBorders>
            <w:noWrap w:val="0"/>
            <w:vAlign w:val="center"/>
          </w:tcPr>
          <w:p w14:paraId="38CD61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病变</w:t>
            </w:r>
            <w:r>
              <w:rPr>
                <w:rFonts w:hint="default" w:ascii="Times New Roman" w:hAnsi="Times New Roman" w:eastAsia="宋体" w:cs="Times New Roman"/>
                <w:color w:val="auto"/>
                <w:sz w:val="21"/>
                <w:szCs w:val="21"/>
                <w:highlight w:val="none"/>
              </w:rPr>
              <w:t>内脏</w:t>
            </w:r>
          </w:p>
        </w:tc>
        <w:tc>
          <w:tcPr>
            <w:tcW w:w="1342" w:type="dxa"/>
            <w:tcBorders>
              <w:tl2br w:val="nil"/>
              <w:tr2bl w:val="nil"/>
            </w:tcBorders>
            <w:noWrap w:val="0"/>
            <w:vAlign w:val="center"/>
          </w:tcPr>
          <w:p w14:paraId="63D21F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21.2</w:t>
            </w:r>
          </w:p>
        </w:tc>
        <w:tc>
          <w:tcPr>
            <w:tcW w:w="1670" w:type="dxa"/>
            <w:tcBorders>
              <w:tl2br w:val="nil"/>
              <w:tr2bl w:val="nil"/>
            </w:tcBorders>
            <w:noWrap w:val="0"/>
            <w:vAlign w:val="center"/>
          </w:tcPr>
          <w:p w14:paraId="72DC30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4593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08C6DEB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158CC07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continue"/>
            <w:tcBorders>
              <w:tl2br w:val="nil"/>
              <w:tr2bl w:val="nil"/>
            </w:tcBorders>
            <w:noWrap w:val="0"/>
            <w:vAlign w:val="center"/>
          </w:tcPr>
          <w:p w14:paraId="331373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51" w:type="dxa"/>
            <w:tcBorders>
              <w:tl2br w:val="nil"/>
              <w:tr2bl w:val="nil"/>
            </w:tcBorders>
            <w:noWrap w:val="0"/>
            <w:vAlign w:val="center"/>
          </w:tcPr>
          <w:p w14:paraId="2C3BAD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病死牛</w:t>
            </w:r>
          </w:p>
        </w:tc>
        <w:tc>
          <w:tcPr>
            <w:tcW w:w="1342" w:type="dxa"/>
            <w:tcBorders>
              <w:tl2br w:val="nil"/>
              <w:tr2bl w:val="nil"/>
            </w:tcBorders>
            <w:noWrap w:val="0"/>
            <w:vAlign w:val="center"/>
          </w:tcPr>
          <w:p w14:paraId="7C5EB92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70</w:t>
            </w:r>
          </w:p>
        </w:tc>
        <w:tc>
          <w:tcPr>
            <w:tcW w:w="1670" w:type="dxa"/>
            <w:tcBorders>
              <w:tl2br w:val="nil"/>
              <w:tr2bl w:val="nil"/>
            </w:tcBorders>
            <w:noWrap w:val="0"/>
            <w:vAlign w:val="center"/>
          </w:tcPr>
          <w:p w14:paraId="26A313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r>
      <w:tr w14:paraId="075F4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vMerge w:val="continue"/>
            <w:tcBorders>
              <w:tl2br w:val="nil"/>
              <w:tr2bl w:val="nil"/>
            </w:tcBorders>
            <w:noWrap w:val="0"/>
            <w:vAlign w:val="center"/>
          </w:tcPr>
          <w:p w14:paraId="5371F4B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21" w:type="dxa"/>
            <w:vMerge w:val="continue"/>
            <w:tcBorders>
              <w:tl2br w:val="nil"/>
              <w:tr2bl w:val="nil"/>
            </w:tcBorders>
            <w:noWrap w:val="0"/>
            <w:vAlign w:val="center"/>
          </w:tcPr>
          <w:p w14:paraId="25D855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937" w:type="dxa"/>
            <w:vMerge w:val="continue"/>
            <w:tcBorders>
              <w:tl2br w:val="nil"/>
              <w:tr2bl w:val="nil"/>
            </w:tcBorders>
            <w:noWrap w:val="0"/>
            <w:vAlign w:val="center"/>
          </w:tcPr>
          <w:p w14:paraId="4F1316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51" w:type="dxa"/>
            <w:tcBorders>
              <w:tl2br w:val="nil"/>
              <w:tr2bl w:val="nil"/>
            </w:tcBorders>
            <w:noWrap w:val="0"/>
            <w:vAlign w:val="center"/>
          </w:tcPr>
          <w:p w14:paraId="4D67F62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不合格胴体</w:t>
            </w:r>
          </w:p>
        </w:tc>
        <w:tc>
          <w:tcPr>
            <w:tcW w:w="1342" w:type="dxa"/>
            <w:tcBorders>
              <w:tl2br w:val="nil"/>
              <w:tr2bl w:val="nil"/>
            </w:tcBorders>
            <w:noWrap w:val="0"/>
            <w:vAlign w:val="center"/>
          </w:tcPr>
          <w:p w14:paraId="307C0DB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50</w:t>
            </w:r>
          </w:p>
        </w:tc>
        <w:tc>
          <w:tcPr>
            <w:tcW w:w="1670" w:type="dxa"/>
            <w:tcBorders>
              <w:tl2br w:val="nil"/>
              <w:tr2bl w:val="nil"/>
            </w:tcBorders>
            <w:noWrap w:val="0"/>
            <w:vAlign w:val="center"/>
          </w:tcPr>
          <w:p w14:paraId="158599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r>
      <w:tr w14:paraId="0C85D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dxa"/>
            <w:tcBorders>
              <w:tl2br w:val="nil"/>
              <w:tr2bl w:val="nil"/>
            </w:tcBorders>
            <w:noWrap w:val="0"/>
            <w:vAlign w:val="center"/>
          </w:tcPr>
          <w:p w14:paraId="4058C2F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321" w:type="dxa"/>
            <w:tcBorders>
              <w:tl2br w:val="nil"/>
              <w:tr2bl w:val="nil"/>
            </w:tcBorders>
            <w:noWrap w:val="0"/>
            <w:vAlign w:val="center"/>
          </w:tcPr>
          <w:p w14:paraId="123139D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5000</w:t>
            </w:r>
          </w:p>
        </w:tc>
        <w:tc>
          <w:tcPr>
            <w:tcW w:w="3388" w:type="dxa"/>
            <w:gridSpan w:val="2"/>
            <w:tcBorders>
              <w:tl2br w:val="nil"/>
              <w:tr2bl w:val="nil"/>
            </w:tcBorders>
            <w:noWrap w:val="0"/>
            <w:vAlign w:val="center"/>
          </w:tcPr>
          <w:p w14:paraId="447DDE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342" w:type="dxa"/>
            <w:tcBorders>
              <w:tl2br w:val="nil"/>
              <w:tr2bl w:val="nil"/>
            </w:tcBorders>
            <w:noWrap w:val="0"/>
            <w:vAlign w:val="center"/>
          </w:tcPr>
          <w:p w14:paraId="72DB9EB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5000</w:t>
            </w:r>
          </w:p>
        </w:tc>
        <w:tc>
          <w:tcPr>
            <w:tcW w:w="1670" w:type="dxa"/>
            <w:tcBorders>
              <w:tl2br w:val="nil"/>
              <w:tr2bl w:val="nil"/>
            </w:tcBorders>
            <w:noWrap w:val="0"/>
            <w:vAlign w:val="center"/>
          </w:tcPr>
          <w:p w14:paraId="7AEEB5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16890FE1">
      <w:pPr>
        <w:pageBreakBefore w:val="0"/>
        <w:kinsoku/>
        <w:wordWrap/>
        <w:topLinePunct w:val="0"/>
        <w:bidi w:val="0"/>
        <w:adjustRightInd/>
        <w:snapToGrid/>
        <w:ind w:left="0" w:leftChars="0" w:firstLine="0" w:firstLineChars="0"/>
        <w:rPr>
          <w:rFonts w:hint="default" w:ascii="Times New Roman" w:hAnsi="Times New Roman" w:eastAsia="宋体" w:cs="Times New Roman"/>
          <w:b/>
          <w:bCs w:val="0"/>
          <w:color w:val="auto"/>
          <w:highlight w:val="none"/>
        </w:rPr>
      </w:pPr>
    </w:p>
    <w:p w14:paraId="23E1EDAE">
      <w:pPr>
        <w:pageBreakBefore w:val="0"/>
        <w:kinsoku/>
        <w:wordWrap/>
        <w:topLinePunct w:val="0"/>
        <w:bidi w:val="0"/>
        <w:adjustRightInd/>
        <w:snapToGrid/>
        <w:ind w:left="0" w:leftChars="0" w:firstLine="0" w:firstLineChars="0"/>
        <w:rPr>
          <w:rFonts w:hint="eastAsia"/>
          <w:color w:val="auto"/>
        </w:rPr>
      </w:pPr>
      <w:r>
        <w:rPr>
          <w:rFonts w:hint="default" w:ascii="Times New Roman" w:hAnsi="Times New Roman" w:eastAsia="宋体" w:cs="Times New Roman"/>
          <w:b/>
          <w:bCs w:val="0"/>
          <w:color w:val="auto"/>
          <w:highlight w:val="none"/>
        </w:rPr>
        <w:object>
          <v:shape id="_x0000_i1030" o:spt="75" type="#_x0000_t75" style="height:356.2pt;width:436.05pt;" o:ole="t" filled="f" o:preferrelative="t" stroked="f" coordsize="21600,21600">
            <v:path/>
            <v:fill on="f" focussize="0,0"/>
            <v:stroke on="f"/>
            <v:imagedata r:id="rId58" o:title=""/>
            <o:lock v:ext="edit" aspectratio="f"/>
            <w10:wrap type="none"/>
            <w10:anchorlock/>
          </v:shape>
          <o:OLEObject Type="Embed" ProgID="Visio.Drawing.15" ShapeID="_x0000_i1030" DrawAspect="Content" ObjectID="_1468075731" r:id="rId57">
            <o:LockedField>false</o:LockedField>
          </o:OLEObject>
        </w:object>
      </w:r>
    </w:p>
    <w:p w14:paraId="436CEA3E">
      <w:pPr>
        <w:pageBreakBefore w:val="0"/>
        <w:kinsoku/>
        <w:wordWrap/>
        <w:topLinePunct w:val="0"/>
        <w:bidi w:val="0"/>
        <w:adjustRightInd/>
        <w:snapToGrid/>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图2.2-</w:t>
      </w:r>
      <w:r>
        <w:rPr>
          <w:rFonts w:hint="eastAsia" w:eastAsia="宋体" w:cs="Times New Roman"/>
          <w:b/>
          <w:bCs/>
          <w:color w:val="auto"/>
          <w:lang w:val="en-US" w:eastAsia="zh-CN"/>
        </w:rPr>
        <w:t>4</w:t>
      </w:r>
      <w:r>
        <w:rPr>
          <w:rFonts w:hint="default" w:ascii="Times New Roman" w:hAnsi="Times New Roman" w:eastAsia="宋体" w:cs="Times New Roman"/>
          <w:b/>
          <w:bCs/>
          <w:color w:val="auto"/>
          <w:lang w:val="en-US" w:eastAsia="zh-CN"/>
        </w:rPr>
        <w:t xml:space="preserve">   肉牛屠宰工艺物料平衡</w:t>
      </w:r>
      <w:r>
        <w:rPr>
          <w:rFonts w:hint="eastAsia" w:eastAsia="宋体" w:cs="Times New Roman"/>
          <w:b/>
          <w:bCs/>
          <w:color w:val="auto"/>
          <w:lang w:val="en-US" w:eastAsia="zh-CN"/>
        </w:rPr>
        <w:t>图</w:t>
      </w:r>
      <w:r>
        <w:rPr>
          <w:rFonts w:hint="eastAsia" w:ascii="Times New Roman" w:hAnsi="Times New Roman" w:eastAsia="宋体" w:cs="Times New Roman"/>
          <w:b/>
          <w:bCs/>
          <w:color w:val="auto"/>
          <w:lang w:val="en-US" w:eastAsia="zh-CN"/>
        </w:rPr>
        <w:t xml:space="preserve">   单位：t/a</w:t>
      </w:r>
    </w:p>
    <w:p w14:paraId="37365508">
      <w:pPr>
        <w:pageBreakBefore w:val="0"/>
        <w:kinsoku/>
        <w:wordWrap/>
        <w:topLinePunct w:val="0"/>
        <w:bidi w:val="0"/>
        <w:adjustRightInd/>
        <w:snapToGrid/>
        <w:ind w:left="0" w:leftChars="0"/>
        <w:rPr>
          <w:rFonts w:hint="default"/>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）羊屠宰工艺物料平衡</w:t>
      </w:r>
    </w:p>
    <w:p w14:paraId="533B64FA">
      <w:pPr>
        <w:pageBreakBefore w:val="0"/>
        <w:kinsoku/>
        <w:wordWrap/>
        <w:topLinePunct w:val="0"/>
        <w:bidi w:val="0"/>
        <w:adjustRightInd/>
        <w:snapToGrid/>
        <w:ind w:left="0" w:leftChars="0"/>
        <w:rPr>
          <w:rFonts w:hint="eastAsia" w:eastAsia="仿宋_GB2312"/>
          <w:color w:val="auto"/>
          <w:lang w:eastAsia="zh-CN"/>
        </w:rPr>
      </w:pPr>
      <w:r>
        <w:rPr>
          <w:rFonts w:hint="eastAsia"/>
          <w:color w:val="auto"/>
          <w:lang w:eastAsia="zh-CN"/>
        </w:rPr>
        <w:t>羊屠宰工艺物料平衡见表2.2-</w:t>
      </w:r>
      <w:r>
        <w:rPr>
          <w:rFonts w:hint="eastAsia"/>
          <w:color w:val="auto"/>
          <w:lang w:val="en-US" w:eastAsia="zh-CN"/>
        </w:rPr>
        <w:t>3</w:t>
      </w:r>
      <w:r>
        <w:rPr>
          <w:rFonts w:hint="eastAsia"/>
          <w:color w:val="auto"/>
          <w:lang w:eastAsia="zh-CN"/>
        </w:rPr>
        <w:t>，物料平衡见图2.2-</w:t>
      </w:r>
      <w:r>
        <w:rPr>
          <w:rFonts w:hint="eastAsia"/>
          <w:color w:val="auto"/>
          <w:lang w:val="en-US" w:eastAsia="zh-CN"/>
        </w:rPr>
        <w:t>5</w:t>
      </w:r>
      <w:r>
        <w:rPr>
          <w:rFonts w:hint="eastAsia"/>
          <w:color w:val="auto"/>
          <w:lang w:eastAsia="zh-CN"/>
        </w:rPr>
        <w:t>。</w:t>
      </w:r>
    </w:p>
    <w:p w14:paraId="7537FEE1">
      <w:pPr>
        <w:pStyle w:val="16"/>
        <w:pageBreakBefore w:val="0"/>
        <w:kinsoku/>
        <w:wordWrap/>
        <w:topLinePunct w:val="0"/>
        <w:bidi w:val="0"/>
        <w:adjustRightInd/>
        <w:snapToGrid/>
        <w:spacing w:line="240" w:lineRule="auto"/>
        <w:ind w:left="0" w:leftChars="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Cs/>
          <w:color w:val="auto"/>
          <w:sz w:val="21"/>
          <w:szCs w:val="21"/>
          <w:highlight w:val="none"/>
        </w:rPr>
        <w:t>表2.</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w:t>
      </w:r>
      <w:r>
        <w:rPr>
          <w:rFonts w:hint="eastAsia" w:eastAsia="宋体" w:cs="Times New Roman"/>
          <w:bCs/>
          <w:color w:val="auto"/>
          <w:sz w:val="21"/>
          <w:szCs w:val="21"/>
          <w:highlight w:val="none"/>
          <w:lang w:val="en-US" w:eastAsia="zh-CN"/>
        </w:rPr>
        <w:t>3</w:t>
      </w:r>
      <w:r>
        <w:rPr>
          <w:rFonts w:hint="default"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lang w:val="en-US" w:eastAsia="zh-CN"/>
        </w:rPr>
        <w:t xml:space="preserve">         </w:t>
      </w:r>
      <w:r>
        <w:rPr>
          <w:rFonts w:hint="eastAsia" w:eastAsia="宋体" w:cs="Times New Roman"/>
          <w:b/>
          <w:color w:val="auto"/>
          <w:sz w:val="24"/>
          <w:highlight w:val="none"/>
          <w:lang w:val="en-US" w:eastAsia="zh-CN"/>
        </w:rPr>
        <w:t>肉羊</w:t>
      </w:r>
      <w:r>
        <w:rPr>
          <w:rFonts w:hint="default" w:ascii="Times New Roman" w:hAnsi="Times New Roman" w:eastAsia="宋体" w:cs="Times New Roman"/>
          <w:b/>
          <w:color w:val="auto"/>
          <w:sz w:val="24"/>
          <w:highlight w:val="none"/>
        </w:rPr>
        <w:t xml:space="preserve">屠宰工艺物料平衡一览表  </w:t>
      </w:r>
      <w:r>
        <w:rPr>
          <w:rFonts w:hint="eastAsia"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单位：</w:t>
      </w:r>
      <w:r>
        <w:rPr>
          <w:rFonts w:hint="default" w:ascii="Times New Roman" w:hAnsi="Times New Roman" w:eastAsia="宋体" w:cs="Times New Roman"/>
          <w:color w:val="auto"/>
          <w:szCs w:val="21"/>
          <w:highlight w:val="none"/>
        </w:rPr>
        <w:t>t/a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434"/>
        <w:gridCol w:w="880"/>
        <w:gridCol w:w="2509"/>
        <w:gridCol w:w="1374"/>
        <w:gridCol w:w="1708"/>
      </w:tblGrid>
      <w:tr w14:paraId="2E9EB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4" w:type="dxa"/>
            <w:gridSpan w:val="2"/>
            <w:tcBorders>
              <w:tl2br w:val="nil"/>
              <w:tr2bl w:val="nil"/>
            </w:tcBorders>
            <w:noWrap w:val="0"/>
            <w:vAlign w:val="center"/>
          </w:tcPr>
          <w:p w14:paraId="666956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输入</w:t>
            </w:r>
          </w:p>
        </w:tc>
        <w:tc>
          <w:tcPr>
            <w:tcW w:w="6305" w:type="dxa"/>
            <w:gridSpan w:val="4"/>
            <w:tcBorders>
              <w:tl2br w:val="nil"/>
              <w:tr2bl w:val="nil"/>
            </w:tcBorders>
            <w:noWrap w:val="0"/>
            <w:vAlign w:val="center"/>
          </w:tcPr>
          <w:p w14:paraId="5D86E27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输出</w:t>
            </w:r>
          </w:p>
        </w:tc>
      </w:tr>
      <w:tr w14:paraId="0D408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tcBorders>
              <w:tl2br w:val="nil"/>
              <w:tr2bl w:val="nil"/>
            </w:tcBorders>
            <w:noWrap w:val="0"/>
            <w:vAlign w:val="center"/>
          </w:tcPr>
          <w:p w14:paraId="38AFF3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1397" w:type="dxa"/>
            <w:tcBorders>
              <w:tl2br w:val="nil"/>
              <w:tr2bl w:val="nil"/>
            </w:tcBorders>
            <w:noWrap w:val="0"/>
            <w:vAlign w:val="center"/>
          </w:tcPr>
          <w:p w14:paraId="357D4B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3302" w:type="dxa"/>
            <w:gridSpan w:val="2"/>
            <w:tcBorders>
              <w:tl2br w:val="nil"/>
              <w:tr2bl w:val="nil"/>
            </w:tcBorders>
            <w:noWrap w:val="0"/>
            <w:vAlign w:val="center"/>
          </w:tcPr>
          <w:p w14:paraId="4EAA921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1339" w:type="dxa"/>
            <w:tcBorders>
              <w:tl2br w:val="nil"/>
              <w:tr2bl w:val="nil"/>
            </w:tcBorders>
            <w:noWrap w:val="0"/>
            <w:vAlign w:val="center"/>
          </w:tcPr>
          <w:p w14:paraId="05934E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1664" w:type="dxa"/>
            <w:tcBorders>
              <w:tl2br w:val="nil"/>
              <w:tr2bl w:val="nil"/>
            </w:tcBorders>
            <w:noWrap w:val="0"/>
            <w:vAlign w:val="center"/>
          </w:tcPr>
          <w:p w14:paraId="27DBD3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57CCF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restart"/>
            <w:tcBorders>
              <w:tl2br w:val="nil"/>
              <w:tr2bl w:val="nil"/>
            </w:tcBorders>
            <w:noWrap w:val="0"/>
            <w:vAlign w:val="center"/>
          </w:tcPr>
          <w:p w14:paraId="4D9CF8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活</w:t>
            </w:r>
            <w:r>
              <w:rPr>
                <w:rFonts w:hint="eastAsia" w:ascii="Times New Roman" w:hAnsi="Times New Roman" w:eastAsia="宋体" w:cs="Times New Roman"/>
                <w:color w:val="auto"/>
                <w:sz w:val="21"/>
                <w:szCs w:val="21"/>
                <w:highlight w:val="none"/>
                <w:lang w:val="en-US" w:eastAsia="zh-CN"/>
              </w:rPr>
              <w:t>羊</w:t>
            </w:r>
          </w:p>
        </w:tc>
        <w:tc>
          <w:tcPr>
            <w:tcW w:w="1397" w:type="dxa"/>
            <w:vMerge w:val="restart"/>
            <w:tcBorders>
              <w:tl2br w:val="nil"/>
              <w:tr2bl w:val="nil"/>
            </w:tcBorders>
            <w:noWrap w:val="0"/>
            <w:vAlign w:val="center"/>
          </w:tcPr>
          <w:p w14:paraId="265F9B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4500</w:t>
            </w:r>
          </w:p>
        </w:tc>
        <w:tc>
          <w:tcPr>
            <w:tcW w:w="857" w:type="dxa"/>
            <w:tcBorders>
              <w:tl2br w:val="nil"/>
              <w:tr2bl w:val="nil"/>
            </w:tcBorders>
            <w:noWrap w:val="0"/>
            <w:vAlign w:val="center"/>
          </w:tcPr>
          <w:p w14:paraId="499476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主产品</w:t>
            </w:r>
          </w:p>
        </w:tc>
        <w:tc>
          <w:tcPr>
            <w:tcW w:w="2445" w:type="dxa"/>
            <w:tcBorders>
              <w:tl2br w:val="nil"/>
              <w:tr2bl w:val="nil"/>
            </w:tcBorders>
            <w:shd w:val="clear" w:color="auto" w:fill="auto"/>
            <w:noWrap w:val="0"/>
            <w:vAlign w:val="center"/>
          </w:tcPr>
          <w:p w14:paraId="2550F75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分割羊肉</w:t>
            </w:r>
          </w:p>
        </w:tc>
        <w:tc>
          <w:tcPr>
            <w:tcW w:w="1339" w:type="dxa"/>
            <w:tcBorders>
              <w:tl2br w:val="nil"/>
              <w:tr2bl w:val="nil"/>
            </w:tcBorders>
            <w:shd w:val="clear" w:color="auto" w:fill="auto"/>
            <w:noWrap w:val="0"/>
            <w:vAlign w:val="center"/>
          </w:tcPr>
          <w:p w14:paraId="7596C4E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2250</w:t>
            </w:r>
          </w:p>
        </w:tc>
        <w:tc>
          <w:tcPr>
            <w:tcW w:w="1664" w:type="dxa"/>
            <w:tcBorders>
              <w:tl2br w:val="nil"/>
              <w:tr2bl w:val="nil"/>
            </w:tcBorders>
            <w:noWrap w:val="0"/>
            <w:vAlign w:val="center"/>
          </w:tcPr>
          <w:p w14:paraId="1772B97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外售</w:t>
            </w:r>
          </w:p>
        </w:tc>
      </w:tr>
      <w:tr w14:paraId="466DD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shd w:val="clear" w:color="auto" w:fill="auto"/>
            <w:noWrap w:val="0"/>
            <w:vAlign w:val="center"/>
          </w:tcPr>
          <w:p w14:paraId="61A3A1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397" w:type="dxa"/>
            <w:vMerge w:val="continue"/>
            <w:tcBorders>
              <w:tl2br w:val="nil"/>
              <w:tr2bl w:val="nil"/>
            </w:tcBorders>
            <w:shd w:val="clear" w:color="auto" w:fill="auto"/>
            <w:noWrap w:val="0"/>
            <w:vAlign w:val="center"/>
          </w:tcPr>
          <w:p w14:paraId="7BAB0FD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857" w:type="dxa"/>
            <w:vMerge w:val="restart"/>
            <w:tcBorders>
              <w:tl2br w:val="nil"/>
              <w:tr2bl w:val="nil"/>
            </w:tcBorders>
            <w:noWrap w:val="0"/>
            <w:vAlign w:val="center"/>
          </w:tcPr>
          <w:p w14:paraId="03DB44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副产品</w:t>
            </w:r>
          </w:p>
        </w:tc>
        <w:tc>
          <w:tcPr>
            <w:tcW w:w="2445" w:type="dxa"/>
            <w:tcBorders>
              <w:tl2br w:val="nil"/>
              <w:tr2bl w:val="nil"/>
            </w:tcBorders>
            <w:shd w:val="clear" w:color="auto" w:fill="auto"/>
            <w:noWrap w:val="0"/>
            <w:vAlign w:val="center"/>
          </w:tcPr>
          <w:p w14:paraId="6598407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头</w:t>
            </w:r>
            <w:r>
              <w:rPr>
                <w:rFonts w:hint="eastAsia"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尾</w:t>
            </w:r>
            <w:r>
              <w:rPr>
                <w:rFonts w:hint="eastAsia"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蹄</w:t>
            </w:r>
          </w:p>
        </w:tc>
        <w:tc>
          <w:tcPr>
            <w:tcW w:w="1339" w:type="dxa"/>
            <w:tcBorders>
              <w:tl2br w:val="nil"/>
              <w:tr2bl w:val="nil"/>
            </w:tcBorders>
            <w:shd w:val="clear" w:color="auto" w:fill="auto"/>
            <w:noWrap w:val="0"/>
            <w:vAlign w:val="center"/>
          </w:tcPr>
          <w:p w14:paraId="774FA8D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360</w:t>
            </w:r>
          </w:p>
        </w:tc>
        <w:tc>
          <w:tcPr>
            <w:tcW w:w="1664" w:type="dxa"/>
            <w:tcBorders>
              <w:tl2br w:val="nil"/>
              <w:tr2bl w:val="nil"/>
            </w:tcBorders>
            <w:noWrap w:val="0"/>
            <w:vAlign w:val="center"/>
          </w:tcPr>
          <w:p w14:paraId="4BD32C4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外售</w:t>
            </w:r>
          </w:p>
        </w:tc>
      </w:tr>
      <w:tr w14:paraId="32DDD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192B6E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4019758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continue"/>
            <w:tcBorders>
              <w:tl2br w:val="nil"/>
              <w:tr2bl w:val="nil"/>
            </w:tcBorders>
            <w:noWrap w:val="0"/>
            <w:vAlign w:val="center"/>
          </w:tcPr>
          <w:p w14:paraId="6436647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45" w:type="dxa"/>
            <w:tcBorders>
              <w:tl2br w:val="nil"/>
              <w:tr2bl w:val="nil"/>
            </w:tcBorders>
            <w:shd w:val="clear" w:color="auto" w:fill="auto"/>
            <w:noWrap w:val="0"/>
            <w:vAlign w:val="center"/>
          </w:tcPr>
          <w:p w14:paraId="457B05A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羊皮</w:t>
            </w:r>
          </w:p>
        </w:tc>
        <w:tc>
          <w:tcPr>
            <w:tcW w:w="1339" w:type="dxa"/>
            <w:tcBorders>
              <w:tl2br w:val="nil"/>
              <w:tr2bl w:val="nil"/>
            </w:tcBorders>
            <w:shd w:val="clear" w:color="auto" w:fill="auto"/>
            <w:noWrap w:val="0"/>
            <w:vAlign w:val="center"/>
          </w:tcPr>
          <w:p w14:paraId="7E01037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450</w:t>
            </w:r>
          </w:p>
        </w:tc>
        <w:tc>
          <w:tcPr>
            <w:tcW w:w="1664" w:type="dxa"/>
            <w:tcBorders>
              <w:tl2br w:val="nil"/>
              <w:tr2bl w:val="nil"/>
            </w:tcBorders>
            <w:noWrap w:val="0"/>
            <w:vAlign w:val="center"/>
          </w:tcPr>
          <w:p w14:paraId="7BF6B25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外售</w:t>
            </w:r>
          </w:p>
        </w:tc>
      </w:tr>
      <w:tr w14:paraId="10CC7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26733CC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4173EF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continue"/>
            <w:tcBorders>
              <w:tl2br w:val="nil"/>
              <w:tr2bl w:val="nil"/>
            </w:tcBorders>
            <w:noWrap w:val="0"/>
            <w:vAlign w:val="center"/>
          </w:tcPr>
          <w:p w14:paraId="54C7BE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45" w:type="dxa"/>
            <w:tcBorders>
              <w:tl2br w:val="nil"/>
              <w:tr2bl w:val="nil"/>
            </w:tcBorders>
            <w:shd w:val="clear" w:color="auto" w:fill="auto"/>
            <w:noWrap w:val="0"/>
            <w:vAlign w:val="center"/>
          </w:tcPr>
          <w:p w14:paraId="162DB40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羊内脏</w:t>
            </w:r>
          </w:p>
        </w:tc>
        <w:tc>
          <w:tcPr>
            <w:tcW w:w="1339" w:type="dxa"/>
            <w:tcBorders>
              <w:tl2br w:val="nil"/>
              <w:tr2bl w:val="nil"/>
            </w:tcBorders>
            <w:shd w:val="clear" w:color="auto" w:fill="auto"/>
            <w:noWrap w:val="0"/>
            <w:vAlign w:val="center"/>
          </w:tcPr>
          <w:p w14:paraId="5DEA621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360</w:t>
            </w:r>
          </w:p>
        </w:tc>
        <w:tc>
          <w:tcPr>
            <w:tcW w:w="1664" w:type="dxa"/>
            <w:tcBorders>
              <w:tl2br w:val="nil"/>
              <w:tr2bl w:val="nil"/>
            </w:tcBorders>
            <w:noWrap w:val="0"/>
            <w:vAlign w:val="center"/>
          </w:tcPr>
          <w:p w14:paraId="12387BE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外售</w:t>
            </w:r>
          </w:p>
        </w:tc>
      </w:tr>
      <w:tr w14:paraId="429D9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4257B1E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5CD203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continue"/>
            <w:tcBorders>
              <w:tl2br w:val="nil"/>
              <w:tr2bl w:val="nil"/>
            </w:tcBorders>
            <w:noWrap w:val="0"/>
            <w:vAlign w:val="center"/>
          </w:tcPr>
          <w:p w14:paraId="36867F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45" w:type="dxa"/>
            <w:tcBorders>
              <w:tl2br w:val="nil"/>
              <w:tr2bl w:val="nil"/>
            </w:tcBorders>
            <w:shd w:val="clear" w:color="auto" w:fill="auto"/>
            <w:noWrap w:val="0"/>
            <w:vAlign w:val="center"/>
          </w:tcPr>
          <w:p w14:paraId="221FB34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羊血</w:t>
            </w:r>
          </w:p>
        </w:tc>
        <w:tc>
          <w:tcPr>
            <w:tcW w:w="1339" w:type="dxa"/>
            <w:tcBorders>
              <w:tl2br w:val="nil"/>
              <w:tr2bl w:val="nil"/>
            </w:tcBorders>
            <w:shd w:val="clear" w:color="auto" w:fill="auto"/>
            <w:noWrap w:val="0"/>
            <w:vAlign w:val="center"/>
          </w:tcPr>
          <w:p w14:paraId="7AC17CF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90</w:t>
            </w:r>
          </w:p>
        </w:tc>
        <w:tc>
          <w:tcPr>
            <w:tcW w:w="1664" w:type="dxa"/>
            <w:tcBorders>
              <w:tl2br w:val="nil"/>
              <w:tr2bl w:val="nil"/>
            </w:tcBorders>
            <w:noWrap w:val="0"/>
            <w:vAlign w:val="center"/>
          </w:tcPr>
          <w:p w14:paraId="2C67A62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外售</w:t>
            </w:r>
          </w:p>
        </w:tc>
      </w:tr>
      <w:tr w14:paraId="5EF6C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39C013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018085D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continue"/>
            <w:tcBorders>
              <w:tl2br w:val="nil"/>
              <w:tr2bl w:val="nil"/>
            </w:tcBorders>
            <w:noWrap w:val="0"/>
            <w:vAlign w:val="center"/>
          </w:tcPr>
          <w:p w14:paraId="0D1322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45" w:type="dxa"/>
            <w:tcBorders>
              <w:tl2br w:val="nil"/>
              <w:tr2bl w:val="nil"/>
            </w:tcBorders>
            <w:shd w:val="clear" w:color="auto" w:fill="auto"/>
            <w:noWrap w:val="0"/>
            <w:vAlign w:val="center"/>
          </w:tcPr>
          <w:p w14:paraId="0FD6351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羊骨</w:t>
            </w:r>
          </w:p>
        </w:tc>
        <w:tc>
          <w:tcPr>
            <w:tcW w:w="1339" w:type="dxa"/>
            <w:tcBorders>
              <w:tl2br w:val="nil"/>
              <w:tr2bl w:val="nil"/>
            </w:tcBorders>
            <w:shd w:val="clear" w:color="auto" w:fill="auto"/>
            <w:noWrap w:val="0"/>
            <w:vAlign w:val="center"/>
          </w:tcPr>
          <w:p w14:paraId="3855CC1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540</w:t>
            </w:r>
          </w:p>
        </w:tc>
        <w:tc>
          <w:tcPr>
            <w:tcW w:w="1664" w:type="dxa"/>
            <w:tcBorders>
              <w:tl2br w:val="nil"/>
              <w:tr2bl w:val="nil"/>
            </w:tcBorders>
            <w:noWrap w:val="0"/>
            <w:vAlign w:val="center"/>
          </w:tcPr>
          <w:p w14:paraId="13323D2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外售</w:t>
            </w:r>
          </w:p>
        </w:tc>
      </w:tr>
      <w:tr w14:paraId="09862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1150D8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618162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restart"/>
            <w:tcBorders>
              <w:tl2br w:val="nil"/>
              <w:tr2bl w:val="nil"/>
            </w:tcBorders>
            <w:noWrap w:val="0"/>
            <w:vAlign w:val="center"/>
          </w:tcPr>
          <w:p w14:paraId="2224DB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p w14:paraId="6B0362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w:t>
            </w:r>
          </w:p>
        </w:tc>
        <w:tc>
          <w:tcPr>
            <w:tcW w:w="2445" w:type="dxa"/>
            <w:tcBorders>
              <w:tl2br w:val="nil"/>
              <w:tr2bl w:val="nil"/>
            </w:tcBorders>
            <w:noWrap w:val="0"/>
            <w:vAlign w:val="center"/>
          </w:tcPr>
          <w:p w14:paraId="5274AD8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分割边角料</w:t>
            </w:r>
          </w:p>
        </w:tc>
        <w:tc>
          <w:tcPr>
            <w:tcW w:w="1339" w:type="dxa"/>
            <w:tcBorders>
              <w:tl2br w:val="nil"/>
              <w:tr2bl w:val="nil"/>
            </w:tcBorders>
            <w:noWrap w:val="0"/>
            <w:vAlign w:val="center"/>
          </w:tcPr>
          <w:p w14:paraId="5CE080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90</w:t>
            </w:r>
          </w:p>
        </w:tc>
        <w:tc>
          <w:tcPr>
            <w:tcW w:w="1664" w:type="dxa"/>
            <w:tcBorders>
              <w:tl2br w:val="nil"/>
              <w:tr2bl w:val="nil"/>
            </w:tcBorders>
            <w:noWrap w:val="0"/>
            <w:vAlign w:val="center"/>
          </w:tcPr>
          <w:p w14:paraId="0946D1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D6FD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2A497D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54A76D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continue"/>
            <w:tcBorders>
              <w:tl2br w:val="nil"/>
              <w:tr2bl w:val="nil"/>
            </w:tcBorders>
            <w:noWrap w:val="0"/>
            <w:vAlign w:val="center"/>
          </w:tcPr>
          <w:p w14:paraId="443C6A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45" w:type="dxa"/>
            <w:tcBorders>
              <w:tl2br w:val="nil"/>
              <w:tr2bl w:val="nil"/>
            </w:tcBorders>
            <w:noWrap w:val="0"/>
            <w:vAlign w:val="center"/>
          </w:tcPr>
          <w:p w14:paraId="27FBE67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胃内容物</w:t>
            </w:r>
          </w:p>
        </w:tc>
        <w:tc>
          <w:tcPr>
            <w:tcW w:w="1339" w:type="dxa"/>
            <w:tcBorders>
              <w:tl2br w:val="nil"/>
              <w:tr2bl w:val="nil"/>
            </w:tcBorders>
            <w:noWrap w:val="0"/>
            <w:vAlign w:val="center"/>
          </w:tcPr>
          <w:p w14:paraId="77313B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180</w:t>
            </w:r>
          </w:p>
        </w:tc>
        <w:tc>
          <w:tcPr>
            <w:tcW w:w="1664" w:type="dxa"/>
            <w:tcBorders>
              <w:tl2br w:val="nil"/>
              <w:tr2bl w:val="nil"/>
            </w:tcBorders>
            <w:noWrap w:val="0"/>
            <w:vAlign w:val="center"/>
          </w:tcPr>
          <w:p w14:paraId="62BD22E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r>
      <w:tr w14:paraId="24EA9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6C84A2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71480D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continue"/>
            <w:tcBorders>
              <w:tl2br w:val="nil"/>
              <w:tr2bl w:val="nil"/>
            </w:tcBorders>
            <w:noWrap w:val="0"/>
            <w:vAlign w:val="center"/>
          </w:tcPr>
          <w:p w14:paraId="28BC8E5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45" w:type="dxa"/>
            <w:tcBorders>
              <w:tl2br w:val="nil"/>
              <w:tr2bl w:val="nil"/>
            </w:tcBorders>
            <w:noWrap w:val="0"/>
            <w:vAlign w:val="center"/>
          </w:tcPr>
          <w:p w14:paraId="5237A5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病变</w:t>
            </w:r>
            <w:r>
              <w:rPr>
                <w:rFonts w:hint="default" w:ascii="Times New Roman" w:hAnsi="Times New Roman" w:eastAsia="宋体" w:cs="Times New Roman"/>
                <w:color w:val="auto"/>
                <w:sz w:val="21"/>
                <w:szCs w:val="21"/>
                <w:highlight w:val="none"/>
              </w:rPr>
              <w:t>内脏</w:t>
            </w:r>
          </w:p>
        </w:tc>
        <w:tc>
          <w:tcPr>
            <w:tcW w:w="1339" w:type="dxa"/>
            <w:tcBorders>
              <w:tl2br w:val="nil"/>
              <w:tr2bl w:val="nil"/>
            </w:tcBorders>
            <w:noWrap w:val="0"/>
            <w:vAlign w:val="center"/>
          </w:tcPr>
          <w:p w14:paraId="7935FB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w:t>
            </w:r>
          </w:p>
        </w:tc>
        <w:tc>
          <w:tcPr>
            <w:tcW w:w="1664" w:type="dxa"/>
            <w:tcBorders>
              <w:tl2br w:val="nil"/>
              <w:tr2bl w:val="nil"/>
            </w:tcBorders>
            <w:noWrap w:val="0"/>
            <w:vAlign w:val="center"/>
          </w:tcPr>
          <w:p w14:paraId="1C3502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6A68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20D073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1C950BB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continue"/>
            <w:tcBorders>
              <w:tl2br w:val="nil"/>
              <w:tr2bl w:val="nil"/>
            </w:tcBorders>
            <w:noWrap w:val="0"/>
            <w:vAlign w:val="center"/>
          </w:tcPr>
          <w:p w14:paraId="2E65D1D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45" w:type="dxa"/>
            <w:tcBorders>
              <w:tl2br w:val="nil"/>
              <w:tr2bl w:val="nil"/>
            </w:tcBorders>
            <w:noWrap w:val="0"/>
            <w:vAlign w:val="center"/>
          </w:tcPr>
          <w:p w14:paraId="79F350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不合格胴体</w:t>
            </w:r>
          </w:p>
        </w:tc>
        <w:tc>
          <w:tcPr>
            <w:tcW w:w="1339" w:type="dxa"/>
            <w:tcBorders>
              <w:tl2br w:val="nil"/>
              <w:tr2bl w:val="nil"/>
            </w:tcBorders>
            <w:noWrap w:val="0"/>
            <w:vAlign w:val="center"/>
          </w:tcPr>
          <w:p w14:paraId="415AE2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38</w:t>
            </w:r>
          </w:p>
        </w:tc>
        <w:tc>
          <w:tcPr>
            <w:tcW w:w="1664" w:type="dxa"/>
            <w:tcBorders>
              <w:tl2br w:val="nil"/>
              <w:tr2bl w:val="nil"/>
            </w:tcBorders>
            <w:noWrap w:val="0"/>
            <w:vAlign w:val="center"/>
          </w:tcPr>
          <w:p w14:paraId="6618654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4D59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203B5DF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3428F3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continue"/>
            <w:tcBorders>
              <w:tl2br w:val="nil"/>
              <w:tr2bl w:val="nil"/>
            </w:tcBorders>
            <w:noWrap w:val="0"/>
            <w:vAlign w:val="center"/>
          </w:tcPr>
          <w:p w14:paraId="28C29D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45" w:type="dxa"/>
            <w:tcBorders>
              <w:tl2br w:val="nil"/>
              <w:tr2bl w:val="nil"/>
            </w:tcBorders>
            <w:noWrap w:val="0"/>
            <w:vAlign w:val="center"/>
          </w:tcPr>
          <w:p w14:paraId="35EC28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羊</w:t>
            </w:r>
            <w:r>
              <w:rPr>
                <w:rFonts w:hint="default" w:ascii="Times New Roman" w:hAnsi="Times New Roman" w:eastAsia="宋体" w:cs="Times New Roman"/>
                <w:color w:val="auto"/>
                <w:sz w:val="21"/>
                <w:szCs w:val="21"/>
                <w:highlight w:val="none"/>
              </w:rPr>
              <w:t>粪便（含</w:t>
            </w:r>
            <w:r>
              <w:rPr>
                <w:rFonts w:hint="eastAsia" w:ascii="Times New Roman" w:hAnsi="Times New Roman" w:eastAsia="宋体" w:cs="Times New Roman"/>
                <w:color w:val="auto"/>
                <w:sz w:val="21"/>
                <w:szCs w:val="21"/>
                <w:highlight w:val="none"/>
                <w:lang w:val="en-US" w:eastAsia="zh-CN"/>
              </w:rPr>
              <w:t>羊</w:t>
            </w:r>
            <w:r>
              <w:rPr>
                <w:rFonts w:hint="default" w:ascii="Times New Roman" w:hAnsi="Times New Roman" w:eastAsia="宋体" w:cs="Times New Roman"/>
                <w:color w:val="auto"/>
                <w:sz w:val="21"/>
                <w:szCs w:val="21"/>
                <w:highlight w:val="none"/>
              </w:rPr>
              <w:t>尿）</w:t>
            </w:r>
          </w:p>
        </w:tc>
        <w:tc>
          <w:tcPr>
            <w:tcW w:w="1339" w:type="dxa"/>
            <w:tcBorders>
              <w:tl2br w:val="nil"/>
              <w:tr2bl w:val="nil"/>
            </w:tcBorders>
            <w:noWrap w:val="0"/>
            <w:vAlign w:val="center"/>
          </w:tcPr>
          <w:p w14:paraId="395221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62</w:t>
            </w:r>
          </w:p>
        </w:tc>
        <w:tc>
          <w:tcPr>
            <w:tcW w:w="1664" w:type="dxa"/>
            <w:tcBorders>
              <w:tl2br w:val="nil"/>
              <w:tr2bl w:val="nil"/>
            </w:tcBorders>
            <w:noWrap w:val="0"/>
            <w:vAlign w:val="center"/>
          </w:tcPr>
          <w:p w14:paraId="14F139A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A44D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vMerge w:val="continue"/>
            <w:tcBorders>
              <w:tl2br w:val="nil"/>
              <w:tr2bl w:val="nil"/>
            </w:tcBorders>
            <w:noWrap w:val="0"/>
            <w:vAlign w:val="center"/>
          </w:tcPr>
          <w:p w14:paraId="270C4DC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397" w:type="dxa"/>
            <w:vMerge w:val="continue"/>
            <w:tcBorders>
              <w:tl2br w:val="nil"/>
              <w:tr2bl w:val="nil"/>
            </w:tcBorders>
            <w:noWrap w:val="0"/>
            <w:vAlign w:val="center"/>
          </w:tcPr>
          <w:p w14:paraId="4E30FCD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857" w:type="dxa"/>
            <w:vMerge w:val="continue"/>
            <w:tcBorders>
              <w:tl2br w:val="nil"/>
              <w:tr2bl w:val="nil"/>
            </w:tcBorders>
            <w:noWrap w:val="0"/>
            <w:vAlign w:val="center"/>
          </w:tcPr>
          <w:p w14:paraId="26B0C9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2445" w:type="dxa"/>
            <w:tcBorders>
              <w:tl2br w:val="nil"/>
              <w:tr2bl w:val="nil"/>
            </w:tcBorders>
            <w:noWrap w:val="0"/>
            <w:vAlign w:val="center"/>
          </w:tcPr>
          <w:p w14:paraId="7472CA4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病死羊</w:t>
            </w:r>
          </w:p>
        </w:tc>
        <w:tc>
          <w:tcPr>
            <w:tcW w:w="1339" w:type="dxa"/>
            <w:tcBorders>
              <w:tl2br w:val="nil"/>
              <w:tr2bl w:val="nil"/>
            </w:tcBorders>
            <w:noWrap w:val="0"/>
            <w:vAlign w:val="center"/>
          </w:tcPr>
          <w:p w14:paraId="3158C1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60</w:t>
            </w:r>
          </w:p>
        </w:tc>
        <w:tc>
          <w:tcPr>
            <w:tcW w:w="1664" w:type="dxa"/>
            <w:tcBorders>
              <w:tl2br w:val="nil"/>
              <w:tr2bl w:val="nil"/>
            </w:tcBorders>
            <w:noWrap w:val="0"/>
            <w:vAlign w:val="center"/>
          </w:tcPr>
          <w:p w14:paraId="77FB8E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r>
      <w:tr w14:paraId="736A0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7" w:type="dxa"/>
            <w:tcBorders>
              <w:tl2br w:val="nil"/>
              <w:tr2bl w:val="nil"/>
            </w:tcBorders>
            <w:noWrap w:val="0"/>
            <w:vAlign w:val="center"/>
          </w:tcPr>
          <w:p w14:paraId="4DFD86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397" w:type="dxa"/>
            <w:tcBorders>
              <w:tl2br w:val="nil"/>
              <w:tr2bl w:val="nil"/>
            </w:tcBorders>
            <w:noWrap w:val="0"/>
            <w:vAlign w:val="center"/>
          </w:tcPr>
          <w:p w14:paraId="2696F57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4500</w:t>
            </w:r>
          </w:p>
        </w:tc>
        <w:tc>
          <w:tcPr>
            <w:tcW w:w="3302" w:type="dxa"/>
            <w:gridSpan w:val="2"/>
            <w:tcBorders>
              <w:tl2br w:val="nil"/>
              <w:tr2bl w:val="nil"/>
            </w:tcBorders>
            <w:noWrap w:val="0"/>
            <w:vAlign w:val="center"/>
          </w:tcPr>
          <w:p w14:paraId="33FB25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339" w:type="dxa"/>
            <w:tcBorders>
              <w:tl2br w:val="nil"/>
              <w:tr2bl w:val="nil"/>
            </w:tcBorders>
            <w:noWrap w:val="0"/>
            <w:vAlign w:val="center"/>
          </w:tcPr>
          <w:p w14:paraId="5E1926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4500</w:t>
            </w:r>
          </w:p>
        </w:tc>
        <w:tc>
          <w:tcPr>
            <w:tcW w:w="1664" w:type="dxa"/>
            <w:tcBorders>
              <w:tl2br w:val="nil"/>
              <w:tr2bl w:val="nil"/>
            </w:tcBorders>
            <w:noWrap w:val="0"/>
            <w:vAlign w:val="center"/>
          </w:tcPr>
          <w:p w14:paraId="4EA8185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16E3F664">
      <w:pPr>
        <w:pageBreakBefore w:val="0"/>
        <w:kinsoku/>
        <w:wordWrap/>
        <w:topLinePunct w:val="0"/>
        <w:bidi w:val="0"/>
        <w:adjustRightInd/>
        <w:snapToGrid/>
        <w:ind w:left="0" w:leftChars="0" w:firstLine="0" w:firstLineChars="0"/>
        <w:rPr>
          <w:rFonts w:hint="default" w:ascii="Times New Roman" w:hAnsi="Times New Roman" w:eastAsia="宋体" w:cs="Times New Roman"/>
          <w:b/>
          <w:bCs w:val="0"/>
          <w:color w:val="auto"/>
          <w:highlight w:val="none"/>
        </w:rPr>
      </w:pPr>
    </w:p>
    <w:p w14:paraId="14BDF728">
      <w:pPr>
        <w:pageBreakBefore w:val="0"/>
        <w:kinsoku/>
        <w:wordWrap/>
        <w:topLinePunct w:val="0"/>
        <w:bidi w:val="0"/>
        <w:adjustRightInd/>
        <w:snapToGrid/>
        <w:ind w:left="0" w:leftChars="0" w:firstLine="0" w:firstLineChars="0"/>
        <w:rPr>
          <w:rFonts w:hint="eastAsia"/>
          <w:color w:val="auto"/>
        </w:rPr>
      </w:pPr>
      <w:r>
        <w:rPr>
          <w:rFonts w:hint="default" w:ascii="Times New Roman" w:hAnsi="Times New Roman" w:eastAsia="宋体" w:cs="Times New Roman"/>
          <w:b/>
          <w:bCs w:val="0"/>
          <w:color w:val="auto"/>
          <w:highlight w:val="none"/>
        </w:rPr>
        <w:object>
          <v:shape id="_x0000_i1031" o:spt="75" type="#_x0000_t75" style="height:356.2pt;width:436.05pt;" o:ole="t" filled="f" o:preferrelative="t" stroked="f" coordsize="21600,21600">
            <v:path/>
            <v:fill on="f" focussize="0,0"/>
            <v:stroke on="f"/>
            <v:imagedata r:id="rId60" o:title=""/>
            <o:lock v:ext="edit" aspectratio="f"/>
            <w10:wrap type="none"/>
            <w10:anchorlock/>
          </v:shape>
          <o:OLEObject Type="Embed" ProgID="Visio.Drawing.15" ShapeID="_x0000_i1031" DrawAspect="Content" ObjectID="_1468075732" r:id="rId59">
            <o:LockedField>false</o:LockedField>
          </o:OLEObject>
        </w:object>
      </w:r>
    </w:p>
    <w:p w14:paraId="1770C89C">
      <w:pPr>
        <w:pageBreakBefore w:val="0"/>
        <w:kinsoku/>
        <w:wordWrap/>
        <w:topLinePunct w:val="0"/>
        <w:bidi w:val="0"/>
        <w:adjustRightInd/>
        <w:snapToGrid/>
        <w:ind w:left="0" w:leftChars="0" w:firstLine="0" w:firstLineChars="0"/>
        <w:jc w:val="center"/>
        <w:rPr>
          <w:rFonts w:hint="eastAsia" w:ascii="Times New Roman" w:hAnsi="Times New Roman"/>
          <w:color w:val="auto"/>
        </w:rPr>
      </w:pPr>
      <w:r>
        <w:rPr>
          <w:rFonts w:hint="default" w:ascii="Times New Roman" w:hAnsi="Times New Roman" w:eastAsia="宋体" w:cs="Times New Roman"/>
          <w:b/>
          <w:bCs/>
          <w:color w:val="auto"/>
          <w:lang w:val="en-US" w:eastAsia="zh-CN"/>
        </w:rPr>
        <w:t>图2.2-</w:t>
      </w:r>
      <w:r>
        <w:rPr>
          <w:rFonts w:hint="eastAsia" w:eastAsia="宋体" w:cs="Times New Roman"/>
          <w:b/>
          <w:bCs/>
          <w:color w:val="auto"/>
          <w:lang w:val="en-US" w:eastAsia="zh-CN"/>
        </w:rPr>
        <w:t>5</w:t>
      </w: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羊</w:t>
      </w:r>
      <w:r>
        <w:rPr>
          <w:rFonts w:hint="default" w:ascii="Times New Roman" w:hAnsi="Times New Roman" w:eastAsia="宋体" w:cs="Times New Roman"/>
          <w:b/>
          <w:bCs/>
          <w:color w:val="auto"/>
          <w:lang w:val="en-US" w:eastAsia="zh-CN"/>
        </w:rPr>
        <w:t>屠宰工艺物料平衡</w:t>
      </w:r>
      <w:r>
        <w:rPr>
          <w:rFonts w:hint="eastAsia" w:eastAsia="宋体" w:cs="Times New Roman"/>
          <w:b/>
          <w:bCs/>
          <w:color w:val="auto"/>
          <w:lang w:val="en-US" w:eastAsia="zh-CN"/>
        </w:rPr>
        <w:t>图</w:t>
      </w:r>
      <w:r>
        <w:rPr>
          <w:rFonts w:hint="eastAsia" w:ascii="Times New Roman" w:hAnsi="Times New Roman" w:eastAsia="宋体" w:cs="Times New Roman"/>
          <w:b/>
          <w:bCs/>
          <w:color w:val="auto"/>
          <w:lang w:val="en-US" w:eastAsia="zh-CN"/>
        </w:rPr>
        <w:t xml:space="preserve">   单位：t/a</w:t>
      </w:r>
    </w:p>
    <w:p w14:paraId="33F1D5D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2.2.</w:t>
      </w:r>
      <w:r>
        <w:rPr>
          <w:rFonts w:hint="eastAsia" w:eastAsia="黑体" w:cs="Times New Roman"/>
          <w:b/>
          <w:bCs w:val="0"/>
          <w:color w:val="auto"/>
          <w:sz w:val="28"/>
          <w:szCs w:val="28"/>
          <w:lang w:val="en-US" w:eastAsia="zh-CN"/>
        </w:rPr>
        <w:t>2</w:t>
      </w:r>
      <w:r>
        <w:rPr>
          <w:rFonts w:hint="eastAsia" w:ascii="Times New Roman" w:hAnsi="Times New Roman" w:eastAsia="黑体" w:cs="Times New Roman"/>
          <w:b/>
          <w:bCs w:val="0"/>
          <w:color w:val="auto"/>
          <w:sz w:val="28"/>
          <w:szCs w:val="28"/>
          <w:lang w:val="en-US" w:eastAsia="zh-CN"/>
        </w:rPr>
        <w:t>冷链物流流程</w:t>
      </w:r>
    </w:p>
    <w:p w14:paraId="13237FF5">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zh-CN" w:eastAsia="zh-CN"/>
        </w:rPr>
      </w:pPr>
      <w:r>
        <w:rPr>
          <w:rFonts w:hint="default" w:ascii="Times New Roman" w:hAnsi="Times New Roman" w:eastAsia="黑体" w:cs="Times New Roman"/>
          <w:b/>
          <w:bCs w:val="0"/>
          <w:color w:val="auto"/>
          <w:sz w:val="24"/>
          <w:szCs w:val="24"/>
          <w:lang w:val="en-US" w:eastAsia="zh-CN"/>
        </w:rPr>
        <w:t>2.2.</w:t>
      </w:r>
      <w:r>
        <w:rPr>
          <w:rFonts w:hint="eastAsia" w:ascii="Times New Roman" w:hAnsi="Times New Roman" w:eastAsia="黑体" w:cs="Times New Roman"/>
          <w:b/>
          <w:bCs w:val="0"/>
          <w:color w:val="auto"/>
          <w:sz w:val="24"/>
          <w:szCs w:val="24"/>
          <w:lang w:val="en-US" w:eastAsia="zh-CN"/>
        </w:rPr>
        <w:t>2</w:t>
      </w:r>
      <w:r>
        <w:rPr>
          <w:rFonts w:hint="default" w:ascii="Times New Roman" w:hAnsi="Times New Roman" w:eastAsia="黑体" w:cs="Times New Roman"/>
          <w:b/>
          <w:bCs w:val="0"/>
          <w:color w:val="auto"/>
          <w:sz w:val="24"/>
          <w:szCs w:val="24"/>
          <w:lang w:val="en-US" w:eastAsia="zh-CN"/>
        </w:rPr>
        <w:t>.1</w:t>
      </w:r>
      <w:r>
        <w:rPr>
          <w:rFonts w:hint="default" w:ascii="Times New Roman" w:hAnsi="Times New Roman" w:eastAsia="黑体" w:cs="Times New Roman"/>
          <w:b/>
          <w:bCs w:val="0"/>
          <w:color w:val="auto"/>
          <w:sz w:val="24"/>
          <w:szCs w:val="24"/>
          <w:lang w:val="zh-CN" w:eastAsia="zh-CN"/>
        </w:rPr>
        <w:t>冷链物流工艺简述</w:t>
      </w:r>
    </w:p>
    <w:p w14:paraId="68104D5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_GB2312" w:cs="Times New Roman"/>
          <w:color w:val="auto"/>
          <w:kern w:val="2"/>
          <w:sz w:val="24"/>
          <w:szCs w:val="24"/>
          <w:lang w:val="zh-CN" w:eastAsia="zh-CN" w:bidi="ar-SA"/>
        </w:rPr>
      </w:pPr>
      <w:r>
        <w:rPr>
          <w:rFonts w:hint="default" w:ascii="Times New Roman" w:hAnsi="Times New Roman" w:eastAsia="仿宋_GB2312" w:cs="Times New Roman"/>
          <w:color w:val="auto"/>
          <w:kern w:val="2"/>
          <w:sz w:val="24"/>
          <w:szCs w:val="24"/>
          <w:lang w:val="zh-CN" w:eastAsia="zh-CN" w:bidi="ar-SA"/>
        </w:rPr>
        <w:t>采用一定的技术手段，使新鲜的分割</w:t>
      </w:r>
      <w:r>
        <w:rPr>
          <w:rFonts w:hint="eastAsia" w:ascii="Times New Roman" w:hAnsi="Times New Roman" w:eastAsia="仿宋_GB2312" w:cs="Times New Roman"/>
          <w:color w:val="auto"/>
          <w:kern w:val="2"/>
          <w:sz w:val="24"/>
          <w:szCs w:val="24"/>
          <w:lang w:val="zh-CN" w:eastAsia="zh-CN" w:bidi="ar-SA"/>
        </w:rPr>
        <w:t>牛肉、分割</w:t>
      </w:r>
      <w:r>
        <w:rPr>
          <w:rFonts w:hint="default" w:ascii="Times New Roman" w:hAnsi="Times New Roman" w:eastAsia="仿宋_GB2312" w:cs="Times New Roman"/>
          <w:color w:val="auto"/>
          <w:kern w:val="2"/>
          <w:sz w:val="24"/>
          <w:szCs w:val="24"/>
          <w:lang w:val="zh-CN" w:eastAsia="zh-CN" w:bidi="ar-SA"/>
        </w:rPr>
        <w:t>羊肉及其他副产品</w:t>
      </w:r>
      <w:r>
        <w:rPr>
          <w:rFonts w:hint="eastAsia" w:ascii="Times New Roman" w:hAnsi="Times New Roman" w:eastAsia="仿宋_GB2312" w:cs="Times New Roman"/>
          <w:color w:val="auto"/>
          <w:kern w:val="2"/>
          <w:sz w:val="24"/>
          <w:szCs w:val="24"/>
          <w:lang w:val="zh-CN" w:eastAsia="zh-CN" w:bidi="ar-SA"/>
        </w:rPr>
        <w:t>进行</w:t>
      </w:r>
      <w:r>
        <w:rPr>
          <w:rFonts w:hint="default" w:ascii="Times New Roman" w:hAnsi="Times New Roman" w:eastAsia="仿宋_GB2312" w:cs="Times New Roman"/>
          <w:color w:val="auto"/>
          <w:kern w:val="2"/>
          <w:sz w:val="24"/>
          <w:szCs w:val="24"/>
          <w:lang w:val="zh-CN" w:eastAsia="zh-CN" w:bidi="ar-SA"/>
        </w:rPr>
        <w:t>商品化处理、储藏、运输及销售的整个过程中，持续处于适宜条件（如温度等）和严格的质量监控，以最大程度的保持产品质量、新鲜程度和食品安全。项目建设</w:t>
      </w:r>
      <w:r>
        <w:rPr>
          <w:rFonts w:hint="eastAsia" w:cs="Times New Roman"/>
          <w:color w:val="auto"/>
          <w:kern w:val="2"/>
          <w:sz w:val="24"/>
          <w:szCs w:val="24"/>
          <w:lang w:val="en-US" w:eastAsia="zh-CN" w:bidi="ar-SA"/>
        </w:rPr>
        <w:t>3</w:t>
      </w:r>
      <w:r>
        <w:rPr>
          <w:rFonts w:hint="default" w:ascii="Times New Roman" w:hAnsi="Times New Roman" w:eastAsia="仿宋_GB2312" w:cs="Times New Roman"/>
          <w:color w:val="auto"/>
          <w:kern w:val="2"/>
          <w:sz w:val="24"/>
          <w:szCs w:val="24"/>
          <w:lang w:val="zh-CN" w:eastAsia="zh-CN" w:bidi="ar-SA"/>
        </w:rPr>
        <w:t>座</w:t>
      </w:r>
      <w:r>
        <w:rPr>
          <w:rFonts w:hint="eastAsia" w:cs="Times New Roman"/>
          <w:color w:val="auto"/>
          <w:kern w:val="2"/>
          <w:sz w:val="24"/>
          <w:szCs w:val="24"/>
          <w:lang w:val="en-US" w:eastAsia="zh-CN" w:bidi="ar-SA"/>
        </w:rPr>
        <w:t>-35℃的</w:t>
      </w:r>
      <w:r>
        <w:rPr>
          <w:rFonts w:hint="default" w:ascii="Times New Roman" w:hAnsi="Times New Roman" w:eastAsia="仿宋_GB2312" w:cs="Times New Roman"/>
          <w:color w:val="auto"/>
          <w:kern w:val="2"/>
          <w:sz w:val="24"/>
          <w:szCs w:val="24"/>
          <w:lang w:val="zh-CN" w:eastAsia="zh-CN" w:bidi="ar-SA"/>
        </w:rPr>
        <w:t>低温</w:t>
      </w:r>
      <w:r>
        <w:rPr>
          <w:rFonts w:hint="eastAsia" w:cs="Times New Roman"/>
          <w:color w:val="auto"/>
          <w:kern w:val="2"/>
          <w:sz w:val="24"/>
          <w:szCs w:val="24"/>
          <w:lang w:val="en-US" w:eastAsia="zh-CN" w:bidi="ar-SA"/>
        </w:rPr>
        <w:t>速冻库</w:t>
      </w:r>
      <w:r>
        <w:rPr>
          <w:rFonts w:hint="default" w:ascii="Times New Roman" w:hAnsi="Times New Roman" w:eastAsia="仿宋_GB2312" w:cs="Times New Roman"/>
          <w:color w:val="auto"/>
          <w:kern w:val="2"/>
          <w:sz w:val="24"/>
          <w:szCs w:val="24"/>
          <w:lang w:val="zh-CN" w:eastAsia="zh-CN" w:bidi="ar-SA"/>
        </w:rPr>
        <w:t>。</w:t>
      </w:r>
    </w:p>
    <w:p w14:paraId="28F9C35C">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zh-CN" w:eastAsia="zh-CN"/>
        </w:rPr>
      </w:pPr>
      <w:r>
        <w:rPr>
          <w:rFonts w:hint="eastAsia" w:ascii="Times New Roman" w:hAnsi="Times New Roman" w:eastAsia="黑体" w:cs="Times New Roman"/>
          <w:b/>
          <w:bCs w:val="0"/>
          <w:color w:val="auto"/>
          <w:sz w:val="24"/>
          <w:szCs w:val="24"/>
          <w:lang w:val="en-US" w:eastAsia="zh-CN"/>
        </w:rPr>
        <w:t>2.2.2.2</w:t>
      </w:r>
      <w:r>
        <w:rPr>
          <w:rFonts w:hint="default" w:ascii="Times New Roman" w:hAnsi="Times New Roman" w:eastAsia="黑体" w:cs="Times New Roman"/>
          <w:b/>
          <w:bCs w:val="0"/>
          <w:color w:val="auto"/>
          <w:sz w:val="24"/>
          <w:szCs w:val="24"/>
          <w:lang w:val="zh-CN" w:eastAsia="zh-CN"/>
        </w:rPr>
        <w:t>工艺流程及产污环节分析</w:t>
      </w:r>
    </w:p>
    <w:p w14:paraId="50CD4A71">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ascii="Times New Roman" w:hAnsi="Times New Roman"/>
          <w:color w:val="auto"/>
        </w:rPr>
        <w:t>①产品接收阶段</w:t>
      </w:r>
    </w:p>
    <w:p w14:paraId="3CB7DE94">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ascii="Times New Roman" w:hAnsi="Times New Roman"/>
          <w:color w:val="auto"/>
        </w:rPr>
        <w:t>为了保证产品质量，根据企业生产加工及冷藏储存能力，进行有计划的冷藏储存。将包装好的分割牛肉及牛排及时转运至</w:t>
      </w:r>
      <w:r>
        <w:rPr>
          <w:rFonts w:hint="default" w:ascii="Times New Roman" w:hAnsi="Times New Roman" w:eastAsia="仿宋_GB2312" w:cs="Times New Roman"/>
          <w:color w:val="auto"/>
          <w:kern w:val="2"/>
          <w:sz w:val="24"/>
          <w:szCs w:val="24"/>
          <w:lang w:val="zh-CN" w:eastAsia="zh-CN" w:bidi="ar-SA"/>
        </w:rPr>
        <w:t>低温</w:t>
      </w:r>
      <w:r>
        <w:rPr>
          <w:rFonts w:hint="eastAsia" w:cs="Times New Roman"/>
          <w:color w:val="auto"/>
          <w:kern w:val="2"/>
          <w:sz w:val="24"/>
          <w:szCs w:val="24"/>
          <w:lang w:val="en-US" w:eastAsia="zh-CN" w:bidi="ar-SA"/>
        </w:rPr>
        <w:t>速冻库</w:t>
      </w:r>
      <w:r>
        <w:rPr>
          <w:rFonts w:hint="eastAsia" w:ascii="Times New Roman" w:hAnsi="Times New Roman"/>
          <w:color w:val="auto"/>
        </w:rPr>
        <w:t>。</w:t>
      </w:r>
    </w:p>
    <w:p w14:paraId="7DFBB74F">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ascii="Times New Roman" w:hAnsi="Times New Roman"/>
          <w:color w:val="auto"/>
        </w:rPr>
        <w:t>②入库记录、制冷阶段</w:t>
      </w:r>
    </w:p>
    <w:p w14:paraId="780C5639">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ascii="Times New Roman" w:hAnsi="Times New Roman"/>
          <w:color w:val="auto"/>
        </w:rPr>
        <w:t>对进入低温冷库暂存的产品进行记录，主要记录产品批次、入库时间等相关信息。</w:t>
      </w:r>
    </w:p>
    <w:p w14:paraId="7CF5E379">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ascii="Times New Roman" w:hAnsi="Times New Roman"/>
          <w:color w:val="auto"/>
        </w:rPr>
        <w:t>R507通过贮罐压入蒸发器，R507吸收热量，气化达到制冷的目的，气化后的R507通过螺杆压缩机组压缩，进入冷凝器液化，液化后的R507进入蒸发器，形成一个制冷系统的循环，为冷库制冷。</w:t>
      </w:r>
    </w:p>
    <w:p w14:paraId="5883BDF6">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ascii="Times New Roman" w:hAnsi="Times New Roman"/>
          <w:color w:val="auto"/>
        </w:rPr>
        <w:t>制冷系统主要由压缩机、冷凝器、储存器、油分离器、节流阀、分离器、蒸发器、中间冷却器、紧急泄漏器、集油器、各种阀门、压力表和高低压管道组成。其中，制冷系统中的压缩机、冷凝器、节流阀和蒸发器（冷库排管）是四个最基本部件。它们之间用管道依次连接，形成一个封闭的系统，制冷剂R507在系统中不断循环流动，发生状态变化，与外界进行热量交换，其工作过程是：R507在蒸发器中吸收被冷却物的热量之后，汽化成低压低温的气体，被压缩机吸入，压缩成高压高温的气体后排入冷凝器，在冷凝器中被冷却水降温放热冷凝为高压R507，经节流阀节流为低温低压的R507，再次进入蒸发器吸热气化，达到循环制冷的目的。这样，R507在系统中经过蒸发、压缩、冷凝、节流四个基本过程完成一个制冷循环，达到给冷库制冷的目的。</w:t>
      </w:r>
    </w:p>
    <w:p w14:paraId="36118B0C">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default" w:ascii="Times New Roman" w:hAnsi="Times New Roman" w:cs="Times New Roman"/>
          <w:color w:val="auto"/>
        </w:rPr>
        <w:t>③</w:t>
      </w:r>
      <w:r>
        <w:rPr>
          <w:rFonts w:hint="eastAsia" w:ascii="Times New Roman" w:hAnsi="Times New Roman"/>
          <w:color w:val="auto"/>
        </w:rPr>
        <w:t>储藏、包装、运输阶段</w:t>
      </w:r>
    </w:p>
    <w:p w14:paraId="7F498674">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color w:val="auto"/>
        </w:rPr>
      </w:pPr>
      <w:r>
        <w:rPr>
          <w:rFonts w:hint="eastAsia" w:ascii="Times New Roman" w:hAnsi="Times New Roman"/>
          <w:color w:val="auto"/>
        </w:rPr>
        <w:t>根据市场需求对产品进行恒温冷冻储存、包装和运输。厂外运输直接通过专用冷链物流车辆运输周转配送。</w:t>
      </w:r>
    </w:p>
    <w:p w14:paraId="5245A40B">
      <w:pPr>
        <w:pageBreakBefore w:val="0"/>
        <w:kinsoku/>
        <w:wordWrap/>
        <w:topLinePunct w:val="0"/>
        <w:bidi w:val="0"/>
        <w:adjustRightInd/>
        <w:snapToGrid/>
        <w:ind w:left="0" w:leftChars="0"/>
        <w:rPr>
          <w:rFonts w:hint="eastAsia" w:ascii="Times New Roman" w:hAnsi="Times New Roman"/>
          <w:color w:val="auto"/>
        </w:rPr>
      </w:pPr>
      <w:r>
        <w:rPr>
          <w:rFonts w:hint="eastAsia" w:ascii="Times New Roman" w:hAnsi="Times New Roman"/>
          <w:color w:val="auto"/>
        </w:rPr>
        <w:t>产污环节：</w:t>
      </w:r>
    </w:p>
    <w:p w14:paraId="4AB60577">
      <w:pPr>
        <w:pageBreakBefore w:val="0"/>
        <w:kinsoku/>
        <w:wordWrap/>
        <w:topLinePunct w:val="0"/>
        <w:bidi w:val="0"/>
        <w:adjustRightInd/>
        <w:snapToGrid/>
        <w:ind w:left="0" w:leftChars="0"/>
        <w:rPr>
          <w:rFonts w:hint="eastAsia" w:ascii="Times New Roman" w:hAnsi="Times New Roman"/>
          <w:color w:val="auto"/>
        </w:rPr>
      </w:pPr>
      <w:r>
        <w:rPr>
          <w:rFonts w:hint="eastAsia" w:ascii="Times New Roman" w:hAnsi="Times New Roman"/>
          <w:color w:val="auto"/>
        </w:rPr>
        <w:t>噪声：冷机房设备噪声</w:t>
      </w:r>
    </w:p>
    <w:p w14:paraId="3FA11555">
      <w:pPr>
        <w:pageBreakBefore w:val="0"/>
        <w:kinsoku/>
        <w:wordWrap/>
        <w:topLinePunct w:val="0"/>
        <w:bidi w:val="0"/>
        <w:adjustRightInd/>
        <w:snapToGrid/>
        <w:ind w:left="0" w:leftChars="0"/>
        <w:rPr>
          <w:rFonts w:hint="eastAsia" w:ascii="Times New Roman" w:hAnsi="Times New Roman"/>
          <w:color w:val="auto"/>
        </w:rPr>
      </w:pPr>
      <w:r>
        <w:rPr>
          <w:rFonts w:hint="eastAsia" w:ascii="Times New Roman" w:hAnsi="Times New Roman"/>
          <w:color w:val="auto"/>
        </w:rPr>
        <w:t>项目分割牛肉、</w:t>
      </w:r>
      <w:r>
        <w:rPr>
          <w:rFonts w:hint="eastAsia"/>
          <w:color w:val="auto"/>
          <w:lang w:val="en-US" w:eastAsia="zh-CN"/>
        </w:rPr>
        <w:t>分割羊肉</w:t>
      </w:r>
      <w:r>
        <w:rPr>
          <w:rFonts w:hint="eastAsia" w:ascii="Times New Roman" w:hAnsi="Times New Roman"/>
          <w:color w:val="auto"/>
        </w:rPr>
        <w:t>及其他副产品冷链物流流程及产污环节见图2.2-</w:t>
      </w:r>
      <w:r>
        <w:rPr>
          <w:rFonts w:hint="eastAsia"/>
          <w:color w:val="auto"/>
          <w:lang w:val="en-US" w:eastAsia="zh-CN"/>
        </w:rPr>
        <w:t>6</w:t>
      </w:r>
      <w:r>
        <w:rPr>
          <w:rFonts w:hint="eastAsia" w:ascii="Times New Roman" w:hAnsi="Times New Roman"/>
          <w:color w:val="auto"/>
        </w:rPr>
        <w:t>。</w:t>
      </w:r>
    </w:p>
    <w:p w14:paraId="3EF2F9D7">
      <w:pPr>
        <w:pageBreakBefore w:val="0"/>
        <w:kinsoku/>
        <w:wordWrap/>
        <w:topLinePunct w:val="0"/>
        <w:bidi w:val="0"/>
        <w:adjustRightInd/>
        <w:snapToGrid/>
        <w:ind w:left="0" w:leftChars="0" w:firstLine="0" w:firstLineChars="0"/>
        <w:jc w:val="center"/>
        <w:rPr>
          <w:rFonts w:hint="default" w:ascii="Times New Roman" w:hAnsi="Times New Roman" w:cs="Times New Roman"/>
          <w:b/>
          <w:bCs/>
          <w:snapToGrid w:val="0"/>
          <w:color w:val="auto"/>
          <w:kern w:val="0"/>
          <w:sz w:val="24"/>
          <w:highlight w:val="none"/>
        </w:rPr>
      </w:pPr>
      <w:r>
        <w:rPr>
          <w:rFonts w:hint="default" w:ascii="Times New Roman" w:hAnsi="Times New Roman" w:cs="Times New Roman"/>
          <w:b/>
          <w:bCs/>
          <w:snapToGrid w:val="0"/>
          <w:color w:val="auto"/>
          <w:kern w:val="0"/>
          <w:sz w:val="24"/>
          <w:highlight w:val="none"/>
        </w:rPr>
        <w:object>
          <v:shape id="_x0000_i1032" o:spt="75" type="#_x0000_t75" style="height:384.55pt;width:395.35pt;" o:ole="t" filled="f" o:preferrelative="t" stroked="f" coordsize="21600,21600">
            <v:path/>
            <v:fill on="f" focussize="0,0"/>
            <v:stroke on="f"/>
            <v:imagedata r:id="rId62" o:title=""/>
            <o:lock v:ext="edit" aspectratio="f"/>
            <w10:wrap type="none"/>
            <w10:anchorlock/>
          </v:shape>
          <o:OLEObject Type="Embed" ProgID="Visio.Drawing.11" ShapeID="_x0000_i1032" DrawAspect="Content" ObjectID="_1468075733" r:id="rId61">
            <o:LockedField>false</o:LockedField>
          </o:OLEObject>
        </w:object>
      </w:r>
    </w:p>
    <w:p w14:paraId="12BFDEFB">
      <w:pPr>
        <w:pageBreakBefore w:val="0"/>
        <w:kinsoku/>
        <w:wordWrap/>
        <w:topLinePunct w:val="0"/>
        <w:bidi w:val="0"/>
        <w:adjustRightInd/>
        <w:snapToGrid/>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snapToGrid w:val="0"/>
          <w:color w:val="auto"/>
          <w:kern w:val="0"/>
          <w:sz w:val="24"/>
          <w:highlight w:val="none"/>
        </w:rPr>
        <w:t>图2.</w:t>
      </w:r>
      <w:r>
        <w:rPr>
          <w:rFonts w:hint="default" w:ascii="Times New Roman" w:hAnsi="Times New Roman" w:eastAsia="宋体" w:cs="Times New Roman"/>
          <w:b/>
          <w:bCs/>
          <w:snapToGrid w:val="0"/>
          <w:color w:val="auto"/>
          <w:kern w:val="0"/>
          <w:sz w:val="24"/>
          <w:highlight w:val="none"/>
          <w:lang w:val="en-US" w:eastAsia="zh-CN"/>
        </w:rPr>
        <w:t>2</w:t>
      </w:r>
      <w:r>
        <w:rPr>
          <w:rFonts w:hint="default" w:ascii="Times New Roman" w:hAnsi="Times New Roman" w:eastAsia="宋体" w:cs="Times New Roman"/>
          <w:b/>
          <w:bCs/>
          <w:snapToGrid w:val="0"/>
          <w:color w:val="auto"/>
          <w:kern w:val="0"/>
          <w:sz w:val="24"/>
          <w:highlight w:val="none"/>
        </w:rPr>
        <w:t>-</w:t>
      </w:r>
      <w:r>
        <w:rPr>
          <w:rFonts w:hint="eastAsia" w:eastAsia="宋体" w:cs="Times New Roman"/>
          <w:b/>
          <w:bCs/>
          <w:snapToGrid w:val="0"/>
          <w:color w:val="auto"/>
          <w:kern w:val="0"/>
          <w:sz w:val="24"/>
          <w:highlight w:val="none"/>
          <w:lang w:val="en-US" w:eastAsia="zh-CN"/>
        </w:rPr>
        <w:t>6</w:t>
      </w:r>
      <w:r>
        <w:rPr>
          <w:rFonts w:hint="default" w:ascii="Times New Roman" w:hAnsi="Times New Roman" w:eastAsia="宋体" w:cs="Times New Roman"/>
          <w:b/>
          <w:bCs/>
          <w:snapToGrid w:val="0"/>
          <w:color w:val="auto"/>
          <w:kern w:val="0"/>
          <w:sz w:val="24"/>
          <w:highlight w:val="none"/>
        </w:rPr>
        <w:t xml:space="preserve">  </w:t>
      </w:r>
      <w:r>
        <w:rPr>
          <w:rFonts w:hint="default" w:ascii="Times New Roman" w:hAnsi="Times New Roman" w:eastAsia="宋体" w:cs="Times New Roman"/>
          <w:b/>
          <w:bCs/>
          <w:snapToGrid w:val="0"/>
          <w:color w:val="auto"/>
          <w:kern w:val="0"/>
          <w:sz w:val="24"/>
          <w:highlight w:val="none"/>
          <w:lang w:val="zh-CN"/>
        </w:rPr>
        <w:t>分割牛肉</w:t>
      </w:r>
      <w:r>
        <w:rPr>
          <w:rFonts w:hint="eastAsia" w:ascii="Times New Roman" w:hAnsi="Times New Roman" w:eastAsia="宋体" w:cs="Times New Roman"/>
          <w:b/>
          <w:bCs/>
          <w:snapToGrid w:val="0"/>
          <w:color w:val="auto"/>
          <w:kern w:val="0"/>
          <w:sz w:val="24"/>
          <w:highlight w:val="none"/>
          <w:lang w:val="zh-CN"/>
        </w:rPr>
        <w:t>、</w:t>
      </w:r>
      <w:r>
        <w:rPr>
          <w:rFonts w:hint="eastAsia" w:ascii="Times New Roman" w:hAnsi="Times New Roman" w:eastAsia="宋体" w:cs="Times New Roman"/>
          <w:b/>
          <w:bCs/>
          <w:snapToGrid w:val="0"/>
          <w:color w:val="auto"/>
          <w:kern w:val="0"/>
          <w:sz w:val="24"/>
          <w:highlight w:val="none"/>
          <w:lang w:val="en-US" w:eastAsia="zh-CN"/>
        </w:rPr>
        <w:t>分割羊肉</w:t>
      </w:r>
      <w:r>
        <w:rPr>
          <w:rFonts w:hint="default" w:ascii="Times New Roman" w:hAnsi="Times New Roman" w:eastAsia="宋体" w:cs="Times New Roman"/>
          <w:b/>
          <w:bCs/>
          <w:snapToGrid w:val="0"/>
          <w:color w:val="auto"/>
          <w:kern w:val="0"/>
          <w:sz w:val="24"/>
          <w:highlight w:val="none"/>
          <w:lang w:val="zh-CN"/>
        </w:rPr>
        <w:t>及其他副产品冷藏</w:t>
      </w:r>
      <w:r>
        <w:rPr>
          <w:rFonts w:hint="default" w:ascii="Times New Roman" w:hAnsi="Times New Roman" w:eastAsia="宋体" w:cs="Times New Roman"/>
          <w:b/>
          <w:color w:val="auto"/>
          <w:sz w:val="24"/>
          <w:highlight w:val="none"/>
        </w:rPr>
        <w:t>物流流程及产污环节图</w:t>
      </w:r>
    </w:p>
    <w:p w14:paraId="279F0BEE">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2"/>
        <w:rPr>
          <w:rFonts w:hint="default" w:ascii="Times New Roman" w:hAnsi="Times New Roman" w:eastAsia="黑体" w:cs="Times New Roman"/>
          <w:b/>
          <w:color w:val="auto"/>
          <w:sz w:val="28"/>
          <w:szCs w:val="28"/>
          <w:highlight w:val="none"/>
        </w:rPr>
      </w:pPr>
      <w:r>
        <w:rPr>
          <w:rFonts w:hint="default" w:ascii="Times New Roman" w:hAnsi="Times New Roman" w:eastAsia="黑体" w:cs="Times New Roman"/>
          <w:b/>
          <w:color w:val="auto"/>
          <w:sz w:val="28"/>
          <w:szCs w:val="28"/>
          <w:highlight w:val="none"/>
        </w:rPr>
        <w:t>2.</w:t>
      </w:r>
      <w:r>
        <w:rPr>
          <w:rFonts w:hint="default" w:ascii="Times New Roman" w:hAnsi="Times New Roman" w:eastAsia="黑体" w:cs="Times New Roman"/>
          <w:b/>
          <w:color w:val="auto"/>
          <w:sz w:val="28"/>
          <w:szCs w:val="28"/>
          <w:highlight w:val="none"/>
          <w:lang w:val="en-US" w:eastAsia="zh-CN"/>
        </w:rPr>
        <w:t>2</w:t>
      </w:r>
      <w:r>
        <w:rPr>
          <w:rFonts w:hint="default" w:ascii="Times New Roman" w:hAnsi="Times New Roman" w:eastAsia="黑体" w:cs="Times New Roman"/>
          <w:b/>
          <w:color w:val="auto"/>
          <w:sz w:val="28"/>
          <w:szCs w:val="28"/>
          <w:highlight w:val="none"/>
        </w:rPr>
        <w:t>.</w:t>
      </w:r>
      <w:r>
        <w:rPr>
          <w:rFonts w:hint="eastAsia" w:ascii="Times New Roman" w:hAnsi="Times New Roman" w:eastAsia="黑体" w:cs="Times New Roman"/>
          <w:b/>
          <w:color w:val="auto"/>
          <w:sz w:val="28"/>
          <w:szCs w:val="28"/>
          <w:highlight w:val="none"/>
          <w:lang w:val="en-US" w:eastAsia="zh-CN"/>
        </w:rPr>
        <w:t>3</w:t>
      </w:r>
      <w:r>
        <w:rPr>
          <w:rFonts w:hint="default" w:ascii="Times New Roman" w:hAnsi="Times New Roman" w:eastAsia="黑体" w:cs="Times New Roman"/>
          <w:b/>
          <w:color w:val="auto"/>
          <w:sz w:val="28"/>
          <w:szCs w:val="28"/>
          <w:highlight w:val="none"/>
        </w:rPr>
        <w:t>废水处理工艺</w:t>
      </w:r>
    </w:p>
    <w:p w14:paraId="50A2D72D">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2.2.</w:t>
      </w:r>
      <w:r>
        <w:rPr>
          <w:rFonts w:hint="eastAsia" w:ascii="Times New Roman" w:hAnsi="Times New Roman" w:eastAsia="黑体" w:cs="Times New Roman"/>
          <w:b/>
          <w:bCs w:val="0"/>
          <w:color w:val="auto"/>
          <w:sz w:val="24"/>
          <w:szCs w:val="24"/>
          <w:lang w:val="en-US" w:eastAsia="zh-CN"/>
        </w:rPr>
        <w:t>3</w:t>
      </w:r>
      <w:r>
        <w:rPr>
          <w:rFonts w:hint="default" w:ascii="Times New Roman" w:hAnsi="Times New Roman" w:eastAsia="黑体" w:cs="Times New Roman"/>
          <w:b/>
          <w:bCs w:val="0"/>
          <w:color w:val="auto"/>
          <w:sz w:val="24"/>
          <w:szCs w:val="24"/>
          <w:lang w:val="en-US" w:eastAsia="zh-CN"/>
        </w:rPr>
        <w:t>.1生产废水</w:t>
      </w:r>
    </w:p>
    <w:p w14:paraId="0C57DED1">
      <w:pPr>
        <w:pageBreakBefore w:val="0"/>
        <w:kinsoku/>
        <w:wordWrap/>
        <w:topLinePunct w:val="0"/>
        <w:bidi w:val="0"/>
        <w:adjustRightInd/>
        <w:snapToGrid/>
        <w:ind w:left="0" w:leftChars="0"/>
        <w:rPr>
          <w:rFonts w:hint="eastAsia"/>
          <w:color w:val="auto"/>
        </w:rPr>
      </w:pPr>
      <w:r>
        <w:rPr>
          <w:rFonts w:hint="eastAsia"/>
          <w:color w:val="auto"/>
          <w:lang w:val="en-US" w:eastAsia="zh-CN"/>
        </w:rPr>
        <w:t>本项目生产废水主要为屠宰牛废水、屠宰羊废水及车辆冲洗废水，总产生量为</w:t>
      </w:r>
      <w:r>
        <w:rPr>
          <w:rFonts w:hint="eastAsia" w:cs="Times New Roman"/>
          <w:color w:val="auto"/>
          <w:sz w:val="24"/>
          <w:highlight w:val="none"/>
          <w:lang w:val="en-US" w:eastAsia="zh-CN"/>
        </w:rPr>
        <w:t>18407.88</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color w:val="auto"/>
        </w:rPr>
        <w:t>主要污染物为COD、BOD</w:t>
      </w:r>
      <w:r>
        <w:rPr>
          <w:rFonts w:hint="eastAsia"/>
          <w:color w:val="auto"/>
          <w:vertAlign w:val="subscript"/>
        </w:rPr>
        <w:t>5</w:t>
      </w:r>
      <w:r>
        <w:rPr>
          <w:rFonts w:hint="eastAsia"/>
          <w:color w:val="auto"/>
        </w:rPr>
        <w:t>、SS、氨氮、</w:t>
      </w:r>
      <w:r>
        <w:rPr>
          <w:rFonts w:hint="eastAsia"/>
          <w:color w:val="auto"/>
          <w:lang w:val="en-US" w:eastAsia="zh-CN"/>
        </w:rPr>
        <w:t>动植物油、总磷、总氮等</w:t>
      </w:r>
      <w:r>
        <w:rPr>
          <w:rFonts w:hint="eastAsia"/>
          <w:color w:val="auto"/>
        </w:rPr>
        <w:t>。</w:t>
      </w:r>
    </w:p>
    <w:p w14:paraId="03BE4F20">
      <w:pPr>
        <w:pageBreakBefore w:val="0"/>
        <w:kinsoku/>
        <w:wordWrap/>
        <w:topLinePunct w:val="0"/>
        <w:bidi w:val="0"/>
        <w:adjustRightInd/>
        <w:snapToGrid/>
        <w:ind w:left="0" w:leftChars="0"/>
        <w:rPr>
          <w:rFonts w:hint="eastAsia"/>
          <w:color w:val="auto"/>
          <w:lang w:eastAsia="zh-CN"/>
        </w:rPr>
      </w:pPr>
      <w:r>
        <w:rPr>
          <w:rFonts w:hint="eastAsia"/>
          <w:color w:val="auto"/>
        </w:rPr>
        <w:t>项目产生的生产废水均排入厂区污水处理站处理</w:t>
      </w:r>
      <w:r>
        <w:rPr>
          <w:rFonts w:hint="eastAsia"/>
          <w:color w:val="auto"/>
          <w:lang w:eastAsia="zh-CN"/>
        </w:rPr>
        <w:t>。污水处理站采用“格栅+调节池+隔油池+气浮+水解酸化+缺氧+生物接触氧化+二沉+消毒池（次氯酸钠消毒）”工艺，符合《屠宰与肉类加工废水治理工程技术规范》（HJ2004-2010）要求。</w:t>
      </w:r>
    </w:p>
    <w:p w14:paraId="57985C30">
      <w:pPr>
        <w:pageBreakBefore w:val="0"/>
        <w:kinsoku/>
        <w:wordWrap/>
        <w:topLinePunct w:val="0"/>
        <w:bidi w:val="0"/>
        <w:adjustRightInd/>
        <w:snapToGrid/>
        <w:ind w:left="0" w:leftChars="0"/>
        <w:rPr>
          <w:rFonts w:hint="eastAsia"/>
          <w:color w:val="auto"/>
        </w:rPr>
      </w:pPr>
      <w:r>
        <w:rPr>
          <w:rFonts w:hint="eastAsia"/>
          <w:color w:val="auto"/>
          <w:lang w:val="en-US" w:eastAsia="zh-CN"/>
        </w:rPr>
        <w:t>经</w:t>
      </w:r>
      <w:r>
        <w:rPr>
          <w:rFonts w:hint="eastAsia"/>
          <w:color w:val="auto"/>
        </w:rPr>
        <w:t>厂区污水处理站</w:t>
      </w:r>
      <w:r>
        <w:rPr>
          <w:rFonts w:hint="eastAsia"/>
          <w:color w:val="auto"/>
          <w:lang w:val="en-US" w:eastAsia="zh-CN"/>
        </w:rPr>
        <w:t>处理后的废水达到《屠宰及肉类加工工业水污染物排放标准》（GB13457-2025）</w:t>
      </w:r>
      <w:r>
        <w:rPr>
          <w:rFonts w:hint="eastAsia" w:ascii="Times New Roman" w:hAnsi="Times New Roman"/>
          <w:color w:val="auto"/>
          <w:lang w:val="en-US" w:eastAsia="zh-CN"/>
        </w:rPr>
        <w:t>表</w:t>
      </w:r>
      <w:r>
        <w:rPr>
          <w:rFonts w:hint="eastAsia"/>
          <w:color w:val="auto"/>
          <w:lang w:val="en-US" w:eastAsia="zh-CN"/>
        </w:rPr>
        <w:t>1间接排放</w:t>
      </w:r>
      <w:r>
        <w:rPr>
          <w:rFonts w:hint="eastAsia" w:ascii="Times New Roman" w:hAnsi="Times New Roman"/>
          <w:color w:val="auto"/>
          <w:lang w:val="en-US" w:eastAsia="zh-CN"/>
        </w:rPr>
        <w:t>标准</w:t>
      </w:r>
      <w:r>
        <w:rPr>
          <w:rFonts w:hint="eastAsia"/>
          <w:color w:val="auto"/>
          <w:lang w:val="en-US" w:eastAsia="zh-CN"/>
        </w:rPr>
        <w:t>、</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eastAsia"/>
          <w:color w:val="auto"/>
          <w:lang w:val="en-US" w:eastAsia="zh-CN"/>
        </w:rPr>
        <w:t>后排至城区污水处理厂进一步处理。</w:t>
      </w:r>
      <w:r>
        <w:rPr>
          <w:rFonts w:hint="eastAsia"/>
          <w:color w:val="auto"/>
        </w:rPr>
        <w:t>污水处理站产生的污泥</w:t>
      </w:r>
      <w:r>
        <w:rPr>
          <w:rFonts w:hint="eastAsia"/>
          <w:color w:val="auto"/>
          <w:lang w:val="en-US" w:eastAsia="zh-CN"/>
        </w:rPr>
        <w:t>脱水</w:t>
      </w:r>
      <w:r>
        <w:rPr>
          <w:rFonts w:hint="eastAsia"/>
          <w:color w:val="auto"/>
        </w:rPr>
        <w:t>后拉运至固原富田有机肥有限公司生产</w:t>
      </w:r>
      <w:r>
        <w:rPr>
          <w:rFonts w:hint="eastAsia"/>
          <w:color w:val="auto"/>
          <w:lang w:val="en-US" w:eastAsia="zh-CN"/>
        </w:rPr>
        <w:t>肥料</w:t>
      </w:r>
      <w:r>
        <w:rPr>
          <w:rFonts w:hint="eastAsia"/>
          <w:color w:val="auto"/>
        </w:rPr>
        <w:t>。污水处理工艺如图2.2-</w:t>
      </w:r>
      <w:r>
        <w:rPr>
          <w:rFonts w:hint="eastAsia"/>
          <w:color w:val="auto"/>
          <w:lang w:val="en-US" w:eastAsia="zh-CN"/>
        </w:rPr>
        <w:t>7</w:t>
      </w:r>
      <w:r>
        <w:rPr>
          <w:rFonts w:hint="eastAsia"/>
          <w:color w:val="auto"/>
        </w:rPr>
        <w:t>。</w:t>
      </w:r>
    </w:p>
    <w:p w14:paraId="043E8258">
      <w:pPr>
        <w:pageBreakBefore w:val="0"/>
        <w:kinsoku/>
        <w:wordWrap/>
        <w:topLinePunct w:val="0"/>
        <w:bidi w:val="0"/>
        <w:adjustRightInd/>
        <w:snapToGrid/>
        <w:ind w:left="0" w:leftChars="0" w:firstLine="0" w:firstLineChars="0"/>
        <w:jc w:val="center"/>
        <w:rPr>
          <w:rFonts w:ascii="Times New Roman" w:hAnsi="Times New Roman"/>
          <w:color w:val="auto"/>
        </w:rPr>
      </w:pPr>
      <w:r>
        <w:rPr>
          <w:rFonts w:ascii="Times New Roman" w:hAnsi="Times New Roman"/>
          <w:color w:val="auto"/>
        </w:rPr>
        <w:object>
          <v:shape id="_x0000_i1033" o:spt="75" type="#_x0000_t75" style="height:489.05pt;width:430.75pt;" o:ole="t" filled="f" o:preferrelative="t" stroked="t" coordsize="21600,21600">
            <v:path/>
            <v:fill on="f" focussize="0,0"/>
            <v:stroke color="#000000" joinstyle="miter"/>
            <v:imagedata r:id="rId64" o:title=""/>
            <o:lock v:ext="edit" aspectratio="f"/>
            <w10:wrap type="none"/>
            <w10:anchorlock/>
          </v:shape>
          <o:OLEObject Type="Embed" ProgID="Visio.Drawing.11" ShapeID="_x0000_i1033" DrawAspect="Content" ObjectID="_1468075734" r:id="rId63">
            <o:LockedField>false</o:LockedField>
          </o:OLEObject>
        </w:object>
      </w:r>
    </w:p>
    <w:p w14:paraId="6A36AEE1">
      <w:pPr>
        <w:pageBreakBefore w:val="0"/>
        <w:kinsoku/>
        <w:wordWrap/>
        <w:topLinePunct w:val="0"/>
        <w:bidi w:val="0"/>
        <w:adjustRightInd/>
        <w:snapToGrid/>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val="0"/>
          <w:color w:val="auto"/>
          <w:sz w:val="24"/>
          <w:szCs w:val="24"/>
          <w:highlight w:val="none"/>
        </w:rPr>
        <w:t>图2.</w:t>
      </w: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w:t>
      </w:r>
      <w:r>
        <w:rPr>
          <w:rFonts w:hint="eastAsia" w:eastAsia="宋体" w:cs="Times New Roman"/>
          <w:b/>
          <w:bCs w:val="0"/>
          <w:color w:val="auto"/>
          <w:sz w:val="24"/>
          <w:szCs w:val="24"/>
          <w:highlight w:val="none"/>
          <w:lang w:val="en-US" w:eastAsia="zh-CN"/>
        </w:rPr>
        <w:t>7</w:t>
      </w:r>
      <w:r>
        <w:rPr>
          <w:rFonts w:hint="default" w:ascii="Times New Roman" w:hAnsi="Times New Roman" w:eastAsia="宋体" w:cs="Times New Roman"/>
          <w:bCs/>
          <w:color w:val="auto"/>
          <w:sz w:val="24"/>
          <w:szCs w:val="24"/>
          <w:highlight w:val="none"/>
        </w:rPr>
        <w:t xml:space="preserve">   </w:t>
      </w:r>
      <w:r>
        <w:rPr>
          <w:rFonts w:hint="default" w:ascii="Times New Roman" w:hAnsi="Times New Roman" w:eastAsia="宋体" w:cs="Times New Roman"/>
          <w:b/>
          <w:color w:val="auto"/>
          <w:sz w:val="24"/>
          <w:szCs w:val="24"/>
          <w:highlight w:val="none"/>
        </w:rPr>
        <w:t>本项目污水处理站工艺图</w:t>
      </w:r>
    </w:p>
    <w:p w14:paraId="49EDC4D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2.2.3.2生活污水</w:t>
      </w:r>
    </w:p>
    <w:p w14:paraId="5DCBF12A">
      <w:pPr>
        <w:pageBreakBefore w:val="0"/>
        <w:kinsoku/>
        <w:wordWrap/>
        <w:topLinePunct w:val="0"/>
        <w:bidi w:val="0"/>
        <w:adjustRightInd/>
        <w:snapToGrid/>
        <w:ind w:left="0" w:leftChars="0"/>
        <w:rPr>
          <w:rFonts w:hint="eastAsia" w:eastAsia="仿宋_GB2312"/>
          <w:color w:val="auto"/>
          <w:lang w:val="en-US" w:eastAsia="zh-CN"/>
        </w:rPr>
      </w:pPr>
      <w:r>
        <w:rPr>
          <w:rFonts w:hint="eastAsia"/>
          <w:color w:val="auto"/>
          <w:lang w:val="en-US" w:eastAsia="zh-CN"/>
        </w:rPr>
        <w:t>本项目生活污水产生量为520m</w:t>
      </w:r>
      <w:r>
        <w:rPr>
          <w:rFonts w:hint="eastAsia"/>
          <w:color w:val="auto"/>
          <w:vertAlign w:val="superscript"/>
          <w:lang w:val="en-US" w:eastAsia="zh-CN"/>
        </w:rPr>
        <w:t>3</w:t>
      </w:r>
      <w:r>
        <w:rPr>
          <w:rFonts w:hint="eastAsia"/>
          <w:color w:val="auto"/>
          <w:lang w:val="en-US" w:eastAsia="zh-CN"/>
        </w:rPr>
        <w:t>/a，</w:t>
      </w:r>
      <w:r>
        <w:rPr>
          <w:rFonts w:hint="default" w:ascii="Times New Roman" w:hAnsi="Times New Roman" w:eastAsia="仿宋_GB2312" w:cs="Times New Roman"/>
          <w:bCs/>
          <w:color w:val="auto"/>
          <w:sz w:val="24"/>
          <w:szCs w:val="24"/>
          <w:highlight w:val="none"/>
        </w:rPr>
        <w:t>主要污染物为COD、BOD</w:t>
      </w:r>
      <w:r>
        <w:rPr>
          <w:rFonts w:hint="default" w:ascii="Times New Roman" w:hAnsi="Times New Roman" w:eastAsia="仿宋_GB2312" w:cs="Times New Roman"/>
          <w:bCs/>
          <w:color w:val="auto"/>
          <w:sz w:val="24"/>
          <w:szCs w:val="24"/>
          <w:highlight w:val="none"/>
          <w:vertAlign w:val="subscript"/>
        </w:rPr>
        <w:t>5</w:t>
      </w:r>
      <w:r>
        <w:rPr>
          <w:rFonts w:hint="default" w:ascii="Times New Roman" w:hAnsi="Times New Roman" w:eastAsia="仿宋_GB2312" w:cs="Times New Roman"/>
          <w:bCs/>
          <w:color w:val="auto"/>
          <w:sz w:val="24"/>
          <w:szCs w:val="24"/>
          <w:highlight w:val="none"/>
        </w:rPr>
        <w:t>、SS、氨氮。</w:t>
      </w:r>
      <w:r>
        <w:rPr>
          <w:rFonts w:hint="default" w:ascii="Times New Roman" w:hAnsi="Times New Roman" w:eastAsia="仿宋_GB2312" w:cs="Times New Roman"/>
          <w:color w:val="auto"/>
          <w:sz w:val="24"/>
          <w:highlight w:val="none"/>
        </w:rPr>
        <w:t>生活污水经化粪池</w:t>
      </w:r>
      <w:r>
        <w:rPr>
          <w:rFonts w:hint="eastAsia" w:ascii="Times New Roman" w:hAnsi="Times New Roman" w:cs="Times New Roman"/>
          <w:color w:val="auto"/>
          <w:sz w:val="24"/>
          <w:highlight w:val="none"/>
          <w:lang w:val="en-US" w:eastAsia="zh-CN"/>
        </w:rPr>
        <w:t>收集</w:t>
      </w:r>
      <w:r>
        <w:rPr>
          <w:rFonts w:hint="default" w:ascii="Times New Roman" w:hAnsi="Times New Roman" w:eastAsia="仿宋_GB2312" w:cs="Times New Roman"/>
          <w:color w:val="auto"/>
          <w:sz w:val="24"/>
          <w:highlight w:val="none"/>
        </w:rPr>
        <w:t>后</w:t>
      </w:r>
      <w:r>
        <w:rPr>
          <w:rFonts w:hint="eastAsia" w:ascii="Times New Roman" w:hAnsi="Times New Roman" w:cs="Times New Roman"/>
          <w:color w:val="auto"/>
          <w:sz w:val="24"/>
          <w:highlight w:val="none"/>
          <w:lang w:val="en-US" w:eastAsia="zh-CN"/>
        </w:rPr>
        <w:t>达到《污水综合排放标准》（GB8978-1996）三级排放标准及城区污水处理厂接管标准《污水排入城镇下水道水质标准》（GB/T31962-2015）A级排放标准后排至城区污水处理厂进一步处理。</w:t>
      </w:r>
      <w:r>
        <w:rPr>
          <w:rFonts w:hint="eastAsia" w:cs="Times New Roman"/>
          <w:color w:val="auto"/>
          <w:sz w:val="24"/>
          <w:highlight w:val="none"/>
          <w:lang w:eastAsia="zh-CN"/>
        </w:rPr>
        <w:t>项目废水去向符合《宁夏固原经济开发区“一区三园”总体规划修编（2022-2035年）》相关要求。</w:t>
      </w:r>
    </w:p>
    <w:p w14:paraId="66C3FD6A">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2.2.</w:t>
      </w:r>
      <w:r>
        <w:rPr>
          <w:rFonts w:hint="eastAsia" w:eastAsia="黑体" w:cs="Times New Roman"/>
          <w:b/>
          <w:bCs w:val="0"/>
          <w:color w:val="auto"/>
          <w:sz w:val="28"/>
          <w:szCs w:val="28"/>
          <w:lang w:val="en-US" w:eastAsia="zh-CN"/>
        </w:rPr>
        <w:t>4</w:t>
      </w:r>
      <w:r>
        <w:rPr>
          <w:rFonts w:hint="default" w:ascii="Times New Roman" w:hAnsi="Times New Roman" w:eastAsia="黑体" w:cs="Times New Roman"/>
          <w:b/>
          <w:bCs w:val="0"/>
          <w:color w:val="auto"/>
          <w:sz w:val="28"/>
          <w:szCs w:val="28"/>
          <w:lang w:val="en-US" w:eastAsia="zh-CN"/>
        </w:rPr>
        <w:t>污染物排放</w:t>
      </w:r>
    </w:p>
    <w:p w14:paraId="68224227">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2.2.</w:t>
      </w:r>
      <w:r>
        <w:rPr>
          <w:rFonts w:hint="eastAsia" w:ascii="Times New Roman" w:hAnsi="Times New Roman" w:eastAsia="黑体" w:cs="Times New Roman"/>
          <w:b/>
          <w:bCs w:val="0"/>
          <w:color w:val="auto"/>
          <w:sz w:val="24"/>
          <w:szCs w:val="24"/>
          <w:lang w:val="en-US" w:eastAsia="zh-CN"/>
        </w:rPr>
        <w:t>4</w:t>
      </w:r>
      <w:r>
        <w:rPr>
          <w:rFonts w:hint="default" w:ascii="Times New Roman" w:hAnsi="Times New Roman" w:eastAsia="黑体" w:cs="Times New Roman"/>
          <w:b/>
          <w:bCs w:val="0"/>
          <w:color w:val="auto"/>
          <w:sz w:val="24"/>
          <w:szCs w:val="24"/>
          <w:lang w:val="en-US" w:eastAsia="zh-CN"/>
        </w:rPr>
        <w:t>.1废气</w:t>
      </w:r>
    </w:p>
    <w:p w14:paraId="42914CA5">
      <w:pPr>
        <w:pageBreakBefore w:val="0"/>
        <w:kinsoku/>
        <w:wordWrap/>
        <w:topLinePunct w:val="0"/>
        <w:bidi w:val="0"/>
        <w:adjustRightInd/>
        <w:snapToGrid/>
        <w:ind w:left="0" w:leftChars="0"/>
        <w:rPr>
          <w:rFonts w:hint="eastAsia"/>
          <w:color w:val="auto"/>
        </w:rPr>
      </w:pPr>
      <w:r>
        <w:rPr>
          <w:rFonts w:hint="eastAsia"/>
          <w:color w:val="auto"/>
          <w:lang w:val="en-US" w:eastAsia="zh-CN"/>
        </w:rPr>
        <w:t>本项目废气主要为待宰圈及污水处理站</w:t>
      </w:r>
      <w:r>
        <w:rPr>
          <w:rFonts w:hint="default"/>
          <w:color w:val="auto"/>
          <w:lang w:val="en-US" w:eastAsia="zh-CN"/>
        </w:rPr>
        <w:t>产生的恶臭气体</w:t>
      </w:r>
      <w:r>
        <w:rPr>
          <w:rFonts w:hint="eastAsia"/>
          <w:color w:val="auto"/>
          <w:lang w:val="en-US" w:eastAsia="zh-CN"/>
        </w:rPr>
        <w:t>。</w:t>
      </w:r>
    </w:p>
    <w:p w14:paraId="76514914">
      <w:pPr>
        <w:pageBreakBefore w:val="0"/>
        <w:kinsoku/>
        <w:wordWrap/>
        <w:topLinePunct w:val="0"/>
        <w:bidi w:val="0"/>
        <w:adjustRightInd/>
        <w:snapToGrid/>
        <w:ind w:left="0" w:leftChars="0"/>
        <w:rPr>
          <w:rFonts w:hint="eastAsia"/>
          <w:color w:val="auto"/>
          <w:lang w:eastAsia="zh-CN"/>
        </w:rPr>
      </w:pPr>
      <w:bookmarkStart w:id="295" w:name="_Toc28595"/>
      <w:bookmarkStart w:id="296" w:name="_Toc23133"/>
      <w:bookmarkStart w:id="297" w:name="_Toc1465"/>
      <w:r>
        <w:rPr>
          <w:rFonts w:hint="eastAsia"/>
          <w:color w:val="auto"/>
          <w:lang w:val="en-US" w:eastAsia="zh-CN"/>
        </w:rPr>
        <w:t>（1）待宰圈恶臭</w:t>
      </w:r>
      <w:bookmarkEnd w:id="295"/>
      <w:bookmarkEnd w:id="296"/>
      <w:bookmarkEnd w:id="297"/>
    </w:p>
    <w:p w14:paraId="3765F73D">
      <w:pPr>
        <w:pageBreakBefore w:val="0"/>
        <w:kinsoku/>
        <w:wordWrap/>
        <w:topLinePunct w:val="0"/>
        <w:bidi w:val="0"/>
        <w:adjustRightInd/>
        <w:snapToGrid/>
        <w:ind w:left="0" w:leftChars="0"/>
        <w:rPr>
          <w:rFonts w:hint="default" w:eastAsia="仿宋_GB2312"/>
          <w:color w:val="auto"/>
          <w:lang w:val="en-US" w:eastAsia="zh-CN"/>
        </w:rPr>
      </w:pPr>
      <w:r>
        <w:rPr>
          <w:rFonts w:hint="default" w:eastAsia="仿宋_GB2312"/>
          <w:color w:val="auto"/>
          <w:lang w:val="en-US" w:eastAsia="zh-CN"/>
        </w:rPr>
        <w:t>本项目待宰圈恶臭主要来自牛、羊产生的粪便等，牛羊进厂后停止进食，在待宰圈停留24h。本次评价恶臭气体排放浓度根据《臭气强度分级表》以及《环评中屠宰项目污染源强的确定》（李易，辽宁省环境科学研究院，沈阳110031）来确定。臭气强度分级见表</w:t>
      </w:r>
      <w:r>
        <w:rPr>
          <w:rFonts w:hint="eastAsia"/>
          <w:color w:val="auto"/>
          <w:lang w:val="en-US" w:eastAsia="zh-CN"/>
        </w:rPr>
        <w:t>2.2-4</w:t>
      </w:r>
      <w:r>
        <w:rPr>
          <w:rFonts w:hint="default" w:eastAsia="仿宋_GB2312"/>
          <w:color w:val="auto"/>
          <w:lang w:val="en-US" w:eastAsia="zh-CN"/>
        </w:rPr>
        <w:t>，恶臭污染物浓度与恶臭强度的关系见表</w:t>
      </w:r>
      <w:r>
        <w:rPr>
          <w:rFonts w:hint="eastAsia"/>
          <w:color w:val="auto"/>
          <w:lang w:val="en-US" w:eastAsia="zh-CN"/>
        </w:rPr>
        <w:t>2.2-5</w:t>
      </w:r>
      <w:r>
        <w:rPr>
          <w:rFonts w:hint="default" w:eastAsia="仿宋_GB2312"/>
          <w:color w:val="auto"/>
          <w:lang w:val="en-US" w:eastAsia="zh-CN"/>
        </w:rPr>
        <w:t>。</w:t>
      </w:r>
    </w:p>
    <w:p w14:paraId="7A5738EF">
      <w:pPr>
        <w:pageBreakBefore w:val="0"/>
        <w:kinsoku/>
        <w:wordWrap/>
        <w:topLinePunct w:val="0"/>
        <w:bidi w:val="0"/>
        <w:adjustRightInd/>
        <w:snapToGrid/>
        <w:spacing w:line="240" w:lineRule="auto"/>
        <w:ind w:left="0" w:left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sz w:val="21"/>
          <w:szCs w:val="21"/>
          <w:lang w:val="en-US" w:eastAsia="zh-CN"/>
        </w:rPr>
        <w:t>表2.2-4</w:t>
      </w: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 xml:space="preserve">    恶臭强度分级表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474"/>
      </w:tblGrid>
      <w:tr w14:paraId="25F87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tcBorders>
              <w:tl2br w:val="nil"/>
              <w:tr2bl w:val="nil"/>
            </w:tcBorders>
            <w:vAlign w:val="top"/>
          </w:tcPr>
          <w:p w14:paraId="76775A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强度</w:t>
            </w:r>
          </w:p>
        </w:tc>
        <w:tc>
          <w:tcPr>
            <w:tcW w:w="4474" w:type="dxa"/>
            <w:tcBorders>
              <w:tl2br w:val="nil"/>
              <w:tr2bl w:val="nil"/>
            </w:tcBorders>
            <w:vAlign w:val="top"/>
          </w:tcPr>
          <w:p w14:paraId="5CB310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指标</w:t>
            </w:r>
          </w:p>
        </w:tc>
      </w:tr>
      <w:tr w14:paraId="166E8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tcBorders>
              <w:tl2br w:val="nil"/>
              <w:tr2bl w:val="nil"/>
            </w:tcBorders>
            <w:vAlign w:val="top"/>
          </w:tcPr>
          <w:p w14:paraId="583BCA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w:t>
            </w:r>
          </w:p>
        </w:tc>
        <w:tc>
          <w:tcPr>
            <w:tcW w:w="4474" w:type="dxa"/>
            <w:tcBorders>
              <w:tl2br w:val="nil"/>
              <w:tr2bl w:val="nil"/>
            </w:tcBorders>
            <w:vAlign w:val="top"/>
          </w:tcPr>
          <w:p w14:paraId="1FE050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无味</w:t>
            </w:r>
          </w:p>
        </w:tc>
      </w:tr>
      <w:tr w14:paraId="1776A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tcBorders>
              <w:tl2br w:val="nil"/>
              <w:tr2bl w:val="nil"/>
            </w:tcBorders>
            <w:vAlign w:val="top"/>
          </w:tcPr>
          <w:p w14:paraId="422A45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4474" w:type="dxa"/>
            <w:tcBorders>
              <w:tl2br w:val="nil"/>
              <w:tr2bl w:val="nil"/>
            </w:tcBorders>
            <w:vAlign w:val="top"/>
          </w:tcPr>
          <w:p w14:paraId="7DC07A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勉强能感觉到气味</w:t>
            </w:r>
          </w:p>
        </w:tc>
      </w:tr>
      <w:tr w14:paraId="3DDE2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74" w:type="dxa"/>
            <w:tcBorders>
              <w:tl2br w:val="nil"/>
              <w:tr2bl w:val="nil"/>
            </w:tcBorders>
            <w:vAlign w:val="top"/>
          </w:tcPr>
          <w:p w14:paraId="05FF87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4474" w:type="dxa"/>
            <w:tcBorders>
              <w:tl2br w:val="nil"/>
              <w:tr2bl w:val="nil"/>
            </w:tcBorders>
            <w:vAlign w:val="top"/>
          </w:tcPr>
          <w:p w14:paraId="37A7AC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气味很弱但能分辨其性质</w:t>
            </w:r>
          </w:p>
        </w:tc>
      </w:tr>
      <w:tr w14:paraId="15ACA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tcBorders>
              <w:tl2br w:val="nil"/>
              <w:tr2bl w:val="nil"/>
            </w:tcBorders>
            <w:vAlign w:val="top"/>
          </w:tcPr>
          <w:p w14:paraId="7FA2BA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4474" w:type="dxa"/>
            <w:tcBorders>
              <w:tl2br w:val="nil"/>
              <w:tr2bl w:val="nil"/>
            </w:tcBorders>
            <w:vAlign w:val="top"/>
          </w:tcPr>
          <w:p w14:paraId="7F1F08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很容易感觉到气味</w:t>
            </w:r>
          </w:p>
        </w:tc>
      </w:tr>
      <w:tr w14:paraId="67290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tcBorders>
              <w:tl2br w:val="nil"/>
              <w:tr2bl w:val="nil"/>
            </w:tcBorders>
            <w:vAlign w:val="top"/>
          </w:tcPr>
          <w:p w14:paraId="5D52E7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4474" w:type="dxa"/>
            <w:tcBorders>
              <w:tl2br w:val="nil"/>
              <w:tr2bl w:val="nil"/>
            </w:tcBorders>
            <w:vAlign w:val="top"/>
          </w:tcPr>
          <w:p w14:paraId="1CE20D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强烈的气味</w:t>
            </w:r>
          </w:p>
        </w:tc>
      </w:tr>
      <w:tr w14:paraId="04EDE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74" w:type="dxa"/>
            <w:tcBorders>
              <w:tl2br w:val="nil"/>
              <w:tr2bl w:val="nil"/>
            </w:tcBorders>
            <w:vAlign w:val="top"/>
          </w:tcPr>
          <w:p w14:paraId="69F1B0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4474" w:type="dxa"/>
            <w:tcBorders>
              <w:tl2br w:val="nil"/>
              <w:tr2bl w:val="nil"/>
            </w:tcBorders>
            <w:vAlign w:val="top"/>
          </w:tcPr>
          <w:p w14:paraId="4DB630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无法忍受的极强气味</w:t>
            </w:r>
          </w:p>
        </w:tc>
      </w:tr>
    </w:tbl>
    <w:p w14:paraId="6EE94122">
      <w:pPr>
        <w:pageBreakBefore w:val="0"/>
        <w:kinsoku/>
        <w:wordWrap/>
        <w:topLinePunct w:val="0"/>
        <w:bidi w:val="0"/>
        <w:adjustRightInd/>
        <w:snapToGrid/>
        <w:spacing w:line="240" w:lineRule="auto"/>
        <w:ind w:left="0" w:left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sz w:val="21"/>
          <w:szCs w:val="21"/>
          <w:lang w:val="en-US" w:eastAsia="zh-CN"/>
        </w:rPr>
        <w:t>表2.2-</w:t>
      </w:r>
      <w:r>
        <w:rPr>
          <w:rFonts w:hint="eastAsia" w:eastAsia="宋体" w:cs="Times New Roman"/>
          <w:b w:val="0"/>
          <w:bCs w:val="0"/>
          <w:color w:val="auto"/>
          <w:sz w:val="21"/>
          <w:szCs w:val="21"/>
          <w:lang w:val="en-US" w:eastAsia="zh-CN"/>
        </w:rPr>
        <w:t>5</w:t>
      </w: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 xml:space="preserve">    恶臭物质浓度与臭气强度的关系</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42"/>
        <w:gridCol w:w="2953"/>
        <w:gridCol w:w="2953"/>
      </w:tblGrid>
      <w:tr w14:paraId="5A711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1" w:type="dxa"/>
            <w:tcBorders>
              <w:tl2br w:val="nil"/>
              <w:tr2bl w:val="nil"/>
            </w:tcBorders>
            <w:vAlign w:val="top"/>
          </w:tcPr>
          <w:p w14:paraId="6D1B01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臭气强度</w:t>
            </w:r>
          </w:p>
        </w:tc>
        <w:tc>
          <w:tcPr>
            <w:tcW w:w="2893" w:type="dxa"/>
            <w:tcBorders>
              <w:tl2br w:val="nil"/>
              <w:tr2bl w:val="nil"/>
            </w:tcBorders>
            <w:vAlign w:val="top"/>
          </w:tcPr>
          <w:p w14:paraId="26963C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氨（mg/m</w:t>
            </w:r>
            <w:r>
              <w:rPr>
                <w:rFonts w:hint="eastAsia" w:eastAsia="宋体" w:cs="Times New Roman"/>
                <w:b/>
                <w:bCs/>
                <w:color w:val="auto"/>
                <w:sz w:val="21"/>
                <w:szCs w:val="21"/>
                <w:vertAlign w:val="superscript"/>
                <w:lang w:val="en-US" w:eastAsia="zh-CN"/>
              </w:rPr>
              <w:t>3</w:t>
            </w:r>
            <w:r>
              <w:rPr>
                <w:rFonts w:hint="eastAsia" w:eastAsia="宋体" w:cs="Times New Roman"/>
                <w:b/>
                <w:bCs/>
                <w:color w:val="auto"/>
                <w:sz w:val="21"/>
                <w:szCs w:val="21"/>
                <w:vertAlign w:val="baseline"/>
                <w:lang w:val="en-US" w:eastAsia="zh-CN"/>
              </w:rPr>
              <w:t>）</w:t>
            </w:r>
          </w:p>
        </w:tc>
        <w:tc>
          <w:tcPr>
            <w:tcW w:w="2893" w:type="dxa"/>
            <w:tcBorders>
              <w:tl2br w:val="nil"/>
              <w:tr2bl w:val="nil"/>
            </w:tcBorders>
            <w:vAlign w:val="top"/>
          </w:tcPr>
          <w:p w14:paraId="4CC4EE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硫化氢（mg/m</w:t>
            </w:r>
            <w:r>
              <w:rPr>
                <w:rFonts w:hint="eastAsia" w:eastAsia="宋体" w:cs="Times New Roman"/>
                <w:b/>
                <w:bCs/>
                <w:color w:val="auto"/>
                <w:sz w:val="21"/>
                <w:szCs w:val="21"/>
                <w:vertAlign w:val="superscript"/>
                <w:lang w:val="en-US" w:eastAsia="zh-CN"/>
              </w:rPr>
              <w:t>3</w:t>
            </w:r>
            <w:r>
              <w:rPr>
                <w:rFonts w:hint="eastAsia" w:eastAsia="宋体" w:cs="Times New Roman"/>
                <w:b/>
                <w:bCs/>
                <w:color w:val="auto"/>
                <w:sz w:val="21"/>
                <w:szCs w:val="21"/>
                <w:vertAlign w:val="baseline"/>
                <w:lang w:val="en-US" w:eastAsia="zh-CN"/>
              </w:rPr>
              <w:t>）</w:t>
            </w:r>
          </w:p>
        </w:tc>
      </w:tr>
      <w:tr w14:paraId="10A09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1" w:type="dxa"/>
            <w:tcBorders>
              <w:tl2br w:val="nil"/>
              <w:tr2bl w:val="nil"/>
            </w:tcBorders>
            <w:vAlign w:val="top"/>
          </w:tcPr>
          <w:p w14:paraId="6E8FA1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w:t>
            </w:r>
          </w:p>
        </w:tc>
        <w:tc>
          <w:tcPr>
            <w:tcW w:w="2893" w:type="dxa"/>
            <w:tcBorders>
              <w:tl2br w:val="nil"/>
              <w:tr2bl w:val="nil"/>
            </w:tcBorders>
            <w:vAlign w:val="top"/>
          </w:tcPr>
          <w:p w14:paraId="1EEE7B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w:t>
            </w:r>
          </w:p>
        </w:tc>
        <w:tc>
          <w:tcPr>
            <w:tcW w:w="2893" w:type="dxa"/>
            <w:tcBorders>
              <w:tl2br w:val="nil"/>
              <w:tr2bl w:val="nil"/>
            </w:tcBorders>
            <w:vAlign w:val="top"/>
          </w:tcPr>
          <w:p w14:paraId="15CFED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0.0005</w:t>
            </w:r>
          </w:p>
        </w:tc>
      </w:tr>
      <w:tr w14:paraId="22676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1" w:type="dxa"/>
            <w:tcBorders>
              <w:tl2br w:val="nil"/>
              <w:tr2bl w:val="nil"/>
            </w:tcBorders>
            <w:vAlign w:val="top"/>
          </w:tcPr>
          <w:p w14:paraId="19F58C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w:t>
            </w:r>
          </w:p>
        </w:tc>
        <w:tc>
          <w:tcPr>
            <w:tcW w:w="2893" w:type="dxa"/>
            <w:tcBorders>
              <w:tl2br w:val="nil"/>
              <w:tr2bl w:val="nil"/>
            </w:tcBorders>
            <w:vAlign w:val="top"/>
          </w:tcPr>
          <w:p w14:paraId="05EF29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w:t>
            </w:r>
          </w:p>
        </w:tc>
        <w:tc>
          <w:tcPr>
            <w:tcW w:w="2893" w:type="dxa"/>
            <w:tcBorders>
              <w:tl2br w:val="nil"/>
              <w:tr2bl w:val="nil"/>
            </w:tcBorders>
            <w:vAlign w:val="top"/>
          </w:tcPr>
          <w:p w14:paraId="35C9A7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0.006</w:t>
            </w:r>
          </w:p>
        </w:tc>
      </w:tr>
      <w:tr w14:paraId="4DD65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981" w:type="dxa"/>
            <w:tcBorders>
              <w:tl2br w:val="nil"/>
              <w:tr2bl w:val="nil"/>
            </w:tcBorders>
            <w:vAlign w:val="top"/>
          </w:tcPr>
          <w:p w14:paraId="049AD2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2.5</w:t>
            </w:r>
          </w:p>
        </w:tc>
        <w:tc>
          <w:tcPr>
            <w:tcW w:w="2893" w:type="dxa"/>
            <w:tcBorders>
              <w:tl2br w:val="nil"/>
              <w:tr2bl w:val="nil"/>
            </w:tcBorders>
            <w:vAlign w:val="top"/>
          </w:tcPr>
          <w:p w14:paraId="4FCEEE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w:t>
            </w:r>
          </w:p>
        </w:tc>
        <w:tc>
          <w:tcPr>
            <w:tcW w:w="2893" w:type="dxa"/>
            <w:tcBorders>
              <w:tl2br w:val="nil"/>
              <w:tr2bl w:val="nil"/>
            </w:tcBorders>
            <w:vAlign w:val="top"/>
          </w:tcPr>
          <w:p w14:paraId="58DD7B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0.02</w:t>
            </w:r>
          </w:p>
        </w:tc>
      </w:tr>
      <w:tr w14:paraId="097EA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1" w:type="dxa"/>
            <w:tcBorders>
              <w:tl2br w:val="nil"/>
              <w:tr2bl w:val="nil"/>
            </w:tcBorders>
            <w:vAlign w:val="top"/>
          </w:tcPr>
          <w:p w14:paraId="5145DB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w:t>
            </w:r>
          </w:p>
        </w:tc>
        <w:tc>
          <w:tcPr>
            <w:tcW w:w="2893" w:type="dxa"/>
            <w:tcBorders>
              <w:tl2br w:val="nil"/>
              <w:tr2bl w:val="nil"/>
            </w:tcBorders>
            <w:vAlign w:val="top"/>
          </w:tcPr>
          <w:p w14:paraId="20851B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w:t>
            </w:r>
          </w:p>
        </w:tc>
        <w:tc>
          <w:tcPr>
            <w:tcW w:w="2893" w:type="dxa"/>
            <w:tcBorders>
              <w:tl2br w:val="nil"/>
              <w:tr2bl w:val="nil"/>
            </w:tcBorders>
            <w:vAlign w:val="top"/>
          </w:tcPr>
          <w:p w14:paraId="3B41EF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0.06</w:t>
            </w:r>
          </w:p>
        </w:tc>
      </w:tr>
      <w:tr w14:paraId="7E371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1" w:type="dxa"/>
            <w:tcBorders>
              <w:tl2br w:val="nil"/>
              <w:tr2bl w:val="nil"/>
            </w:tcBorders>
            <w:vAlign w:val="top"/>
          </w:tcPr>
          <w:p w14:paraId="74675F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3.5</w:t>
            </w:r>
          </w:p>
        </w:tc>
        <w:tc>
          <w:tcPr>
            <w:tcW w:w="2893" w:type="dxa"/>
            <w:tcBorders>
              <w:tl2br w:val="nil"/>
              <w:tr2bl w:val="nil"/>
            </w:tcBorders>
            <w:vAlign w:val="top"/>
          </w:tcPr>
          <w:p w14:paraId="1AEBE4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w:t>
            </w:r>
          </w:p>
        </w:tc>
        <w:tc>
          <w:tcPr>
            <w:tcW w:w="2893" w:type="dxa"/>
            <w:tcBorders>
              <w:tl2br w:val="nil"/>
              <w:tr2bl w:val="nil"/>
            </w:tcBorders>
            <w:vAlign w:val="top"/>
          </w:tcPr>
          <w:p w14:paraId="6FC86B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w:t>
            </w:r>
          </w:p>
        </w:tc>
      </w:tr>
      <w:tr w14:paraId="253A9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1" w:type="dxa"/>
            <w:tcBorders>
              <w:tl2br w:val="nil"/>
              <w:tr2bl w:val="nil"/>
            </w:tcBorders>
            <w:vAlign w:val="top"/>
          </w:tcPr>
          <w:p w14:paraId="12E85F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w:t>
            </w:r>
          </w:p>
        </w:tc>
        <w:tc>
          <w:tcPr>
            <w:tcW w:w="2893" w:type="dxa"/>
            <w:tcBorders>
              <w:tl2br w:val="nil"/>
              <w:tr2bl w:val="nil"/>
            </w:tcBorders>
            <w:vAlign w:val="top"/>
          </w:tcPr>
          <w:p w14:paraId="712642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w:t>
            </w:r>
          </w:p>
        </w:tc>
        <w:tc>
          <w:tcPr>
            <w:tcW w:w="2893" w:type="dxa"/>
            <w:tcBorders>
              <w:tl2br w:val="nil"/>
              <w:tr2bl w:val="nil"/>
            </w:tcBorders>
            <w:vAlign w:val="top"/>
          </w:tcPr>
          <w:p w14:paraId="4CFD53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0.7</w:t>
            </w:r>
          </w:p>
        </w:tc>
      </w:tr>
      <w:tr w14:paraId="3F26D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981" w:type="dxa"/>
            <w:tcBorders>
              <w:tl2br w:val="nil"/>
              <w:tr2bl w:val="nil"/>
            </w:tcBorders>
            <w:vAlign w:val="top"/>
          </w:tcPr>
          <w:p w14:paraId="68BCC4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w:t>
            </w:r>
          </w:p>
        </w:tc>
        <w:tc>
          <w:tcPr>
            <w:tcW w:w="2893" w:type="dxa"/>
            <w:tcBorders>
              <w:tl2br w:val="nil"/>
              <w:tr2bl w:val="nil"/>
            </w:tcBorders>
            <w:vAlign w:val="top"/>
          </w:tcPr>
          <w:p w14:paraId="51F4DD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40</w:t>
            </w:r>
          </w:p>
        </w:tc>
        <w:tc>
          <w:tcPr>
            <w:tcW w:w="2893" w:type="dxa"/>
            <w:tcBorders>
              <w:tl2br w:val="nil"/>
              <w:tr2bl w:val="nil"/>
            </w:tcBorders>
            <w:vAlign w:val="top"/>
          </w:tcPr>
          <w:p w14:paraId="6BEC11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w:t>
            </w:r>
          </w:p>
        </w:tc>
      </w:tr>
      <w:tr w14:paraId="67333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1" w:type="dxa"/>
            <w:tcBorders>
              <w:tl2br w:val="nil"/>
              <w:tr2bl w:val="nil"/>
            </w:tcBorders>
            <w:vAlign w:val="top"/>
          </w:tcPr>
          <w:p w14:paraId="20B24E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臭气特征</w:t>
            </w:r>
          </w:p>
        </w:tc>
        <w:tc>
          <w:tcPr>
            <w:tcW w:w="2893" w:type="dxa"/>
            <w:tcBorders>
              <w:tl2br w:val="nil"/>
              <w:tr2bl w:val="nil"/>
            </w:tcBorders>
            <w:vAlign w:val="top"/>
          </w:tcPr>
          <w:p w14:paraId="532DBC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刺激臭</w:t>
            </w:r>
          </w:p>
        </w:tc>
        <w:tc>
          <w:tcPr>
            <w:tcW w:w="2893" w:type="dxa"/>
            <w:tcBorders>
              <w:tl2br w:val="nil"/>
              <w:tr2bl w:val="nil"/>
            </w:tcBorders>
            <w:vAlign w:val="top"/>
          </w:tcPr>
          <w:p w14:paraId="6657FC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臭蛋味</w:t>
            </w:r>
          </w:p>
        </w:tc>
      </w:tr>
    </w:tbl>
    <w:p w14:paraId="3DA41217">
      <w:pPr>
        <w:pageBreakBefore w:val="0"/>
        <w:kinsoku/>
        <w:wordWrap/>
        <w:topLinePunct w:val="0"/>
        <w:bidi w:val="0"/>
        <w:adjustRightInd/>
        <w:snapToGrid/>
        <w:ind w:left="0" w:leftChars="0"/>
        <w:rPr>
          <w:rFonts w:hint="eastAsia" w:eastAsia="仿宋_GB2312"/>
          <w:color w:val="auto"/>
          <w:lang w:eastAsia="zh-CN"/>
        </w:rPr>
      </w:pPr>
      <w:r>
        <w:rPr>
          <w:rFonts w:hint="default"/>
          <w:color w:val="auto"/>
        </w:rPr>
        <w:t>根据《肉类屠宰加工行业对环境的主要影响及污染防治对策》（陈金宇</w:t>
      </w:r>
      <w:r>
        <w:rPr>
          <w:rFonts w:hint="eastAsia"/>
          <w:color w:val="auto"/>
          <w:lang w:val="en-US" w:eastAsia="zh-CN"/>
        </w:rPr>
        <w:t xml:space="preserve"> </w:t>
      </w:r>
      <w:r>
        <w:rPr>
          <w:rFonts w:hint="default"/>
          <w:color w:val="auto"/>
        </w:rPr>
        <w:t>辽宁省环境科学研究院，沈阳110031），结合项目建设情况，本次环评中待宰圈</w:t>
      </w:r>
      <w:r>
        <w:rPr>
          <w:rFonts w:hint="eastAsia"/>
          <w:color w:val="auto"/>
          <w:lang w:val="en-US" w:eastAsia="zh-CN"/>
        </w:rPr>
        <w:t>及屠宰加工车间加工区</w:t>
      </w:r>
      <w:r>
        <w:rPr>
          <w:rFonts w:hint="default"/>
          <w:color w:val="auto"/>
        </w:rPr>
        <w:t>臭气强度取4，即NH</w:t>
      </w:r>
      <w:r>
        <w:rPr>
          <w:rFonts w:hint="default"/>
          <w:color w:val="auto"/>
          <w:vertAlign w:val="subscript"/>
        </w:rPr>
        <w:t>3</w:t>
      </w:r>
      <w:r>
        <w:rPr>
          <w:rFonts w:hint="default"/>
          <w:color w:val="auto"/>
        </w:rPr>
        <w:t>取值10mg/m</w:t>
      </w:r>
      <w:r>
        <w:rPr>
          <w:rFonts w:hint="eastAsia"/>
          <w:color w:val="auto"/>
          <w:vertAlign w:val="superscript"/>
          <w:lang w:val="en-US" w:eastAsia="zh-CN"/>
        </w:rPr>
        <w:t>3</w:t>
      </w:r>
      <w:r>
        <w:rPr>
          <w:rFonts w:hint="default"/>
          <w:color w:val="auto"/>
        </w:rPr>
        <w:t>、H</w:t>
      </w:r>
      <w:r>
        <w:rPr>
          <w:rFonts w:hint="default"/>
          <w:color w:val="auto"/>
          <w:vertAlign w:val="subscript"/>
        </w:rPr>
        <w:t>2</w:t>
      </w:r>
      <w:r>
        <w:rPr>
          <w:rFonts w:hint="default"/>
          <w:color w:val="auto"/>
        </w:rPr>
        <w:t>S取值0.7mg/m</w:t>
      </w:r>
      <w:r>
        <w:rPr>
          <w:rFonts w:hint="eastAsia"/>
          <w:color w:val="auto"/>
          <w:vertAlign w:val="superscript"/>
          <w:lang w:val="en-US" w:eastAsia="zh-CN"/>
        </w:rPr>
        <w:t>3</w:t>
      </w:r>
      <w:r>
        <w:rPr>
          <w:rFonts w:hint="eastAsia"/>
          <w:color w:val="auto"/>
          <w:lang w:eastAsia="zh-CN"/>
        </w:rPr>
        <w:t>。</w:t>
      </w:r>
    </w:p>
    <w:p w14:paraId="1FFE7619">
      <w:pPr>
        <w:pageBreakBefore w:val="0"/>
        <w:kinsoku/>
        <w:wordWrap/>
        <w:topLinePunct w:val="0"/>
        <w:bidi w:val="0"/>
        <w:adjustRightInd/>
        <w:snapToGrid/>
        <w:ind w:left="0" w:leftChars="0"/>
        <w:rPr>
          <w:rFonts w:hint="default"/>
          <w:color w:val="auto"/>
        </w:rPr>
      </w:pPr>
      <w:r>
        <w:rPr>
          <w:rFonts w:hint="default"/>
          <w:color w:val="auto"/>
        </w:rPr>
        <w:t>根据《恶臭污染物评估技术及环境基准》中的无组织恶臭污染源估算模式进行估算待宰圈恶臭污染源源强，估算模式如下：</w:t>
      </w:r>
    </w:p>
    <w:p w14:paraId="2DEB9A4A">
      <w:pPr>
        <w:pageBreakBefore w:val="0"/>
        <w:kinsoku/>
        <w:wordWrap/>
        <w:topLinePunct w:val="0"/>
        <w:bidi w:val="0"/>
        <w:adjustRightInd/>
        <w:snapToGrid/>
        <w:ind w:left="0" w:leftChars="0" w:firstLine="0" w:firstLineChars="0"/>
        <w:jc w:val="center"/>
        <w:rPr>
          <w:rFonts w:hint="default"/>
          <w:color w:val="auto"/>
          <w:vertAlign w:val="subscript"/>
        </w:rPr>
      </w:pPr>
      <w:r>
        <w:rPr>
          <w:rFonts w:hint="default"/>
          <w:color w:val="auto"/>
        </w:rPr>
        <w:t>Q</w:t>
      </w:r>
      <w:r>
        <w:rPr>
          <w:rFonts w:hint="default"/>
          <w:color w:val="auto"/>
          <w:vertAlign w:val="subscript"/>
        </w:rPr>
        <w:t>C</w:t>
      </w:r>
      <w:r>
        <w:rPr>
          <w:rFonts w:hint="eastAsia"/>
          <w:color w:val="auto"/>
          <w:lang w:val="en-US" w:eastAsia="zh-CN"/>
        </w:rPr>
        <w:t>=</w:t>
      </w:r>
      <w:r>
        <w:rPr>
          <w:rFonts w:hint="default"/>
          <w:color w:val="auto"/>
        </w:rPr>
        <w:t>CUQ</w:t>
      </w:r>
      <w:r>
        <w:rPr>
          <w:rFonts w:hint="default"/>
          <w:color w:val="auto"/>
          <w:vertAlign w:val="baseline"/>
        </w:rPr>
        <w:t>r</w:t>
      </w:r>
    </w:p>
    <w:p w14:paraId="64444860">
      <w:pPr>
        <w:pageBreakBefore w:val="0"/>
        <w:kinsoku/>
        <w:wordWrap/>
        <w:topLinePunct w:val="0"/>
        <w:bidi w:val="0"/>
        <w:adjustRightInd/>
        <w:snapToGrid/>
        <w:ind w:left="0" w:leftChars="0"/>
        <w:rPr>
          <w:rFonts w:hint="default"/>
          <w:color w:val="auto"/>
        </w:rPr>
      </w:pPr>
      <w:r>
        <w:rPr>
          <w:rFonts w:hint="default"/>
          <w:color w:val="auto"/>
        </w:rPr>
        <w:t>式中：Q</w:t>
      </w:r>
      <w:r>
        <w:rPr>
          <w:rFonts w:hint="default"/>
          <w:color w:val="auto"/>
          <w:vertAlign w:val="subscript"/>
        </w:rPr>
        <w:t>C</w:t>
      </w:r>
      <w:r>
        <w:rPr>
          <w:rFonts w:hint="default"/>
          <w:color w:val="auto"/>
        </w:rPr>
        <w:t>—污染源源强，mg/s；</w:t>
      </w:r>
    </w:p>
    <w:p w14:paraId="65DD77BB">
      <w:pPr>
        <w:pageBreakBefore w:val="0"/>
        <w:kinsoku/>
        <w:wordWrap/>
        <w:topLinePunct w:val="0"/>
        <w:bidi w:val="0"/>
        <w:adjustRightInd/>
        <w:snapToGrid/>
        <w:ind w:left="0" w:leftChars="0" w:firstLine="1200" w:firstLineChars="500"/>
        <w:rPr>
          <w:rFonts w:hint="default"/>
          <w:color w:val="auto"/>
        </w:rPr>
      </w:pPr>
      <w:r>
        <w:rPr>
          <w:rFonts w:hint="default"/>
          <w:color w:val="auto"/>
        </w:rPr>
        <w:t>C—厂界臭类污染物浓度的测量值，mg/m</w:t>
      </w:r>
      <w:r>
        <w:rPr>
          <w:rFonts w:hint="eastAsia"/>
          <w:color w:val="auto"/>
          <w:vertAlign w:val="superscript"/>
          <w:lang w:val="en-US" w:eastAsia="zh-CN"/>
        </w:rPr>
        <w:t>3</w:t>
      </w:r>
      <w:r>
        <w:rPr>
          <w:rFonts w:hint="default"/>
          <w:color w:val="auto"/>
        </w:rPr>
        <w:t>；</w:t>
      </w:r>
    </w:p>
    <w:p w14:paraId="3BB6934D">
      <w:pPr>
        <w:pageBreakBefore w:val="0"/>
        <w:kinsoku/>
        <w:wordWrap/>
        <w:topLinePunct w:val="0"/>
        <w:bidi w:val="0"/>
        <w:adjustRightInd/>
        <w:snapToGrid/>
        <w:ind w:left="0" w:leftChars="0" w:firstLine="1200" w:firstLineChars="500"/>
        <w:rPr>
          <w:rFonts w:hint="default"/>
          <w:color w:val="auto"/>
        </w:rPr>
      </w:pPr>
      <w:r>
        <w:rPr>
          <w:rFonts w:hint="default"/>
          <w:color w:val="auto"/>
        </w:rPr>
        <w:t>U—采样时当地风速，m/s（取当地年平均风速</w:t>
      </w:r>
      <w:r>
        <w:rPr>
          <w:rFonts w:hint="eastAsia"/>
          <w:color w:val="auto"/>
          <w:lang w:val="en-US" w:eastAsia="zh-CN"/>
        </w:rPr>
        <w:t>3.03</w:t>
      </w:r>
      <w:r>
        <w:rPr>
          <w:rFonts w:hint="default"/>
          <w:color w:val="auto"/>
        </w:rPr>
        <w:t>m/s）；</w:t>
      </w:r>
    </w:p>
    <w:p w14:paraId="1A020A89">
      <w:pPr>
        <w:pageBreakBefore w:val="0"/>
        <w:kinsoku/>
        <w:wordWrap/>
        <w:topLinePunct w:val="0"/>
        <w:bidi w:val="0"/>
        <w:adjustRightInd/>
        <w:snapToGrid/>
        <w:ind w:left="0" w:leftChars="0" w:firstLine="1200" w:firstLineChars="500"/>
        <w:rPr>
          <w:rFonts w:hint="default"/>
          <w:color w:val="auto"/>
        </w:rPr>
      </w:pPr>
      <w:r>
        <w:rPr>
          <w:rFonts w:hint="default"/>
          <w:color w:val="auto"/>
        </w:rPr>
        <w:t>Q</w:t>
      </w:r>
      <w:r>
        <w:rPr>
          <w:rFonts w:hint="default"/>
          <w:color w:val="auto"/>
          <w:vertAlign w:val="baseline"/>
        </w:rPr>
        <w:t>r</w:t>
      </w:r>
      <w:r>
        <w:rPr>
          <w:rFonts w:hint="default"/>
          <w:color w:val="auto"/>
        </w:rPr>
        <w:t>—污染源强计算参数，m</w:t>
      </w:r>
      <w:r>
        <w:rPr>
          <w:rFonts w:hint="eastAsia"/>
          <w:color w:val="auto"/>
          <w:vertAlign w:val="superscript"/>
          <w:lang w:val="en-US" w:eastAsia="zh-CN"/>
        </w:rPr>
        <w:t>2</w:t>
      </w:r>
      <w:r>
        <w:rPr>
          <w:rFonts w:hint="default"/>
          <w:color w:val="auto"/>
        </w:rPr>
        <w:t>。</w:t>
      </w:r>
    </w:p>
    <w:p w14:paraId="4F260AD8">
      <w:pPr>
        <w:pageBreakBefore w:val="0"/>
        <w:kinsoku/>
        <w:wordWrap/>
        <w:topLinePunct w:val="0"/>
        <w:bidi w:val="0"/>
        <w:adjustRightInd/>
        <w:snapToGrid/>
        <w:ind w:left="0" w:leftChars="0"/>
        <w:rPr>
          <w:rFonts w:hint="default" w:eastAsia="仿宋_GB2312"/>
          <w:color w:val="auto"/>
          <w:lang w:val="en-US" w:eastAsia="zh-CN"/>
        </w:rPr>
      </w:pPr>
      <w:r>
        <w:rPr>
          <w:rFonts w:hint="default"/>
          <w:color w:val="auto"/>
        </w:rPr>
        <w:t>污染源强参数取值见表</w:t>
      </w:r>
      <w:r>
        <w:rPr>
          <w:rFonts w:hint="eastAsia"/>
          <w:color w:val="auto"/>
          <w:lang w:val="en-US" w:eastAsia="zh-CN"/>
        </w:rPr>
        <w:t>2.2-6。</w:t>
      </w:r>
    </w:p>
    <w:p w14:paraId="517C0BE3">
      <w:pPr>
        <w:pageBreakBefore w:val="0"/>
        <w:kinsoku/>
        <w:wordWrap/>
        <w:topLinePunct w:val="0"/>
        <w:bidi w:val="0"/>
        <w:adjustRightInd/>
        <w:snapToGrid/>
        <w:spacing w:line="240" w:lineRule="auto"/>
        <w:ind w:left="0" w:left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sz w:val="21"/>
          <w:szCs w:val="21"/>
          <w:lang w:val="en-US" w:eastAsia="zh-CN"/>
        </w:rPr>
        <w:t>表2.2-</w:t>
      </w:r>
      <w:r>
        <w:rPr>
          <w:rFonts w:hint="eastAsia" w:eastAsia="宋体" w:cs="Times New Roman"/>
          <w:b w:val="0"/>
          <w:bCs w:val="0"/>
          <w:color w:val="auto"/>
          <w:sz w:val="21"/>
          <w:szCs w:val="21"/>
          <w:lang w:val="en-US" w:eastAsia="zh-CN"/>
        </w:rPr>
        <w:t>6</w:t>
      </w: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 xml:space="preserve">    恶臭物质浓度与臭气强度的关系</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992"/>
        <w:gridCol w:w="1048"/>
        <w:gridCol w:w="1072"/>
        <w:gridCol w:w="1225"/>
        <w:gridCol w:w="1014"/>
        <w:gridCol w:w="1060"/>
        <w:gridCol w:w="1029"/>
      </w:tblGrid>
      <w:tr w14:paraId="5030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7" w:type="dxa"/>
            <w:tcBorders>
              <w:top w:val="single" w:color="auto" w:sz="12" w:space="0"/>
              <w:left w:val="single" w:color="auto" w:sz="12" w:space="0"/>
            </w:tcBorders>
            <w:vAlign w:val="center"/>
          </w:tcPr>
          <w:p w14:paraId="6DC69F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污染源等效半径（m）</w:t>
            </w:r>
          </w:p>
        </w:tc>
        <w:tc>
          <w:tcPr>
            <w:tcW w:w="972" w:type="dxa"/>
            <w:tcBorders>
              <w:top w:val="single" w:color="auto" w:sz="12" w:space="0"/>
            </w:tcBorders>
            <w:vAlign w:val="center"/>
          </w:tcPr>
          <w:p w14:paraId="7F6EAA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≤20</w:t>
            </w:r>
          </w:p>
        </w:tc>
        <w:tc>
          <w:tcPr>
            <w:tcW w:w="1026" w:type="dxa"/>
            <w:tcBorders>
              <w:top w:val="single" w:color="auto" w:sz="12" w:space="0"/>
            </w:tcBorders>
            <w:vAlign w:val="center"/>
          </w:tcPr>
          <w:p w14:paraId="7D1EA0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21~40</w:t>
            </w:r>
          </w:p>
        </w:tc>
        <w:tc>
          <w:tcPr>
            <w:tcW w:w="1050" w:type="dxa"/>
            <w:tcBorders>
              <w:top w:val="single" w:color="auto" w:sz="12" w:space="0"/>
            </w:tcBorders>
            <w:vAlign w:val="center"/>
          </w:tcPr>
          <w:p w14:paraId="29DCB0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41~60</w:t>
            </w:r>
          </w:p>
        </w:tc>
        <w:tc>
          <w:tcPr>
            <w:tcW w:w="1200" w:type="dxa"/>
            <w:tcBorders>
              <w:top w:val="single" w:color="auto" w:sz="12" w:space="0"/>
            </w:tcBorders>
            <w:vAlign w:val="center"/>
          </w:tcPr>
          <w:p w14:paraId="15A522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61~80</w:t>
            </w:r>
          </w:p>
        </w:tc>
        <w:tc>
          <w:tcPr>
            <w:tcW w:w="993" w:type="dxa"/>
            <w:tcBorders>
              <w:top w:val="single" w:color="auto" w:sz="12" w:space="0"/>
            </w:tcBorders>
            <w:vAlign w:val="center"/>
          </w:tcPr>
          <w:p w14:paraId="01FFE5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81~100</w:t>
            </w:r>
          </w:p>
        </w:tc>
        <w:tc>
          <w:tcPr>
            <w:tcW w:w="1038" w:type="dxa"/>
            <w:tcBorders>
              <w:top w:val="single" w:color="auto" w:sz="12" w:space="0"/>
            </w:tcBorders>
            <w:vAlign w:val="center"/>
          </w:tcPr>
          <w:p w14:paraId="57EAF9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101~120</w:t>
            </w:r>
          </w:p>
        </w:tc>
        <w:tc>
          <w:tcPr>
            <w:tcW w:w="1008" w:type="dxa"/>
            <w:tcBorders>
              <w:top w:val="single" w:color="auto" w:sz="12" w:space="0"/>
              <w:right w:val="single" w:color="auto" w:sz="12" w:space="0"/>
            </w:tcBorders>
            <w:vAlign w:val="center"/>
          </w:tcPr>
          <w:p w14:paraId="4E3903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121~150</w:t>
            </w:r>
          </w:p>
        </w:tc>
      </w:tr>
      <w:tr w14:paraId="1816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7" w:type="dxa"/>
            <w:tcBorders>
              <w:left w:val="single" w:color="auto" w:sz="12" w:space="0"/>
              <w:bottom w:val="single" w:color="auto" w:sz="12" w:space="0"/>
            </w:tcBorders>
            <w:vAlign w:val="center"/>
          </w:tcPr>
          <w:p w14:paraId="4E1BE8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污染源强计算参数（Qr）</w:t>
            </w:r>
          </w:p>
        </w:tc>
        <w:tc>
          <w:tcPr>
            <w:tcW w:w="972" w:type="dxa"/>
            <w:tcBorders>
              <w:bottom w:val="single" w:color="auto" w:sz="12" w:space="0"/>
            </w:tcBorders>
            <w:vAlign w:val="center"/>
          </w:tcPr>
          <w:p w14:paraId="798F44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w:t>
            </w:r>
          </w:p>
        </w:tc>
        <w:tc>
          <w:tcPr>
            <w:tcW w:w="1026" w:type="dxa"/>
            <w:tcBorders>
              <w:bottom w:val="single" w:color="auto" w:sz="12" w:space="0"/>
            </w:tcBorders>
            <w:vAlign w:val="center"/>
          </w:tcPr>
          <w:p w14:paraId="6A8119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w:t>
            </w:r>
          </w:p>
        </w:tc>
        <w:tc>
          <w:tcPr>
            <w:tcW w:w="1050" w:type="dxa"/>
            <w:tcBorders>
              <w:bottom w:val="single" w:color="auto" w:sz="12" w:space="0"/>
            </w:tcBorders>
            <w:vAlign w:val="center"/>
          </w:tcPr>
          <w:p w14:paraId="1A3F2B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w:t>
            </w:r>
          </w:p>
        </w:tc>
        <w:tc>
          <w:tcPr>
            <w:tcW w:w="1200" w:type="dxa"/>
            <w:tcBorders>
              <w:bottom w:val="single" w:color="auto" w:sz="12" w:space="0"/>
            </w:tcBorders>
            <w:vAlign w:val="center"/>
          </w:tcPr>
          <w:p w14:paraId="142FC7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1.5</w:t>
            </w:r>
          </w:p>
        </w:tc>
        <w:tc>
          <w:tcPr>
            <w:tcW w:w="993" w:type="dxa"/>
            <w:tcBorders>
              <w:bottom w:val="single" w:color="auto" w:sz="12" w:space="0"/>
            </w:tcBorders>
            <w:vAlign w:val="center"/>
          </w:tcPr>
          <w:p w14:paraId="6B1797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2.0</w:t>
            </w:r>
          </w:p>
        </w:tc>
        <w:tc>
          <w:tcPr>
            <w:tcW w:w="1038" w:type="dxa"/>
            <w:tcBorders>
              <w:bottom w:val="single" w:color="auto" w:sz="12" w:space="0"/>
            </w:tcBorders>
            <w:vAlign w:val="center"/>
          </w:tcPr>
          <w:p w14:paraId="1CB3F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3.0</w:t>
            </w:r>
          </w:p>
        </w:tc>
        <w:tc>
          <w:tcPr>
            <w:tcW w:w="1008" w:type="dxa"/>
            <w:tcBorders>
              <w:bottom w:val="single" w:color="auto" w:sz="12" w:space="0"/>
              <w:right w:val="single" w:color="auto" w:sz="12" w:space="0"/>
            </w:tcBorders>
            <w:vAlign w:val="center"/>
          </w:tcPr>
          <w:p w14:paraId="1D84BD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4.0</w:t>
            </w:r>
          </w:p>
        </w:tc>
      </w:tr>
    </w:tbl>
    <w:p w14:paraId="28E9CF1E">
      <w:pPr>
        <w:pageBreakBefore w:val="0"/>
        <w:kinsoku/>
        <w:wordWrap/>
        <w:topLinePunct w:val="0"/>
        <w:bidi w:val="0"/>
        <w:adjustRightInd/>
        <w:snapToGrid/>
        <w:ind w:left="0" w:leftChars="0"/>
        <w:rPr>
          <w:rFonts w:hint="default"/>
          <w:color w:val="auto"/>
          <w:lang w:val="en-US" w:eastAsia="zh-CN"/>
        </w:rPr>
      </w:pPr>
      <w:r>
        <w:rPr>
          <w:rFonts w:hint="default"/>
          <w:color w:val="auto"/>
        </w:rPr>
        <w:t>本项目待宰圈</w:t>
      </w:r>
      <w:r>
        <w:rPr>
          <w:rFonts w:hint="eastAsia"/>
          <w:color w:val="auto"/>
          <w:lang w:val="en-US" w:eastAsia="zh-CN"/>
        </w:rPr>
        <w:t>面积为301.5m</w:t>
      </w:r>
      <w:r>
        <w:rPr>
          <w:rFonts w:hint="eastAsia"/>
          <w:color w:val="auto"/>
          <w:vertAlign w:val="superscript"/>
          <w:lang w:val="en-US" w:eastAsia="zh-CN"/>
        </w:rPr>
        <w:t>2</w:t>
      </w:r>
      <w:r>
        <w:rPr>
          <w:rFonts w:hint="eastAsia"/>
          <w:color w:val="auto"/>
          <w:lang w:val="en-US" w:eastAsia="zh-CN"/>
        </w:rPr>
        <w:t>，即污染源等效半径为9.8m。因此，</w:t>
      </w:r>
      <w:r>
        <w:rPr>
          <w:rFonts w:hint="default"/>
          <w:color w:val="auto"/>
        </w:rPr>
        <w:t>Q</w:t>
      </w:r>
      <w:r>
        <w:rPr>
          <w:rFonts w:hint="default"/>
          <w:color w:val="auto"/>
          <w:vertAlign w:val="baseline"/>
        </w:rPr>
        <w:t>r</w:t>
      </w:r>
      <w:r>
        <w:rPr>
          <w:rFonts w:hint="eastAsia"/>
          <w:color w:val="auto"/>
          <w:lang w:val="en-US" w:eastAsia="zh-CN"/>
        </w:rPr>
        <w:t>取值为0.2</w:t>
      </w:r>
      <w:r>
        <w:rPr>
          <w:rFonts w:hint="default"/>
          <w:color w:val="auto"/>
        </w:rPr>
        <w:t>m</w:t>
      </w:r>
      <w:r>
        <w:rPr>
          <w:rFonts w:hint="eastAsia"/>
          <w:color w:val="auto"/>
          <w:vertAlign w:val="superscript"/>
          <w:lang w:val="en-US" w:eastAsia="zh-CN"/>
        </w:rPr>
        <w:t>2</w:t>
      </w:r>
      <w:r>
        <w:rPr>
          <w:rFonts w:hint="default"/>
          <w:color w:val="auto"/>
        </w:rPr>
        <w:t>。项目污染源源强计算得：NH</w:t>
      </w:r>
      <w:r>
        <w:rPr>
          <w:rFonts w:hint="default"/>
          <w:color w:val="auto"/>
          <w:vertAlign w:val="subscript"/>
        </w:rPr>
        <w:t>3</w:t>
      </w:r>
      <w:r>
        <w:rPr>
          <w:rFonts w:hint="eastAsia"/>
          <w:color w:val="auto"/>
          <w:lang w:val="en-US" w:eastAsia="zh-CN"/>
        </w:rPr>
        <w:t>产生量为0.173t/a（0.022kg/h），</w:t>
      </w:r>
      <w:r>
        <w:rPr>
          <w:rFonts w:hint="default"/>
          <w:color w:val="auto"/>
        </w:rPr>
        <w:t>H</w:t>
      </w:r>
      <w:r>
        <w:rPr>
          <w:rFonts w:hint="default"/>
          <w:color w:val="auto"/>
          <w:vertAlign w:val="subscript"/>
        </w:rPr>
        <w:t>2</w:t>
      </w:r>
      <w:r>
        <w:rPr>
          <w:rFonts w:hint="default"/>
          <w:color w:val="auto"/>
        </w:rPr>
        <w:t>S</w:t>
      </w:r>
      <w:r>
        <w:rPr>
          <w:rFonts w:hint="eastAsia"/>
          <w:color w:val="auto"/>
          <w:lang w:val="en-US" w:eastAsia="zh-CN"/>
        </w:rPr>
        <w:t>产生量为0.012t/a（0.0015kg/h）。待宰圈产生的臭气经车间负压收集（收集效率90%）后，引入二级活性炭吸附装置（处理效率80%）处理后经20m高排气筒（DA001）排放。</w:t>
      </w:r>
      <w:r>
        <w:rPr>
          <w:rFonts w:hint="default"/>
          <w:color w:val="auto"/>
        </w:rPr>
        <w:t>NH</w:t>
      </w:r>
      <w:r>
        <w:rPr>
          <w:rFonts w:hint="default"/>
          <w:color w:val="auto"/>
          <w:vertAlign w:val="subscript"/>
        </w:rPr>
        <w:t>3</w:t>
      </w:r>
      <w:r>
        <w:rPr>
          <w:rFonts w:hint="eastAsia"/>
          <w:color w:val="auto"/>
          <w:lang w:val="en-US" w:eastAsia="zh-CN"/>
        </w:rPr>
        <w:t>排放量为0.031t/a（0.0039kg/h），</w:t>
      </w:r>
      <w:r>
        <w:rPr>
          <w:rFonts w:hint="default"/>
          <w:color w:val="auto"/>
        </w:rPr>
        <w:t>H</w:t>
      </w:r>
      <w:r>
        <w:rPr>
          <w:rFonts w:hint="default"/>
          <w:color w:val="auto"/>
          <w:vertAlign w:val="subscript"/>
        </w:rPr>
        <w:t>2</w:t>
      </w:r>
      <w:r>
        <w:rPr>
          <w:rFonts w:hint="default"/>
          <w:color w:val="auto"/>
        </w:rPr>
        <w:t>S</w:t>
      </w:r>
      <w:r>
        <w:rPr>
          <w:rFonts w:hint="eastAsia"/>
          <w:color w:val="auto"/>
          <w:lang w:val="en-US" w:eastAsia="zh-CN"/>
        </w:rPr>
        <w:t>排放量为0.0022t/a（0.00027kg/h）。待宰圈每小时通风换气不少于4次，设计风量为14000m</w:t>
      </w:r>
      <w:r>
        <w:rPr>
          <w:rFonts w:hint="eastAsia"/>
          <w:color w:val="auto"/>
          <w:vertAlign w:val="superscript"/>
          <w:lang w:val="en-US" w:eastAsia="zh-CN"/>
        </w:rPr>
        <w:t>3</w:t>
      </w:r>
      <w:r>
        <w:rPr>
          <w:rFonts w:hint="eastAsia"/>
          <w:color w:val="auto"/>
          <w:lang w:val="en-US" w:eastAsia="zh-CN"/>
        </w:rPr>
        <w:t>/h，则</w:t>
      </w:r>
      <w:r>
        <w:rPr>
          <w:rFonts w:hint="default"/>
          <w:color w:val="auto"/>
        </w:rPr>
        <w:t>NH</w:t>
      </w:r>
      <w:r>
        <w:rPr>
          <w:rFonts w:hint="default"/>
          <w:color w:val="auto"/>
          <w:vertAlign w:val="subscript"/>
        </w:rPr>
        <w:t>3</w:t>
      </w:r>
      <w:r>
        <w:rPr>
          <w:rFonts w:hint="eastAsia"/>
          <w:color w:val="auto"/>
          <w:lang w:val="en-US" w:eastAsia="zh-CN"/>
        </w:rPr>
        <w:t>排放浓度为0.28</w:t>
      </w:r>
      <w:r>
        <w:rPr>
          <w:rFonts w:hint="default"/>
          <w:color w:val="auto"/>
        </w:rPr>
        <w:t>mg/m</w:t>
      </w:r>
      <w:r>
        <w:rPr>
          <w:rFonts w:hint="default"/>
          <w:color w:val="auto"/>
          <w:vertAlign w:val="superscript"/>
        </w:rPr>
        <w:t>3</w:t>
      </w:r>
      <w:r>
        <w:rPr>
          <w:rFonts w:hint="eastAsia"/>
          <w:color w:val="auto"/>
          <w:lang w:eastAsia="zh-CN"/>
        </w:rPr>
        <w:t>，</w:t>
      </w:r>
      <w:r>
        <w:rPr>
          <w:rFonts w:hint="default"/>
          <w:color w:val="auto"/>
        </w:rPr>
        <w:t>H</w:t>
      </w:r>
      <w:r>
        <w:rPr>
          <w:rFonts w:hint="default"/>
          <w:color w:val="auto"/>
          <w:vertAlign w:val="subscript"/>
        </w:rPr>
        <w:t>2</w:t>
      </w:r>
      <w:r>
        <w:rPr>
          <w:rFonts w:hint="default"/>
          <w:color w:val="auto"/>
        </w:rPr>
        <w:t>S</w:t>
      </w:r>
      <w:r>
        <w:rPr>
          <w:rFonts w:hint="eastAsia"/>
          <w:color w:val="auto"/>
          <w:lang w:val="en-US" w:eastAsia="zh-CN"/>
        </w:rPr>
        <w:t>排放浓度为0.02</w:t>
      </w:r>
      <w:r>
        <w:rPr>
          <w:rFonts w:hint="default"/>
          <w:color w:val="auto"/>
        </w:rPr>
        <w:t>mg/m</w:t>
      </w:r>
      <w:r>
        <w:rPr>
          <w:rFonts w:hint="default"/>
          <w:color w:val="auto"/>
          <w:vertAlign w:val="superscript"/>
        </w:rPr>
        <w:t>3</w:t>
      </w:r>
      <w:r>
        <w:rPr>
          <w:rFonts w:hint="eastAsia"/>
          <w:color w:val="auto"/>
          <w:lang w:eastAsia="zh-CN"/>
        </w:rPr>
        <w:t>。</w:t>
      </w:r>
      <w:r>
        <w:rPr>
          <w:rFonts w:hint="eastAsia"/>
          <w:color w:val="auto"/>
          <w:lang w:val="en-US" w:eastAsia="zh-CN"/>
        </w:rPr>
        <w:t>未被收集的废气以无组织形式扩散，</w:t>
      </w:r>
      <w:r>
        <w:rPr>
          <w:rFonts w:hint="default"/>
          <w:color w:val="auto"/>
        </w:rPr>
        <w:t>NH</w:t>
      </w:r>
      <w:r>
        <w:rPr>
          <w:rFonts w:hint="default"/>
          <w:color w:val="auto"/>
          <w:vertAlign w:val="subscript"/>
        </w:rPr>
        <w:t>3</w:t>
      </w:r>
      <w:r>
        <w:rPr>
          <w:rFonts w:hint="eastAsia"/>
          <w:color w:val="auto"/>
          <w:lang w:val="en-US" w:eastAsia="zh-CN"/>
        </w:rPr>
        <w:t>产生量为0.0173t/a（0.0022kg/h），</w:t>
      </w:r>
      <w:r>
        <w:rPr>
          <w:rFonts w:hint="default"/>
          <w:color w:val="auto"/>
        </w:rPr>
        <w:t>H</w:t>
      </w:r>
      <w:r>
        <w:rPr>
          <w:rFonts w:hint="default"/>
          <w:color w:val="auto"/>
          <w:vertAlign w:val="subscript"/>
        </w:rPr>
        <w:t>2</w:t>
      </w:r>
      <w:r>
        <w:rPr>
          <w:rFonts w:hint="default"/>
          <w:color w:val="auto"/>
        </w:rPr>
        <w:t>S</w:t>
      </w:r>
      <w:r>
        <w:rPr>
          <w:rFonts w:hint="eastAsia"/>
          <w:color w:val="auto"/>
          <w:lang w:val="en-US" w:eastAsia="zh-CN"/>
        </w:rPr>
        <w:t>产生量为0.0012t/a（0.00015kg/h），待宰圈采用干清粪工艺，定期喷洒除臭剂，除臭效率50%，</w:t>
      </w:r>
      <w:r>
        <w:rPr>
          <w:rFonts w:hint="default"/>
          <w:color w:val="auto"/>
        </w:rPr>
        <w:t>NH</w:t>
      </w:r>
      <w:r>
        <w:rPr>
          <w:rFonts w:hint="default"/>
          <w:color w:val="auto"/>
          <w:vertAlign w:val="subscript"/>
        </w:rPr>
        <w:t>3</w:t>
      </w:r>
      <w:r>
        <w:rPr>
          <w:rFonts w:hint="eastAsia"/>
          <w:color w:val="auto"/>
          <w:lang w:val="en-US" w:eastAsia="zh-CN"/>
        </w:rPr>
        <w:t>排放量为0.0087t/a（0.0011kg/h），</w:t>
      </w:r>
      <w:r>
        <w:rPr>
          <w:rFonts w:hint="default"/>
          <w:color w:val="auto"/>
        </w:rPr>
        <w:t>H</w:t>
      </w:r>
      <w:r>
        <w:rPr>
          <w:rFonts w:hint="default"/>
          <w:color w:val="auto"/>
          <w:vertAlign w:val="subscript"/>
        </w:rPr>
        <w:t>2</w:t>
      </w:r>
      <w:r>
        <w:rPr>
          <w:rFonts w:hint="default"/>
          <w:color w:val="auto"/>
        </w:rPr>
        <w:t>S</w:t>
      </w:r>
      <w:r>
        <w:rPr>
          <w:rFonts w:hint="eastAsia"/>
          <w:color w:val="auto"/>
          <w:lang w:val="en-US" w:eastAsia="zh-CN"/>
        </w:rPr>
        <w:t>排放量为0.0006t/a（0.000076kg/h）。</w:t>
      </w:r>
    </w:p>
    <w:p w14:paraId="695F4D50">
      <w:pPr>
        <w:pageBreakBefore w:val="0"/>
        <w:kinsoku/>
        <w:wordWrap/>
        <w:topLinePunct w:val="0"/>
        <w:bidi w:val="0"/>
        <w:adjustRightInd/>
        <w:snapToGrid/>
        <w:ind w:left="0" w:leftChars="0"/>
        <w:rPr>
          <w:rFonts w:hint="default"/>
          <w:color w:val="auto"/>
          <w:lang w:val="en-US" w:eastAsia="zh-CN"/>
        </w:rPr>
      </w:pPr>
      <w:r>
        <w:rPr>
          <w:rFonts w:hint="eastAsia"/>
          <w:color w:val="auto"/>
          <w:lang w:val="en-US" w:eastAsia="zh-CN"/>
        </w:rPr>
        <w:t>屠宰加工车间加工区面积为1200m</w:t>
      </w:r>
      <w:r>
        <w:rPr>
          <w:rFonts w:hint="eastAsia"/>
          <w:color w:val="auto"/>
          <w:vertAlign w:val="superscript"/>
          <w:lang w:val="en-US" w:eastAsia="zh-CN"/>
        </w:rPr>
        <w:t>2</w:t>
      </w:r>
      <w:r>
        <w:rPr>
          <w:rFonts w:hint="eastAsia"/>
          <w:color w:val="auto"/>
          <w:lang w:val="en-US" w:eastAsia="zh-CN"/>
        </w:rPr>
        <w:t>，即污染源等效半径为19.5m。因此，</w:t>
      </w:r>
      <w:r>
        <w:rPr>
          <w:rFonts w:hint="default"/>
          <w:color w:val="auto"/>
        </w:rPr>
        <w:t>Q</w:t>
      </w:r>
      <w:r>
        <w:rPr>
          <w:rFonts w:hint="default"/>
          <w:color w:val="auto"/>
          <w:vertAlign w:val="baseline"/>
        </w:rPr>
        <w:t>r</w:t>
      </w:r>
      <w:r>
        <w:rPr>
          <w:rFonts w:hint="eastAsia"/>
          <w:color w:val="auto"/>
          <w:lang w:val="en-US" w:eastAsia="zh-CN"/>
        </w:rPr>
        <w:t>取值为0.2</w:t>
      </w:r>
      <w:r>
        <w:rPr>
          <w:rFonts w:hint="default"/>
          <w:color w:val="auto"/>
        </w:rPr>
        <w:t>m</w:t>
      </w:r>
      <w:r>
        <w:rPr>
          <w:rFonts w:hint="eastAsia"/>
          <w:color w:val="auto"/>
          <w:vertAlign w:val="superscript"/>
          <w:lang w:val="en-US" w:eastAsia="zh-CN"/>
        </w:rPr>
        <w:t>2</w:t>
      </w:r>
      <w:r>
        <w:rPr>
          <w:rFonts w:hint="default"/>
          <w:color w:val="auto"/>
        </w:rPr>
        <w:t>。项目污染源源强计算得：NH</w:t>
      </w:r>
      <w:r>
        <w:rPr>
          <w:rFonts w:hint="default"/>
          <w:color w:val="auto"/>
          <w:vertAlign w:val="subscript"/>
        </w:rPr>
        <w:t>3</w:t>
      </w:r>
      <w:r>
        <w:rPr>
          <w:rFonts w:hint="eastAsia"/>
          <w:color w:val="auto"/>
          <w:lang w:val="en-US" w:eastAsia="zh-CN"/>
        </w:rPr>
        <w:t>产生量为0.058t/a（0.022kg/h），</w:t>
      </w:r>
      <w:r>
        <w:rPr>
          <w:rFonts w:hint="default"/>
          <w:color w:val="auto"/>
        </w:rPr>
        <w:t>H</w:t>
      </w:r>
      <w:r>
        <w:rPr>
          <w:rFonts w:hint="default"/>
          <w:color w:val="auto"/>
          <w:vertAlign w:val="subscript"/>
        </w:rPr>
        <w:t>2</w:t>
      </w:r>
      <w:r>
        <w:rPr>
          <w:rFonts w:hint="default"/>
          <w:color w:val="auto"/>
        </w:rPr>
        <w:t>S</w:t>
      </w:r>
      <w:r>
        <w:rPr>
          <w:rFonts w:hint="eastAsia"/>
          <w:color w:val="auto"/>
          <w:lang w:val="en-US" w:eastAsia="zh-CN"/>
        </w:rPr>
        <w:t>产生量为0.004t/a（0.0015kg/h），屠宰加工车间设置机械通风系统，每小时通风换气不少于4次，定期喷洒除臭剂、消毒，除臭效率50%。产生的废气以无组织形式排放，</w:t>
      </w:r>
      <w:r>
        <w:rPr>
          <w:rFonts w:hint="default"/>
          <w:color w:val="auto"/>
        </w:rPr>
        <w:t>NH</w:t>
      </w:r>
      <w:r>
        <w:rPr>
          <w:rFonts w:hint="default"/>
          <w:color w:val="auto"/>
          <w:vertAlign w:val="subscript"/>
        </w:rPr>
        <w:t>3</w:t>
      </w:r>
      <w:r>
        <w:rPr>
          <w:rFonts w:hint="eastAsia"/>
          <w:color w:val="auto"/>
          <w:lang w:val="en-US" w:eastAsia="zh-CN"/>
        </w:rPr>
        <w:t>排放量为0.029t/a（0.011kg/h），</w:t>
      </w:r>
      <w:r>
        <w:rPr>
          <w:rFonts w:hint="default"/>
          <w:color w:val="auto"/>
        </w:rPr>
        <w:t>H</w:t>
      </w:r>
      <w:r>
        <w:rPr>
          <w:rFonts w:hint="default"/>
          <w:color w:val="auto"/>
          <w:vertAlign w:val="subscript"/>
        </w:rPr>
        <w:t>2</w:t>
      </w:r>
      <w:r>
        <w:rPr>
          <w:rFonts w:hint="default"/>
          <w:color w:val="auto"/>
        </w:rPr>
        <w:t>S</w:t>
      </w:r>
      <w:r>
        <w:rPr>
          <w:rFonts w:hint="eastAsia"/>
          <w:color w:val="auto"/>
          <w:lang w:val="en-US" w:eastAsia="zh-CN"/>
        </w:rPr>
        <w:t>排放量为0.002t/a（0.00076kg/h）。</w:t>
      </w:r>
    </w:p>
    <w:p w14:paraId="5628DF2A">
      <w:pPr>
        <w:pageBreakBefore w:val="0"/>
        <w:kinsoku/>
        <w:wordWrap/>
        <w:topLinePunct w:val="0"/>
        <w:bidi w:val="0"/>
        <w:adjustRightInd/>
        <w:snapToGrid/>
        <w:ind w:left="0" w:leftChars="0"/>
        <w:rPr>
          <w:rFonts w:hint="default"/>
          <w:color w:val="auto"/>
          <w:lang w:val="en-US" w:eastAsia="zh-CN"/>
        </w:rPr>
      </w:pPr>
      <w:bookmarkStart w:id="298" w:name="_Toc27629"/>
      <w:bookmarkStart w:id="299" w:name="_Toc20612"/>
      <w:bookmarkStart w:id="300" w:name="_Toc2008"/>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污水处理站恶臭</w:t>
      </w:r>
      <w:bookmarkEnd w:id="298"/>
      <w:bookmarkEnd w:id="299"/>
      <w:bookmarkEnd w:id="300"/>
    </w:p>
    <w:p w14:paraId="5867818E">
      <w:pPr>
        <w:pageBreakBefore w:val="0"/>
        <w:kinsoku/>
        <w:wordWrap/>
        <w:topLinePunct w:val="0"/>
        <w:bidi w:val="0"/>
        <w:adjustRightInd/>
        <w:snapToGrid/>
        <w:ind w:left="0" w:leftChars="0"/>
        <w:rPr>
          <w:rFonts w:hint="default"/>
          <w:color w:val="auto"/>
        </w:rPr>
      </w:pPr>
      <w:r>
        <w:rPr>
          <w:rFonts w:hint="default"/>
          <w:color w:val="auto"/>
        </w:rPr>
        <w:t>本项目污水处理站运行过程中产生恶臭，其主要污染物为NH</w:t>
      </w:r>
      <w:r>
        <w:rPr>
          <w:rFonts w:hint="default"/>
          <w:color w:val="auto"/>
          <w:vertAlign w:val="subscript"/>
        </w:rPr>
        <w:t>3</w:t>
      </w:r>
      <w:r>
        <w:rPr>
          <w:rFonts w:hint="default"/>
          <w:color w:val="auto"/>
        </w:rPr>
        <w:t>、H</w:t>
      </w:r>
      <w:r>
        <w:rPr>
          <w:rFonts w:hint="default"/>
          <w:color w:val="auto"/>
          <w:vertAlign w:val="subscript"/>
        </w:rPr>
        <w:t>2</w:t>
      </w:r>
      <w:r>
        <w:rPr>
          <w:rFonts w:hint="default"/>
          <w:color w:val="auto"/>
        </w:rPr>
        <w:t>S。根据美国EPA对污水</w:t>
      </w:r>
      <w:r>
        <w:rPr>
          <w:rFonts w:hint="eastAsia"/>
          <w:color w:val="auto"/>
          <w:lang w:eastAsia="zh-CN"/>
        </w:rPr>
        <w:t>处理厂</w:t>
      </w:r>
      <w:r>
        <w:rPr>
          <w:rFonts w:hint="default"/>
          <w:color w:val="auto"/>
        </w:rPr>
        <w:t>恶臭污染物产生情况的研究，每处理1g的BOD</w:t>
      </w:r>
      <w:r>
        <w:rPr>
          <w:rFonts w:hint="default"/>
          <w:color w:val="auto"/>
          <w:vertAlign w:val="subscript"/>
        </w:rPr>
        <w:t>5</w:t>
      </w:r>
      <w:r>
        <w:rPr>
          <w:rFonts w:hint="default"/>
          <w:color w:val="auto"/>
        </w:rPr>
        <w:t>可产生0.0031g的NH</w:t>
      </w:r>
      <w:r>
        <w:rPr>
          <w:rFonts w:hint="default"/>
          <w:color w:val="auto"/>
          <w:vertAlign w:val="subscript"/>
        </w:rPr>
        <w:t>3</w:t>
      </w:r>
      <w:r>
        <w:rPr>
          <w:rFonts w:hint="default"/>
          <w:color w:val="auto"/>
        </w:rPr>
        <w:t>和0.00012g的H</w:t>
      </w:r>
      <w:r>
        <w:rPr>
          <w:rFonts w:hint="default"/>
          <w:color w:val="auto"/>
          <w:vertAlign w:val="subscript"/>
        </w:rPr>
        <w:t>2</w:t>
      </w:r>
      <w:r>
        <w:rPr>
          <w:rFonts w:hint="default"/>
          <w:color w:val="auto"/>
        </w:rPr>
        <w:t>S。本项目废水处理设施BOD</w:t>
      </w:r>
      <w:r>
        <w:rPr>
          <w:rFonts w:hint="default"/>
          <w:color w:val="auto"/>
          <w:vertAlign w:val="subscript"/>
        </w:rPr>
        <w:t>5</w:t>
      </w:r>
      <w:r>
        <w:rPr>
          <w:rFonts w:hint="default"/>
          <w:color w:val="auto"/>
        </w:rPr>
        <w:t>削减量为</w:t>
      </w:r>
      <w:r>
        <w:rPr>
          <w:rFonts w:hint="eastAsia"/>
          <w:color w:val="auto"/>
          <w:lang w:val="en-US" w:eastAsia="zh-CN"/>
        </w:rPr>
        <w:t>17.107</w:t>
      </w:r>
      <w:r>
        <w:rPr>
          <w:rFonts w:hint="default"/>
          <w:color w:val="auto"/>
        </w:rPr>
        <w:t>t/a，则产生的NH</w:t>
      </w:r>
      <w:r>
        <w:rPr>
          <w:rFonts w:hint="default"/>
          <w:color w:val="auto"/>
          <w:vertAlign w:val="subscript"/>
        </w:rPr>
        <w:t>3</w:t>
      </w:r>
      <w:r>
        <w:rPr>
          <w:rFonts w:hint="default"/>
          <w:color w:val="auto"/>
        </w:rPr>
        <w:t>和H</w:t>
      </w:r>
      <w:r>
        <w:rPr>
          <w:rFonts w:hint="default"/>
          <w:color w:val="auto"/>
          <w:vertAlign w:val="subscript"/>
        </w:rPr>
        <w:t>2</w:t>
      </w:r>
      <w:r>
        <w:rPr>
          <w:rFonts w:hint="default"/>
          <w:color w:val="auto"/>
        </w:rPr>
        <w:t>S总量分别为</w:t>
      </w:r>
      <w:r>
        <w:rPr>
          <w:rFonts w:hint="eastAsia"/>
          <w:color w:val="auto"/>
          <w:lang w:val="en-US" w:eastAsia="zh-CN"/>
        </w:rPr>
        <w:t>0.053</w:t>
      </w:r>
      <w:r>
        <w:rPr>
          <w:rFonts w:hint="default"/>
          <w:color w:val="auto"/>
        </w:rPr>
        <w:t>t/a（0.0</w:t>
      </w:r>
      <w:r>
        <w:rPr>
          <w:rFonts w:hint="eastAsia"/>
          <w:color w:val="auto"/>
          <w:lang w:val="en-US" w:eastAsia="zh-CN"/>
        </w:rPr>
        <w:t>067</w:t>
      </w:r>
      <w:r>
        <w:rPr>
          <w:rFonts w:hint="default"/>
          <w:color w:val="auto"/>
        </w:rPr>
        <w:t>kg/h）、0.0</w:t>
      </w:r>
      <w:r>
        <w:rPr>
          <w:rFonts w:hint="eastAsia"/>
          <w:color w:val="auto"/>
          <w:lang w:val="en-US" w:eastAsia="zh-CN"/>
        </w:rPr>
        <w:t>021</w:t>
      </w:r>
      <w:r>
        <w:rPr>
          <w:rFonts w:hint="default"/>
          <w:color w:val="auto"/>
        </w:rPr>
        <w:t>t/a（0.00</w:t>
      </w:r>
      <w:r>
        <w:rPr>
          <w:rFonts w:hint="eastAsia"/>
          <w:color w:val="auto"/>
          <w:lang w:val="en-US" w:eastAsia="zh-CN"/>
        </w:rPr>
        <w:t>03</w:t>
      </w:r>
      <w:r>
        <w:rPr>
          <w:rFonts w:hint="default"/>
          <w:color w:val="auto"/>
        </w:rPr>
        <w:t>kg/h）</w:t>
      </w:r>
      <w:r>
        <w:rPr>
          <w:rFonts w:hint="eastAsia"/>
          <w:color w:val="auto"/>
          <w:lang w:eastAsia="zh-CN"/>
        </w:rPr>
        <w:t>，</w:t>
      </w:r>
      <w:r>
        <w:rPr>
          <w:rFonts w:hint="eastAsia"/>
          <w:color w:val="auto"/>
          <w:lang w:val="en-US" w:eastAsia="zh-CN"/>
        </w:rPr>
        <w:t>产生浓度分别为6.7mg/m</w:t>
      </w:r>
      <w:r>
        <w:rPr>
          <w:rFonts w:hint="eastAsia"/>
          <w:color w:val="auto"/>
          <w:vertAlign w:val="superscript"/>
          <w:lang w:val="en-US" w:eastAsia="zh-CN"/>
        </w:rPr>
        <w:t>3</w:t>
      </w:r>
      <w:r>
        <w:rPr>
          <w:rFonts w:hint="eastAsia"/>
          <w:color w:val="auto"/>
          <w:lang w:val="en-US" w:eastAsia="zh-CN"/>
        </w:rPr>
        <w:t>、0.3mg/m</w:t>
      </w:r>
      <w:r>
        <w:rPr>
          <w:rFonts w:hint="eastAsia"/>
          <w:color w:val="auto"/>
          <w:vertAlign w:val="superscript"/>
          <w:lang w:val="en-US" w:eastAsia="zh-CN"/>
        </w:rPr>
        <w:t>3</w:t>
      </w:r>
      <w:r>
        <w:rPr>
          <w:rFonts w:hint="default"/>
          <w:color w:val="auto"/>
        </w:rPr>
        <w:t>。</w:t>
      </w:r>
    </w:p>
    <w:p w14:paraId="25D6DEFD">
      <w:pPr>
        <w:pageBreakBefore w:val="0"/>
        <w:kinsoku/>
        <w:wordWrap/>
        <w:topLinePunct w:val="0"/>
        <w:bidi w:val="0"/>
        <w:adjustRightInd/>
        <w:snapToGrid/>
        <w:ind w:left="0" w:leftChars="0"/>
        <w:rPr>
          <w:rFonts w:hint="default"/>
          <w:color w:val="auto"/>
          <w:lang w:val="en-US" w:eastAsia="zh-CN"/>
        </w:rPr>
      </w:pPr>
      <w:r>
        <w:rPr>
          <w:rFonts w:hint="default"/>
          <w:color w:val="auto"/>
          <w:lang w:val="en-US" w:eastAsia="zh-CN"/>
        </w:rPr>
        <w:t>本项目建设</w:t>
      </w:r>
      <w:r>
        <w:rPr>
          <w:rFonts w:hint="eastAsia"/>
          <w:color w:val="auto"/>
          <w:lang w:val="en-US" w:eastAsia="zh-CN"/>
        </w:rPr>
        <w:t>地下式</w:t>
      </w:r>
      <w:r>
        <w:rPr>
          <w:rFonts w:hint="default"/>
          <w:color w:val="auto"/>
          <w:lang w:val="en-US" w:eastAsia="zh-CN"/>
        </w:rPr>
        <w:t>污水处理站，</w:t>
      </w:r>
      <w:r>
        <w:rPr>
          <w:rFonts w:hint="eastAsia"/>
          <w:color w:val="auto"/>
          <w:lang w:val="en-US" w:eastAsia="zh-CN"/>
        </w:rPr>
        <w:t>对</w:t>
      </w:r>
      <w:r>
        <w:rPr>
          <w:rFonts w:hint="default"/>
          <w:color w:val="auto"/>
          <w:lang w:val="en-US" w:eastAsia="zh-CN"/>
        </w:rPr>
        <w:t>污水处理</w:t>
      </w:r>
      <w:r>
        <w:rPr>
          <w:rFonts w:hint="eastAsia"/>
          <w:color w:val="auto"/>
          <w:lang w:val="en-US" w:eastAsia="zh-CN"/>
        </w:rPr>
        <w:t>站各池体（格栅池、调节池、隔油池、缺氧池、生物接触氧化池等）</w:t>
      </w:r>
      <w:r>
        <w:rPr>
          <w:rFonts w:hint="default"/>
          <w:color w:val="auto"/>
          <w:lang w:val="en-US" w:eastAsia="zh-CN"/>
        </w:rPr>
        <w:t>采取加盖</w:t>
      </w:r>
      <w:r>
        <w:rPr>
          <w:rFonts w:hint="eastAsia"/>
          <w:color w:val="auto"/>
          <w:lang w:val="en-US" w:eastAsia="zh-CN"/>
        </w:rPr>
        <w:t>全</w:t>
      </w:r>
      <w:r>
        <w:rPr>
          <w:rFonts w:hint="default"/>
          <w:color w:val="auto"/>
          <w:lang w:val="en-US" w:eastAsia="zh-CN"/>
        </w:rPr>
        <w:t>封闭，污水处理站产生的恶臭</w:t>
      </w:r>
      <w:r>
        <w:rPr>
          <w:rFonts w:hint="eastAsia"/>
          <w:color w:val="auto"/>
          <w:lang w:val="en-US" w:eastAsia="zh-CN"/>
        </w:rPr>
        <w:t>气体</w:t>
      </w:r>
      <w:r>
        <w:rPr>
          <w:rFonts w:hint="default"/>
          <w:color w:val="auto"/>
          <w:lang w:val="en-US" w:eastAsia="zh-CN"/>
        </w:rPr>
        <w:t>经“集气设备+</w:t>
      </w:r>
      <w:r>
        <w:rPr>
          <w:rFonts w:hint="eastAsia"/>
          <w:color w:val="auto"/>
          <w:lang w:val="en-US" w:eastAsia="zh-CN"/>
        </w:rPr>
        <w:t>二级活性炭吸附装置</w:t>
      </w:r>
      <w:r>
        <w:rPr>
          <w:rFonts w:hint="default"/>
          <w:color w:val="auto"/>
          <w:lang w:val="en-US" w:eastAsia="zh-CN"/>
        </w:rPr>
        <w:t>（风量</w:t>
      </w:r>
      <w:r>
        <w:rPr>
          <w:rFonts w:hint="eastAsia"/>
          <w:color w:val="auto"/>
          <w:lang w:val="en-US" w:eastAsia="zh-CN"/>
        </w:rPr>
        <w:t>1</w:t>
      </w:r>
      <w:r>
        <w:rPr>
          <w:rFonts w:hint="default"/>
          <w:color w:val="auto"/>
          <w:lang w:val="en-US" w:eastAsia="zh-CN"/>
        </w:rPr>
        <w:t>000m</w:t>
      </w:r>
      <w:r>
        <w:rPr>
          <w:rFonts w:hint="default"/>
          <w:color w:val="auto"/>
          <w:vertAlign w:val="superscript"/>
          <w:lang w:val="en-US" w:eastAsia="zh-CN"/>
        </w:rPr>
        <w:t>3</w:t>
      </w:r>
      <w:r>
        <w:rPr>
          <w:rFonts w:hint="default"/>
          <w:color w:val="auto"/>
          <w:lang w:val="en-US" w:eastAsia="zh-CN"/>
        </w:rPr>
        <w:t>/h）”</w:t>
      </w:r>
      <w:r>
        <w:rPr>
          <w:rFonts w:hint="eastAsia"/>
          <w:color w:val="auto"/>
          <w:lang w:val="en-US" w:eastAsia="zh-CN"/>
        </w:rPr>
        <w:t>处理后由</w:t>
      </w:r>
      <w:r>
        <w:rPr>
          <w:rFonts w:hint="default"/>
          <w:color w:val="auto"/>
          <w:lang w:val="en-US" w:eastAsia="zh-CN"/>
        </w:rPr>
        <w:t>1</w:t>
      </w:r>
      <w:r>
        <w:rPr>
          <w:rFonts w:hint="eastAsia"/>
          <w:color w:val="auto"/>
          <w:lang w:val="en-US" w:eastAsia="zh-CN"/>
        </w:rPr>
        <w:t>根20</w:t>
      </w:r>
      <w:r>
        <w:rPr>
          <w:rFonts w:hint="default"/>
          <w:color w:val="auto"/>
          <w:lang w:val="en-US" w:eastAsia="zh-CN"/>
        </w:rPr>
        <w:t>m高排气筒</w:t>
      </w:r>
      <w:r>
        <w:rPr>
          <w:rFonts w:hint="eastAsia"/>
          <w:color w:val="auto"/>
          <w:lang w:val="en-US" w:eastAsia="zh-CN"/>
        </w:rPr>
        <w:t>（DA002）</w:t>
      </w:r>
      <w:r>
        <w:rPr>
          <w:rFonts w:hint="default"/>
          <w:color w:val="auto"/>
          <w:lang w:val="en-US" w:eastAsia="zh-CN"/>
        </w:rPr>
        <w:t>排放，加强污水处理系统周围的绿化等措施，恶臭抑制率为80%，则NH</w:t>
      </w:r>
      <w:r>
        <w:rPr>
          <w:rFonts w:hint="default"/>
          <w:color w:val="auto"/>
          <w:vertAlign w:val="subscript"/>
          <w:lang w:val="en-US" w:eastAsia="zh-CN"/>
        </w:rPr>
        <w:t>3</w:t>
      </w:r>
      <w:r>
        <w:rPr>
          <w:rFonts w:hint="default"/>
          <w:color w:val="auto"/>
          <w:lang w:val="en-US" w:eastAsia="zh-CN"/>
        </w:rPr>
        <w:t>和H</w:t>
      </w:r>
      <w:r>
        <w:rPr>
          <w:rFonts w:hint="default"/>
          <w:color w:val="auto"/>
          <w:vertAlign w:val="subscript"/>
          <w:lang w:val="en-US" w:eastAsia="zh-CN"/>
        </w:rPr>
        <w:t>2</w:t>
      </w:r>
      <w:r>
        <w:rPr>
          <w:rFonts w:hint="default"/>
          <w:color w:val="auto"/>
          <w:lang w:val="en-US" w:eastAsia="zh-CN"/>
        </w:rPr>
        <w:t>S排放量分别为</w:t>
      </w:r>
      <w:r>
        <w:rPr>
          <w:rFonts w:hint="eastAsia"/>
          <w:color w:val="auto"/>
          <w:lang w:val="en-US" w:eastAsia="zh-CN"/>
        </w:rPr>
        <w:t>0.0106</w:t>
      </w:r>
      <w:r>
        <w:rPr>
          <w:rFonts w:hint="default"/>
          <w:color w:val="auto"/>
          <w:lang w:val="en-US" w:eastAsia="zh-CN"/>
        </w:rPr>
        <w:t>t/a（0.00</w:t>
      </w:r>
      <w:r>
        <w:rPr>
          <w:rFonts w:hint="eastAsia"/>
          <w:color w:val="auto"/>
          <w:lang w:val="en-US" w:eastAsia="zh-CN"/>
        </w:rPr>
        <w:t>13</w:t>
      </w:r>
      <w:r>
        <w:rPr>
          <w:rFonts w:hint="default"/>
          <w:color w:val="auto"/>
          <w:lang w:val="en-US" w:eastAsia="zh-CN"/>
        </w:rPr>
        <w:t>kg/h）、</w:t>
      </w:r>
      <w:r>
        <w:rPr>
          <w:rFonts w:hint="eastAsia"/>
          <w:color w:val="auto"/>
          <w:lang w:val="en-US" w:eastAsia="zh-CN"/>
        </w:rPr>
        <w:t>0.00042</w:t>
      </w:r>
      <w:r>
        <w:rPr>
          <w:rFonts w:hint="default"/>
          <w:color w:val="auto"/>
          <w:lang w:val="en-US" w:eastAsia="zh-CN"/>
        </w:rPr>
        <w:t>t/a（0.000</w:t>
      </w:r>
      <w:r>
        <w:rPr>
          <w:rFonts w:hint="eastAsia"/>
          <w:color w:val="auto"/>
          <w:lang w:val="en-US" w:eastAsia="zh-CN"/>
        </w:rPr>
        <w:t>053</w:t>
      </w:r>
      <w:r>
        <w:rPr>
          <w:rFonts w:hint="default"/>
          <w:color w:val="auto"/>
          <w:lang w:val="en-US" w:eastAsia="zh-CN"/>
        </w:rPr>
        <w:t>kg/h）</w:t>
      </w:r>
      <w:r>
        <w:rPr>
          <w:rFonts w:hint="eastAsia"/>
          <w:color w:val="auto"/>
          <w:lang w:val="en-US" w:eastAsia="zh-CN"/>
        </w:rPr>
        <w:t>，</w:t>
      </w:r>
      <w:r>
        <w:rPr>
          <w:rFonts w:hint="default"/>
          <w:color w:val="auto"/>
          <w:lang w:val="en-US" w:eastAsia="zh-CN"/>
        </w:rPr>
        <w:t>排放浓度分别为</w:t>
      </w:r>
      <w:r>
        <w:rPr>
          <w:rFonts w:hint="eastAsia"/>
          <w:color w:val="auto"/>
          <w:lang w:val="en-US" w:eastAsia="zh-CN"/>
        </w:rPr>
        <w:t>1.3mg</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w:t>
      </w:r>
      <w:r>
        <w:rPr>
          <w:rFonts w:hint="eastAsia"/>
          <w:color w:val="auto"/>
          <w:lang w:val="en-US" w:eastAsia="zh-CN"/>
        </w:rPr>
        <w:t>0.053mg</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w:t>
      </w:r>
    </w:p>
    <w:p w14:paraId="77BA6E42">
      <w:pPr>
        <w:pageBreakBefore w:val="0"/>
        <w:kinsoku/>
        <w:wordWrap/>
        <w:topLinePunct w:val="0"/>
        <w:bidi w:val="0"/>
        <w:adjustRightInd/>
        <w:snapToGrid/>
        <w:ind w:left="0" w:leftChars="0"/>
        <w:rPr>
          <w:rFonts w:hint="default"/>
          <w:color w:val="0000FF"/>
          <w:lang w:val="en-US" w:eastAsia="zh-CN"/>
        </w:rPr>
        <w:sectPr>
          <w:headerReference r:id="rId15" w:type="default"/>
          <w:footerReference r:id="rId16"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27A1851">
      <w:pPr>
        <w:pageBreakBefore w:val="0"/>
        <w:kinsoku/>
        <w:wordWrap/>
        <w:topLinePunct w:val="0"/>
        <w:bidi w:val="0"/>
        <w:adjustRightInd/>
        <w:snapToGrid/>
        <w:spacing w:line="240" w:lineRule="auto"/>
        <w:ind w:left="0" w:leftChars="0" w:firstLine="420" w:firstLineChars="200"/>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Cs/>
          <w:color w:val="auto"/>
          <w:sz w:val="21"/>
          <w:szCs w:val="21"/>
          <w:highlight w:val="none"/>
        </w:rPr>
        <w:t>表2.</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w:t>
      </w:r>
      <w:r>
        <w:rPr>
          <w:rFonts w:hint="eastAsia" w:eastAsia="宋体" w:cs="Times New Roman"/>
          <w:bCs/>
          <w:color w:val="auto"/>
          <w:sz w:val="21"/>
          <w:szCs w:val="21"/>
          <w:highlight w:val="none"/>
          <w:lang w:val="en-US" w:eastAsia="zh-CN"/>
        </w:rPr>
        <w:t>7</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本项目大气污染物有组织排放源强及排放情况</w:t>
      </w:r>
    </w:p>
    <w:tbl>
      <w:tblPr>
        <w:tblStyle w:val="27"/>
        <w:tblW w:w="4900" w:type="pct"/>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680"/>
        <w:gridCol w:w="849"/>
        <w:gridCol w:w="1082"/>
        <w:gridCol w:w="943"/>
        <w:gridCol w:w="3508"/>
        <w:gridCol w:w="923"/>
        <w:gridCol w:w="1082"/>
        <w:gridCol w:w="944"/>
        <w:gridCol w:w="680"/>
        <w:gridCol w:w="723"/>
        <w:gridCol w:w="1297"/>
      </w:tblGrid>
      <w:tr w14:paraId="47A18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0" w:type="dxa"/>
            <w:vMerge w:val="restart"/>
            <w:noWrap w:val="0"/>
            <w:vAlign w:val="center"/>
          </w:tcPr>
          <w:p w14:paraId="2A9AC5B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w:t>
            </w:r>
          </w:p>
        </w:tc>
        <w:tc>
          <w:tcPr>
            <w:tcW w:w="680" w:type="dxa"/>
            <w:vMerge w:val="restart"/>
            <w:noWrap w:val="0"/>
            <w:vAlign w:val="center"/>
          </w:tcPr>
          <w:p w14:paraId="4A7BC43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w:t>
            </w:r>
          </w:p>
        </w:tc>
        <w:tc>
          <w:tcPr>
            <w:tcW w:w="2874" w:type="dxa"/>
            <w:gridSpan w:val="3"/>
            <w:noWrap w:val="0"/>
            <w:vAlign w:val="center"/>
          </w:tcPr>
          <w:p w14:paraId="68FB2D4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产生情况</w:t>
            </w:r>
          </w:p>
        </w:tc>
        <w:tc>
          <w:tcPr>
            <w:tcW w:w="3508" w:type="dxa"/>
            <w:vMerge w:val="restart"/>
            <w:noWrap w:val="0"/>
            <w:vAlign w:val="center"/>
          </w:tcPr>
          <w:p w14:paraId="319A6D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治理措施</w:t>
            </w:r>
          </w:p>
        </w:tc>
        <w:tc>
          <w:tcPr>
            <w:tcW w:w="2949" w:type="dxa"/>
            <w:gridSpan w:val="3"/>
            <w:noWrap w:val="0"/>
            <w:vAlign w:val="center"/>
          </w:tcPr>
          <w:p w14:paraId="7374E2F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排放情况</w:t>
            </w:r>
          </w:p>
        </w:tc>
        <w:tc>
          <w:tcPr>
            <w:tcW w:w="1403" w:type="dxa"/>
            <w:gridSpan w:val="2"/>
            <w:noWrap w:val="0"/>
            <w:vAlign w:val="center"/>
          </w:tcPr>
          <w:p w14:paraId="4894C3C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排气筒</w:t>
            </w:r>
          </w:p>
        </w:tc>
        <w:tc>
          <w:tcPr>
            <w:tcW w:w="1297" w:type="dxa"/>
            <w:vMerge w:val="restart"/>
            <w:noWrap w:val="0"/>
            <w:vAlign w:val="center"/>
          </w:tcPr>
          <w:p w14:paraId="4A76A9B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排放标准速率（kg/h）</w:t>
            </w:r>
          </w:p>
        </w:tc>
      </w:tr>
      <w:tr w14:paraId="07306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0" w:type="dxa"/>
            <w:vMerge w:val="continue"/>
            <w:noWrap w:val="0"/>
            <w:vAlign w:val="center"/>
          </w:tcPr>
          <w:p w14:paraId="46F4724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80" w:type="dxa"/>
            <w:vMerge w:val="continue"/>
            <w:noWrap w:val="0"/>
            <w:vAlign w:val="center"/>
          </w:tcPr>
          <w:p w14:paraId="5B5C902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849" w:type="dxa"/>
            <w:noWrap w:val="0"/>
            <w:vAlign w:val="center"/>
          </w:tcPr>
          <w:p w14:paraId="4231D8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w:t>
            </w:r>
          </w:p>
          <w:p w14:paraId="1050BA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mg/m</w:t>
            </w:r>
            <w:r>
              <w:rPr>
                <w:rFonts w:hint="default" w:ascii="Times New Roman" w:hAnsi="Times New Roman" w:eastAsia="宋体" w:cs="Times New Roman"/>
                <w:b/>
                <w:bCs/>
                <w:color w:val="auto"/>
                <w:kern w:val="0"/>
                <w:sz w:val="21"/>
                <w:szCs w:val="21"/>
                <w:highlight w:val="none"/>
                <w:vertAlign w:val="superscript"/>
              </w:rPr>
              <w:t>3</w:t>
            </w:r>
          </w:p>
        </w:tc>
        <w:tc>
          <w:tcPr>
            <w:tcW w:w="1082" w:type="dxa"/>
            <w:noWrap w:val="0"/>
            <w:vAlign w:val="center"/>
          </w:tcPr>
          <w:p w14:paraId="0F8A22B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产生速率</w:t>
            </w:r>
          </w:p>
          <w:p w14:paraId="7620C51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kg/h</w:t>
            </w:r>
          </w:p>
        </w:tc>
        <w:tc>
          <w:tcPr>
            <w:tcW w:w="943" w:type="dxa"/>
            <w:noWrap w:val="0"/>
            <w:vAlign w:val="center"/>
          </w:tcPr>
          <w:p w14:paraId="3EA588E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w:t>
            </w:r>
          </w:p>
          <w:p w14:paraId="5724653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t/a</w:t>
            </w:r>
          </w:p>
        </w:tc>
        <w:tc>
          <w:tcPr>
            <w:tcW w:w="3508" w:type="dxa"/>
            <w:vMerge w:val="continue"/>
            <w:noWrap w:val="0"/>
            <w:vAlign w:val="center"/>
          </w:tcPr>
          <w:p w14:paraId="488201F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p>
        </w:tc>
        <w:tc>
          <w:tcPr>
            <w:tcW w:w="923" w:type="dxa"/>
            <w:noWrap w:val="0"/>
            <w:vAlign w:val="center"/>
          </w:tcPr>
          <w:p w14:paraId="064F770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w:t>
            </w:r>
          </w:p>
          <w:p w14:paraId="6237564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mg/m</w:t>
            </w:r>
            <w:r>
              <w:rPr>
                <w:rFonts w:hint="default" w:ascii="Times New Roman" w:hAnsi="Times New Roman" w:eastAsia="宋体" w:cs="Times New Roman"/>
                <w:b/>
                <w:bCs/>
                <w:color w:val="auto"/>
                <w:kern w:val="0"/>
                <w:sz w:val="21"/>
                <w:szCs w:val="21"/>
                <w:highlight w:val="none"/>
                <w:vertAlign w:val="superscript"/>
              </w:rPr>
              <w:t>3</w:t>
            </w:r>
          </w:p>
        </w:tc>
        <w:tc>
          <w:tcPr>
            <w:tcW w:w="1082" w:type="dxa"/>
            <w:noWrap w:val="0"/>
            <w:vAlign w:val="center"/>
          </w:tcPr>
          <w:p w14:paraId="4534CA1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排放速率</w:t>
            </w:r>
          </w:p>
          <w:p w14:paraId="0561A48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kg/h</w:t>
            </w:r>
          </w:p>
        </w:tc>
        <w:tc>
          <w:tcPr>
            <w:tcW w:w="944" w:type="dxa"/>
            <w:noWrap w:val="0"/>
            <w:vAlign w:val="center"/>
          </w:tcPr>
          <w:p w14:paraId="7F7B387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排放量</w:t>
            </w:r>
          </w:p>
          <w:p w14:paraId="279EDC9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t/a</w:t>
            </w:r>
          </w:p>
        </w:tc>
        <w:tc>
          <w:tcPr>
            <w:tcW w:w="680" w:type="dxa"/>
            <w:noWrap w:val="0"/>
            <w:vAlign w:val="center"/>
          </w:tcPr>
          <w:p w14:paraId="3A3005A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高度</w:t>
            </w:r>
          </w:p>
          <w:p w14:paraId="45760D7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m</w:t>
            </w:r>
          </w:p>
        </w:tc>
        <w:tc>
          <w:tcPr>
            <w:tcW w:w="723" w:type="dxa"/>
            <w:noWrap w:val="0"/>
            <w:vAlign w:val="center"/>
          </w:tcPr>
          <w:p w14:paraId="79F0D08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内径</w:t>
            </w:r>
          </w:p>
          <w:p w14:paraId="7EEA35C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m</w:t>
            </w:r>
          </w:p>
        </w:tc>
        <w:tc>
          <w:tcPr>
            <w:tcW w:w="1297" w:type="dxa"/>
            <w:vMerge w:val="continue"/>
            <w:noWrap w:val="0"/>
            <w:vAlign w:val="center"/>
          </w:tcPr>
          <w:p w14:paraId="48B8AF4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r>
      <w:tr w14:paraId="0CBC5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0" w:type="dxa"/>
            <w:vMerge w:val="restart"/>
            <w:noWrap w:val="0"/>
            <w:vAlign w:val="center"/>
          </w:tcPr>
          <w:p w14:paraId="683A17F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待宰圈</w:t>
            </w:r>
            <w:r>
              <w:rPr>
                <w:rFonts w:hint="eastAsia" w:ascii="Times New Roman" w:hAnsi="Times New Roman" w:eastAsia="宋体" w:cs="Times New Roman"/>
                <w:color w:val="auto"/>
                <w:kern w:val="0"/>
                <w:sz w:val="21"/>
                <w:szCs w:val="21"/>
                <w:highlight w:val="none"/>
                <w:lang w:val="en-US" w:eastAsia="zh-CN"/>
              </w:rPr>
              <w:t>（DA001）</w:t>
            </w:r>
          </w:p>
        </w:tc>
        <w:tc>
          <w:tcPr>
            <w:tcW w:w="680" w:type="dxa"/>
            <w:shd w:val="clear" w:color="auto" w:fill="auto"/>
            <w:noWrap w:val="0"/>
            <w:vAlign w:val="center"/>
          </w:tcPr>
          <w:p w14:paraId="28AC74E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849" w:type="dxa"/>
            <w:noWrap w:val="0"/>
            <w:vAlign w:val="center"/>
          </w:tcPr>
          <w:p w14:paraId="271DC4B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1.57</w:t>
            </w:r>
          </w:p>
        </w:tc>
        <w:tc>
          <w:tcPr>
            <w:tcW w:w="1082" w:type="dxa"/>
            <w:noWrap w:val="0"/>
            <w:vAlign w:val="center"/>
          </w:tcPr>
          <w:p w14:paraId="4E7AC14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0.022</w:t>
            </w:r>
          </w:p>
        </w:tc>
        <w:tc>
          <w:tcPr>
            <w:tcW w:w="943" w:type="dxa"/>
            <w:noWrap w:val="0"/>
            <w:vAlign w:val="center"/>
          </w:tcPr>
          <w:p w14:paraId="74275AA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0.173</w:t>
            </w:r>
          </w:p>
        </w:tc>
        <w:tc>
          <w:tcPr>
            <w:tcW w:w="3508" w:type="dxa"/>
            <w:vMerge w:val="restart"/>
            <w:noWrap w:val="0"/>
            <w:vAlign w:val="center"/>
          </w:tcPr>
          <w:p w14:paraId="711275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负压收集+</w:t>
            </w:r>
            <w:r>
              <w:rPr>
                <w:rFonts w:hint="eastAsia" w:ascii="Times New Roman" w:hAnsi="Times New Roman" w:eastAsia="宋体" w:cs="Times New Roman"/>
                <w:color w:val="auto"/>
                <w:sz w:val="21"/>
                <w:szCs w:val="21"/>
                <w:highlight w:val="none"/>
                <w:lang w:val="en-US" w:eastAsia="zh-CN"/>
              </w:rPr>
              <w:t>二级活性炭吸附装置（设计风量</w:t>
            </w:r>
            <w:r>
              <w:rPr>
                <w:rFonts w:hint="eastAsia" w:eastAsia="宋体" w:cs="Times New Roman"/>
                <w:color w:val="auto"/>
                <w:sz w:val="21"/>
                <w:szCs w:val="21"/>
                <w:highlight w:val="none"/>
                <w:lang w:val="en-US" w:eastAsia="zh-CN"/>
              </w:rPr>
              <w:t>14</w:t>
            </w:r>
            <w:r>
              <w:rPr>
                <w:rFonts w:hint="eastAsia" w:ascii="Times New Roman" w:hAnsi="Times New Roman" w:eastAsia="宋体" w:cs="Times New Roman"/>
                <w:color w:val="auto"/>
                <w:sz w:val="21"/>
                <w:szCs w:val="21"/>
                <w:highlight w:val="none"/>
                <w:lang w:val="en-US" w:eastAsia="zh-CN"/>
              </w:rPr>
              <w:t>000m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r>
              <w:rPr>
                <w:rFonts w:hint="eastAsia" w:eastAsia="宋体" w:cs="Times New Roman"/>
                <w:color w:val="auto"/>
                <w:sz w:val="21"/>
                <w:szCs w:val="21"/>
                <w:highlight w:val="none"/>
                <w:lang w:val="en-US" w:eastAsia="zh-CN"/>
              </w:rPr>
              <w:t>收集效率90%，</w:t>
            </w:r>
            <w:r>
              <w:rPr>
                <w:rFonts w:hint="eastAsia" w:ascii="Times New Roman" w:hAnsi="Times New Roman" w:eastAsia="宋体" w:cs="Times New Roman"/>
                <w:color w:val="auto"/>
                <w:sz w:val="21"/>
                <w:szCs w:val="21"/>
                <w:highlight w:val="none"/>
                <w:lang w:val="en-US" w:eastAsia="zh-CN"/>
              </w:rPr>
              <w:t>处理效率80%）+1根20m排气筒</w:t>
            </w:r>
          </w:p>
        </w:tc>
        <w:tc>
          <w:tcPr>
            <w:tcW w:w="923" w:type="dxa"/>
            <w:noWrap w:val="0"/>
            <w:vAlign w:val="center"/>
          </w:tcPr>
          <w:p w14:paraId="389536F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0.28</w:t>
            </w:r>
          </w:p>
        </w:tc>
        <w:tc>
          <w:tcPr>
            <w:tcW w:w="1082" w:type="dxa"/>
            <w:noWrap w:val="0"/>
            <w:vAlign w:val="center"/>
          </w:tcPr>
          <w:p w14:paraId="2EBCCE20">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0.0039</w:t>
            </w:r>
          </w:p>
        </w:tc>
        <w:tc>
          <w:tcPr>
            <w:tcW w:w="944" w:type="dxa"/>
            <w:noWrap w:val="0"/>
            <w:vAlign w:val="center"/>
          </w:tcPr>
          <w:p w14:paraId="1FF812AD">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0.031</w:t>
            </w:r>
          </w:p>
        </w:tc>
        <w:tc>
          <w:tcPr>
            <w:tcW w:w="680" w:type="dxa"/>
            <w:vMerge w:val="restart"/>
            <w:noWrap w:val="0"/>
            <w:vAlign w:val="center"/>
          </w:tcPr>
          <w:p w14:paraId="7DE8D94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20</w:t>
            </w:r>
          </w:p>
        </w:tc>
        <w:tc>
          <w:tcPr>
            <w:tcW w:w="723" w:type="dxa"/>
            <w:vMerge w:val="restart"/>
            <w:noWrap w:val="0"/>
            <w:vAlign w:val="center"/>
          </w:tcPr>
          <w:p w14:paraId="640A8CF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0.6</w:t>
            </w:r>
          </w:p>
        </w:tc>
        <w:tc>
          <w:tcPr>
            <w:tcW w:w="1297" w:type="dxa"/>
            <w:noWrap w:val="0"/>
            <w:vAlign w:val="center"/>
          </w:tcPr>
          <w:p w14:paraId="28BD79F3">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8.7</w:t>
            </w:r>
          </w:p>
        </w:tc>
      </w:tr>
      <w:tr w14:paraId="26E54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0" w:type="dxa"/>
            <w:vMerge w:val="continue"/>
            <w:noWrap w:val="0"/>
            <w:vAlign w:val="center"/>
          </w:tcPr>
          <w:p w14:paraId="526E251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80" w:type="dxa"/>
            <w:shd w:val="clear" w:color="auto" w:fill="auto"/>
            <w:noWrap w:val="0"/>
            <w:vAlign w:val="center"/>
          </w:tcPr>
          <w:p w14:paraId="502278B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849" w:type="dxa"/>
            <w:noWrap w:val="0"/>
            <w:vAlign w:val="center"/>
          </w:tcPr>
          <w:p w14:paraId="59C7033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0.107</w:t>
            </w:r>
          </w:p>
        </w:tc>
        <w:tc>
          <w:tcPr>
            <w:tcW w:w="1082" w:type="dxa"/>
            <w:noWrap w:val="0"/>
            <w:vAlign w:val="center"/>
          </w:tcPr>
          <w:p w14:paraId="390E6C8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0.0015</w:t>
            </w:r>
          </w:p>
        </w:tc>
        <w:tc>
          <w:tcPr>
            <w:tcW w:w="943" w:type="dxa"/>
            <w:noWrap w:val="0"/>
            <w:vAlign w:val="center"/>
          </w:tcPr>
          <w:p w14:paraId="16A23B7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0.012</w:t>
            </w:r>
          </w:p>
        </w:tc>
        <w:tc>
          <w:tcPr>
            <w:tcW w:w="3508" w:type="dxa"/>
            <w:vMerge w:val="continue"/>
            <w:noWrap w:val="0"/>
            <w:vAlign w:val="center"/>
          </w:tcPr>
          <w:p w14:paraId="29CC9F0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23" w:type="dxa"/>
            <w:noWrap w:val="0"/>
            <w:vAlign w:val="center"/>
          </w:tcPr>
          <w:p w14:paraId="42DE62D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0.02</w:t>
            </w:r>
          </w:p>
        </w:tc>
        <w:tc>
          <w:tcPr>
            <w:tcW w:w="1082" w:type="dxa"/>
            <w:noWrap w:val="0"/>
            <w:vAlign w:val="center"/>
          </w:tcPr>
          <w:p w14:paraId="35AC07E8">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0.00027</w:t>
            </w:r>
          </w:p>
        </w:tc>
        <w:tc>
          <w:tcPr>
            <w:tcW w:w="944" w:type="dxa"/>
            <w:noWrap w:val="0"/>
            <w:vAlign w:val="center"/>
          </w:tcPr>
          <w:p w14:paraId="605B0880">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0.0022</w:t>
            </w:r>
          </w:p>
        </w:tc>
        <w:tc>
          <w:tcPr>
            <w:tcW w:w="680" w:type="dxa"/>
            <w:vMerge w:val="continue"/>
            <w:noWrap w:val="0"/>
            <w:vAlign w:val="center"/>
          </w:tcPr>
          <w:p w14:paraId="76E0D90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23" w:type="dxa"/>
            <w:vMerge w:val="continue"/>
            <w:noWrap w:val="0"/>
            <w:vAlign w:val="center"/>
          </w:tcPr>
          <w:p w14:paraId="24FEABF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297" w:type="dxa"/>
            <w:noWrap w:val="0"/>
            <w:vAlign w:val="center"/>
          </w:tcPr>
          <w:p w14:paraId="7BE663A6">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0.58</w:t>
            </w:r>
          </w:p>
        </w:tc>
      </w:tr>
      <w:tr w14:paraId="16870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0" w:type="dxa"/>
            <w:vMerge w:val="restart"/>
            <w:noWrap w:val="0"/>
            <w:vAlign w:val="center"/>
          </w:tcPr>
          <w:p w14:paraId="3B2E7E8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污水处理站（</w:t>
            </w:r>
            <w:r>
              <w:rPr>
                <w:rFonts w:hint="eastAsia" w:ascii="Times New Roman" w:hAnsi="Times New Roman" w:eastAsia="宋体" w:cs="Times New Roman"/>
                <w:color w:val="auto"/>
                <w:kern w:val="0"/>
                <w:sz w:val="21"/>
                <w:szCs w:val="21"/>
                <w:highlight w:val="none"/>
                <w:lang w:val="en-US" w:eastAsia="zh-CN"/>
              </w:rPr>
              <w:t>DA002</w:t>
            </w:r>
            <w:r>
              <w:rPr>
                <w:rFonts w:hint="default" w:ascii="Times New Roman" w:hAnsi="Times New Roman" w:eastAsia="宋体" w:cs="Times New Roman"/>
                <w:color w:val="auto"/>
                <w:kern w:val="0"/>
                <w:sz w:val="21"/>
                <w:szCs w:val="21"/>
                <w:highlight w:val="none"/>
              </w:rPr>
              <w:t>）</w:t>
            </w:r>
          </w:p>
        </w:tc>
        <w:tc>
          <w:tcPr>
            <w:tcW w:w="680" w:type="dxa"/>
            <w:noWrap w:val="0"/>
            <w:vAlign w:val="center"/>
          </w:tcPr>
          <w:p w14:paraId="20068C8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849" w:type="dxa"/>
            <w:noWrap w:val="0"/>
            <w:vAlign w:val="center"/>
          </w:tcPr>
          <w:p w14:paraId="23A17BE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6.7</w:t>
            </w:r>
          </w:p>
        </w:tc>
        <w:tc>
          <w:tcPr>
            <w:tcW w:w="1082" w:type="dxa"/>
            <w:noWrap w:val="0"/>
            <w:vAlign w:val="center"/>
          </w:tcPr>
          <w:p w14:paraId="1259B6C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0.0067</w:t>
            </w:r>
          </w:p>
        </w:tc>
        <w:tc>
          <w:tcPr>
            <w:tcW w:w="943" w:type="dxa"/>
            <w:noWrap w:val="0"/>
            <w:vAlign w:val="center"/>
          </w:tcPr>
          <w:p w14:paraId="3F7E16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0.053</w:t>
            </w:r>
          </w:p>
        </w:tc>
        <w:tc>
          <w:tcPr>
            <w:tcW w:w="3508" w:type="dxa"/>
            <w:vMerge w:val="restart"/>
            <w:noWrap w:val="0"/>
            <w:vAlign w:val="center"/>
          </w:tcPr>
          <w:p w14:paraId="45F5B79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sz w:val="21"/>
                <w:szCs w:val="21"/>
                <w:highlight w:val="none"/>
                <w:lang w:val="en-US" w:eastAsia="zh-CN"/>
              </w:rPr>
              <w:t>全密闭收集</w:t>
            </w:r>
            <w:r>
              <w:rPr>
                <w:rFonts w:hint="default" w:ascii="Times New Roman" w:hAnsi="Times New Roman" w:eastAsia="宋体" w:cs="Times New Roman"/>
                <w:color w:val="auto"/>
                <w:sz w:val="21"/>
                <w:szCs w:val="21"/>
                <w:highlight w:val="none"/>
              </w:rPr>
              <w:t>+二级活性炭吸附装置（</w:t>
            </w:r>
            <w:r>
              <w:rPr>
                <w:rFonts w:hint="eastAsia" w:ascii="Times New Roman" w:hAnsi="Times New Roman" w:eastAsia="宋体" w:cs="Times New Roman"/>
                <w:color w:val="auto"/>
                <w:sz w:val="21"/>
                <w:szCs w:val="21"/>
                <w:highlight w:val="none"/>
                <w:lang w:val="en-US" w:eastAsia="zh-CN"/>
              </w:rPr>
              <w:t>设计风量1000m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rPr>
              <w:t>处理效率80%）+1座</w:t>
            </w:r>
            <w:r>
              <w:rPr>
                <w:rFonts w:hint="eastAsia"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m排气筒</w:t>
            </w:r>
          </w:p>
        </w:tc>
        <w:tc>
          <w:tcPr>
            <w:tcW w:w="923" w:type="dxa"/>
            <w:noWrap w:val="0"/>
            <w:vAlign w:val="center"/>
          </w:tcPr>
          <w:p w14:paraId="29F483B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1.3</w:t>
            </w:r>
          </w:p>
        </w:tc>
        <w:tc>
          <w:tcPr>
            <w:tcW w:w="1082" w:type="dxa"/>
            <w:noWrap w:val="0"/>
            <w:vAlign w:val="center"/>
          </w:tcPr>
          <w:p w14:paraId="211B7D74">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0.0013</w:t>
            </w:r>
          </w:p>
        </w:tc>
        <w:tc>
          <w:tcPr>
            <w:tcW w:w="944" w:type="dxa"/>
            <w:noWrap w:val="0"/>
            <w:vAlign w:val="center"/>
          </w:tcPr>
          <w:p w14:paraId="23EDA5DB">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0.0106</w:t>
            </w:r>
          </w:p>
        </w:tc>
        <w:tc>
          <w:tcPr>
            <w:tcW w:w="680" w:type="dxa"/>
            <w:vMerge w:val="restart"/>
            <w:noWrap w:val="0"/>
            <w:vAlign w:val="center"/>
          </w:tcPr>
          <w:p w14:paraId="45AEE6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20</w:t>
            </w:r>
          </w:p>
        </w:tc>
        <w:tc>
          <w:tcPr>
            <w:tcW w:w="723" w:type="dxa"/>
            <w:vMerge w:val="restart"/>
            <w:noWrap w:val="0"/>
            <w:vAlign w:val="center"/>
          </w:tcPr>
          <w:p w14:paraId="22157B1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0.2</w:t>
            </w:r>
          </w:p>
        </w:tc>
        <w:tc>
          <w:tcPr>
            <w:tcW w:w="1297" w:type="dxa"/>
            <w:shd w:val="clear" w:color="auto" w:fill="auto"/>
            <w:noWrap w:val="0"/>
            <w:vAlign w:val="center"/>
          </w:tcPr>
          <w:p w14:paraId="732D87E2">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8.7</w:t>
            </w:r>
          </w:p>
        </w:tc>
      </w:tr>
      <w:tr w14:paraId="21E3D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0" w:type="dxa"/>
            <w:vMerge w:val="continue"/>
            <w:noWrap w:val="0"/>
            <w:vAlign w:val="center"/>
          </w:tcPr>
          <w:p w14:paraId="23C66EB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80" w:type="dxa"/>
            <w:noWrap w:val="0"/>
            <w:vAlign w:val="center"/>
          </w:tcPr>
          <w:p w14:paraId="75B1B95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849" w:type="dxa"/>
            <w:noWrap w:val="0"/>
            <w:vAlign w:val="center"/>
          </w:tcPr>
          <w:p w14:paraId="3AEC5CF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0.3</w:t>
            </w:r>
          </w:p>
        </w:tc>
        <w:tc>
          <w:tcPr>
            <w:tcW w:w="1082" w:type="dxa"/>
            <w:noWrap w:val="0"/>
            <w:vAlign w:val="center"/>
          </w:tcPr>
          <w:p w14:paraId="49C2D9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0.0003</w:t>
            </w:r>
          </w:p>
        </w:tc>
        <w:tc>
          <w:tcPr>
            <w:tcW w:w="943" w:type="dxa"/>
            <w:noWrap w:val="0"/>
            <w:vAlign w:val="center"/>
          </w:tcPr>
          <w:p w14:paraId="2B9D809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0.0021</w:t>
            </w:r>
          </w:p>
        </w:tc>
        <w:tc>
          <w:tcPr>
            <w:tcW w:w="3508" w:type="dxa"/>
            <w:vMerge w:val="continue"/>
            <w:noWrap w:val="0"/>
            <w:vAlign w:val="center"/>
          </w:tcPr>
          <w:p w14:paraId="41A49C4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23" w:type="dxa"/>
            <w:noWrap w:val="0"/>
            <w:vAlign w:val="center"/>
          </w:tcPr>
          <w:p w14:paraId="66E9281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0.053</w:t>
            </w:r>
          </w:p>
        </w:tc>
        <w:tc>
          <w:tcPr>
            <w:tcW w:w="1082" w:type="dxa"/>
            <w:noWrap w:val="0"/>
            <w:vAlign w:val="center"/>
          </w:tcPr>
          <w:p w14:paraId="282E2550">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0.000053</w:t>
            </w:r>
          </w:p>
        </w:tc>
        <w:tc>
          <w:tcPr>
            <w:tcW w:w="944" w:type="dxa"/>
            <w:noWrap w:val="0"/>
            <w:vAlign w:val="center"/>
          </w:tcPr>
          <w:p w14:paraId="761C7D9D">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0.00042</w:t>
            </w:r>
          </w:p>
        </w:tc>
        <w:tc>
          <w:tcPr>
            <w:tcW w:w="680" w:type="dxa"/>
            <w:vMerge w:val="continue"/>
            <w:noWrap w:val="0"/>
            <w:vAlign w:val="center"/>
          </w:tcPr>
          <w:p w14:paraId="293F972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723" w:type="dxa"/>
            <w:vMerge w:val="continue"/>
            <w:noWrap w:val="0"/>
            <w:vAlign w:val="center"/>
          </w:tcPr>
          <w:p w14:paraId="0B53F1B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297" w:type="dxa"/>
            <w:shd w:val="clear" w:color="auto" w:fill="auto"/>
            <w:noWrap w:val="0"/>
            <w:vAlign w:val="center"/>
          </w:tcPr>
          <w:p w14:paraId="460143E7">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0.58</w:t>
            </w:r>
          </w:p>
        </w:tc>
      </w:tr>
    </w:tbl>
    <w:p w14:paraId="6C4A48F0">
      <w:pPr>
        <w:pageBreakBefore w:val="0"/>
        <w:kinsoku/>
        <w:wordWrap/>
        <w:topLinePunct w:val="0"/>
        <w:bidi w:val="0"/>
        <w:adjustRightInd/>
        <w:snapToGrid/>
        <w:spacing w:line="240" w:lineRule="auto"/>
        <w:ind w:left="0" w:leftChars="0" w:firstLine="420" w:firstLineChars="200"/>
        <w:jc w:val="both"/>
        <w:rPr>
          <w:rFonts w:hint="default" w:ascii="Times New Roman" w:hAnsi="Times New Roman" w:eastAsia="仿宋_GB2312" w:cs="Times New Roman"/>
          <w:b/>
          <w:color w:val="auto"/>
          <w:sz w:val="24"/>
          <w:highlight w:val="none"/>
        </w:rPr>
      </w:pPr>
      <w:r>
        <w:rPr>
          <w:rFonts w:hint="default" w:ascii="Times New Roman" w:hAnsi="Times New Roman" w:eastAsia="宋体" w:cs="Times New Roman"/>
          <w:bCs/>
          <w:color w:val="auto"/>
          <w:sz w:val="21"/>
          <w:szCs w:val="21"/>
          <w:highlight w:val="none"/>
        </w:rPr>
        <w:t>表2.</w:t>
      </w:r>
      <w:r>
        <w:rPr>
          <w:rFonts w:hint="eastAsia"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w:t>
      </w:r>
      <w:r>
        <w:rPr>
          <w:rFonts w:hint="eastAsia" w:eastAsia="宋体" w:cs="Times New Roman"/>
          <w:bCs/>
          <w:color w:val="auto"/>
          <w:sz w:val="21"/>
          <w:szCs w:val="21"/>
          <w:highlight w:val="none"/>
          <w:lang w:val="en-US" w:eastAsia="zh-CN"/>
        </w:rPr>
        <w:t>9</w:t>
      </w:r>
      <w:r>
        <w:rPr>
          <w:rFonts w:hint="eastAsia"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
          <w:color w:val="auto"/>
          <w:sz w:val="24"/>
          <w:highlight w:val="none"/>
        </w:rPr>
        <w:t>本项目大气污染物无组织排放源强及排放情况</w:t>
      </w:r>
    </w:p>
    <w:tbl>
      <w:tblPr>
        <w:tblStyle w:val="27"/>
        <w:tblW w:w="4900" w:type="pct"/>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072"/>
        <w:gridCol w:w="1273"/>
        <w:gridCol w:w="1516"/>
        <w:gridCol w:w="1283"/>
        <w:gridCol w:w="1983"/>
        <w:gridCol w:w="1294"/>
        <w:gridCol w:w="1548"/>
        <w:gridCol w:w="1105"/>
        <w:gridCol w:w="1457"/>
      </w:tblGrid>
      <w:tr w14:paraId="39160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0" w:type="dxa"/>
            <w:vMerge w:val="restart"/>
            <w:noWrap w:val="0"/>
            <w:vAlign w:val="center"/>
          </w:tcPr>
          <w:p w14:paraId="6EAE654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w:t>
            </w:r>
          </w:p>
        </w:tc>
        <w:tc>
          <w:tcPr>
            <w:tcW w:w="1072" w:type="dxa"/>
            <w:vMerge w:val="restart"/>
            <w:noWrap w:val="0"/>
            <w:vAlign w:val="center"/>
          </w:tcPr>
          <w:p w14:paraId="2C4BB70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w:t>
            </w:r>
          </w:p>
        </w:tc>
        <w:tc>
          <w:tcPr>
            <w:tcW w:w="4072" w:type="dxa"/>
            <w:gridSpan w:val="3"/>
            <w:noWrap w:val="0"/>
            <w:vAlign w:val="center"/>
          </w:tcPr>
          <w:p w14:paraId="3A83EC3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产生情况</w:t>
            </w:r>
          </w:p>
        </w:tc>
        <w:tc>
          <w:tcPr>
            <w:tcW w:w="1983" w:type="dxa"/>
            <w:vMerge w:val="restart"/>
            <w:noWrap w:val="0"/>
            <w:vAlign w:val="center"/>
          </w:tcPr>
          <w:p w14:paraId="7145011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治理措施</w:t>
            </w:r>
          </w:p>
        </w:tc>
        <w:tc>
          <w:tcPr>
            <w:tcW w:w="3947" w:type="dxa"/>
            <w:gridSpan w:val="3"/>
            <w:noWrap w:val="0"/>
            <w:vAlign w:val="center"/>
          </w:tcPr>
          <w:p w14:paraId="4934027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排放情况</w:t>
            </w:r>
          </w:p>
        </w:tc>
        <w:tc>
          <w:tcPr>
            <w:tcW w:w="1457" w:type="dxa"/>
            <w:vMerge w:val="restart"/>
            <w:noWrap w:val="0"/>
            <w:vAlign w:val="center"/>
          </w:tcPr>
          <w:p w14:paraId="3A61D1A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rPr>
              <w:t>排放标准浓度（</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r>
              <w:rPr>
                <w:rFonts w:hint="eastAsia" w:ascii="Times New Roman" w:hAnsi="Times New Roman" w:eastAsia="宋体" w:cs="Times New Roman"/>
                <w:b/>
                <w:bCs/>
                <w:color w:val="auto"/>
                <w:kern w:val="0"/>
                <w:sz w:val="21"/>
                <w:szCs w:val="21"/>
                <w:highlight w:val="none"/>
                <w:lang w:val="en-US" w:eastAsia="zh-CN"/>
              </w:rPr>
              <w:t>）</w:t>
            </w:r>
          </w:p>
        </w:tc>
      </w:tr>
      <w:tr w14:paraId="13A34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0" w:type="dxa"/>
            <w:vMerge w:val="continue"/>
            <w:noWrap w:val="0"/>
            <w:vAlign w:val="center"/>
          </w:tcPr>
          <w:p w14:paraId="72FD681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072" w:type="dxa"/>
            <w:vMerge w:val="continue"/>
            <w:noWrap w:val="0"/>
            <w:vAlign w:val="center"/>
          </w:tcPr>
          <w:p w14:paraId="272563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273" w:type="dxa"/>
            <w:noWrap w:val="0"/>
            <w:vAlign w:val="center"/>
          </w:tcPr>
          <w:p w14:paraId="0D9270D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浓度mg/m</w:t>
            </w:r>
            <w:r>
              <w:rPr>
                <w:rFonts w:hint="default" w:ascii="Times New Roman" w:hAnsi="Times New Roman" w:eastAsia="宋体" w:cs="Times New Roman"/>
                <w:b/>
                <w:bCs/>
                <w:color w:val="auto"/>
                <w:kern w:val="0"/>
                <w:sz w:val="21"/>
                <w:szCs w:val="21"/>
                <w:highlight w:val="none"/>
                <w:vertAlign w:val="superscript"/>
              </w:rPr>
              <w:t>3</w:t>
            </w:r>
          </w:p>
        </w:tc>
        <w:tc>
          <w:tcPr>
            <w:tcW w:w="1516" w:type="dxa"/>
            <w:noWrap w:val="0"/>
            <w:vAlign w:val="center"/>
          </w:tcPr>
          <w:p w14:paraId="28EF7F8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产生速率kg/h</w:t>
            </w:r>
          </w:p>
        </w:tc>
        <w:tc>
          <w:tcPr>
            <w:tcW w:w="1283" w:type="dxa"/>
            <w:noWrap w:val="0"/>
            <w:vAlign w:val="center"/>
          </w:tcPr>
          <w:p w14:paraId="656486B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产生量t/a</w:t>
            </w:r>
          </w:p>
        </w:tc>
        <w:tc>
          <w:tcPr>
            <w:tcW w:w="1983" w:type="dxa"/>
            <w:vMerge w:val="continue"/>
            <w:noWrap w:val="0"/>
            <w:vAlign w:val="center"/>
          </w:tcPr>
          <w:p w14:paraId="3F33D3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p>
        </w:tc>
        <w:tc>
          <w:tcPr>
            <w:tcW w:w="1294" w:type="dxa"/>
            <w:noWrap w:val="0"/>
            <w:vAlign w:val="center"/>
          </w:tcPr>
          <w:p w14:paraId="3AFE74E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浓度mg/m</w:t>
            </w:r>
            <w:r>
              <w:rPr>
                <w:rFonts w:hint="default" w:ascii="Times New Roman" w:hAnsi="Times New Roman" w:eastAsia="宋体" w:cs="Times New Roman"/>
                <w:b/>
                <w:bCs/>
                <w:color w:val="auto"/>
                <w:kern w:val="0"/>
                <w:sz w:val="21"/>
                <w:szCs w:val="21"/>
                <w:highlight w:val="none"/>
                <w:vertAlign w:val="superscript"/>
              </w:rPr>
              <w:t>3</w:t>
            </w:r>
          </w:p>
        </w:tc>
        <w:tc>
          <w:tcPr>
            <w:tcW w:w="1548" w:type="dxa"/>
            <w:noWrap w:val="0"/>
            <w:vAlign w:val="center"/>
          </w:tcPr>
          <w:p w14:paraId="3B71990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排放速率kg/h</w:t>
            </w:r>
          </w:p>
        </w:tc>
        <w:tc>
          <w:tcPr>
            <w:tcW w:w="1105" w:type="dxa"/>
            <w:noWrap w:val="0"/>
            <w:vAlign w:val="center"/>
          </w:tcPr>
          <w:p w14:paraId="2EF22DE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排放量t/a</w:t>
            </w:r>
          </w:p>
        </w:tc>
        <w:tc>
          <w:tcPr>
            <w:tcW w:w="1457" w:type="dxa"/>
            <w:vMerge w:val="continue"/>
            <w:noWrap w:val="0"/>
            <w:vAlign w:val="center"/>
          </w:tcPr>
          <w:p w14:paraId="2664B56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444CB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60" w:type="dxa"/>
            <w:vMerge w:val="restart"/>
            <w:noWrap w:val="0"/>
            <w:vAlign w:val="center"/>
          </w:tcPr>
          <w:p w14:paraId="384B5E2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屠宰加工车间</w:t>
            </w:r>
            <w:r>
              <w:rPr>
                <w:rFonts w:hint="default" w:ascii="Times New Roman" w:hAnsi="Times New Roman" w:eastAsia="宋体" w:cs="Times New Roman"/>
                <w:color w:val="auto"/>
                <w:kern w:val="0"/>
                <w:sz w:val="21"/>
                <w:szCs w:val="21"/>
                <w:highlight w:val="none"/>
              </w:rPr>
              <w:t>（A1）</w:t>
            </w:r>
          </w:p>
        </w:tc>
        <w:tc>
          <w:tcPr>
            <w:tcW w:w="1072" w:type="dxa"/>
            <w:noWrap w:val="0"/>
            <w:vAlign w:val="center"/>
          </w:tcPr>
          <w:p w14:paraId="5A07D83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1273" w:type="dxa"/>
            <w:noWrap w:val="0"/>
            <w:vAlign w:val="center"/>
          </w:tcPr>
          <w:p w14:paraId="2EF39D83">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16" w:type="dxa"/>
            <w:noWrap w:val="0"/>
            <w:vAlign w:val="center"/>
          </w:tcPr>
          <w:p w14:paraId="0B56F5BA">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0.022</w:t>
            </w:r>
          </w:p>
        </w:tc>
        <w:tc>
          <w:tcPr>
            <w:tcW w:w="1283" w:type="dxa"/>
            <w:noWrap w:val="0"/>
            <w:vAlign w:val="center"/>
          </w:tcPr>
          <w:p w14:paraId="388FA4D8">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0.058</w:t>
            </w:r>
          </w:p>
        </w:tc>
        <w:tc>
          <w:tcPr>
            <w:tcW w:w="1983" w:type="dxa"/>
            <w:vMerge w:val="restart"/>
            <w:noWrap w:val="0"/>
            <w:vAlign w:val="center"/>
          </w:tcPr>
          <w:p w14:paraId="3071D42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sz w:val="21"/>
                <w:szCs w:val="21"/>
                <w:highlight w:val="none"/>
                <w:lang w:val="en-US" w:eastAsia="zh-CN"/>
              </w:rPr>
              <w:t>机械通风系统</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喷洒除臭剂</w:t>
            </w:r>
          </w:p>
        </w:tc>
        <w:tc>
          <w:tcPr>
            <w:tcW w:w="1294" w:type="dxa"/>
            <w:noWrap w:val="0"/>
            <w:vAlign w:val="center"/>
          </w:tcPr>
          <w:p w14:paraId="5C99BAB6">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8" w:type="dxa"/>
            <w:noWrap w:val="0"/>
            <w:vAlign w:val="center"/>
          </w:tcPr>
          <w:p w14:paraId="5763E3CC">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0.011</w:t>
            </w:r>
          </w:p>
        </w:tc>
        <w:tc>
          <w:tcPr>
            <w:tcW w:w="1105" w:type="dxa"/>
            <w:noWrap w:val="0"/>
            <w:vAlign w:val="center"/>
          </w:tcPr>
          <w:p w14:paraId="2D62D311">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0.029</w:t>
            </w:r>
          </w:p>
        </w:tc>
        <w:tc>
          <w:tcPr>
            <w:tcW w:w="1457" w:type="dxa"/>
            <w:noWrap w:val="0"/>
            <w:vAlign w:val="center"/>
          </w:tcPr>
          <w:p w14:paraId="0AA0E9E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1.5</w:t>
            </w:r>
          </w:p>
        </w:tc>
      </w:tr>
      <w:tr w14:paraId="425AE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0" w:type="dxa"/>
            <w:vMerge w:val="continue"/>
            <w:noWrap w:val="0"/>
            <w:vAlign w:val="center"/>
          </w:tcPr>
          <w:p w14:paraId="39DE4F7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072" w:type="dxa"/>
            <w:noWrap w:val="0"/>
            <w:vAlign w:val="center"/>
          </w:tcPr>
          <w:p w14:paraId="4FB9318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1273" w:type="dxa"/>
            <w:noWrap w:val="0"/>
            <w:vAlign w:val="center"/>
          </w:tcPr>
          <w:p w14:paraId="30DD7CD8">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16" w:type="dxa"/>
            <w:noWrap w:val="0"/>
            <w:vAlign w:val="center"/>
          </w:tcPr>
          <w:p w14:paraId="75F8689A">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0.0015</w:t>
            </w:r>
          </w:p>
        </w:tc>
        <w:tc>
          <w:tcPr>
            <w:tcW w:w="1283" w:type="dxa"/>
            <w:noWrap w:val="0"/>
            <w:vAlign w:val="center"/>
          </w:tcPr>
          <w:p w14:paraId="382F54E1">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0.004</w:t>
            </w:r>
          </w:p>
        </w:tc>
        <w:tc>
          <w:tcPr>
            <w:tcW w:w="1983" w:type="dxa"/>
            <w:vMerge w:val="continue"/>
            <w:noWrap w:val="0"/>
            <w:vAlign w:val="center"/>
          </w:tcPr>
          <w:p w14:paraId="418A546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294" w:type="dxa"/>
            <w:noWrap w:val="0"/>
            <w:vAlign w:val="center"/>
          </w:tcPr>
          <w:p w14:paraId="254331A5">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48" w:type="dxa"/>
            <w:noWrap w:val="0"/>
            <w:vAlign w:val="center"/>
          </w:tcPr>
          <w:p w14:paraId="04060AC5">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0.00076</w:t>
            </w:r>
          </w:p>
        </w:tc>
        <w:tc>
          <w:tcPr>
            <w:tcW w:w="1105" w:type="dxa"/>
            <w:noWrap w:val="0"/>
            <w:vAlign w:val="center"/>
          </w:tcPr>
          <w:p w14:paraId="000418B9">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0.002</w:t>
            </w:r>
          </w:p>
        </w:tc>
        <w:tc>
          <w:tcPr>
            <w:tcW w:w="1457" w:type="dxa"/>
            <w:noWrap w:val="0"/>
            <w:vAlign w:val="center"/>
          </w:tcPr>
          <w:p w14:paraId="0D5E589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0.06</w:t>
            </w:r>
          </w:p>
        </w:tc>
      </w:tr>
      <w:tr w14:paraId="699E1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0" w:type="dxa"/>
            <w:vMerge w:val="restart"/>
            <w:noWrap w:val="0"/>
            <w:vAlign w:val="center"/>
          </w:tcPr>
          <w:p w14:paraId="20D72E6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待宰圈</w:t>
            </w:r>
            <w:r>
              <w:rPr>
                <w:rFonts w:hint="default" w:ascii="Times New Roman" w:hAnsi="Times New Roman" w:eastAsia="宋体" w:cs="Times New Roman"/>
                <w:color w:val="auto"/>
                <w:kern w:val="0"/>
                <w:sz w:val="21"/>
                <w:szCs w:val="21"/>
                <w:highlight w:val="none"/>
              </w:rPr>
              <w:t>（A</w:t>
            </w:r>
            <w:r>
              <w:rPr>
                <w:rFonts w:hint="eastAsia"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w:t>
            </w:r>
          </w:p>
        </w:tc>
        <w:tc>
          <w:tcPr>
            <w:tcW w:w="1072" w:type="dxa"/>
            <w:shd w:val="clear" w:color="auto" w:fill="auto"/>
            <w:noWrap w:val="0"/>
            <w:vAlign w:val="center"/>
          </w:tcPr>
          <w:p w14:paraId="41F4B79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1273" w:type="dxa"/>
            <w:noWrap w:val="0"/>
            <w:vAlign w:val="center"/>
          </w:tcPr>
          <w:p w14:paraId="6E18C223">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1516" w:type="dxa"/>
            <w:noWrap w:val="0"/>
            <w:vAlign w:val="center"/>
          </w:tcPr>
          <w:p w14:paraId="0C684E81">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0.0022</w:t>
            </w:r>
          </w:p>
        </w:tc>
        <w:tc>
          <w:tcPr>
            <w:tcW w:w="1283" w:type="dxa"/>
            <w:noWrap w:val="0"/>
            <w:vAlign w:val="center"/>
          </w:tcPr>
          <w:p w14:paraId="7FB33BB3">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0.0173</w:t>
            </w:r>
          </w:p>
        </w:tc>
        <w:tc>
          <w:tcPr>
            <w:tcW w:w="1983" w:type="dxa"/>
            <w:vMerge w:val="restart"/>
            <w:noWrap w:val="0"/>
            <w:vAlign w:val="center"/>
          </w:tcPr>
          <w:p w14:paraId="35937FF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喷洒除臭剂</w:t>
            </w:r>
          </w:p>
        </w:tc>
        <w:tc>
          <w:tcPr>
            <w:tcW w:w="1294" w:type="dxa"/>
            <w:noWrap w:val="0"/>
            <w:vAlign w:val="center"/>
          </w:tcPr>
          <w:p w14:paraId="383D6D33">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1548" w:type="dxa"/>
            <w:noWrap w:val="0"/>
            <w:vAlign w:val="center"/>
          </w:tcPr>
          <w:p w14:paraId="5B896C61">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0.0011</w:t>
            </w:r>
          </w:p>
        </w:tc>
        <w:tc>
          <w:tcPr>
            <w:tcW w:w="1105" w:type="dxa"/>
            <w:noWrap w:val="0"/>
            <w:vAlign w:val="center"/>
          </w:tcPr>
          <w:p w14:paraId="4A9F265D">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0.0087</w:t>
            </w:r>
          </w:p>
        </w:tc>
        <w:tc>
          <w:tcPr>
            <w:tcW w:w="1457" w:type="dxa"/>
            <w:shd w:val="clear" w:color="auto" w:fill="auto"/>
            <w:noWrap w:val="0"/>
            <w:vAlign w:val="center"/>
          </w:tcPr>
          <w:p w14:paraId="3535661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1.5</w:t>
            </w:r>
          </w:p>
        </w:tc>
      </w:tr>
      <w:tr w14:paraId="6AD77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0" w:type="dxa"/>
            <w:vMerge w:val="continue"/>
            <w:noWrap w:val="0"/>
            <w:vAlign w:val="center"/>
          </w:tcPr>
          <w:p w14:paraId="78866FA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072" w:type="dxa"/>
            <w:shd w:val="clear" w:color="auto" w:fill="auto"/>
            <w:noWrap w:val="0"/>
            <w:vAlign w:val="center"/>
          </w:tcPr>
          <w:p w14:paraId="0C7EFF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1273" w:type="dxa"/>
            <w:noWrap w:val="0"/>
            <w:vAlign w:val="center"/>
          </w:tcPr>
          <w:p w14:paraId="66400B39">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1516" w:type="dxa"/>
            <w:noWrap w:val="0"/>
            <w:vAlign w:val="center"/>
          </w:tcPr>
          <w:p w14:paraId="23471379">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0.00015</w:t>
            </w:r>
          </w:p>
        </w:tc>
        <w:tc>
          <w:tcPr>
            <w:tcW w:w="1283" w:type="dxa"/>
            <w:noWrap w:val="0"/>
            <w:vAlign w:val="center"/>
          </w:tcPr>
          <w:p w14:paraId="7551AF2A">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0.0012</w:t>
            </w:r>
          </w:p>
        </w:tc>
        <w:tc>
          <w:tcPr>
            <w:tcW w:w="1983" w:type="dxa"/>
            <w:vMerge w:val="continue"/>
            <w:noWrap w:val="0"/>
            <w:vAlign w:val="center"/>
          </w:tcPr>
          <w:p w14:paraId="637D222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294" w:type="dxa"/>
            <w:noWrap w:val="0"/>
            <w:vAlign w:val="center"/>
          </w:tcPr>
          <w:p w14:paraId="1A6E0598">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1548" w:type="dxa"/>
            <w:noWrap w:val="0"/>
            <w:vAlign w:val="center"/>
          </w:tcPr>
          <w:p w14:paraId="50949526">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0.000076</w:t>
            </w:r>
          </w:p>
        </w:tc>
        <w:tc>
          <w:tcPr>
            <w:tcW w:w="1105" w:type="dxa"/>
            <w:noWrap w:val="0"/>
            <w:vAlign w:val="center"/>
          </w:tcPr>
          <w:p w14:paraId="5DA5C0C3">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0.0006</w:t>
            </w:r>
          </w:p>
        </w:tc>
        <w:tc>
          <w:tcPr>
            <w:tcW w:w="1457" w:type="dxa"/>
            <w:shd w:val="clear" w:color="auto" w:fill="auto"/>
            <w:noWrap w:val="0"/>
            <w:vAlign w:val="center"/>
          </w:tcPr>
          <w:p w14:paraId="37E8EB0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0.06</w:t>
            </w:r>
          </w:p>
        </w:tc>
      </w:tr>
    </w:tbl>
    <w:p w14:paraId="4644E43E">
      <w:pPr>
        <w:pageBreakBefore w:val="0"/>
        <w:kinsoku/>
        <w:wordWrap/>
        <w:topLinePunct w:val="0"/>
        <w:bidi w:val="0"/>
        <w:adjustRightInd/>
        <w:snapToGrid/>
        <w:ind w:left="0" w:leftChars="0"/>
        <w:rPr>
          <w:rFonts w:hint="default"/>
          <w:color w:val="auto"/>
          <w:lang w:val="en-US" w:eastAsia="zh-CN"/>
        </w:rPr>
        <w:sectPr>
          <w:footerReference r:id="rId17" w:type="default"/>
          <w:pgSz w:w="16838" w:h="11906" w:orient="landscape"/>
          <w:pgMar w:top="1587"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val="en-US" w:eastAsia="zh-CN"/>
        </w:rPr>
        <w:t>综上所述，本项目待宰圈产生的臭气经车间负压收集（收集效率90%），风机设计风量为14000m</w:t>
      </w:r>
      <w:r>
        <w:rPr>
          <w:rFonts w:hint="eastAsia"/>
          <w:color w:val="auto"/>
          <w:vertAlign w:val="superscript"/>
          <w:lang w:val="en-US" w:eastAsia="zh-CN"/>
        </w:rPr>
        <w:t>3</w:t>
      </w:r>
      <w:r>
        <w:rPr>
          <w:rFonts w:hint="eastAsia"/>
          <w:color w:val="auto"/>
          <w:lang w:val="en-US" w:eastAsia="zh-CN"/>
        </w:rPr>
        <w:t>/h，引入二级活性炭吸附装置（处理效率80%）处理后经20m高排气筒（DA001）排放；</w:t>
      </w:r>
      <w:r>
        <w:rPr>
          <w:rFonts w:hint="default"/>
          <w:color w:val="auto"/>
          <w:lang w:val="en-US" w:eastAsia="zh-CN"/>
        </w:rPr>
        <w:t>建设</w:t>
      </w:r>
      <w:r>
        <w:rPr>
          <w:rFonts w:hint="eastAsia"/>
          <w:color w:val="auto"/>
          <w:lang w:val="en-US" w:eastAsia="zh-CN"/>
        </w:rPr>
        <w:t>地下式</w:t>
      </w:r>
      <w:r>
        <w:rPr>
          <w:rFonts w:hint="default"/>
          <w:color w:val="auto"/>
          <w:lang w:val="en-US" w:eastAsia="zh-CN"/>
        </w:rPr>
        <w:t>污水处理站，</w:t>
      </w:r>
      <w:r>
        <w:rPr>
          <w:rFonts w:hint="eastAsia"/>
          <w:color w:val="auto"/>
          <w:lang w:val="en-US" w:eastAsia="zh-CN"/>
        </w:rPr>
        <w:t>并</w:t>
      </w:r>
      <w:r>
        <w:rPr>
          <w:rFonts w:hint="default"/>
          <w:color w:val="auto"/>
          <w:lang w:val="en-US" w:eastAsia="zh-CN"/>
        </w:rPr>
        <w:t>对污水处理</w:t>
      </w:r>
      <w:r>
        <w:rPr>
          <w:rFonts w:hint="eastAsia"/>
          <w:color w:val="auto"/>
          <w:lang w:val="en-US" w:eastAsia="zh-CN"/>
        </w:rPr>
        <w:t>站各池体</w:t>
      </w:r>
      <w:r>
        <w:rPr>
          <w:rFonts w:hint="default"/>
          <w:color w:val="auto"/>
          <w:lang w:val="en-US" w:eastAsia="zh-CN"/>
        </w:rPr>
        <w:t>加盖封闭，产生的恶臭</w:t>
      </w:r>
      <w:r>
        <w:rPr>
          <w:rFonts w:hint="eastAsia"/>
          <w:color w:val="auto"/>
          <w:lang w:val="en-US" w:eastAsia="zh-CN"/>
        </w:rPr>
        <w:t>气体</w:t>
      </w:r>
      <w:r>
        <w:rPr>
          <w:rFonts w:hint="default"/>
          <w:color w:val="auto"/>
          <w:lang w:val="en-US" w:eastAsia="zh-CN"/>
        </w:rPr>
        <w:t>经“集气设备+</w:t>
      </w:r>
      <w:r>
        <w:rPr>
          <w:rFonts w:hint="eastAsia"/>
          <w:color w:val="auto"/>
          <w:lang w:val="en-US" w:eastAsia="zh-CN"/>
        </w:rPr>
        <w:t>二级活性炭吸附装置</w:t>
      </w:r>
      <w:r>
        <w:rPr>
          <w:rFonts w:hint="default"/>
          <w:color w:val="auto"/>
          <w:lang w:val="en-US" w:eastAsia="zh-CN"/>
        </w:rPr>
        <w:t>（风量</w:t>
      </w:r>
      <w:r>
        <w:rPr>
          <w:rFonts w:hint="eastAsia"/>
          <w:color w:val="auto"/>
          <w:lang w:val="en-US" w:eastAsia="zh-CN"/>
        </w:rPr>
        <w:t>1</w:t>
      </w:r>
      <w:r>
        <w:rPr>
          <w:rFonts w:hint="default"/>
          <w:color w:val="auto"/>
          <w:lang w:val="en-US" w:eastAsia="zh-CN"/>
        </w:rPr>
        <w:t>000m</w:t>
      </w:r>
      <w:r>
        <w:rPr>
          <w:rFonts w:hint="default"/>
          <w:color w:val="auto"/>
          <w:vertAlign w:val="superscript"/>
          <w:lang w:val="en-US" w:eastAsia="zh-CN"/>
        </w:rPr>
        <w:t>3</w:t>
      </w:r>
      <w:r>
        <w:rPr>
          <w:rFonts w:hint="default"/>
          <w:color w:val="auto"/>
          <w:lang w:val="en-US" w:eastAsia="zh-CN"/>
        </w:rPr>
        <w:t>/h）”</w:t>
      </w:r>
      <w:r>
        <w:rPr>
          <w:rFonts w:hint="eastAsia"/>
          <w:color w:val="auto"/>
          <w:lang w:val="en-US" w:eastAsia="zh-CN"/>
        </w:rPr>
        <w:t>处理后由</w:t>
      </w:r>
      <w:r>
        <w:rPr>
          <w:rFonts w:hint="default"/>
          <w:color w:val="auto"/>
          <w:lang w:val="en-US" w:eastAsia="zh-CN"/>
        </w:rPr>
        <w:t>1</w:t>
      </w:r>
      <w:r>
        <w:rPr>
          <w:rFonts w:hint="eastAsia"/>
          <w:color w:val="auto"/>
          <w:lang w:val="en-US" w:eastAsia="zh-CN"/>
        </w:rPr>
        <w:t>根20</w:t>
      </w:r>
      <w:r>
        <w:rPr>
          <w:rFonts w:hint="default"/>
          <w:color w:val="auto"/>
          <w:lang w:val="en-US" w:eastAsia="zh-CN"/>
        </w:rPr>
        <w:t>m高排气筒</w:t>
      </w:r>
      <w:r>
        <w:rPr>
          <w:rFonts w:hint="eastAsia"/>
          <w:color w:val="auto"/>
          <w:lang w:val="en-US" w:eastAsia="zh-CN"/>
        </w:rPr>
        <w:t>（DA002）</w:t>
      </w:r>
      <w:r>
        <w:rPr>
          <w:rFonts w:hint="default"/>
          <w:color w:val="auto"/>
          <w:lang w:val="en-US" w:eastAsia="zh-CN"/>
        </w:rPr>
        <w:t>排放</w:t>
      </w:r>
      <w:r>
        <w:rPr>
          <w:rFonts w:hint="eastAsia"/>
          <w:color w:val="auto"/>
          <w:lang w:val="en-US" w:eastAsia="zh-CN"/>
        </w:rPr>
        <w:t>；屠宰加工车间设置机械通风系统，每小时通风换气不少于4次，定期喷洒除臭剂、消毒。排放浓度均满足《恶臭污染物排放标准》（GB14554-93）相关要求，可达标排放。</w:t>
      </w:r>
    </w:p>
    <w:p w14:paraId="77AA469F">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bookmarkStart w:id="301" w:name="_Toc407912112"/>
      <w:r>
        <w:rPr>
          <w:rFonts w:hint="default" w:ascii="Times New Roman" w:hAnsi="Times New Roman" w:eastAsia="黑体" w:cs="Times New Roman"/>
          <w:b/>
          <w:bCs w:val="0"/>
          <w:color w:val="auto"/>
          <w:sz w:val="24"/>
          <w:szCs w:val="24"/>
          <w:lang w:val="en-US" w:eastAsia="zh-CN"/>
        </w:rPr>
        <w:t>2.</w:t>
      </w:r>
      <w:r>
        <w:rPr>
          <w:rFonts w:hint="eastAsia" w:ascii="Times New Roman" w:hAnsi="Times New Roman" w:eastAsia="黑体" w:cs="Times New Roman"/>
          <w:b/>
          <w:bCs w:val="0"/>
          <w:color w:val="auto"/>
          <w:sz w:val="24"/>
          <w:szCs w:val="24"/>
          <w:lang w:val="en-US" w:eastAsia="zh-CN"/>
        </w:rPr>
        <w:t>2</w:t>
      </w:r>
      <w:r>
        <w:rPr>
          <w:rFonts w:hint="default" w:ascii="Times New Roman" w:hAnsi="Times New Roman" w:eastAsia="黑体" w:cs="Times New Roman"/>
          <w:b/>
          <w:bCs w:val="0"/>
          <w:color w:val="auto"/>
          <w:sz w:val="24"/>
          <w:szCs w:val="24"/>
          <w:lang w:val="en-US" w:eastAsia="zh-CN"/>
        </w:rPr>
        <w:t>.</w:t>
      </w:r>
      <w:r>
        <w:rPr>
          <w:rFonts w:hint="eastAsia" w:ascii="Times New Roman" w:hAnsi="Times New Roman" w:eastAsia="黑体" w:cs="Times New Roman"/>
          <w:b/>
          <w:bCs w:val="0"/>
          <w:color w:val="auto"/>
          <w:sz w:val="24"/>
          <w:szCs w:val="24"/>
          <w:lang w:val="en-US" w:eastAsia="zh-CN"/>
        </w:rPr>
        <w:t>4</w:t>
      </w:r>
      <w:r>
        <w:rPr>
          <w:rFonts w:hint="default" w:ascii="Times New Roman" w:hAnsi="Times New Roman" w:eastAsia="黑体" w:cs="Times New Roman"/>
          <w:b/>
          <w:bCs w:val="0"/>
          <w:color w:val="auto"/>
          <w:sz w:val="24"/>
          <w:szCs w:val="24"/>
          <w:lang w:val="en-US" w:eastAsia="zh-CN"/>
        </w:rPr>
        <w:t>.2废水</w:t>
      </w:r>
      <w:bookmarkEnd w:id="301"/>
    </w:p>
    <w:p w14:paraId="2E0EA062">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eastAsia" w:ascii="Times New Roman" w:hAnsi="Times New Roman" w:cs="Times New Roman"/>
          <w:color w:val="auto"/>
          <w:sz w:val="24"/>
          <w:highlight w:val="none"/>
          <w:lang w:val="zh-CN"/>
        </w:rPr>
      </w:pPr>
      <w:r>
        <w:rPr>
          <w:rFonts w:hint="default" w:ascii="Times New Roman" w:hAnsi="Times New Roman" w:eastAsia="仿宋_GB2312" w:cs="Times New Roman"/>
          <w:color w:val="auto"/>
          <w:sz w:val="24"/>
          <w:highlight w:val="none"/>
          <w:lang w:val="zh-CN"/>
        </w:rPr>
        <w:t>本项目废水主要为营运过程产生的屠宰废水、</w:t>
      </w:r>
      <w:r>
        <w:rPr>
          <w:rFonts w:hint="eastAsia" w:cs="Times New Roman"/>
          <w:color w:val="auto"/>
          <w:sz w:val="24"/>
          <w:highlight w:val="none"/>
          <w:lang w:val="en-US" w:eastAsia="zh-CN"/>
        </w:rPr>
        <w:t>车辆冲洗废水和</w:t>
      </w:r>
      <w:r>
        <w:rPr>
          <w:rFonts w:hint="default" w:ascii="Times New Roman" w:hAnsi="Times New Roman" w:eastAsia="仿宋_GB2312" w:cs="Times New Roman"/>
          <w:color w:val="auto"/>
          <w:sz w:val="24"/>
          <w:highlight w:val="none"/>
          <w:lang w:val="zh-CN"/>
        </w:rPr>
        <w:t>工作人员生活污水</w:t>
      </w:r>
      <w:r>
        <w:rPr>
          <w:rFonts w:hint="eastAsia" w:cs="Times New Roman"/>
          <w:color w:val="auto"/>
          <w:sz w:val="24"/>
          <w:highlight w:val="none"/>
          <w:lang w:val="zh-CN"/>
        </w:rPr>
        <w:t>，</w:t>
      </w:r>
      <w:r>
        <w:rPr>
          <w:rFonts w:hint="default" w:ascii="Times New Roman" w:hAnsi="Times New Roman" w:eastAsia="仿宋_GB2312" w:cs="Times New Roman"/>
          <w:color w:val="auto"/>
          <w:sz w:val="24"/>
          <w:highlight w:val="none"/>
          <w:lang w:val="zh-CN"/>
        </w:rPr>
        <w:t>废水产生总量为</w:t>
      </w:r>
      <w:r>
        <w:rPr>
          <w:rFonts w:hint="default" w:ascii="Times New Roman" w:hAnsi="Times New Roman" w:eastAsia="仿宋_GB2312" w:cs="Times New Roman"/>
          <w:color w:val="auto"/>
          <w:sz w:val="24"/>
          <w:highlight w:val="none"/>
          <w:lang w:val="zh-CN" w:eastAsia="zh-CN"/>
        </w:rPr>
        <w:t>18927.88</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cs="Times New Roman"/>
          <w:color w:val="auto"/>
          <w:sz w:val="24"/>
          <w:highlight w:val="none"/>
          <w:lang w:val="zh-CN"/>
        </w:rPr>
        <w:t>。</w:t>
      </w:r>
      <w:r>
        <w:rPr>
          <w:rFonts w:hint="eastAsia" w:cs="Times New Roman"/>
          <w:color w:val="auto"/>
          <w:sz w:val="24"/>
          <w:highlight w:val="none"/>
          <w:lang w:val="en-US" w:eastAsia="zh-CN"/>
        </w:rPr>
        <w:t>其中，</w:t>
      </w:r>
      <w:r>
        <w:rPr>
          <w:rFonts w:hint="default" w:ascii="Times New Roman" w:hAnsi="Times New Roman" w:eastAsia="仿宋_GB2312" w:cs="Times New Roman"/>
          <w:color w:val="auto"/>
          <w:sz w:val="24"/>
          <w:highlight w:val="none"/>
          <w:lang w:val="zh-CN"/>
        </w:rPr>
        <w:t>屠宰废水为</w:t>
      </w:r>
      <w:r>
        <w:rPr>
          <w:rFonts w:hint="eastAsia" w:cs="Times New Roman"/>
          <w:color w:val="auto"/>
          <w:sz w:val="24"/>
          <w:highlight w:val="none"/>
          <w:lang w:val="en-US" w:eastAsia="zh-CN"/>
        </w:rPr>
        <w:t>18000</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cs="Times New Roman"/>
          <w:color w:val="auto"/>
          <w:sz w:val="24"/>
          <w:highlight w:val="none"/>
          <w:lang w:val="en-US" w:eastAsia="zh-CN"/>
        </w:rPr>
        <w:t>车辆冲洗废水为407.88</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cs="Times New Roman"/>
          <w:color w:val="auto"/>
          <w:sz w:val="24"/>
          <w:highlight w:val="none"/>
          <w:lang w:val="zh-CN"/>
        </w:rPr>
        <w:t>，</w:t>
      </w:r>
      <w:r>
        <w:rPr>
          <w:rFonts w:hint="default" w:ascii="Times New Roman" w:hAnsi="Times New Roman" w:eastAsia="仿宋_GB2312" w:cs="Times New Roman"/>
          <w:color w:val="auto"/>
          <w:sz w:val="24"/>
          <w:highlight w:val="none"/>
          <w:lang w:val="zh-CN"/>
        </w:rPr>
        <w:t>生活污水为</w:t>
      </w:r>
      <w:r>
        <w:rPr>
          <w:rFonts w:hint="eastAsia" w:cs="Times New Roman"/>
          <w:color w:val="auto"/>
          <w:sz w:val="24"/>
          <w:highlight w:val="none"/>
          <w:lang w:val="en-US" w:eastAsia="zh-CN"/>
        </w:rPr>
        <w:t>520</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eastAsia" w:ascii="Times New Roman" w:hAnsi="Times New Roman" w:cs="Times New Roman"/>
          <w:color w:val="auto"/>
          <w:sz w:val="24"/>
          <w:highlight w:val="none"/>
          <w:lang w:val="zh-CN"/>
        </w:rPr>
        <w:t>。</w:t>
      </w:r>
    </w:p>
    <w:p w14:paraId="1CFE6A36">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default" w:ascii="Times New Roman" w:hAnsi="Times New Roman" w:eastAsia="仿宋_GB2312" w:cs="Times New Roman"/>
          <w:snapToGrid/>
          <w:color w:val="auto"/>
          <w:kern w:val="2"/>
          <w:highlight w:val="none"/>
          <w:lang w:val="zh-CN"/>
        </w:rPr>
      </w:pPr>
      <w:r>
        <w:rPr>
          <w:rFonts w:hint="default" w:ascii="Times New Roman" w:hAnsi="Times New Roman" w:eastAsia="仿宋_GB2312" w:cs="Times New Roman"/>
          <w:color w:val="auto"/>
          <w:sz w:val="24"/>
          <w:highlight w:val="none"/>
          <w:lang w:val="zh-CN"/>
        </w:rPr>
        <w:fldChar w:fldCharType="begin"/>
      </w:r>
      <w:r>
        <w:rPr>
          <w:rFonts w:hint="default" w:ascii="Times New Roman" w:hAnsi="Times New Roman" w:eastAsia="仿宋_GB2312" w:cs="Times New Roman"/>
          <w:color w:val="auto"/>
          <w:sz w:val="24"/>
          <w:highlight w:val="none"/>
          <w:lang w:val="zh-CN"/>
        </w:rPr>
        <w:instrText xml:space="preserve"> = 1 \* GB3 </w:instrText>
      </w:r>
      <w:r>
        <w:rPr>
          <w:rFonts w:hint="default" w:ascii="Times New Roman" w:hAnsi="Times New Roman" w:eastAsia="仿宋_GB2312" w:cs="Times New Roman"/>
          <w:color w:val="auto"/>
          <w:sz w:val="24"/>
          <w:highlight w:val="none"/>
          <w:lang w:val="zh-CN"/>
        </w:rPr>
        <w:fldChar w:fldCharType="separate"/>
      </w:r>
      <w:r>
        <w:rPr>
          <w:rFonts w:hint="default" w:ascii="Times New Roman" w:hAnsi="Times New Roman" w:eastAsia="仿宋_GB2312" w:cs="Times New Roman"/>
          <w:color w:val="auto"/>
          <w:sz w:val="24"/>
          <w:highlight w:val="none"/>
          <w:lang w:val="zh-CN"/>
        </w:rPr>
        <w:t>①</w:t>
      </w:r>
      <w:r>
        <w:rPr>
          <w:rFonts w:hint="default" w:ascii="Times New Roman" w:hAnsi="Times New Roman" w:eastAsia="仿宋_GB2312" w:cs="Times New Roman"/>
          <w:color w:val="auto"/>
          <w:sz w:val="24"/>
          <w:highlight w:val="none"/>
          <w:lang w:val="zh-CN"/>
        </w:rPr>
        <w:fldChar w:fldCharType="end"/>
      </w:r>
      <w:r>
        <w:rPr>
          <w:rFonts w:hint="default" w:ascii="Times New Roman" w:hAnsi="Times New Roman" w:eastAsia="仿宋_GB2312" w:cs="Times New Roman"/>
          <w:color w:val="auto"/>
          <w:sz w:val="24"/>
          <w:highlight w:val="none"/>
          <w:lang w:val="en-US" w:eastAsia="zh-CN"/>
        </w:rPr>
        <w:t>屠宰</w:t>
      </w:r>
      <w:r>
        <w:rPr>
          <w:rFonts w:hint="eastAsia" w:ascii="Times New Roman" w:hAnsi="Times New Roman" w:cs="Times New Roman"/>
          <w:color w:val="auto"/>
          <w:sz w:val="24"/>
          <w:highlight w:val="none"/>
          <w:lang w:val="en-US" w:eastAsia="zh-CN"/>
        </w:rPr>
        <w:t>牛</w:t>
      </w:r>
      <w:r>
        <w:rPr>
          <w:rFonts w:hint="default" w:ascii="Times New Roman" w:hAnsi="Times New Roman" w:eastAsia="仿宋_GB2312" w:cs="Times New Roman"/>
          <w:color w:val="auto"/>
          <w:sz w:val="24"/>
          <w:highlight w:val="none"/>
          <w:lang w:val="en-US" w:eastAsia="zh-CN"/>
        </w:rPr>
        <w:t>废水：</w:t>
      </w:r>
      <w:r>
        <w:rPr>
          <w:rFonts w:hint="default" w:ascii="Times New Roman" w:hAnsi="Times New Roman" w:eastAsia="仿宋_GB2312" w:cs="Times New Roman"/>
          <w:snapToGrid/>
          <w:color w:val="auto"/>
          <w:kern w:val="2"/>
          <w:highlight w:val="none"/>
        </w:rPr>
        <w:t>本项目</w:t>
      </w:r>
      <w:r>
        <w:rPr>
          <w:rFonts w:hint="default" w:ascii="Times New Roman" w:hAnsi="Times New Roman" w:eastAsia="仿宋_GB2312" w:cs="Times New Roman"/>
          <w:color w:val="auto"/>
          <w:sz w:val="24"/>
          <w:highlight w:val="none"/>
          <w:lang w:val="en-US" w:eastAsia="zh-CN"/>
        </w:rPr>
        <w:t>屠宰</w:t>
      </w:r>
      <w:r>
        <w:rPr>
          <w:rFonts w:hint="eastAsia" w:ascii="Times New Roman" w:hAnsi="Times New Roman" w:cs="Times New Roman"/>
          <w:color w:val="auto"/>
          <w:sz w:val="24"/>
          <w:highlight w:val="none"/>
          <w:lang w:val="en-US" w:eastAsia="zh-CN"/>
        </w:rPr>
        <w:t>牛</w:t>
      </w:r>
      <w:r>
        <w:rPr>
          <w:rFonts w:hint="default" w:ascii="Times New Roman" w:hAnsi="Times New Roman" w:eastAsia="仿宋_GB2312" w:cs="Times New Roman"/>
          <w:snapToGrid/>
          <w:color w:val="auto"/>
          <w:kern w:val="2"/>
          <w:highlight w:val="none"/>
        </w:rPr>
        <w:t>废水按用水量的90%计，则废水产生量为</w:t>
      </w:r>
      <w:r>
        <w:rPr>
          <w:rFonts w:hint="eastAsia" w:cs="Times New Roman"/>
          <w:snapToGrid/>
          <w:color w:val="auto"/>
          <w:kern w:val="2"/>
          <w:highlight w:val="none"/>
          <w:lang w:val="en-US" w:eastAsia="zh-CN"/>
        </w:rPr>
        <w:t>4500</w:t>
      </w:r>
      <w:r>
        <w:rPr>
          <w:rFonts w:hint="default" w:ascii="Times New Roman" w:hAnsi="Times New Roman" w:eastAsia="仿宋_GB2312" w:cs="Times New Roman"/>
          <w:snapToGrid/>
          <w:color w:val="auto"/>
          <w:kern w:val="2"/>
          <w:highlight w:val="none"/>
          <w:lang w:val="zh-CN"/>
        </w:rPr>
        <w:t>m</w:t>
      </w:r>
      <w:r>
        <w:rPr>
          <w:rFonts w:hint="default" w:ascii="Times New Roman" w:hAnsi="Times New Roman" w:eastAsia="仿宋_GB2312" w:cs="Times New Roman"/>
          <w:snapToGrid/>
          <w:color w:val="auto"/>
          <w:kern w:val="2"/>
          <w:highlight w:val="none"/>
          <w:vertAlign w:val="superscript"/>
          <w:lang w:val="zh-CN"/>
        </w:rPr>
        <w:t>3</w:t>
      </w:r>
      <w:r>
        <w:rPr>
          <w:rFonts w:hint="default" w:ascii="Times New Roman" w:hAnsi="Times New Roman" w:eastAsia="仿宋_GB2312" w:cs="Times New Roman"/>
          <w:snapToGrid/>
          <w:color w:val="auto"/>
          <w:kern w:val="2"/>
          <w:highlight w:val="none"/>
          <w:lang w:val="zh-CN"/>
        </w:rPr>
        <w:t>/a；</w:t>
      </w:r>
    </w:p>
    <w:p w14:paraId="1E0A7A03">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default" w:ascii="Times New Roman" w:hAnsi="Times New Roman" w:eastAsia="仿宋_GB2312" w:cs="Times New Roman"/>
          <w:snapToGrid/>
          <w:color w:val="auto"/>
          <w:kern w:val="2"/>
          <w:highlight w:val="none"/>
          <w:lang w:val="zh-CN"/>
        </w:rPr>
      </w:pPr>
      <w:r>
        <w:rPr>
          <w:rFonts w:hint="default" w:ascii="Times New Roman" w:hAnsi="Times New Roman" w:eastAsia="仿宋_GB2312" w:cs="Times New Roman"/>
          <w:color w:val="auto"/>
          <w:sz w:val="24"/>
          <w:highlight w:val="none"/>
          <w:lang w:val="zh-CN"/>
        </w:rPr>
        <w:fldChar w:fldCharType="begin"/>
      </w:r>
      <w:r>
        <w:rPr>
          <w:rFonts w:hint="default" w:ascii="Times New Roman" w:hAnsi="Times New Roman" w:eastAsia="仿宋_GB2312" w:cs="Times New Roman"/>
          <w:color w:val="auto"/>
          <w:sz w:val="24"/>
          <w:highlight w:val="none"/>
          <w:lang w:val="zh-CN"/>
        </w:rPr>
        <w:instrText xml:space="preserve"> = 2 \* GB3 </w:instrText>
      </w:r>
      <w:r>
        <w:rPr>
          <w:rFonts w:hint="default" w:ascii="Times New Roman" w:hAnsi="Times New Roman" w:eastAsia="仿宋_GB2312" w:cs="Times New Roman"/>
          <w:color w:val="auto"/>
          <w:sz w:val="24"/>
          <w:highlight w:val="none"/>
          <w:lang w:val="zh-CN"/>
        </w:rPr>
        <w:fldChar w:fldCharType="separate"/>
      </w:r>
      <w:r>
        <w:rPr>
          <w:rFonts w:hint="default" w:ascii="Times New Roman" w:hAnsi="Times New Roman" w:eastAsia="仿宋_GB2312" w:cs="Times New Roman"/>
          <w:color w:val="auto"/>
          <w:sz w:val="24"/>
          <w:highlight w:val="none"/>
          <w:lang w:val="zh-CN"/>
        </w:rPr>
        <w:t>②</w:t>
      </w:r>
      <w:r>
        <w:rPr>
          <w:rFonts w:hint="default" w:ascii="Times New Roman" w:hAnsi="Times New Roman" w:eastAsia="仿宋_GB2312" w:cs="Times New Roman"/>
          <w:color w:val="auto"/>
          <w:sz w:val="24"/>
          <w:highlight w:val="none"/>
          <w:lang w:val="zh-CN"/>
        </w:rPr>
        <w:fldChar w:fldCharType="end"/>
      </w:r>
      <w:r>
        <w:rPr>
          <w:rFonts w:hint="eastAsia" w:ascii="Times New Roman" w:hAnsi="Times New Roman" w:cs="Times New Roman"/>
          <w:color w:val="auto"/>
          <w:sz w:val="24"/>
          <w:highlight w:val="none"/>
          <w:lang w:val="en-US" w:eastAsia="zh-CN"/>
        </w:rPr>
        <w:t>屠宰羊废水：</w:t>
      </w:r>
      <w:r>
        <w:rPr>
          <w:rFonts w:hint="default" w:ascii="Times New Roman" w:hAnsi="Times New Roman" w:eastAsia="仿宋_GB2312" w:cs="Times New Roman"/>
          <w:snapToGrid/>
          <w:color w:val="auto"/>
          <w:kern w:val="2"/>
          <w:highlight w:val="none"/>
        </w:rPr>
        <w:t>本项目</w:t>
      </w:r>
      <w:r>
        <w:rPr>
          <w:rFonts w:hint="default" w:ascii="Times New Roman" w:hAnsi="Times New Roman" w:eastAsia="仿宋_GB2312" w:cs="Times New Roman"/>
          <w:color w:val="auto"/>
          <w:sz w:val="24"/>
          <w:highlight w:val="none"/>
          <w:lang w:val="en-US" w:eastAsia="zh-CN"/>
        </w:rPr>
        <w:t>屠宰</w:t>
      </w:r>
      <w:r>
        <w:rPr>
          <w:rFonts w:hint="eastAsia" w:ascii="Times New Roman" w:hAnsi="Times New Roman" w:cs="Times New Roman"/>
          <w:color w:val="auto"/>
          <w:sz w:val="24"/>
          <w:highlight w:val="none"/>
          <w:lang w:val="en-US" w:eastAsia="zh-CN"/>
        </w:rPr>
        <w:t>羊</w:t>
      </w:r>
      <w:r>
        <w:rPr>
          <w:rFonts w:hint="default" w:ascii="Times New Roman" w:hAnsi="Times New Roman" w:eastAsia="仿宋_GB2312" w:cs="Times New Roman"/>
          <w:snapToGrid/>
          <w:color w:val="auto"/>
          <w:kern w:val="2"/>
          <w:highlight w:val="none"/>
        </w:rPr>
        <w:t>废水按用水量的90%计，则废水产生量为</w:t>
      </w:r>
      <w:r>
        <w:rPr>
          <w:rFonts w:hint="eastAsia" w:cs="Times New Roman"/>
          <w:snapToGrid/>
          <w:color w:val="auto"/>
          <w:kern w:val="2"/>
          <w:highlight w:val="none"/>
          <w:lang w:val="en-US" w:eastAsia="zh-CN"/>
        </w:rPr>
        <w:t>13500</w:t>
      </w:r>
      <w:r>
        <w:rPr>
          <w:rFonts w:hint="default" w:ascii="Times New Roman" w:hAnsi="Times New Roman" w:eastAsia="仿宋_GB2312" w:cs="Times New Roman"/>
          <w:snapToGrid/>
          <w:color w:val="auto"/>
          <w:kern w:val="2"/>
          <w:highlight w:val="none"/>
          <w:lang w:val="zh-CN"/>
        </w:rPr>
        <w:t>m</w:t>
      </w:r>
      <w:r>
        <w:rPr>
          <w:rFonts w:hint="default" w:ascii="Times New Roman" w:hAnsi="Times New Roman" w:eastAsia="仿宋_GB2312" w:cs="Times New Roman"/>
          <w:snapToGrid/>
          <w:color w:val="auto"/>
          <w:kern w:val="2"/>
          <w:highlight w:val="none"/>
          <w:vertAlign w:val="superscript"/>
          <w:lang w:val="zh-CN"/>
        </w:rPr>
        <w:t>3</w:t>
      </w:r>
      <w:r>
        <w:rPr>
          <w:rFonts w:hint="default" w:ascii="Times New Roman" w:hAnsi="Times New Roman" w:eastAsia="仿宋_GB2312" w:cs="Times New Roman"/>
          <w:snapToGrid/>
          <w:color w:val="auto"/>
          <w:kern w:val="2"/>
          <w:highlight w:val="none"/>
          <w:lang w:val="zh-CN"/>
        </w:rPr>
        <w:t>/a；</w:t>
      </w:r>
    </w:p>
    <w:p w14:paraId="75427778">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zh-CN"/>
        </w:rPr>
        <w:fldChar w:fldCharType="begin"/>
      </w:r>
      <w:r>
        <w:rPr>
          <w:rFonts w:hint="default" w:ascii="Times New Roman" w:hAnsi="Times New Roman" w:eastAsia="仿宋_GB2312" w:cs="Times New Roman"/>
          <w:color w:val="auto"/>
          <w:sz w:val="24"/>
          <w:highlight w:val="none"/>
          <w:lang w:val="zh-CN"/>
        </w:rPr>
        <w:instrText xml:space="preserve"> = 3 \* GB3 \* MERGEFORMAT </w:instrText>
      </w:r>
      <w:r>
        <w:rPr>
          <w:rFonts w:hint="default" w:ascii="Times New Roman" w:hAnsi="Times New Roman" w:eastAsia="仿宋_GB2312" w:cs="Times New Roman"/>
          <w:color w:val="auto"/>
          <w:sz w:val="24"/>
          <w:highlight w:val="none"/>
          <w:lang w:val="zh-CN"/>
        </w:rPr>
        <w:fldChar w:fldCharType="separate"/>
      </w:r>
      <w:r>
        <w:rPr>
          <w:rFonts w:hint="default" w:ascii="Times New Roman" w:hAnsi="Times New Roman" w:cs="Times New Roman"/>
          <w:color w:val="auto"/>
        </w:rPr>
        <w:t>③</w:t>
      </w:r>
      <w:r>
        <w:rPr>
          <w:rFonts w:hint="default" w:ascii="Times New Roman" w:hAnsi="Times New Roman" w:eastAsia="仿宋_GB2312" w:cs="Times New Roman"/>
          <w:color w:val="auto"/>
          <w:sz w:val="24"/>
          <w:highlight w:val="none"/>
          <w:lang w:val="zh-CN"/>
        </w:rPr>
        <w:fldChar w:fldCharType="end"/>
      </w:r>
      <w:r>
        <w:rPr>
          <w:rFonts w:hint="eastAsia" w:cs="Times New Roman"/>
          <w:color w:val="auto"/>
          <w:sz w:val="24"/>
          <w:highlight w:val="none"/>
          <w:lang w:val="en-US" w:eastAsia="zh-CN"/>
        </w:rPr>
        <w:t>车辆冲洗废水：本项目车辆冲洗废水产生量按用水量的90%计，则车辆冲洗废水产生量为407.88</w:t>
      </w:r>
      <w:r>
        <w:rPr>
          <w:rFonts w:hint="default" w:ascii="Times New Roman" w:hAnsi="Times New Roman" w:eastAsia="仿宋_GB2312" w:cs="Times New Roman"/>
          <w:snapToGrid/>
          <w:color w:val="auto"/>
          <w:kern w:val="2"/>
          <w:highlight w:val="none"/>
          <w:lang w:val="zh-CN"/>
        </w:rPr>
        <w:t>m</w:t>
      </w:r>
      <w:r>
        <w:rPr>
          <w:rFonts w:hint="default" w:ascii="Times New Roman" w:hAnsi="Times New Roman" w:eastAsia="仿宋_GB2312" w:cs="Times New Roman"/>
          <w:snapToGrid/>
          <w:color w:val="auto"/>
          <w:kern w:val="2"/>
          <w:highlight w:val="none"/>
          <w:vertAlign w:val="superscript"/>
          <w:lang w:val="zh-CN"/>
        </w:rPr>
        <w:t>3</w:t>
      </w:r>
      <w:r>
        <w:rPr>
          <w:rFonts w:hint="default" w:ascii="Times New Roman" w:hAnsi="Times New Roman" w:eastAsia="仿宋_GB2312" w:cs="Times New Roman"/>
          <w:snapToGrid/>
          <w:color w:val="auto"/>
          <w:kern w:val="2"/>
          <w:highlight w:val="none"/>
          <w:lang w:val="zh-CN"/>
        </w:rPr>
        <w:t>/a</w:t>
      </w:r>
      <w:r>
        <w:rPr>
          <w:rFonts w:hint="eastAsia" w:cs="Times New Roman"/>
          <w:snapToGrid/>
          <w:color w:val="auto"/>
          <w:kern w:val="2"/>
          <w:highlight w:val="none"/>
          <w:lang w:val="zh-CN"/>
        </w:rPr>
        <w:t>（</w:t>
      </w:r>
      <w:r>
        <w:rPr>
          <w:rFonts w:hint="eastAsia" w:cs="Times New Roman"/>
          <w:snapToGrid/>
          <w:color w:val="auto"/>
          <w:kern w:val="2"/>
          <w:highlight w:val="none"/>
          <w:lang w:val="en-US" w:eastAsia="zh-CN"/>
        </w:rPr>
        <w:t>1.236m</w:t>
      </w:r>
      <w:r>
        <w:rPr>
          <w:rFonts w:hint="eastAsia" w:cs="Times New Roman"/>
          <w:snapToGrid/>
          <w:color w:val="auto"/>
          <w:kern w:val="2"/>
          <w:highlight w:val="none"/>
          <w:vertAlign w:val="superscript"/>
          <w:lang w:val="en-US" w:eastAsia="zh-CN"/>
        </w:rPr>
        <w:t>3</w:t>
      </w:r>
      <w:r>
        <w:rPr>
          <w:rFonts w:hint="eastAsia" w:cs="Times New Roman"/>
          <w:snapToGrid/>
          <w:color w:val="auto"/>
          <w:kern w:val="2"/>
          <w:highlight w:val="none"/>
          <w:lang w:val="en-US" w:eastAsia="zh-CN"/>
        </w:rPr>
        <w:t>/d</w:t>
      </w:r>
      <w:r>
        <w:rPr>
          <w:rFonts w:hint="eastAsia" w:cs="Times New Roman"/>
          <w:snapToGrid/>
          <w:color w:val="auto"/>
          <w:kern w:val="2"/>
          <w:highlight w:val="none"/>
          <w:lang w:val="zh-CN"/>
        </w:rPr>
        <w:t>）</w:t>
      </w:r>
      <w:r>
        <w:rPr>
          <w:rFonts w:hint="default" w:ascii="Times New Roman" w:hAnsi="Times New Roman" w:eastAsia="仿宋_GB2312" w:cs="Times New Roman"/>
          <w:snapToGrid/>
          <w:color w:val="auto"/>
          <w:kern w:val="2"/>
          <w:highlight w:val="none"/>
          <w:lang w:val="zh-CN"/>
        </w:rPr>
        <w:t>；</w:t>
      </w:r>
    </w:p>
    <w:p w14:paraId="17B35050">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eastAsia" w:cs="Times New Roman"/>
          <w:color w:val="auto"/>
          <w:sz w:val="24"/>
          <w:lang w:val="en-US" w:eastAsia="zh-CN"/>
        </w:rPr>
      </w:pPr>
      <w:r>
        <w:rPr>
          <w:rFonts w:hint="eastAsia" w:cs="Times New Roman"/>
          <w:color w:val="auto"/>
          <w:sz w:val="24"/>
          <w:highlight w:val="none"/>
          <w:lang w:val="en-US" w:eastAsia="zh-CN"/>
        </w:rPr>
        <w:t>屠宰废水、车辆冲洗废水产生总量为18407.88</w:t>
      </w:r>
      <w:r>
        <w:rPr>
          <w:rFonts w:hint="default" w:ascii="Times New Roman" w:hAnsi="Times New Roman" w:eastAsia="仿宋_GB2312" w:cs="Times New Roman"/>
          <w:snapToGrid/>
          <w:color w:val="auto"/>
          <w:kern w:val="2"/>
          <w:highlight w:val="none"/>
          <w:lang w:val="zh-CN"/>
        </w:rPr>
        <w:t>m</w:t>
      </w:r>
      <w:r>
        <w:rPr>
          <w:rFonts w:hint="default" w:ascii="Times New Roman" w:hAnsi="Times New Roman" w:eastAsia="仿宋_GB2312" w:cs="Times New Roman"/>
          <w:snapToGrid/>
          <w:color w:val="auto"/>
          <w:kern w:val="2"/>
          <w:highlight w:val="none"/>
          <w:vertAlign w:val="superscript"/>
          <w:lang w:val="zh-CN"/>
        </w:rPr>
        <w:t>3</w:t>
      </w:r>
      <w:r>
        <w:rPr>
          <w:rFonts w:hint="default" w:ascii="Times New Roman" w:hAnsi="Times New Roman" w:eastAsia="仿宋_GB2312" w:cs="Times New Roman"/>
          <w:snapToGrid/>
          <w:color w:val="auto"/>
          <w:kern w:val="2"/>
          <w:highlight w:val="none"/>
          <w:lang w:val="zh-CN"/>
        </w:rPr>
        <w:t>/a</w:t>
      </w:r>
      <w:r>
        <w:rPr>
          <w:rFonts w:hint="eastAsia" w:cs="Times New Roman"/>
          <w:snapToGrid/>
          <w:color w:val="auto"/>
          <w:kern w:val="2"/>
          <w:highlight w:val="none"/>
          <w:lang w:val="zh-CN"/>
        </w:rPr>
        <w:t>，</w:t>
      </w:r>
      <w:r>
        <w:rPr>
          <w:rFonts w:hint="default" w:ascii="Times New Roman" w:hAnsi="Times New Roman" w:eastAsia="仿宋_GB2312" w:cs="Times New Roman"/>
          <w:color w:val="auto"/>
          <w:sz w:val="24"/>
          <w:lang w:val="en-US" w:eastAsia="zh-CN"/>
        </w:rPr>
        <w:t>污染物</w:t>
      </w:r>
      <w:r>
        <w:rPr>
          <w:rFonts w:hint="eastAsia" w:ascii="Times New Roman" w:hAnsi="Times New Roman" w:cs="Times New Roman"/>
          <w:color w:val="auto"/>
          <w:sz w:val="24"/>
          <w:lang w:val="en-US" w:eastAsia="zh-CN"/>
        </w:rPr>
        <w:t>的取值</w:t>
      </w:r>
      <w:r>
        <w:rPr>
          <w:rFonts w:hint="default" w:ascii="Times New Roman" w:hAnsi="Times New Roman" w:eastAsia="仿宋_GB2312" w:cs="Times New Roman"/>
          <w:color w:val="auto"/>
          <w:sz w:val="24"/>
          <w:lang w:val="en-US" w:eastAsia="zh-CN"/>
        </w:rPr>
        <w:t>采用《屠宰与肉类加工废水治理工程技术规范》（HJ2004-2010）表2中的屠宰废水水质设计取值</w:t>
      </w:r>
      <w:r>
        <w:rPr>
          <w:rFonts w:hint="eastAsia" w:ascii="Times New Roman" w:hAnsi="Times New Roman" w:cs="Times New Roman"/>
          <w:color w:val="auto"/>
          <w:sz w:val="24"/>
          <w:lang w:val="en-US" w:eastAsia="zh-CN"/>
        </w:rPr>
        <w:t>，同时参照《排放源统计调查产排污核算方法和系数手册》中135屠宰及肉类加工行业系数手册</w:t>
      </w:r>
      <w:r>
        <w:rPr>
          <w:rFonts w:hint="eastAsia" w:ascii="Times New Roman" w:hAnsi="Times New Roman" w:eastAsia="仿宋_GB2312" w:cs="Times New Roman"/>
          <w:color w:val="auto"/>
          <w:sz w:val="24"/>
          <w:lang w:val="en-US" w:eastAsia="zh-CN"/>
        </w:rPr>
        <w:t>的相关规定。</w:t>
      </w:r>
      <w:r>
        <w:rPr>
          <w:rFonts w:hint="default" w:ascii="Times New Roman" w:hAnsi="Times New Roman" w:eastAsia="仿宋_GB2312" w:cs="Times New Roman"/>
          <w:color w:val="auto"/>
          <w:sz w:val="24"/>
          <w:lang w:val="en-US" w:eastAsia="zh-CN"/>
        </w:rPr>
        <w:t>本次环评取最大值进行计算</w:t>
      </w:r>
      <w:r>
        <w:rPr>
          <w:rFonts w:hint="eastAsia" w:cs="Times New Roman"/>
          <w:color w:val="auto"/>
          <w:sz w:val="24"/>
          <w:lang w:val="en-US" w:eastAsia="zh-CN"/>
        </w:rPr>
        <w:t>，具体见下表。</w:t>
      </w:r>
    </w:p>
    <w:p w14:paraId="6BCBB84A">
      <w:pPr>
        <w:pageBreakBefore w:val="0"/>
        <w:kinsoku/>
        <w:wordWrap/>
        <w:topLinePunct w:val="0"/>
        <w:bidi w:val="0"/>
        <w:adjustRightInd/>
        <w:snapToGrid/>
        <w:spacing w:line="240" w:lineRule="auto"/>
        <w:ind w:left="0" w:leftChars="0"/>
        <w:rPr>
          <w:rFonts w:hint="eastAsia" w:cs="Times New Roman"/>
          <w:color w:val="auto"/>
          <w:sz w:val="24"/>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2.2-9</w:t>
      </w:r>
      <w:r>
        <w:rPr>
          <w:rFonts w:hint="default" w:ascii="Times New Roman" w:hAnsi="Times New Roman" w:eastAsia="宋体" w:cs="Times New Roman"/>
          <w:b w:val="0"/>
          <w:bCs w:val="0"/>
          <w:color w:val="auto"/>
          <w:sz w:val="21"/>
          <w:szCs w:val="21"/>
          <w:highlight w:val="none"/>
          <w:lang w:val="en-US" w:eastAsia="zh-CN"/>
        </w:rPr>
        <w:t xml:space="preserve"> </w:t>
      </w:r>
      <w:r>
        <w:rPr>
          <w:rFonts w:hint="eastAsia" w:ascii="Times New Roman" w:hAnsi="Times New Roman" w:eastAsia="宋体" w:cs="Times New Roman"/>
          <w:b w:val="0"/>
          <w:bCs w:val="0"/>
          <w:color w:val="auto"/>
          <w:sz w:val="21"/>
          <w:szCs w:val="21"/>
          <w:highlight w:val="none"/>
          <w:lang w:val="en-US" w:eastAsia="zh-CN"/>
        </w:rPr>
        <w:t xml:space="preserve">   </w:t>
      </w:r>
      <w:r>
        <w:rPr>
          <w:rFonts w:hint="eastAsia" w:eastAsia="宋体" w:cs="Times New Roman"/>
          <w:b w:val="0"/>
          <w:bCs w:val="0"/>
          <w:color w:val="auto"/>
          <w:sz w:val="21"/>
          <w:szCs w:val="21"/>
          <w:highlight w:val="none"/>
          <w:lang w:val="en-US" w:eastAsia="zh-CN"/>
        </w:rPr>
        <w:t xml:space="preserve">          </w:t>
      </w:r>
      <w:r>
        <w:rPr>
          <w:rFonts w:hint="eastAsia" w:ascii="Times New Roman" w:hAnsi="Times New Roman" w:eastAsia="宋体" w:cs="Times New Roman"/>
          <w:b w:val="0"/>
          <w:bCs w:val="0"/>
          <w:color w:val="auto"/>
          <w:sz w:val="21"/>
          <w:szCs w:val="21"/>
          <w:highlight w:val="none"/>
          <w:lang w:val="en-US" w:eastAsia="zh-CN"/>
        </w:rPr>
        <w:t xml:space="preserve"> </w:t>
      </w:r>
      <w:r>
        <w:rPr>
          <w:rFonts w:hint="eastAsia" w:eastAsia="宋体" w:cs="Times New Roman"/>
          <w:b/>
          <w:bCs/>
          <w:color w:val="auto"/>
          <w:sz w:val="24"/>
          <w:szCs w:val="24"/>
          <w:highlight w:val="none"/>
          <w:lang w:val="en-US" w:eastAsia="zh-CN"/>
        </w:rPr>
        <w:t>本项目</w:t>
      </w:r>
      <w:r>
        <w:rPr>
          <w:rFonts w:hint="default" w:ascii="Times New Roman" w:hAnsi="Times New Roman" w:eastAsia="宋体" w:cs="Times New Roman"/>
          <w:b/>
          <w:bCs/>
          <w:color w:val="auto"/>
          <w:sz w:val="24"/>
          <w:szCs w:val="24"/>
          <w:highlight w:val="none"/>
          <w:lang w:val="en-US" w:eastAsia="zh-CN"/>
        </w:rPr>
        <w:t>废水水质设计取值</w:t>
      </w:r>
      <w:r>
        <w:rPr>
          <w:rFonts w:hint="default" w:ascii="Times New Roman" w:hAnsi="Times New Roman" w:eastAsia="宋体" w:cs="Times New Roman"/>
          <w:b w:val="0"/>
          <w:bCs w:val="0"/>
          <w:color w:val="auto"/>
          <w:sz w:val="21"/>
          <w:szCs w:val="21"/>
          <w:highlight w:val="none"/>
          <w:lang w:val="en-US" w:eastAsia="zh-CN"/>
        </w:rPr>
        <w:t xml:space="preserve">  </w:t>
      </w:r>
      <w:r>
        <w:rPr>
          <w:rFonts w:hint="eastAsia" w:ascii="Times New Roman" w:hAnsi="Times New Roman" w:eastAsia="宋体" w:cs="Times New Roman"/>
          <w:b w:val="0"/>
          <w:bCs w:val="0"/>
          <w:color w:val="auto"/>
          <w:sz w:val="21"/>
          <w:szCs w:val="21"/>
          <w:highlight w:val="none"/>
          <w:lang w:val="en-US" w:eastAsia="zh-CN"/>
        </w:rPr>
        <w:t xml:space="preserve">    </w:t>
      </w:r>
      <w:r>
        <w:rPr>
          <w:rFonts w:hint="eastAsia" w:eastAsia="宋体" w:cs="Times New Roman"/>
          <w:b w:val="0"/>
          <w:bCs w:val="0"/>
          <w:color w:val="auto"/>
          <w:sz w:val="21"/>
          <w:szCs w:val="21"/>
          <w:highlight w:val="none"/>
          <w:lang w:val="en-US" w:eastAsia="zh-CN"/>
        </w:rPr>
        <w:t xml:space="preserve">    </w:t>
      </w:r>
      <w:r>
        <w:rPr>
          <w:rFonts w:hint="eastAsia" w:ascii="Times New Roman" w:hAnsi="Times New Roman" w:eastAsia="宋体"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单位：mg/L（pH值除外）</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2133"/>
        <w:gridCol w:w="2440"/>
        <w:gridCol w:w="1454"/>
        <w:gridCol w:w="1791"/>
      </w:tblGrid>
      <w:tr w14:paraId="5EB20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tcBorders>
              <w:tl2br w:val="nil"/>
              <w:tr2bl w:val="nil"/>
            </w:tcBorders>
            <w:vAlign w:val="center"/>
          </w:tcPr>
          <w:p w14:paraId="67E6A066">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133" w:type="dxa"/>
            <w:tcBorders>
              <w:tl2br w:val="nil"/>
              <w:tr2bl w:val="nil"/>
            </w:tcBorders>
            <w:vAlign w:val="center"/>
          </w:tcPr>
          <w:p w14:paraId="32A08253">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3894" w:type="dxa"/>
            <w:gridSpan w:val="2"/>
            <w:tcBorders>
              <w:tl2br w:val="nil"/>
              <w:tr2bl w:val="nil"/>
            </w:tcBorders>
            <w:vAlign w:val="center"/>
          </w:tcPr>
          <w:p w14:paraId="26D8FA49">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屠宰废水水质设计取值</w:t>
            </w:r>
          </w:p>
        </w:tc>
        <w:tc>
          <w:tcPr>
            <w:tcW w:w="1791" w:type="dxa"/>
            <w:tcBorders>
              <w:tl2br w:val="nil"/>
              <w:tr2bl w:val="nil"/>
            </w:tcBorders>
            <w:vAlign w:val="center"/>
          </w:tcPr>
          <w:p w14:paraId="1427EA06">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本项目取值</w:t>
            </w:r>
          </w:p>
        </w:tc>
      </w:tr>
      <w:tr w14:paraId="02BCB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tcBorders>
              <w:tl2br w:val="nil"/>
              <w:tr2bl w:val="nil"/>
            </w:tcBorders>
            <w:vAlign w:val="center"/>
          </w:tcPr>
          <w:p w14:paraId="079FD63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133" w:type="dxa"/>
            <w:tcBorders>
              <w:tl2br w:val="nil"/>
              <w:tr2bl w:val="nil"/>
            </w:tcBorders>
            <w:vAlign w:val="center"/>
          </w:tcPr>
          <w:p w14:paraId="75486DC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COD</w:t>
            </w:r>
          </w:p>
        </w:tc>
        <w:tc>
          <w:tcPr>
            <w:tcW w:w="3894" w:type="dxa"/>
            <w:gridSpan w:val="2"/>
            <w:tcBorders>
              <w:tl2br w:val="nil"/>
              <w:tr2bl w:val="nil"/>
            </w:tcBorders>
            <w:vAlign w:val="center"/>
          </w:tcPr>
          <w:p w14:paraId="046C7CE3">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1500~2000</w:t>
            </w:r>
          </w:p>
        </w:tc>
        <w:tc>
          <w:tcPr>
            <w:tcW w:w="1791" w:type="dxa"/>
            <w:tcBorders>
              <w:tl2br w:val="nil"/>
              <w:tr2bl w:val="nil"/>
            </w:tcBorders>
            <w:vAlign w:val="center"/>
          </w:tcPr>
          <w:p w14:paraId="03F51DB3">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2000</w:t>
            </w:r>
          </w:p>
        </w:tc>
      </w:tr>
      <w:tr w14:paraId="059F7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tcBorders>
              <w:tl2br w:val="nil"/>
              <w:tr2bl w:val="nil"/>
            </w:tcBorders>
            <w:vAlign w:val="center"/>
          </w:tcPr>
          <w:p w14:paraId="1734E533">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133" w:type="dxa"/>
            <w:tcBorders>
              <w:tl2br w:val="nil"/>
              <w:tr2bl w:val="nil"/>
            </w:tcBorders>
            <w:vAlign w:val="center"/>
          </w:tcPr>
          <w:p w14:paraId="37239046">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BOD</w:t>
            </w:r>
            <w:r>
              <w:rPr>
                <w:rFonts w:hint="eastAsia" w:ascii="Times New Roman" w:hAnsi="Times New Roman" w:eastAsia="宋体" w:cs="Times New Roman"/>
                <w:color w:val="auto"/>
                <w:sz w:val="21"/>
                <w:szCs w:val="21"/>
                <w:vertAlign w:val="subscript"/>
                <w:lang w:val="en-US" w:eastAsia="zh-CN"/>
              </w:rPr>
              <w:t>5</w:t>
            </w:r>
          </w:p>
        </w:tc>
        <w:tc>
          <w:tcPr>
            <w:tcW w:w="3894" w:type="dxa"/>
            <w:gridSpan w:val="2"/>
            <w:tcBorders>
              <w:tl2br w:val="nil"/>
              <w:tr2bl w:val="nil"/>
            </w:tcBorders>
            <w:vAlign w:val="center"/>
          </w:tcPr>
          <w:p w14:paraId="5676E53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750~1000</w:t>
            </w:r>
          </w:p>
        </w:tc>
        <w:tc>
          <w:tcPr>
            <w:tcW w:w="1791" w:type="dxa"/>
            <w:tcBorders>
              <w:tl2br w:val="nil"/>
              <w:tr2bl w:val="nil"/>
            </w:tcBorders>
            <w:vAlign w:val="center"/>
          </w:tcPr>
          <w:p w14:paraId="53ED4347">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1000</w:t>
            </w:r>
          </w:p>
        </w:tc>
      </w:tr>
      <w:tr w14:paraId="7B9A9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tcBorders>
              <w:tl2br w:val="nil"/>
              <w:tr2bl w:val="nil"/>
            </w:tcBorders>
            <w:vAlign w:val="center"/>
          </w:tcPr>
          <w:p w14:paraId="59D6AA3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2133" w:type="dxa"/>
            <w:tcBorders>
              <w:tl2br w:val="nil"/>
              <w:tr2bl w:val="nil"/>
            </w:tcBorders>
            <w:vAlign w:val="center"/>
          </w:tcPr>
          <w:p w14:paraId="69CD63F9">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SS</w:t>
            </w:r>
          </w:p>
        </w:tc>
        <w:tc>
          <w:tcPr>
            <w:tcW w:w="3894" w:type="dxa"/>
            <w:gridSpan w:val="2"/>
            <w:tcBorders>
              <w:tl2br w:val="nil"/>
              <w:tr2bl w:val="nil"/>
            </w:tcBorders>
            <w:vAlign w:val="center"/>
          </w:tcPr>
          <w:p w14:paraId="0C67CE3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750~1000</w:t>
            </w:r>
          </w:p>
        </w:tc>
        <w:tc>
          <w:tcPr>
            <w:tcW w:w="1791" w:type="dxa"/>
            <w:tcBorders>
              <w:tl2br w:val="nil"/>
              <w:tr2bl w:val="nil"/>
            </w:tcBorders>
            <w:vAlign w:val="center"/>
          </w:tcPr>
          <w:p w14:paraId="4FFDA119">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1000</w:t>
            </w:r>
          </w:p>
        </w:tc>
      </w:tr>
      <w:tr w14:paraId="2D6B5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tcBorders>
              <w:tl2br w:val="nil"/>
              <w:tr2bl w:val="nil"/>
            </w:tcBorders>
            <w:vAlign w:val="center"/>
          </w:tcPr>
          <w:p w14:paraId="496636BD">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2133" w:type="dxa"/>
            <w:tcBorders>
              <w:tl2br w:val="nil"/>
              <w:tr2bl w:val="nil"/>
            </w:tcBorders>
            <w:vAlign w:val="center"/>
          </w:tcPr>
          <w:p w14:paraId="687D95BB">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氨氮</w:t>
            </w:r>
          </w:p>
        </w:tc>
        <w:tc>
          <w:tcPr>
            <w:tcW w:w="3894" w:type="dxa"/>
            <w:gridSpan w:val="2"/>
            <w:tcBorders>
              <w:tl2br w:val="nil"/>
              <w:tr2bl w:val="nil"/>
            </w:tcBorders>
            <w:vAlign w:val="center"/>
          </w:tcPr>
          <w:p w14:paraId="7550F143">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i w:val="0"/>
                <w:color w:val="auto"/>
                <w:sz w:val="21"/>
                <w:szCs w:val="21"/>
                <w:highlight w:val="none"/>
                <w:u w:val="none"/>
                <w:lang w:val="en-US" w:eastAsia="zh-CN"/>
              </w:rPr>
              <w:t>50~150</w:t>
            </w:r>
          </w:p>
        </w:tc>
        <w:tc>
          <w:tcPr>
            <w:tcW w:w="1791" w:type="dxa"/>
            <w:tcBorders>
              <w:tl2br w:val="nil"/>
              <w:tr2bl w:val="nil"/>
            </w:tcBorders>
            <w:vAlign w:val="center"/>
          </w:tcPr>
          <w:p w14:paraId="5148F8E5">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150</w:t>
            </w:r>
          </w:p>
        </w:tc>
      </w:tr>
      <w:tr w14:paraId="1AE4B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tcBorders>
              <w:tl2br w:val="nil"/>
              <w:tr2bl w:val="nil"/>
            </w:tcBorders>
            <w:vAlign w:val="center"/>
          </w:tcPr>
          <w:p w14:paraId="2093513B">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2133" w:type="dxa"/>
            <w:tcBorders>
              <w:tl2br w:val="nil"/>
              <w:tr2bl w:val="nil"/>
            </w:tcBorders>
            <w:vAlign w:val="center"/>
          </w:tcPr>
          <w:p w14:paraId="41A4B707">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动植物油</w:t>
            </w:r>
          </w:p>
        </w:tc>
        <w:tc>
          <w:tcPr>
            <w:tcW w:w="3894" w:type="dxa"/>
            <w:gridSpan w:val="2"/>
            <w:tcBorders>
              <w:tl2br w:val="nil"/>
              <w:tr2bl w:val="nil"/>
            </w:tcBorders>
            <w:vAlign w:val="center"/>
          </w:tcPr>
          <w:p w14:paraId="0C001CBB">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i w:val="0"/>
                <w:color w:val="auto"/>
                <w:sz w:val="21"/>
                <w:szCs w:val="21"/>
                <w:highlight w:val="none"/>
                <w:u w:val="none"/>
                <w:lang w:eastAsia="zh-CN"/>
              </w:rPr>
              <w:t>50~</w:t>
            </w:r>
            <w:r>
              <w:rPr>
                <w:rFonts w:hint="eastAsia" w:ascii="Times New Roman" w:hAnsi="Times New Roman" w:eastAsia="宋体" w:cs="Times New Roman"/>
                <w:b w:val="0"/>
                <w:bCs/>
                <w:i w:val="0"/>
                <w:color w:val="auto"/>
                <w:sz w:val="21"/>
                <w:szCs w:val="21"/>
                <w:highlight w:val="none"/>
                <w:u w:val="none"/>
                <w:lang w:val="en-US" w:eastAsia="zh-CN"/>
              </w:rPr>
              <w:t>200</w:t>
            </w:r>
          </w:p>
        </w:tc>
        <w:tc>
          <w:tcPr>
            <w:tcW w:w="1791" w:type="dxa"/>
            <w:tcBorders>
              <w:tl2br w:val="nil"/>
              <w:tr2bl w:val="nil"/>
            </w:tcBorders>
            <w:vAlign w:val="center"/>
          </w:tcPr>
          <w:p w14:paraId="6EC37D84">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r>
      <w:tr w14:paraId="55B99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tcBorders>
              <w:tl2br w:val="nil"/>
              <w:tr2bl w:val="nil"/>
            </w:tcBorders>
            <w:vAlign w:val="center"/>
          </w:tcPr>
          <w:p w14:paraId="71559B8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2133" w:type="dxa"/>
            <w:tcBorders>
              <w:tl2br w:val="nil"/>
              <w:tr2bl w:val="nil"/>
            </w:tcBorders>
            <w:vAlign w:val="center"/>
          </w:tcPr>
          <w:p w14:paraId="1EECC27A">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w:t>
            </w:r>
          </w:p>
        </w:tc>
        <w:tc>
          <w:tcPr>
            <w:tcW w:w="3894" w:type="dxa"/>
            <w:gridSpan w:val="2"/>
            <w:tcBorders>
              <w:tl2br w:val="nil"/>
              <w:tr2bl w:val="nil"/>
            </w:tcBorders>
            <w:vAlign w:val="center"/>
          </w:tcPr>
          <w:p w14:paraId="2C5A5774">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6.5~7.5</w:t>
            </w:r>
          </w:p>
        </w:tc>
        <w:tc>
          <w:tcPr>
            <w:tcW w:w="1791" w:type="dxa"/>
            <w:tcBorders>
              <w:tl2br w:val="nil"/>
              <w:tr2bl w:val="nil"/>
            </w:tcBorders>
            <w:vAlign w:val="center"/>
          </w:tcPr>
          <w:p w14:paraId="5E05ACB2">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6.5~7.5</w:t>
            </w:r>
          </w:p>
        </w:tc>
      </w:tr>
      <w:tr w14:paraId="39134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vMerge w:val="restart"/>
            <w:tcBorders>
              <w:tl2br w:val="nil"/>
              <w:tr2bl w:val="nil"/>
            </w:tcBorders>
            <w:vAlign w:val="center"/>
          </w:tcPr>
          <w:p w14:paraId="323259D7">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2133" w:type="dxa"/>
            <w:vMerge w:val="restart"/>
            <w:tcBorders>
              <w:tl2br w:val="nil"/>
              <w:tr2bl w:val="nil"/>
            </w:tcBorders>
            <w:vAlign w:val="center"/>
          </w:tcPr>
          <w:p w14:paraId="270E133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总磷</w:t>
            </w:r>
          </w:p>
        </w:tc>
        <w:tc>
          <w:tcPr>
            <w:tcW w:w="2440" w:type="dxa"/>
            <w:tcBorders>
              <w:tl2br w:val="nil"/>
              <w:tr2bl w:val="nil"/>
            </w:tcBorders>
            <w:vAlign w:val="center"/>
          </w:tcPr>
          <w:p w14:paraId="56A4698B">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羊肉（含羊胴肉）</w:t>
            </w:r>
          </w:p>
        </w:tc>
        <w:tc>
          <w:tcPr>
            <w:tcW w:w="1454" w:type="dxa"/>
            <w:tcBorders>
              <w:tl2br w:val="nil"/>
              <w:tr2bl w:val="nil"/>
            </w:tcBorders>
            <w:vAlign w:val="center"/>
          </w:tcPr>
          <w:p w14:paraId="65775C74">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5.8g/只</w:t>
            </w:r>
          </w:p>
        </w:tc>
        <w:tc>
          <w:tcPr>
            <w:tcW w:w="1791" w:type="dxa"/>
            <w:tcBorders>
              <w:tl2br w:val="nil"/>
              <w:tr2bl w:val="nil"/>
            </w:tcBorders>
            <w:shd w:val="clear" w:color="auto" w:fill="auto"/>
            <w:vAlign w:val="center"/>
          </w:tcPr>
          <w:p w14:paraId="0D0F8414">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5.8g/只</w:t>
            </w:r>
          </w:p>
        </w:tc>
      </w:tr>
      <w:tr w14:paraId="55010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vMerge w:val="continue"/>
            <w:tcBorders>
              <w:tl2br w:val="nil"/>
              <w:tr2bl w:val="nil"/>
            </w:tcBorders>
            <w:vAlign w:val="center"/>
          </w:tcPr>
          <w:p w14:paraId="136ED48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2133" w:type="dxa"/>
            <w:vMerge w:val="continue"/>
            <w:tcBorders>
              <w:tl2br w:val="nil"/>
              <w:tr2bl w:val="nil"/>
            </w:tcBorders>
            <w:vAlign w:val="center"/>
          </w:tcPr>
          <w:p w14:paraId="1711603F">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440" w:type="dxa"/>
            <w:tcBorders>
              <w:tl2br w:val="nil"/>
              <w:tr2bl w:val="nil"/>
            </w:tcBorders>
            <w:vAlign w:val="center"/>
          </w:tcPr>
          <w:p w14:paraId="74A086A8">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牛肉（含牛四分体）</w:t>
            </w:r>
          </w:p>
        </w:tc>
        <w:tc>
          <w:tcPr>
            <w:tcW w:w="1454" w:type="dxa"/>
            <w:tcBorders>
              <w:tl2br w:val="nil"/>
              <w:tr2bl w:val="nil"/>
            </w:tcBorders>
            <w:vAlign w:val="center"/>
          </w:tcPr>
          <w:p w14:paraId="1D43DA66">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13g/头</w:t>
            </w:r>
          </w:p>
        </w:tc>
        <w:tc>
          <w:tcPr>
            <w:tcW w:w="1791" w:type="dxa"/>
            <w:tcBorders>
              <w:tl2br w:val="nil"/>
              <w:tr2bl w:val="nil"/>
            </w:tcBorders>
            <w:shd w:val="clear" w:color="auto" w:fill="auto"/>
            <w:vAlign w:val="center"/>
          </w:tcPr>
          <w:p w14:paraId="26311DF6">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13g/头</w:t>
            </w:r>
          </w:p>
        </w:tc>
      </w:tr>
      <w:tr w14:paraId="459E8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vMerge w:val="restart"/>
            <w:tcBorders>
              <w:tl2br w:val="nil"/>
              <w:tr2bl w:val="nil"/>
            </w:tcBorders>
            <w:vAlign w:val="center"/>
          </w:tcPr>
          <w:p w14:paraId="67F5E064">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2133" w:type="dxa"/>
            <w:vMerge w:val="restart"/>
            <w:tcBorders>
              <w:tl2br w:val="nil"/>
              <w:tr2bl w:val="nil"/>
            </w:tcBorders>
            <w:vAlign w:val="center"/>
          </w:tcPr>
          <w:p w14:paraId="072F4796">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总氮</w:t>
            </w:r>
          </w:p>
        </w:tc>
        <w:tc>
          <w:tcPr>
            <w:tcW w:w="2440" w:type="dxa"/>
            <w:tcBorders>
              <w:tl2br w:val="nil"/>
              <w:tr2bl w:val="nil"/>
            </w:tcBorders>
            <w:vAlign w:val="center"/>
          </w:tcPr>
          <w:p w14:paraId="3CE45665">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羊肉（含羊胴肉）</w:t>
            </w:r>
          </w:p>
        </w:tc>
        <w:tc>
          <w:tcPr>
            <w:tcW w:w="1454" w:type="dxa"/>
            <w:tcBorders>
              <w:tl2br w:val="nil"/>
              <w:tr2bl w:val="nil"/>
            </w:tcBorders>
            <w:vAlign w:val="center"/>
          </w:tcPr>
          <w:p w14:paraId="22F36A6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45g/只</w:t>
            </w:r>
          </w:p>
        </w:tc>
        <w:tc>
          <w:tcPr>
            <w:tcW w:w="1791" w:type="dxa"/>
            <w:tcBorders>
              <w:tl2br w:val="nil"/>
              <w:tr2bl w:val="nil"/>
            </w:tcBorders>
            <w:shd w:val="clear" w:color="auto" w:fill="auto"/>
            <w:vAlign w:val="center"/>
          </w:tcPr>
          <w:p w14:paraId="26C62D20">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45g/只</w:t>
            </w:r>
          </w:p>
        </w:tc>
      </w:tr>
      <w:tr w14:paraId="3E398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0" w:type="dxa"/>
            <w:vMerge w:val="continue"/>
            <w:tcBorders>
              <w:tl2br w:val="nil"/>
              <w:tr2bl w:val="nil"/>
            </w:tcBorders>
            <w:vAlign w:val="center"/>
          </w:tcPr>
          <w:p w14:paraId="65C79B94">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2133" w:type="dxa"/>
            <w:vMerge w:val="continue"/>
            <w:tcBorders>
              <w:tl2br w:val="nil"/>
              <w:tr2bl w:val="nil"/>
            </w:tcBorders>
            <w:vAlign w:val="center"/>
          </w:tcPr>
          <w:p w14:paraId="4D1E631A">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2440" w:type="dxa"/>
            <w:tcBorders>
              <w:tl2br w:val="nil"/>
              <w:tr2bl w:val="nil"/>
            </w:tcBorders>
            <w:vAlign w:val="center"/>
          </w:tcPr>
          <w:p w14:paraId="5B83B2FE">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牛肉（含牛四分体）</w:t>
            </w:r>
          </w:p>
        </w:tc>
        <w:tc>
          <w:tcPr>
            <w:tcW w:w="1454" w:type="dxa"/>
            <w:tcBorders>
              <w:tl2br w:val="nil"/>
              <w:tr2bl w:val="nil"/>
            </w:tcBorders>
            <w:vAlign w:val="center"/>
          </w:tcPr>
          <w:p w14:paraId="27BCF43C">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226g/头</w:t>
            </w:r>
          </w:p>
        </w:tc>
        <w:tc>
          <w:tcPr>
            <w:tcW w:w="1791" w:type="dxa"/>
            <w:tcBorders>
              <w:tl2br w:val="nil"/>
              <w:tr2bl w:val="nil"/>
            </w:tcBorders>
            <w:shd w:val="clear" w:color="auto" w:fill="auto"/>
            <w:vAlign w:val="center"/>
          </w:tcPr>
          <w:p w14:paraId="28106F21">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226g/头</w:t>
            </w:r>
          </w:p>
        </w:tc>
      </w:tr>
    </w:tbl>
    <w:p w14:paraId="782EDC2F">
      <w:pPr>
        <w:pStyle w:val="2"/>
        <w:keepNext w:val="0"/>
        <w:keepLines w:val="0"/>
        <w:pageBreakBefore w:val="0"/>
        <w:widowControl w:val="0"/>
        <w:kinsoku/>
        <w:wordWrap/>
        <w:overflowPunct/>
        <w:topLinePunct w:val="0"/>
        <w:autoSpaceDE/>
        <w:autoSpaceDN/>
        <w:bidi w:val="0"/>
        <w:adjustRightInd/>
        <w:snapToGrid/>
        <w:ind w:left="0" w:leftChars="0" w:firstLine="480"/>
        <w:jc w:val="both"/>
        <w:textAlignment w:val="auto"/>
        <w:rPr>
          <w:rFonts w:hint="default" w:ascii="Times New Roman" w:hAnsi="Times New Roman" w:eastAsia="仿宋_GB2312" w:cs="Times New Roman"/>
          <w:color w:val="auto"/>
          <w:sz w:val="24"/>
          <w:highlight w:val="none"/>
          <w:lang w:val="en-US" w:eastAsia="zh-CN"/>
        </w:rPr>
      </w:pPr>
      <w:r>
        <w:rPr>
          <w:rFonts w:hint="eastAsia" w:cs="Times New Roman"/>
          <w:color w:val="auto"/>
          <w:sz w:val="24"/>
          <w:highlight w:val="none"/>
          <w:lang w:val="en-US" w:eastAsia="zh-CN"/>
        </w:rPr>
        <w:t>屠宰废水、车辆冲洗废水</w:t>
      </w:r>
      <w:r>
        <w:rPr>
          <w:rFonts w:hint="default" w:ascii="Times New Roman" w:hAnsi="Times New Roman" w:eastAsia="仿宋_GB2312" w:cs="Times New Roman"/>
          <w:color w:val="auto"/>
          <w:sz w:val="24"/>
          <w:highlight w:val="none"/>
        </w:rPr>
        <w:t>排入厂区污水处理站处理，水质满足《屠宰及肉类加工工业水污染物排放标准》（GB13457-2025）表1间接排放标准</w:t>
      </w:r>
      <w:r>
        <w:rPr>
          <w:rFonts w:hint="eastAsia" w:cs="Times New Roman"/>
          <w:color w:val="auto"/>
          <w:sz w:val="24"/>
          <w:highlight w:val="none"/>
          <w:lang w:eastAsia="zh-CN"/>
        </w:rPr>
        <w:t>、</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eastAsia" w:ascii="Times New Roman" w:hAnsi="Times New Roman"/>
          <w:color w:val="auto"/>
          <w:lang w:val="en-US" w:eastAsia="zh-CN"/>
        </w:rPr>
        <w:t>后</w:t>
      </w:r>
      <w:r>
        <w:rPr>
          <w:rFonts w:hint="eastAsia"/>
          <w:color w:val="auto"/>
          <w:lang w:val="en-US" w:eastAsia="zh-CN"/>
        </w:rPr>
        <w:t>排至城区污水处理厂处理</w:t>
      </w:r>
      <w:r>
        <w:rPr>
          <w:rFonts w:hint="default" w:ascii="Times New Roman" w:hAnsi="Times New Roman" w:eastAsia="仿宋_GB2312" w:cs="Times New Roman"/>
          <w:color w:val="auto"/>
          <w:sz w:val="24"/>
          <w:highlight w:val="none"/>
        </w:rPr>
        <w:t>。</w:t>
      </w:r>
    </w:p>
    <w:p w14:paraId="5EA2B5AD">
      <w:pPr>
        <w:pageBreakBefore w:val="0"/>
        <w:kinsoku/>
        <w:wordWrap/>
        <w:topLinePunct w:val="0"/>
        <w:bidi w:val="0"/>
        <w:adjustRightInd/>
        <w:snapToGrid/>
        <w:ind w:left="0" w:leftChars="0"/>
        <w:rPr>
          <w:rFonts w:hint="default" w:ascii="Times New Roman" w:hAnsi="Times New Roman"/>
          <w:color w:val="auto"/>
          <w:lang w:eastAsia="zh-CN"/>
        </w:rPr>
      </w:pPr>
      <w:r>
        <w:rPr>
          <w:rFonts w:hint="default" w:ascii="Times New Roman" w:hAnsi="Times New Roman" w:eastAsia="微软雅黑" w:cs="Times New Roman"/>
          <w:color w:val="auto"/>
          <w:sz w:val="24"/>
          <w:highlight w:val="none"/>
          <w:lang w:val="zh-CN"/>
        </w:rPr>
        <w:t>④</w:t>
      </w:r>
      <w:r>
        <w:rPr>
          <w:rFonts w:hint="default" w:ascii="Times New Roman" w:hAnsi="Times New Roman" w:eastAsia="仿宋_GB2312" w:cs="Times New Roman"/>
          <w:color w:val="auto"/>
          <w:sz w:val="24"/>
          <w:highlight w:val="none"/>
          <w:lang w:val="zh-CN"/>
        </w:rPr>
        <w:t>生活污水：生活污水排水量按照用水量</w:t>
      </w:r>
      <w:r>
        <w:rPr>
          <w:rFonts w:hint="default" w:ascii="Times New Roman" w:hAnsi="Times New Roman" w:eastAsia="仿宋_GB2312" w:cs="Times New Roman"/>
          <w:color w:val="auto"/>
          <w:sz w:val="24"/>
          <w:highlight w:val="none"/>
        </w:rPr>
        <w:t>80</w:t>
      </w:r>
      <w:r>
        <w:rPr>
          <w:rFonts w:hint="default" w:ascii="Times New Roman" w:hAnsi="Times New Roman" w:eastAsia="仿宋_GB2312" w:cs="Times New Roman"/>
          <w:color w:val="auto"/>
          <w:sz w:val="24"/>
          <w:highlight w:val="none"/>
          <w:lang w:val="zh-CN"/>
        </w:rPr>
        <w:t>%计算，则排水量为</w:t>
      </w:r>
      <w:r>
        <w:rPr>
          <w:rFonts w:hint="eastAsia" w:cs="Times New Roman"/>
          <w:color w:val="auto"/>
          <w:sz w:val="24"/>
          <w:highlight w:val="none"/>
          <w:lang w:val="en-US" w:eastAsia="zh-CN"/>
        </w:rPr>
        <w:t>520</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default" w:ascii="Times New Roman" w:hAnsi="Times New Roman" w:eastAsia="仿宋_GB2312" w:cs="Times New Roman"/>
          <w:color w:val="auto"/>
          <w:sz w:val="24"/>
          <w:highlight w:val="none"/>
        </w:rPr>
        <w:t>（</w:t>
      </w:r>
      <w:r>
        <w:rPr>
          <w:rFonts w:hint="eastAsia" w:cs="Times New Roman"/>
          <w:color w:val="auto"/>
          <w:sz w:val="24"/>
          <w:highlight w:val="none"/>
          <w:lang w:val="en-US" w:eastAsia="zh-CN"/>
        </w:rPr>
        <w:t>1.58</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/d）</w:t>
      </w:r>
      <w:r>
        <w:rPr>
          <w:rFonts w:hint="eastAsia" w:cs="Times New Roman"/>
          <w:color w:val="auto"/>
          <w:sz w:val="24"/>
          <w:highlight w:val="none"/>
          <w:lang w:val="zh-CN"/>
        </w:rPr>
        <w:t>，</w:t>
      </w:r>
      <w:r>
        <w:rPr>
          <w:rFonts w:hint="default" w:ascii="Times New Roman" w:hAnsi="Times New Roman" w:eastAsia="仿宋_GB2312" w:cs="Times New Roman"/>
          <w:color w:val="auto"/>
          <w:sz w:val="24"/>
          <w:szCs w:val="24"/>
          <w:lang w:eastAsia="zh-CN"/>
        </w:rPr>
        <w:t>主要污染因子为COD、BOD</w:t>
      </w:r>
      <w:r>
        <w:rPr>
          <w:rFonts w:hint="default" w:ascii="Times New Roman" w:hAnsi="Times New Roman" w:eastAsia="仿宋_GB2312" w:cs="Times New Roman"/>
          <w:color w:val="auto"/>
          <w:sz w:val="24"/>
          <w:szCs w:val="24"/>
          <w:vertAlign w:val="subscript"/>
          <w:lang w:eastAsia="zh-CN"/>
        </w:rPr>
        <w:t>5</w:t>
      </w:r>
      <w:r>
        <w:rPr>
          <w:rFonts w:hint="default" w:ascii="Times New Roman" w:hAnsi="Times New Roman" w:eastAsia="仿宋_GB2312" w:cs="Times New Roman"/>
          <w:color w:val="auto"/>
          <w:sz w:val="24"/>
          <w:szCs w:val="24"/>
          <w:lang w:eastAsia="zh-CN"/>
        </w:rPr>
        <w:t>、SS、氨氮、</w:t>
      </w:r>
      <w:r>
        <w:rPr>
          <w:rFonts w:hint="default" w:ascii="Times New Roman" w:hAnsi="Times New Roman" w:eastAsia="仿宋_GB2312" w:cs="Times New Roman"/>
          <w:color w:val="auto"/>
          <w:sz w:val="24"/>
          <w:szCs w:val="24"/>
          <w:lang w:val="en-US" w:eastAsia="zh-CN"/>
        </w:rPr>
        <w:t>动植物油</w:t>
      </w:r>
      <w:r>
        <w:rPr>
          <w:rFonts w:hint="default" w:ascii="Times New Roman" w:hAnsi="Times New Roman" w:eastAsia="仿宋_GB2312" w:cs="Times New Roman"/>
          <w:color w:val="auto"/>
          <w:sz w:val="24"/>
          <w:szCs w:val="24"/>
          <w:lang w:eastAsia="zh-CN"/>
        </w:rPr>
        <w:t>等。其中COD：</w:t>
      </w:r>
      <w:r>
        <w:rPr>
          <w:rFonts w:hint="default" w:ascii="Times New Roman" w:hAnsi="Times New Roman" w:eastAsia="仿宋_GB2312" w:cs="Times New Roman"/>
          <w:color w:val="auto"/>
          <w:sz w:val="24"/>
          <w:szCs w:val="24"/>
          <w:lang w:val="en-US" w:eastAsia="zh-CN"/>
        </w:rPr>
        <w:t>400</w:t>
      </w:r>
      <w:r>
        <w:rPr>
          <w:rFonts w:hint="default" w:ascii="Times New Roman" w:hAnsi="Times New Roman" w:eastAsia="仿宋_GB2312" w:cs="Times New Roman"/>
          <w:color w:val="auto"/>
          <w:sz w:val="24"/>
          <w:szCs w:val="24"/>
          <w:lang w:eastAsia="zh-CN"/>
        </w:rPr>
        <w:t>mg/L、BOD</w:t>
      </w:r>
      <w:r>
        <w:rPr>
          <w:rFonts w:hint="default" w:ascii="Times New Roman" w:hAnsi="Times New Roman" w:eastAsia="仿宋_GB2312" w:cs="Times New Roman"/>
          <w:color w:val="auto"/>
          <w:sz w:val="24"/>
          <w:szCs w:val="24"/>
          <w:vertAlign w:val="subscript"/>
          <w:lang w:eastAsia="zh-CN"/>
        </w:rPr>
        <w:t>5</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300</w:t>
      </w:r>
      <w:r>
        <w:rPr>
          <w:rFonts w:hint="default" w:ascii="Times New Roman" w:hAnsi="Times New Roman" w:eastAsia="仿宋_GB2312" w:cs="Times New Roman"/>
          <w:color w:val="auto"/>
          <w:sz w:val="24"/>
          <w:szCs w:val="24"/>
          <w:lang w:eastAsia="zh-CN"/>
        </w:rPr>
        <w:t>mg/L、NH</w:t>
      </w:r>
      <w:r>
        <w:rPr>
          <w:rFonts w:hint="default" w:ascii="Times New Roman" w:hAnsi="Times New Roman" w:eastAsia="仿宋_GB2312" w:cs="Times New Roman"/>
          <w:color w:val="auto"/>
          <w:sz w:val="24"/>
          <w:szCs w:val="24"/>
          <w:vertAlign w:val="subscript"/>
          <w:lang w:eastAsia="zh-CN"/>
        </w:rPr>
        <w:t>3</w:t>
      </w:r>
      <w:r>
        <w:rPr>
          <w:rFonts w:hint="default" w:ascii="Times New Roman" w:hAnsi="Times New Roman" w:eastAsia="仿宋_GB2312" w:cs="Times New Roman"/>
          <w:color w:val="auto"/>
          <w:sz w:val="24"/>
          <w:szCs w:val="24"/>
          <w:lang w:eastAsia="zh-CN"/>
        </w:rPr>
        <w:t>-N：</w:t>
      </w:r>
      <w:r>
        <w:rPr>
          <w:rFonts w:hint="default" w:ascii="Times New Roman" w:hAnsi="Times New Roman" w:eastAsia="仿宋_GB2312" w:cs="Times New Roman"/>
          <w:color w:val="auto"/>
          <w:sz w:val="24"/>
          <w:szCs w:val="24"/>
          <w:lang w:val="en-US" w:eastAsia="zh-CN"/>
        </w:rPr>
        <w:t>35</w:t>
      </w:r>
      <w:r>
        <w:rPr>
          <w:rFonts w:hint="default" w:ascii="Times New Roman" w:hAnsi="Times New Roman" w:eastAsia="仿宋_GB2312" w:cs="Times New Roman"/>
          <w:color w:val="auto"/>
          <w:sz w:val="24"/>
          <w:szCs w:val="24"/>
          <w:lang w:eastAsia="zh-CN"/>
        </w:rPr>
        <w:t>mg/L、</w:t>
      </w:r>
      <w:r>
        <w:rPr>
          <w:rFonts w:hint="default" w:ascii="Times New Roman" w:hAnsi="Times New Roman" w:eastAsia="仿宋_GB2312" w:cs="Times New Roman"/>
          <w:color w:val="auto"/>
          <w:sz w:val="24"/>
          <w:szCs w:val="24"/>
          <w:lang w:val="en-US" w:eastAsia="zh-CN"/>
        </w:rPr>
        <w:t>SS：200</w:t>
      </w:r>
      <w:r>
        <w:rPr>
          <w:rFonts w:hint="default" w:ascii="Times New Roman" w:hAnsi="Times New Roman" w:eastAsia="仿宋_GB2312" w:cs="Times New Roman"/>
          <w:color w:val="auto"/>
          <w:sz w:val="24"/>
          <w:szCs w:val="24"/>
          <w:lang w:eastAsia="zh-CN"/>
        </w:rPr>
        <w:t>mg/L、</w:t>
      </w:r>
      <w:r>
        <w:rPr>
          <w:rFonts w:hint="default" w:ascii="Times New Roman" w:hAnsi="Times New Roman" w:eastAsia="仿宋_GB2312" w:cs="Times New Roman"/>
          <w:color w:val="auto"/>
          <w:sz w:val="24"/>
          <w:szCs w:val="24"/>
          <w:lang w:val="en-US" w:eastAsia="zh-CN"/>
        </w:rPr>
        <w:t>动植物油：40mg/L</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highlight w:val="none"/>
        </w:rPr>
        <w:t>生活污水经化粪池</w:t>
      </w:r>
      <w:r>
        <w:rPr>
          <w:rFonts w:hint="eastAsia" w:ascii="Times New Roman" w:hAnsi="Times New Roman" w:cs="Times New Roman"/>
          <w:color w:val="auto"/>
          <w:sz w:val="24"/>
          <w:highlight w:val="none"/>
          <w:lang w:val="en-US" w:eastAsia="zh-CN"/>
        </w:rPr>
        <w:t>收集</w:t>
      </w:r>
      <w:r>
        <w:rPr>
          <w:rFonts w:hint="default" w:ascii="Times New Roman" w:hAnsi="Times New Roman" w:eastAsia="仿宋_GB2312" w:cs="Times New Roman"/>
          <w:color w:val="auto"/>
          <w:sz w:val="24"/>
          <w:highlight w:val="none"/>
        </w:rPr>
        <w:t>后</w:t>
      </w:r>
      <w:r>
        <w:rPr>
          <w:rFonts w:hint="eastAsia" w:ascii="Times New Roman" w:hAnsi="Times New Roman" w:cs="Times New Roman"/>
          <w:color w:val="auto"/>
          <w:sz w:val="24"/>
          <w:highlight w:val="none"/>
          <w:lang w:val="en-US" w:eastAsia="zh-CN"/>
        </w:rPr>
        <w:t>达到《污水综合排放标准》（GB8978-1996）三级排放标准及城区污水处理厂接管标准《污水排入城镇下水道水质标准》（GB/T31962-2015）A级排放标准</w:t>
      </w:r>
      <w:r>
        <w:rPr>
          <w:rFonts w:hint="eastAsia" w:ascii="Times New Roman" w:hAnsi="Times New Roman"/>
          <w:color w:val="auto"/>
          <w:lang w:val="en-US" w:eastAsia="zh-CN"/>
        </w:rPr>
        <w:t>后排至</w:t>
      </w:r>
      <w:r>
        <w:rPr>
          <w:rFonts w:hint="eastAsia"/>
          <w:color w:val="auto"/>
          <w:lang w:val="en-US" w:eastAsia="zh-CN"/>
        </w:rPr>
        <w:t>城区污水处理厂</w:t>
      </w:r>
      <w:r>
        <w:rPr>
          <w:rFonts w:hint="eastAsia" w:ascii="Times New Roman" w:hAnsi="Times New Roman"/>
          <w:color w:val="auto"/>
          <w:lang w:val="en-US" w:eastAsia="zh-CN"/>
        </w:rPr>
        <w:t>处理</w:t>
      </w:r>
      <w:r>
        <w:rPr>
          <w:rFonts w:hint="default" w:ascii="Times New Roman" w:hAnsi="Times New Roman" w:eastAsia="仿宋_GB2312" w:cs="Times New Roman"/>
          <w:color w:val="auto"/>
          <w:sz w:val="24"/>
          <w:highlight w:val="none"/>
        </w:rPr>
        <w:t>。</w:t>
      </w:r>
    </w:p>
    <w:p w14:paraId="73ED8F5F">
      <w:pPr>
        <w:pageBreakBefore w:val="0"/>
        <w:kinsoku/>
        <w:wordWrap/>
        <w:topLinePunct w:val="0"/>
        <w:bidi w:val="0"/>
        <w:adjustRightInd/>
        <w:snapToGrid/>
        <w:ind w:left="0" w:leftChars="0"/>
        <w:rPr>
          <w:rFonts w:hint="default" w:ascii="Times New Roman" w:hAnsi="Times New Roman"/>
          <w:color w:val="auto"/>
          <w:lang w:eastAsia="zh-CN"/>
        </w:rPr>
      </w:pPr>
      <w:r>
        <w:rPr>
          <w:rFonts w:hint="default" w:ascii="Times New Roman" w:hAnsi="Times New Roman"/>
          <w:color w:val="auto"/>
          <w:lang w:eastAsia="zh-CN"/>
        </w:rPr>
        <w:t>项目废水产生及排放情况一览表见2.2-</w:t>
      </w:r>
      <w:r>
        <w:rPr>
          <w:rFonts w:hint="eastAsia"/>
          <w:color w:val="auto"/>
          <w:lang w:val="en-US" w:eastAsia="zh-CN"/>
        </w:rPr>
        <w:t>10</w:t>
      </w:r>
      <w:r>
        <w:rPr>
          <w:rFonts w:hint="default" w:ascii="Times New Roman" w:hAnsi="Times New Roman"/>
          <w:color w:val="auto"/>
          <w:lang w:eastAsia="zh-CN"/>
        </w:rPr>
        <w:t>~2.2-</w:t>
      </w:r>
      <w:r>
        <w:rPr>
          <w:rFonts w:hint="eastAsia"/>
          <w:color w:val="auto"/>
          <w:lang w:val="en-US" w:eastAsia="zh-CN"/>
        </w:rPr>
        <w:t>11</w:t>
      </w:r>
      <w:r>
        <w:rPr>
          <w:rFonts w:hint="default" w:ascii="Times New Roman" w:hAnsi="Times New Roman"/>
          <w:color w:val="auto"/>
          <w:lang w:eastAsia="zh-CN"/>
        </w:rPr>
        <w:t>。</w:t>
      </w:r>
    </w:p>
    <w:p w14:paraId="36FEA5E9">
      <w:pPr>
        <w:pageBreakBefore w:val="0"/>
        <w:kinsoku/>
        <w:wordWrap/>
        <w:topLinePunct w:val="0"/>
        <w:bidi w:val="0"/>
        <w:adjustRightInd/>
        <w:snapToGrid/>
        <w:ind w:left="0" w:leftChars="0"/>
        <w:rPr>
          <w:rFonts w:hint="default"/>
          <w:color w:val="0000FF"/>
          <w:lang w:val="en-US" w:eastAsia="zh-CN"/>
        </w:rPr>
        <w:sectPr>
          <w:footerReference r:id="rId18"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733E586">
      <w:pPr>
        <w:pStyle w:val="26"/>
        <w:pageBreakBefore w:val="0"/>
        <w:kinsoku/>
        <w:wordWrap/>
        <w:topLinePunct w:val="0"/>
        <w:bidi w:val="0"/>
        <w:adjustRightInd/>
        <w:snapToGrid/>
        <w:spacing w:before="0" w:beforeAutospacing="0" w:after="0" w:afterAutospacing="0" w:line="240" w:lineRule="auto"/>
        <w:ind w:left="0" w:leftChars="0" w:firstLine="420" w:firstLineChars="200"/>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lang w:val="en-US" w:eastAsia="zh-CN"/>
        </w:rPr>
        <w:t>2.2-10</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rPr>
        <w:t xml:space="preserve">                          </w:t>
      </w:r>
      <w:r>
        <w:rPr>
          <w:rFonts w:hint="eastAsia"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sz w:val="24"/>
          <w:szCs w:val="24"/>
        </w:rPr>
        <w:t>废水产生及排放情况一览表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73"/>
        <w:gridCol w:w="1148"/>
        <w:gridCol w:w="1032"/>
        <w:gridCol w:w="874"/>
        <w:gridCol w:w="1054"/>
        <w:gridCol w:w="862"/>
        <w:gridCol w:w="1043"/>
        <w:gridCol w:w="842"/>
        <w:gridCol w:w="1652"/>
        <w:gridCol w:w="1780"/>
        <w:gridCol w:w="1337"/>
        <w:gridCol w:w="917"/>
      </w:tblGrid>
      <w:tr w14:paraId="23031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restart"/>
            <w:noWrap w:val="0"/>
            <w:vAlign w:val="center"/>
          </w:tcPr>
          <w:p w14:paraId="5E728AC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类别</w:t>
            </w:r>
          </w:p>
        </w:tc>
        <w:tc>
          <w:tcPr>
            <w:tcW w:w="873" w:type="dxa"/>
            <w:vMerge w:val="restart"/>
            <w:noWrap w:val="0"/>
            <w:vAlign w:val="center"/>
          </w:tcPr>
          <w:p w14:paraId="4FAA96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废水量m</w:t>
            </w:r>
            <w:r>
              <w:rPr>
                <w:rFonts w:hint="default" w:ascii="Times New Roman" w:hAnsi="Times New Roman" w:cs="Times New Roman" w:eastAsiaTheme="minorEastAsia"/>
                <w:b/>
                <w:bCs/>
                <w:color w:val="auto"/>
                <w:kern w:val="0"/>
                <w:sz w:val="21"/>
                <w:szCs w:val="21"/>
                <w:vertAlign w:val="superscript"/>
              </w:rPr>
              <w:t>3</w:t>
            </w:r>
            <w:r>
              <w:rPr>
                <w:rFonts w:hint="default" w:ascii="Times New Roman" w:hAnsi="Times New Roman" w:cs="Times New Roman" w:eastAsiaTheme="minorEastAsia"/>
                <w:b/>
                <w:bCs/>
                <w:color w:val="auto"/>
                <w:kern w:val="0"/>
                <w:sz w:val="21"/>
                <w:szCs w:val="21"/>
              </w:rPr>
              <w:t>/a</w:t>
            </w:r>
          </w:p>
        </w:tc>
        <w:tc>
          <w:tcPr>
            <w:tcW w:w="1148" w:type="dxa"/>
            <w:vMerge w:val="restart"/>
            <w:noWrap w:val="0"/>
            <w:vAlign w:val="center"/>
          </w:tcPr>
          <w:p w14:paraId="7BBC1C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w:t>
            </w:r>
          </w:p>
          <w:p w14:paraId="56F8CA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名称</w:t>
            </w:r>
          </w:p>
        </w:tc>
        <w:tc>
          <w:tcPr>
            <w:tcW w:w="1906" w:type="dxa"/>
            <w:gridSpan w:val="2"/>
            <w:noWrap w:val="0"/>
            <w:vAlign w:val="center"/>
          </w:tcPr>
          <w:p w14:paraId="496860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污染物产生量</w:t>
            </w:r>
          </w:p>
        </w:tc>
        <w:tc>
          <w:tcPr>
            <w:tcW w:w="1054" w:type="dxa"/>
            <w:vMerge w:val="restart"/>
            <w:noWrap w:val="0"/>
            <w:vAlign w:val="center"/>
          </w:tcPr>
          <w:p w14:paraId="4D43E9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治理</w:t>
            </w:r>
          </w:p>
          <w:p w14:paraId="14D5EB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措施</w:t>
            </w:r>
          </w:p>
        </w:tc>
        <w:tc>
          <w:tcPr>
            <w:tcW w:w="862" w:type="dxa"/>
            <w:vMerge w:val="restart"/>
            <w:noWrap w:val="0"/>
            <w:vAlign w:val="center"/>
          </w:tcPr>
          <w:p w14:paraId="3CBDC7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处理</w:t>
            </w:r>
          </w:p>
          <w:p w14:paraId="300440C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b/>
                <w:bCs/>
                <w:color w:val="auto"/>
                <w:kern w:val="0"/>
                <w:sz w:val="21"/>
                <w:szCs w:val="21"/>
                <w:lang w:eastAsia="zh-CN"/>
              </w:rPr>
            </w:pPr>
            <w:r>
              <w:rPr>
                <w:rFonts w:hint="default" w:ascii="Times New Roman" w:hAnsi="Times New Roman" w:cs="Times New Roman" w:eastAsiaTheme="minorEastAsia"/>
                <w:b/>
                <w:bCs/>
                <w:color w:val="auto"/>
                <w:kern w:val="0"/>
                <w:sz w:val="21"/>
                <w:szCs w:val="21"/>
              </w:rPr>
              <w:t>效率</w:t>
            </w:r>
            <w:r>
              <w:rPr>
                <w:rFonts w:hint="eastAsia" w:cs="Times New Roman" w:eastAsiaTheme="minorEastAsia"/>
                <w:b/>
                <w:bCs/>
                <w:color w:val="auto"/>
                <w:kern w:val="0"/>
                <w:sz w:val="21"/>
                <w:szCs w:val="21"/>
                <w:lang w:eastAsia="zh-CN"/>
              </w:rPr>
              <w:t>（</w:t>
            </w:r>
            <w:r>
              <w:rPr>
                <w:rFonts w:hint="eastAsia" w:cs="Times New Roman" w:eastAsiaTheme="minorEastAsia"/>
                <w:b/>
                <w:bCs/>
                <w:color w:val="auto"/>
                <w:kern w:val="0"/>
                <w:sz w:val="21"/>
                <w:szCs w:val="21"/>
                <w:lang w:val="en-US" w:eastAsia="zh-CN"/>
              </w:rPr>
              <w:t>%</w:t>
            </w:r>
            <w:r>
              <w:rPr>
                <w:rFonts w:hint="eastAsia" w:cs="Times New Roman" w:eastAsiaTheme="minorEastAsia"/>
                <w:b/>
                <w:bCs/>
                <w:color w:val="auto"/>
                <w:kern w:val="0"/>
                <w:sz w:val="21"/>
                <w:szCs w:val="21"/>
                <w:lang w:eastAsia="zh-CN"/>
              </w:rPr>
              <w:t>）</w:t>
            </w:r>
          </w:p>
        </w:tc>
        <w:tc>
          <w:tcPr>
            <w:tcW w:w="1885" w:type="dxa"/>
            <w:gridSpan w:val="2"/>
            <w:noWrap w:val="0"/>
            <w:vAlign w:val="center"/>
          </w:tcPr>
          <w:p w14:paraId="24C141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污染物排放量</w:t>
            </w:r>
          </w:p>
        </w:tc>
        <w:tc>
          <w:tcPr>
            <w:tcW w:w="1652" w:type="dxa"/>
            <w:vMerge w:val="restart"/>
            <w:noWrap w:val="0"/>
            <w:vAlign w:val="center"/>
          </w:tcPr>
          <w:p w14:paraId="1735E5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《屠宰及肉类加工工业水污染物排放标准》（GB13457-2025）</w:t>
            </w:r>
          </w:p>
        </w:tc>
        <w:tc>
          <w:tcPr>
            <w:tcW w:w="1780" w:type="dxa"/>
            <w:vMerge w:val="restart"/>
            <w:noWrap w:val="0"/>
            <w:vAlign w:val="center"/>
          </w:tcPr>
          <w:p w14:paraId="5B8F624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w:t>
            </w:r>
            <w:r>
              <w:rPr>
                <w:rFonts w:hint="default" w:ascii="Times New Roman" w:hAnsi="Times New Roman" w:cs="Times New Roman" w:eastAsiaTheme="minorEastAsia"/>
                <w:b/>
                <w:bCs/>
                <w:color w:val="auto"/>
                <w:kern w:val="0"/>
                <w:sz w:val="21"/>
                <w:szCs w:val="21"/>
                <w:lang w:eastAsia="zh-CN"/>
              </w:rPr>
              <w:t>污水排入城镇下水道水质</w:t>
            </w:r>
            <w:r>
              <w:rPr>
                <w:rFonts w:hint="default" w:ascii="Times New Roman" w:hAnsi="Times New Roman" w:cs="Times New Roman" w:eastAsiaTheme="minorEastAsia"/>
                <w:b/>
                <w:bCs/>
                <w:color w:val="auto"/>
                <w:kern w:val="0"/>
                <w:sz w:val="21"/>
                <w:szCs w:val="21"/>
              </w:rPr>
              <w:t>标准》（GB</w:t>
            </w:r>
            <w:r>
              <w:rPr>
                <w:rFonts w:hint="default" w:ascii="Times New Roman" w:hAnsi="Times New Roman" w:cs="Times New Roman" w:eastAsiaTheme="minorEastAsia"/>
                <w:b/>
                <w:bCs/>
                <w:color w:val="auto"/>
                <w:kern w:val="0"/>
                <w:sz w:val="21"/>
                <w:szCs w:val="21"/>
                <w:lang w:val="en-US" w:eastAsia="zh-CN"/>
              </w:rPr>
              <w:t>/T31962-2015</w:t>
            </w:r>
            <w:r>
              <w:rPr>
                <w:rFonts w:hint="default" w:ascii="Times New Roman" w:hAnsi="Times New Roman" w:cs="Times New Roman" w:eastAsiaTheme="minorEastAsia"/>
                <w:b/>
                <w:bCs/>
                <w:color w:val="auto"/>
                <w:kern w:val="0"/>
                <w:sz w:val="21"/>
                <w:szCs w:val="21"/>
              </w:rPr>
              <w:t>）</w:t>
            </w:r>
          </w:p>
        </w:tc>
        <w:tc>
          <w:tcPr>
            <w:tcW w:w="1337" w:type="dxa"/>
            <w:vMerge w:val="restart"/>
            <w:noWrap w:val="0"/>
            <w:vAlign w:val="center"/>
          </w:tcPr>
          <w:p w14:paraId="5A572B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《污水综合排放标准》（GB8978-1996）</w:t>
            </w:r>
          </w:p>
        </w:tc>
        <w:tc>
          <w:tcPr>
            <w:tcW w:w="917" w:type="dxa"/>
            <w:vMerge w:val="restart"/>
            <w:noWrap w:val="0"/>
            <w:vAlign w:val="center"/>
          </w:tcPr>
          <w:p w14:paraId="4A0CD6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本项目废水排放标准</w:t>
            </w:r>
          </w:p>
        </w:tc>
      </w:tr>
      <w:tr w14:paraId="4D2F8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255AB0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b/>
                <w:bCs/>
                <w:color w:val="auto"/>
                <w:kern w:val="0"/>
                <w:sz w:val="21"/>
                <w:szCs w:val="21"/>
              </w:rPr>
            </w:pPr>
          </w:p>
        </w:tc>
        <w:tc>
          <w:tcPr>
            <w:tcW w:w="873" w:type="dxa"/>
            <w:vMerge w:val="continue"/>
            <w:noWrap w:val="0"/>
            <w:vAlign w:val="center"/>
          </w:tcPr>
          <w:p w14:paraId="7632C5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b/>
                <w:bCs/>
                <w:color w:val="auto"/>
                <w:kern w:val="0"/>
                <w:sz w:val="21"/>
                <w:szCs w:val="21"/>
              </w:rPr>
            </w:pPr>
          </w:p>
        </w:tc>
        <w:tc>
          <w:tcPr>
            <w:tcW w:w="1148" w:type="dxa"/>
            <w:vMerge w:val="continue"/>
            <w:noWrap w:val="0"/>
            <w:vAlign w:val="center"/>
          </w:tcPr>
          <w:p w14:paraId="5F6BEE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b/>
                <w:bCs/>
                <w:color w:val="auto"/>
                <w:kern w:val="0"/>
                <w:sz w:val="21"/>
                <w:szCs w:val="21"/>
              </w:rPr>
            </w:pPr>
          </w:p>
        </w:tc>
        <w:tc>
          <w:tcPr>
            <w:tcW w:w="1032" w:type="dxa"/>
            <w:noWrap w:val="0"/>
            <w:vAlign w:val="center"/>
          </w:tcPr>
          <w:p w14:paraId="502FC63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浓度（mg/L）</w:t>
            </w:r>
          </w:p>
        </w:tc>
        <w:tc>
          <w:tcPr>
            <w:tcW w:w="874" w:type="dxa"/>
            <w:noWrap w:val="0"/>
            <w:vAlign w:val="center"/>
          </w:tcPr>
          <w:p w14:paraId="1D0C8F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产生量（t/a）</w:t>
            </w:r>
          </w:p>
        </w:tc>
        <w:tc>
          <w:tcPr>
            <w:tcW w:w="1054" w:type="dxa"/>
            <w:vMerge w:val="continue"/>
            <w:noWrap w:val="0"/>
            <w:vAlign w:val="center"/>
          </w:tcPr>
          <w:p w14:paraId="35B9FA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vMerge w:val="continue"/>
            <w:noWrap w:val="0"/>
            <w:vAlign w:val="center"/>
          </w:tcPr>
          <w:p w14:paraId="4F07824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043" w:type="dxa"/>
            <w:noWrap w:val="0"/>
            <w:vAlign w:val="center"/>
          </w:tcPr>
          <w:p w14:paraId="79F1CF0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浓度（mg/L）</w:t>
            </w:r>
          </w:p>
        </w:tc>
        <w:tc>
          <w:tcPr>
            <w:tcW w:w="842" w:type="dxa"/>
            <w:noWrap w:val="0"/>
            <w:vAlign w:val="center"/>
          </w:tcPr>
          <w:p w14:paraId="5BDCA8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排放量（t/a）</w:t>
            </w:r>
          </w:p>
        </w:tc>
        <w:tc>
          <w:tcPr>
            <w:tcW w:w="1652" w:type="dxa"/>
            <w:vMerge w:val="continue"/>
            <w:noWrap w:val="0"/>
            <w:vAlign w:val="center"/>
          </w:tcPr>
          <w:p w14:paraId="6682E5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780" w:type="dxa"/>
            <w:vMerge w:val="continue"/>
            <w:noWrap w:val="0"/>
            <w:vAlign w:val="center"/>
          </w:tcPr>
          <w:p w14:paraId="78471F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337" w:type="dxa"/>
            <w:vMerge w:val="continue"/>
            <w:noWrap w:val="0"/>
            <w:vAlign w:val="center"/>
          </w:tcPr>
          <w:p w14:paraId="33719E4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917" w:type="dxa"/>
            <w:vMerge w:val="continue"/>
            <w:noWrap w:val="0"/>
            <w:vAlign w:val="center"/>
          </w:tcPr>
          <w:p w14:paraId="406601D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r>
      <w:tr w14:paraId="19833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restart"/>
            <w:noWrap w:val="0"/>
            <w:vAlign w:val="center"/>
          </w:tcPr>
          <w:p w14:paraId="115F18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eastAsia" w:cs="Times New Roman" w:eastAsiaTheme="minorEastAsia"/>
                <w:snapToGrid w:val="0"/>
                <w:color w:val="auto"/>
                <w:kern w:val="0"/>
                <w:sz w:val="21"/>
                <w:szCs w:val="21"/>
                <w:lang w:val="en-US" w:eastAsia="zh-CN"/>
              </w:rPr>
              <w:t>生产</w:t>
            </w:r>
            <w:r>
              <w:rPr>
                <w:rFonts w:hint="default" w:ascii="Times New Roman" w:hAnsi="Times New Roman" w:cs="Times New Roman" w:eastAsiaTheme="minorEastAsia"/>
                <w:snapToGrid w:val="0"/>
                <w:color w:val="auto"/>
                <w:kern w:val="0"/>
                <w:sz w:val="21"/>
                <w:szCs w:val="21"/>
                <w:lang w:eastAsia="zh-CN"/>
              </w:rPr>
              <w:t>废水</w:t>
            </w:r>
          </w:p>
        </w:tc>
        <w:tc>
          <w:tcPr>
            <w:tcW w:w="873" w:type="dxa"/>
            <w:vMerge w:val="restart"/>
            <w:noWrap w:val="0"/>
            <w:vAlign w:val="center"/>
          </w:tcPr>
          <w:p w14:paraId="0D3ECAD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18407.88</w:t>
            </w:r>
          </w:p>
        </w:tc>
        <w:tc>
          <w:tcPr>
            <w:tcW w:w="1148" w:type="dxa"/>
            <w:noWrap w:val="0"/>
            <w:vAlign w:val="center"/>
          </w:tcPr>
          <w:p w14:paraId="539F7A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pH（无量纲）</w:t>
            </w:r>
          </w:p>
        </w:tc>
        <w:tc>
          <w:tcPr>
            <w:tcW w:w="1032" w:type="dxa"/>
            <w:noWrap w:val="0"/>
            <w:vAlign w:val="center"/>
          </w:tcPr>
          <w:p w14:paraId="3A8AB14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6.5~7.5</w:t>
            </w:r>
          </w:p>
        </w:tc>
        <w:tc>
          <w:tcPr>
            <w:tcW w:w="874" w:type="dxa"/>
            <w:noWrap w:val="0"/>
            <w:vAlign w:val="center"/>
          </w:tcPr>
          <w:p w14:paraId="721CAC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4" w:type="dxa"/>
            <w:vMerge w:val="restart"/>
            <w:noWrap w:val="0"/>
            <w:vAlign w:val="center"/>
          </w:tcPr>
          <w:p w14:paraId="12A605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r>
              <w:rPr>
                <w:rFonts w:hint="default" w:ascii="Times New Roman" w:hAnsi="Times New Roman" w:cs="Times New Roman" w:eastAsiaTheme="minorEastAsia"/>
                <w:color w:val="auto"/>
                <w:kern w:val="0"/>
                <w:sz w:val="21"/>
                <w:szCs w:val="21"/>
                <w:lang w:val="en-US"/>
              </w:rPr>
              <w:t>“格栅+调节池+隔油池+气浮+水解酸化+缺氧+生物接触氧化+二沉+消毒池（次氯酸钠消毒）”</w:t>
            </w:r>
          </w:p>
        </w:tc>
        <w:tc>
          <w:tcPr>
            <w:tcW w:w="862" w:type="dxa"/>
            <w:noWrap w:val="0"/>
            <w:vAlign w:val="center"/>
          </w:tcPr>
          <w:p w14:paraId="76094A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43" w:type="dxa"/>
            <w:noWrap w:val="0"/>
            <w:vAlign w:val="center"/>
          </w:tcPr>
          <w:p w14:paraId="582D38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6.5~7.5</w:t>
            </w:r>
          </w:p>
        </w:tc>
        <w:tc>
          <w:tcPr>
            <w:tcW w:w="842" w:type="dxa"/>
            <w:noWrap w:val="0"/>
            <w:vAlign w:val="center"/>
          </w:tcPr>
          <w:p w14:paraId="2C4435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652" w:type="dxa"/>
            <w:shd w:val="clear" w:color="auto" w:fill="auto"/>
            <w:noWrap w:val="0"/>
            <w:vAlign w:val="center"/>
          </w:tcPr>
          <w:p w14:paraId="26DBFB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6~9</w:t>
            </w:r>
          </w:p>
        </w:tc>
        <w:tc>
          <w:tcPr>
            <w:tcW w:w="1780" w:type="dxa"/>
            <w:shd w:val="clear" w:color="auto" w:fill="auto"/>
            <w:noWrap w:val="0"/>
            <w:vAlign w:val="center"/>
          </w:tcPr>
          <w:p w14:paraId="6CA103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6.5~9.5</w:t>
            </w:r>
          </w:p>
        </w:tc>
        <w:tc>
          <w:tcPr>
            <w:tcW w:w="1337" w:type="dxa"/>
            <w:shd w:val="clear" w:color="auto" w:fill="auto"/>
            <w:noWrap w:val="0"/>
            <w:vAlign w:val="center"/>
          </w:tcPr>
          <w:p w14:paraId="725379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6~9</w:t>
            </w:r>
          </w:p>
        </w:tc>
        <w:tc>
          <w:tcPr>
            <w:tcW w:w="917" w:type="dxa"/>
            <w:shd w:val="clear" w:color="auto" w:fill="auto"/>
            <w:noWrap w:val="0"/>
            <w:vAlign w:val="center"/>
          </w:tcPr>
          <w:p w14:paraId="590319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6.5~8.5</w:t>
            </w:r>
          </w:p>
        </w:tc>
      </w:tr>
      <w:tr w14:paraId="5FD18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1F6EC91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6CCF78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p>
        </w:tc>
        <w:tc>
          <w:tcPr>
            <w:tcW w:w="1148" w:type="dxa"/>
            <w:noWrap w:val="0"/>
            <w:vAlign w:val="center"/>
          </w:tcPr>
          <w:p w14:paraId="2CA858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COD</w:t>
            </w:r>
          </w:p>
        </w:tc>
        <w:tc>
          <w:tcPr>
            <w:tcW w:w="1032" w:type="dxa"/>
            <w:noWrap w:val="0"/>
            <w:vAlign w:val="center"/>
          </w:tcPr>
          <w:p w14:paraId="6B2B3A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kern w:val="0"/>
                <w:sz w:val="21"/>
                <w:szCs w:val="21"/>
              </w:rPr>
              <w:t>000</w:t>
            </w:r>
          </w:p>
        </w:tc>
        <w:tc>
          <w:tcPr>
            <w:tcW w:w="874" w:type="dxa"/>
            <w:noWrap w:val="0"/>
            <w:vAlign w:val="center"/>
          </w:tcPr>
          <w:p w14:paraId="5E4026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36.82</w:t>
            </w:r>
          </w:p>
        </w:tc>
        <w:tc>
          <w:tcPr>
            <w:tcW w:w="1054" w:type="dxa"/>
            <w:vMerge w:val="continue"/>
            <w:noWrap w:val="0"/>
            <w:vAlign w:val="center"/>
          </w:tcPr>
          <w:p w14:paraId="4A0214D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p>
        </w:tc>
        <w:tc>
          <w:tcPr>
            <w:tcW w:w="862" w:type="dxa"/>
            <w:noWrap w:val="0"/>
            <w:vAlign w:val="center"/>
          </w:tcPr>
          <w:p w14:paraId="61279B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77</w:t>
            </w:r>
          </w:p>
        </w:tc>
        <w:tc>
          <w:tcPr>
            <w:tcW w:w="1043" w:type="dxa"/>
            <w:noWrap w:val="0"/>
            <w:vAlign w:val="center"/>
          </w:tcPr>
          <w:p w14:paraId="32C6FD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460</w:t>
            </w:r>
          </w:p>
        </w:tc>
        <w:tc>
          <w:tcPr>
            <w:tcW w:w="842" w:type="dxa"/>
            <w:noWrap w:val="0"/>
            <w:vAlign w:val="center"/>
          </w:tcPr>
          <w:p w14:paraId="4FEBD7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8.469</w:t>
            </w:r>
          </w:p>
        </w:tc>
        <w:tc>
          <w:tcPr>
            <w:tcW w:w="1652" w:type="dxa"/>
            <w:noWrap w:val="0"/>
            <w:vAlign w:val="center"/>
          </w:tcPr>
          <w:p w14:paraId="5E3D70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1780" w:type="dxa"/>
            <w:noWrap w:val="0"/>
            <w:vAlign w:val="center"/>
          </w:tcPr>
          <w:p w14:paraId="13EAA5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c>
          <w:tcPr>
            <w:tcW w:w="1337" w:type="dxa"/>
            <w:noWrap w:val="0"/>
            <w:vAlign w:val="center"/>
          </w:tcPr>
          <w:p w14:paraId="1AABCA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917" w:type="dxa"/>
            <w:noWrap w:val="0"/>
            <w:vAlign w:val="center"/>
          </w:tcPr>
          <w:p w14:paraId="1710E8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r>
      <w:tr w14:paraId="5D0AB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062ECA6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287C873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17E261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eastAsiaTheme="minorEastAsia"/>
                <w:color w:val="auto"/>
                <w:kern w:val="0"/>
                <w:sz w:val="21"/>
                <w:szCs w:val="21"/>
                <w:vertAlign w:val="subscript"/>
              </w:rPr>
              <w:t>5</w:t>
            </w:r>
          </w:p>
        </w:tc>
        <w:tc>
          <w:tcPr>
            <w:tcW w:w="1032" w:type="dxa"/>
            <w:noWrap w:val="0"/>
            <w:vAlign w:val="center"/>
          </w:tcPr>
          <w:p w14:paraId="748F8E3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0</w:t>
            </w:r>
            <w:r>
              <w:rPr>
                <w:rFonts w:hint="default" w:ascii="Times New Roman" w:hAnsi="Times New Roman" w:cs="Times New Roman" w:eastAsiaTheme="minorEastAsia"/>
                <w:color w:val="auto"/>
                <w:kern w:val="0"/>
                <w:sz w:val="21"/>
                <w:szCs w:val="21"/>
              </w:rPr>
              <w:t>00</w:t>
            </w:r>
          </w:p>
        </w:tc>
        <w:tc>
          <w:tcPr>
            <w:tcW w:w="874" w:type="dxa"/>
            <w:noWrap w:val="0"/>
            <w:vAlign w:val="center"/>
          </w:tcPr>
          <w:p w14:paraId="00B3BC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18.41</w:t>
            </w:r>
          </w:p>
        </w:tc>
        <w:tc>
          <w:tcPr>
            <w:tcW w:w="1054" w:type="dxa"/>
            <w:vMerge w:val="continue"/>
            <w:noWrap w:val="0"/>
            <w:vAlign w:val="center"/>
          </w:tcPr>
          <w:p w14:paraId="6B50DB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1F8516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78</w:t>
            </w:r>
          </w:p>
        </w:tc>
        <w:tc>
          <w:tcPr>
            <w:tcW w:w="1043" w:type="dxa"/>
            <w:noWrap w:val="0"/>
            <w:vAlign w:val="center"/>
          </w:tcPr>
          <w:p w14:paraId="1B979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842" w:type="dxa"/>
            <w:noWrap w:val="0"/>
            <w:vAlign w:val="center"/>
          </w:tcPr>
          <w:p w14:paraId="2E451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4.050</w:t>
            </w:r>
          </w:p>
        </w:tc>
        <w:tc>
          <w:tcPr>
            <w:tcW w:w="1652" w:type="dxa"/>
            <w:noWrap w:val="0"/>
            <w:vAlign w:val="center"/>
          </w:tcPr>
          <w:p w14:paraId="64F9CE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350</w:t>
            </w:r>
          </w:p>
        </w:tc>
        <w:tc>
          <w:tcPr>
            <w:tcW w:w="1780" w:type="dxa"/>
            <w:noWrap w:val="0"/>
            <w:vAlign w:val="center"/>
          </w:tcPr>
          <w:p w14:paraId="0DAA4C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350</w:t>
            </w:r>
          </w:p>
        </w:tc>
        <w:tc>
          <w:tcPr>
            <w:tcW w:w="1337" w:type="dxa"/>
            <w:noWrap w:val="0"/>
            <w:vAlign w:val="center"/>
          </w:tcPr>
          <w:p w14:paraId="696607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c>
          <w:tcPr>
            <w:tcW w:w="917" w:type="dxa"/>
            <w:noWrap w:val="0"/>
            <w:vAlign w:val="center"/>
          </w:tcPr>
          <w:p w14:paraId="4563049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r>
      <w:tr w14:paraId="064A0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135743D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77B1A6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39689D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SS</w:t>
            </w:r>
          </w:p>
        </w:tc>
        <w:tc>
          <w:tcPr>
            <w:tcW w:w="1032" w:type="dxa"/>
            <w:noWrap w:val="0"/>
            <w:vAlign w:val="center"/>
          </w:tcPr>
          <w:p w14:paraId="617AD3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0</w:t>
            </w:r>
            <w:r>
              <w:rPr>
                <w:rFonts w:hint="default" w:ascii="Times New Roman" w:hAnsi="Times New Roman" w:cs="Times New Roman" w:eastAsiaTheme="minorEastAsia"/>
                <w:color w:val="auto"/>
                <w:kern w:val="0"/>
                <w:sz w:val="21"/>
                <w:szCs w:val="21"/>
              </w:rPr>
              <w:t>00</w:t>
            </w:r>
          </w:p>
        </w:tc>
        <w:tc>
          <w:tcPr>
            <w:tcW w:w="874" w:type="dxa"/>
            <w:noWrap w:val="0"/>
            <w:vAlign w:val="center"/>
          </w:tcPr>
          <w:p w14:paraId="3D30263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18.41</w:t>
            </w:r>
          </w:p>
        </w:tc>
        <w:tc>
          <w:tcPr>
            <w:tcW w:w="1054" w:type="dxa"/>
            <w:vMerge w:val="continue"/>
            <w:noWrap w:val="0"/>
            <w:vAlign w:val="center"/>
          </w:tcPr>
          <w:p w14:paraId="010EE8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52AC6E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72</w:t>
            </w:r>
          </w:p>
        </w:tc>
        <w:tc>
          <w:tcPr>
            <w:tcW w:w="1043" w:type="dxa"/>
            <w:noWrap w:val="0"/>
            <w:vAlign w:val="center"/>
          </w:tcPr>
          <w:p w14:paraId="1EB370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842" w:type="dxa"/>
            <w:noWrap w:val="0"/>
            <w:vAlign w:val="center"/>
          </w:tcPr>
          <w:p w14:paraId="278C82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5.155</w:t>
            </w:r>
          </w:p>
        </w:tc>
        <w:tc>
          <w:tcPr>
            <w:tcW w:w="1652" w:type="dxa"/>
            <w:noWrap w:val="0"/>
            <w:vAlign w:val="center"/>
          </w:tcPr>
          <w:p w14:paraId="6AF70E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1780" w:type="dxa"/>
            <w:noWrap w:val="0"/>
            <w:vAlign w:val="center"/>
          </w:tcPr>
          <w:p w14:paraId="0B8778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400</w:t>
            </w:r>
          </w:p>
        </w:tc>
        <w:tc>
          <w:tcPr>
            <w:tcW w:w="1337" w:type="dxa"/>
            <w:noWrap w:val="0"/>
            <w:vAlign w:val="center"/>
          </w:tcPr>
          <w:p w14:paraId="2F290F2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917" w:type="dxa"/>
            <w:noWrap w:val="0"/>
            <w:vAlign w:val="center"/>
          </w:tcPr>
          <w:p w14:paraId="04687D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r>
      <w:tr w14:paraId="1FBE0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1BF1265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168561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0A862B4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NH</w:t>
            </w:r>
            <w:r>
              <w:rPr>
                <w:rFonts w:hint="default" w:ascii="Times New Roman" w:hAnsi="Times New Roman" w:cs="Times New Roman" w:eastAsiaTheme="minorEastAsia"/>
                <w:color w:val="auto"/>
                <w:kern w:val="0"/>
                <w:sz w:val="21"/>
                <w:szCs w:val="21"/>
                <w:vertAlign w:val="subscript"/>
              </w:rPr>
              <w:t>3</w:t>
            </w:r>
            <w:r>
              <w:rPr>
                <w:rFonts w:hint="default" w:ascii="Times New Roman" w:hAnsi="Times New Roman" w:cs="Times New Roman" w:eastAsiaTheme="minorEastAsia"/>
                <w:color w:val="auto"/>
                <w:kern w:val="0"/>
                <w:sz w:val="21"/>
                <w:szCs w:val="21"/>
              </w:rPr>
              <w:t>-N</w:t>
            </w:r>
          </w:p>
        </w:tc>
        <w:tc>
          <w:tcPr>
            <w:tcW w:w="1032" w:type="dxa"/>
            <w:noWrap w:val="0"/>
            <w:vAlign w:val="center"/>
          </w:tcPr>
          <w:p w14:paraId="167433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1</w:t>
            </w:r>
            <w:r>
              <w:rPr>
                <w:rFonts w:hint="default" w:ascii="Times New Roman" w:hAnsi="Times New Roman" w:cs="Times New Roman" w:eastAsiaTheme="minorEastAsia"/>
                <w:color w:val="auto"/>
                <w:kern w:val="0"/>
                <w:sz w:val="21"/>
                <w:szCs w:val="21"/>
              </w:rPr>
              <w:t>50</w:t>
            </w:r>
          </w:p>
        </w:tc>
        <w:tc>
          <w:tcPr>
            <w:tcW w:w="874" w:type="dxa"/>
            <w:noWrap w:val="0"/>
            <w:vAlign w:val="center"/>
          </w:tcPr>
          <w:p w14:paraId="5011AF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3.76</w:t>
            </w:r>
          </w:p>
        </w:tc>
        <w:tc>
          <w:tcPr>
            <w:tcW w:w="1054" w:type="dxa"/>
            <w:vMerge w:val="continue"/>
            <w:noWrap w:val="0"/>
            <w:vAlign w:val="center"/>
          </w:tcPr>
          <w:p w14:paraId="2A9A03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0B12065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80</w:t>
            </w:r>
          </w:p>
        </w:tc>
        <w:tc>
          <w:tcPr>
            <w:tcW w:w="1043" w:type="dxa"/>
            <w:noWrap w:val="0"/>
            <w:vAlign w:val="center"/>
          </w:tcPr>
          <w:p w14:paraId="48D03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842" w:type="dxa"/>
            <w:noWrap w:val="0"/>
            <w:vAlign w:val="center"/>
          </w:tcPr>
          <w:p w14:paraId="4D0909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0.752</w:t>
            </w:r>
          </w:p>
        </w:tc>
        <w:tc>
          <w:tcPr>
            <w:tcW w:w="1652" w:type="dxa"/>
            <w:noWrap w:val="0"/>
            <w:vAlign w:val="center"/>
          </w:tcPr>
          <w:p w14:paraId="69087A0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45</w:t>
            </w:r>
          </w:p>
        </w:tc>
        <w:tc>
          <w:tcPr>
            <w:tcW w:w="1780" w:type="dxa"/>
            <w:noWrap w:val="0"/>
            <w:vAlign w:val="center"/>
          </w:tcPr>
          <w:p w14:paraId="53BCFBF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337" w:type="dxa"/>
            <w:noWrap w:val="0"/>
            <w:vAlign w:val="center"/>
          </w:tcPr>
          <w:p w14:paraId="7D7A65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w:t>
            </w:r>
          </w:p>
        </w:tc>
        <w:tc>
          <w:tcPr>
            <w:tcW w:w="917" w:type="dxa"/>
            <w:noWrap w:val="0"/>
            <w:vAlign w:val="center"/>
          </w:tcPr>
          <w:p w14:paraId="753F3A8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r>
      <w:tr w14:paraId="39D7C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6DDDEB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242929A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3DA31A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动植物油</w:t>
            </w:r>
          </w:p>
        </w:tc>
        <w:tc>
          <w:tcPr>
            <w:tcW w:w="1032" w:type="dxa"/>
            <w:noWrap w:val="0"/>
            <w:vAlign w:val="center"/>
          </w:tcPr>
          <w:p w14:paraId="3B75AF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20</w:t>
            </w:r>
            <w:r>
              <w:rPr>
                <w:rFonts w:hint="default" w:ascii="Times New Roman" w:hAnsi="Times New Roman" w:cs="Times New Roman" w:eastAsiaTheme="minorEastAsia"/>
                <w:color w:val="auto"/>
                <w:kern w:val="0"/>
                <w:sz w:val="21"/>
                <w:szCs w:val="21"/>
              </w:rPr>
              <w:t>0</w:t>
            </w:r>
          </w:p>
        </w:tc>
        <w:tc>
          <w:tcPr>
            <w:tcW w:w="874" w:type="dxa"/>
            <w:noWrap w:val="0"/>
            <w:vAlign w:val="center"/>
          </w:tcPr>
          <w:p w14:paraId="68BBE0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3.68</w:t>
            </w:r>
          </w:p>
        </w:tc>
        <w:tc>
          <w:tcPr>
            <w:tcW w:w="1054" w:type="dxa"/>
            <w:vMerge w:val="continue"/>
            <w:noWrap w:val="0"/>
            <w:vAlign w:val="center"/>
          </w:tcPr>
          <w:p w14:paraId="194AA2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7380D2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68</w:t>
            </w:r>
          </w:p>
        </w:tc>
        <w:tc>
          <w:tcPr>
            <w:tcW w:w="1043" w:type="dxa"/>
            <w:noWrap w:val="0"/>
            <w:vAlign w:val="center"/>
          </w:tcPr>
          <w:p w14:paraId="0F91A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842" w:type="dxa"/>
            <w:noWrap w:val="0"/>
            <w:vAlign w:val="center"/>
          </w:tcPr>
          <w:p w14:paraId="385C84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1.178</w:t>
            </w:r>
          </w:p>
        </w:tc>
        <w:tc>
          <w:tcPr>
            <w:tcW w:w="1652" w:type="dxa"/>
            <w:noWrap w:val="0"/>
            <w:vAlign w:val="center"/>
          </w:tcPr>
          <w:p w14:paraId="47381B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1780" w:type="dxa"/>
            <w:noWrap w:val="0"/>
            <w:vAlign w:val="center"/>
          </w:tcPr>
          <w:p w14:paraId="663916F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w:t>
            </w:r>
          </w:p>
        </w:tc>
        <w:tc>
          <w:tcPr>
            <w:tcW w:w="1337" w:type="dxa"/>
            <w:noWrap w:val="0"/>
            <w:vAlign w:val="center"/>
          </w:tcPr>
          <w:p w14:paraId="4E6F18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917" w:type="dxa"/>
            <w:noWrap w:val="0"/>
            <w:vAlign w:val="center"/>
          </w:tcPr>
          <w:p w14:paraId="126E4B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r>
      <w:tr w14:paraId="76708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550CE71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6B9957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0C7291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总磷</w:t>
            </w:r>
          </w:p>
        </w:tc>
        <w:tc>
          <w:tcPr>
            <w:tcW w:w="1032" w:type="dxa"/>
            <w:noWrap w:val="0"/>
            <w:vAlign w:val="center"/>
          </w:tcPr>
          <w:p w14:paraId="76D4ED4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54</w:t>
            </w:r>
          </w:p>
        </w:tc>
        <w:tc>
          <w:tcPr>
            <w:tcW w:w="874" w:type="dxa"/>
            <w:noWrap w:val="0"/>
            <w:vAlign w:val="center"/>
          </w:tcPr>
          <w:p w14:paraId="5CCECE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0.99</w:t>
            </w:r>
          </w:p>
        </w:tc>
        <w:tc>
          <w:tcPr>
            <w:tcW w:w="1054" w:type="dxa"/>
            <w:vMerge w:val="continue"/>
            <w:noWrap w:val="0"/>
            <w:vAlign w:val="center"/>
          </w:tcPr>
          <w:p w14:paraId="53E7570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3A92BD7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88</w:t>
            </w:r>
          </w:p>
        </w:tc>
        <w:tc>
          <w:tcPr>
            <w:tcW w:w="1043" w:type="dxa"/>
            <w:noWrap w:val="0"/>
            <w:vAlign w:val="center"/>
          </w:tcPr>
          <w:p w14:paraId="3F1399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842" w:type="dxa"/>
            <w:noWrap w:val="0"/>
            <w:vAlign w:val="center"/>
          </w:tcPr>
          <w:p w14:paraId="2ADB3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0.119</w:t>
            </w:r>
          </w:p>
        </w:tc>
        <w:tc>
          <w:tcPr>
            <w:tcW w:w="1652" w:type="dxa"/>
            <w:shd w:val="clear" w:color="auto" w:fill="auto"/>
            <w:noWrap w:val="0"/>
            <w:vAlign w:val="center"/>
          </w:tcPr>
          <w:p w14:paraId="7FFF19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780" w:type="dxa"/>
            <w:shd w:val="clear" w:color="auto" w:fill="auto"/>
            <w:noWrap w:val="0"/>
            <w:vAlign w:val="center"/>
          </w:tcPr>
          <w:p w14:paraId="7E8858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337" w:type="dxa"/>
            <w:shd w:val="clear" w:color="auto" w:fill="auto"/>
            <w:noWrap w:val="0"/>
            <w:vAlign w:val="center"/>
          </w:tcPr>
          <w:p w14:paraId="12B7F2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w:t>
            </w:r>
          </w:p>
        </w:tc>
        <w:tc>
          <w:tcPr>
            <w:tcW w:w="917" w:type="dxa"/>
            <w:shd w:val="clear" w:color="auto" w:fill="auto"/>
            <w:noWrap w:val="0"/>
            <w:vAlign w:val="center"/>
          </w:tcPr>
          <w:p w14:paraId="36346F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r>
      <w:tr w14:paraId="0A6C6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371CE18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3D2EF9E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34B7AA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总氮</w:t>
            </w:r>
          </w:p>
        </w:tc>
        <w:tc>
          <w:tcPr>
            <w:tcW w:w="1032" w:type="dxa"/>
            <w:noWrap w:val="0"/>
            <w:vAlign w:val="center"/>
          </w:tcPr>
          <w:p w14:paraId="5F3D5D1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245</w:t>
            </w:r>
          </w:p>
        </w:tc>
        <w:tc>
          <w:tcPr>
            <w:tcW w:w="874" w:type="dxa"/>
            <w:noWrap w:val="0"/>
            <w:vAlign w:val="center"/>
          </w:tcPr>
          <w:p w14:paraId="714E67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4.51</w:t>
            </w:r>
          </w:p>
        </w:tc>
        <w:tc>
          <w:tcPr>
            <w:tcW w:w="1054" w:type="dxa"/>
            <w:vMerge w:val="continue"/>
            <w:noWrap w:val="0"/>
            <w:vAlign w:val="center"/>
          </w:tcPr>
          <w:p w14:paraId="3B5AE6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7E611C1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73</w:t>
            </w:r>
          </w:p>
        </w:tc>
        <w:tc>
          <w:tcPr>
            <w:tcW w:w="1043" w:type="dxa"/>
            <w:noWrap w:val="0"/>
            <w:vAlign w:val="center"/>
          </w:tcPr>
          <w:p w14:paraId="1E5922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66.15</w:t>
            </w:r>
          </w:p>
        </w:tc>
        <w:tc>
          <w:tcPr>
            <w:tcW w:w="842" w:type="dxa"/>
            <w:noWrap w:val="0"/>
            <w:vAlign w:val="center"/>
          </w:tcPr>
          <w:p w14:paraId="1A5F06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1.218</w:t>
            </w:r>
          </w:p>
        </w:tc>
        <w:tc>
          <w:tcPr>
            <w:tcW w:w="1652" w:type="dxa"/>
            <w:shd w:val="clear" w:color="auto" w:fill="auto"/>
            <w:noWrap w:val="0"/>
            <w:vAlign w:val="center"/>
          </w:tcPr>
          <w:p w14:paraId="4D2AF1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780" w:type="dxa"/>
            <w:shd w:val="clear" w:color="auto" w:fill="auto"/>
            <w:noWrap w:val="0"/>
            <w:vAlign w:val="center"/>
          </w:tcPr>
          <w:p w14:paraId="6D4DCD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337" w:type="dxa"/>
            <w:shd w:val="clear" w:color="auto" w:fill="auto"/>
            <w:noWrap w:val="0"/>
            <w:vAlign w:val="center"/>
          </w:tcPr>
          <w:p w14:paraId="7C5210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w:t>
            </w:r>
          </w:p>
        </w:tc>
        <w:tc>
          <w:tcPr>
            <w:tcW w:w="917" w:type="dxa"/>
            <w:shd w:val="clear" w:color="auto" w:fill="auto"/>
            <w:noWrap w:val="0"/>
            <w:vAlign w:val="center"/>
          </w:tcPr>
          <w:p w14:paraId="61CF9D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r>
      <w:tr w14:paraId="07344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restart"/>
            <w:noWrap w:val="0"/>
            <w:vAlign w:val="center"/>
          </w:tcPr>
          <w:p w14:paraId="55EE02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生活污水</w:t>
            </w:r>
          </w:p>
        </w:tc>
        <w:tc>
          <w:tcPr>
            <w:tcW w:w="873" w:type="dxa"/>
            <w:vMerge w:val="restart"/>
            <w:noWrap w:val="0"/>
            <w:vAlign w:val="center"/>
          </w:tcPr>
          <w:p w14:paraId="4936775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520</w:t>
            </w:r>
          </w:p>
        </w:tc>
        <w:tc>
          <w:tcPr>
            <w:tcW w:w="1148" w:type="dxa"/>
            <w:noWrap w:val="0"/>
            <w:vAlign w:val="center"/>
          </w:tcPr>
          <w:p w14:paraId="726ADEC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COD</w:t>
            </w:r>
          </w:p>
        </w:tc>
        <w:tc>
          <w:tcPr>
            <w:tcW w:w="1032" w:type="dxa"/>
            <w:noWrap w:val="0"/>
            <w:vAlign w:val="center"/>
          </w:tcPr>
          <w:p w14:paraId="4B53DC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400</w:t>
            </w:r>
          </w:p>
        </w:tc>
        <w:tc>
          <w:tcPr>
            <w:tcW w:w="874" w:type="dxa"/>
            <w:shd w:val="clear" w:color="auto" w:fill="auto"/>
            <w:noWrap w:val="0"/>
            <w:vAlign w:val="center"/>
          </w:tcPr>
          <w:p w14:paraId="430050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0.208</w:t>
            </w:r>
          </w:p>
        </w:tc>
        <w:tc>
          <w:tcPr>
            <w:tcW w:w="1054" w:type="dxa"/>
            <w:vMerge w:val="restart"/>
            <w:noWrap w:val="0"/>
            <w:vAlign w:val="center"/>
          </w:tcPr>
          <w:p w14:paraId="7480C9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化粪池</w:t>
            </w:r>
          </w:p>
        </w:tc>
        <w:tc>
          <w:tcPr>
            <w:tcW w:w="862" w:type="dxa"/>
            <w:shd w:val="clear" w:color="auto" w:fill="auto"/>
            <w:noWrap w:val="0"/>
            <w:vAlign w:val="center"/>
          </w:tcPr>
          <w:p w14:paraId="6122DB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15</w:t>
            </w:r>
          </w:p>
        </w:tc>
        <w:tc>
          <w:tcPr>
            <w:tcW w:w="1043" w:type="dxa"/>
            <w:noWrap w:val="0"/>
            <w:vAlign w:val="center"/>
          </w:tcPr>
          <w:p w14:paraId="1D1B29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340</w:t>
            </w:r>
          </w:p>
        </w:tc>
        <w:tc>
          <w:tcPr>
            <w:tcW w:w="842" w:type="dxa"/>
            <w:noWrap w:val="0"/>
            <w:vAlign w:val="center"/>
          </w:tcPr>
          <w:p w14:paraId="2BDBCA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0.177</w:t>
            </w:r>
          </w:p>
        </w:tc>
        <w:tc>
          <w:tcPr>
            <w:tcW w:w="1652" w:type="dxa"/>
            <w:shd w:val="clear" w:color="auto" w:fill="auto"/>
            <w:noWrap w:val="0"/>
            <w:vAlign w:val="center"/>
          </w:tcPr>
          <w:p w14:paraId="10D144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1780" w:type="dxa"/>
            <w:shd w:val="clear" w:color="auto" w:fill="auto"/>
            <w:noWrap w:val="0"/>
            <w:vAlign w:val="center"/>
          </w:tcPr>
          <w:p w14:paraId="7641F84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c>
          <w:tcPr>
            <w:tcW w:w="1337" w:type="dxa"/>
            <w:shd w:val="clear" w:color="auto" w:fill="auto"/>
            <w:noWrap w:val="0"/>
            <w:vAlign w:val="center"/>
          </w:tcPr>
          <w:p w14:paraId="7EC8830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917" w:type="dxa"/>
            <w:shd w:val="clear" w:color="auto" w:fill="auto"/>
            <w:noWrap w:val="0"/>
            <w:vAlign w:val="center"/>
          </w:tcPr>
          <w:p w14:paraId="5DDEE3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r>
      <w:tr w14:paraId="22F13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1609D6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77D45E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07DCD9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eastAsiaTheme="minorEastAsia"/>
                <w:color w:val="auto"/>
                <w:kern w:val="0"/>
                <w:sz w:val="21"/>
                <w:szCs w:val="21"/>
                <w:vertAlign w:val="subscript"/>
              </w:rPr>
              <w:t>5</w:t>
            </w:r>
          </w:p>
        </w:tc>
        <w:tc>
          <w:tcPr>
            <w:tcW w:w="1032" w:type="dxa"/>
            <w:noWrap w:val="0"/>
            <w:vAlign w:val="center"/>
          </w:tcPr>
          <w:p w14:paraId="5EE030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300</w:t>
            </w:r>
          </w:p>
        </w:tc>
        <w:tc>
          <w:tcPr>
            <w:tcW w:w="874" w:type="dxa"/>
            <w:shd w:val="clear" w:color="auto" w:fill="auto"/>
            <w:noWrap w:val="0"/>
            <w:vAlign w:val="center"/>
          </w:tcPr>
          <w:p w14:paraId="6982B0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0.156</w:t>
            </w:r>
          </w:p>
        </w:tc>
        <w:tc>
          <w:tcPr>
            <w:tcW w:w="1054" w:type="dxa"/>
            <w:vMerge w:val="continue"/>
            <w:noWrap w:val="0"/>
            <w:vAlign w:val="center"/>
          </w:tcPr>
          <w:p w14:paraId="4F6C4D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shd w:val="clear" w:color="auto" w:fill="auto"/>
            <w:noWrap w:val="0"/>
            <w:vAlign w:val="center"/>
          </w:tcPr>
          <w:p w14:paraId="5C2CD4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9</w:t>
            </w:r>
          </w:p>
        </w:tc>
        <w:tc>
          <w:tcPr>
            <w:tcW w:w="1043" w:type="dxa"/>
            <w:noWrap w:val="0"/>
            <w:vAlign w:val="center"/>
          </w:tcPr>
          <w:p w14:paraId="506D6C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273</w:t>
            </w:r>
          </w:p>
        </w:tc>
        <w:tc>
          <w:tcPr>
            <w:tcW w:w="842" w:type="dxa"/>
            <w:noWrap w:val="0"/>
            <w:vAlign w:val="center"/>
          </w:tcPr>
          <w:p w14:paraId="5305E7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0.142</w:t>
            </w:r>
          </w:p>
        </w:tc>
        <w:tc>
          <w:tcPr>
            <w:tcW w:w="1652" w:type="dxa"/>
            <w:shd w:val="clear" w:color="auto" w:fill="auto"/>
            <w:noWrap w:val="0"/>
            <w:vAlign w:val="center"/>
          </w:tcPr>
          <w:p w14:paraId="7FD68C3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350</w:t>
            </w:r>
          </w:p>
        </w:tc>
        <w:tc>
          <w:tcPr>
            <w:tcW w:w="1780" w:type="dxa"/>
            <w:shd w:val="clear" w:color="auto" w:fill="auto"/>
            <w:noWrap w:val="0"/>
            <w:vAlign w:val="center"/>
          </w:tcPr>
          <w:p w14:paraId="390A1F2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350</w:t>
            </w:r>
          </w:p>
        </w:tc>
        <w:tc>
          <w:tcPr>
            <w:tcW w:w="1337" w:type="dxa"/>
            <w:shd w:val="clear" w:color="auto" w:fill="auto"/>
            <w:noWrap w:val="0"/>
            <w:vAlign w:val="center"/>
          </w:tcPr>
          <w:p w14:paraId="18B8E6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c>
          <w:tcPr>
            <w:tcW w:w="917" w:type="dxa"/>
            <w:shd w:val="clear" w:color="auto" w:fill="auto"/>
            <w:noWrap w:val="0"/>
            <w:vAlign w:val="center"/>
          </w:tcPr>
          <w:p w14:paraId="1167A62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r>
      <w:tr w14:paraId="39867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6F9BE5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304B89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713DAA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SS</w:t>
            </w:r>
          </w:p>
        </w:tc>
        <w:tc>
          <w:tcPr>
            <w:tcW w:w="1032" w:type="dxa"/>
            <w:noWrap w:val="0"/>
            <w:vAlign w:val="center"/>
          </w:tcPr>
          <w:p w14:paraId="1073C8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200</w:t>
            </w:r>
          </w:p>
        </w:tc>
        <w:tc>
          <w:tcPr>
            <w:tcW w:w="874" w:type="dxa"/>
            <w:shd w:val="clear" w:color="auto" w:fill="auto"/>
            <w:noWrap w:val="0"/>
            <w:vAlign w:val="center"/>
          </w:tcPr>
          <w:p w14:paraId="1B1F96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0.104</w:t>
            </w:r>
          </w:p>
        </w:tc>
        <w:tc>
          <w:tcPr>
            <w:tcW w:w="1054" w:type="dxa"/>
            <w:vMerge w:val="continue"/>
            <w:noWrap w:val="0"/>
            <w:vAlign w:val="center"/>
          </w:tcPr>
          <w:p w14:paraId="4ED2B3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shd w:val="clear" w:color="auto" w:fill="auto"/>
            <w:noWrap w:val="0"/>
            <w:vAlign w:val="center"/>
          </w:tcPr>
          <w:p w14:paraId="00CA3F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30</w:t>
            </w:r>
          </w:p>
        </w:tc>
        <w:tc>
          <w:tcPr>
            <w:tcW w:w="1043" w:type="dxa"/>
            <w:noWrap w:val="0"/>
            <w:vAlign w:val="center"/>
          </w:tcPr>
          <w:p w14:paraId="05A2EB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140</w:t>
            </w:r>
          </w:p>
        </w:tc>
        <w:tc>
          <w:tcPr>
            <w:tcW w:w="842" w:type="dxa"/>
            <w:noWrap w:val="0"/>
            <w:vAlign w:val="center"/>
          </w:tcPr>
          <w:p w14:paraId="4F9BDB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0.073</w:t>
            </w:r>
          </w:p>
        </w:tc>
        <w:tc>
          <w:tcPr>
            <w:tcW w:w="1652" w:type="dxa"/>
            <w:shd w:val="clear" w:color="auto" w:fill="auto"/>
            <w:noWrap w:val="0"/>
            <w:vAlign w:val="center"/>
          </w:tcPr>
          <w:p w14:paraId="52D843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1780" w:type="dxa"/>
            <w:shd w:val="clear" w:color="auto" w:fill="auto"/>
            <w:noWrap w:val="0"/>
            <w:vAlign w:val="center"/>
          </w:tcPr>
          <w:p w14:paraId="40A7BD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400</w:t>
            </w:r>
          </w:p>
        </w:tc>
        <w:tc>
          <w:tcPr>
            <w:tcW w:w="1337" w:type="dxa"/>
            <w:shd w:val="clear" w:color="auto" w:fill="auto"/>
            <w:noWrap w:val="0"/>
            <w:vAlign w:val="center"/>
          </w:tcPr>
          <w:p w14:paraId="2C2B000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917" w:type="dxa"/>
            <w:shd w:val="clear" w:color="auto" w:fill="auto"/>
            <w:noWrap w:val="0"/>
            <w:vAlign w:val="center"/>
          </w:tcPr>
          <w:p w14:paraId="5782B9C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r>
      <w:tr w14:paraId="53251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4943A4D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64B30E1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785264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NH</w:t>
            </w:r>
            <w:r>
              <w:rPr>
                <w:rFonts w:hint="default" w:ascii="Times New Roman" w:hAnsi="Times New Roman" w:cs="Times New Roman" w:eastAsiaTheme="minorEastAsia"/>
                <w:color w:val="auto"/>
                <w:kern w:val="0"/>
                <w:sz w:val="21"/>
                <w:szCs w:val="21"/>
                <w:vertAlign w:val="subscript"/>
              </w:rPr>
              <w:t>3</w:t>
            </w:r>
            <w:r>
              <w:rPr>
                <w:rFonts w:hint="default" w:ascii="Times New Roman" w:hAnsi="Times New Roman" w:cs="Times New Roman" w:eastAsiaTheme="minorEastAsia"/>
                <w:color w:val="auto"/>
                <w:kern w:val="0"/>
                <w:sz w:val="21"/>
                <w:szCs w:val="21"/>
              </w:rPr>
              <w:t>-N</w:t>
            </w:r>
          </w:p>
        </w:tc>
        <w:tc>
          <w:tcPr>
            <w:tcW w:w="1032" w:type="dxa"/>
            <w:noWrap w:val="0"/>
            <w:vAlign w:val="center"/>
          </w:tcPr>
          <w:p w14:paraId="70C1F1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3</w:t>
            </w:r>
            <w:r>
              <w:rPr>
                <w:rFonts w:hint="default" w:ascii="Times New Roman" w:hAnsi="Times New Roman" w:eastAsia="宋体" w:cs="Times New Roman"/>
                <w:snapToGrid w:val="0"/>
                <w:color w:val="auto"/>
                <w:kern w:val="0"/>
                <w:sz w:val="21"/>
                <w:szCs w:val="21"/>
                <w:lang w:val="en-US" w:eastAsia="zh-CN"/>
              </w:rPr>
              <w:t>5</w:t>
            </w:r>
          </w:p>
        </w:tc>
        <w:tc>
          <w:tcPr>
            <w:tcW w:w="874" w:type="dxa"/>
            <w:shd w:val="clear" w:color="auto" w:fill="auto"/>
            <w:noWrap w:val="0"/>
            <w:vAlign w:val="center"/>
          </w:tcPr>
          <w:p w14:paraId="52DF3C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0.018</w:t>
            </w:r>
          </w:p>
        </w:tc>
        <w:tc>
          <w:tcPr>
            <w:tcW w:w="1054" w:type="dxa"/>
            <w:vMerge w:val="continue"/>
            <w:noWrap w:val="0"/>
            <w:vAlign w:val="center"/>
          </w:tcPr>
          <w:p w14:paraId="26401D5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shd w:val="clear" w:color="auto" w:fill="auto"/>
            <w:noWrap w:val="0"/>
            <w:vAlign w:val="center"/>
          </w:tcPr>
          <w:p w14:paraId="01919C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3</w:t>
            </w:r>
          </w:p>
        </w:tc>
        <w:tc>
          <w:tcPr>
            <w:tcW w:w="1043" w:type="dxa"/>
            <w:noWrap w:val="0"/>
            <w:vAlign w:val="center"/>
          </w:tcPr>
          <w:p w14:paraId="53EC1B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33.95</w:t>
            </w:r>
          </w:p>
        </w:tc>
        <w:tc>
          <w:tcPr>
            <w:tcW w:w="842" w:type="dxa"/>
            <w:noWrap w:val="0"/>
            <w:vAlign w:val="center"/>
          </w:tcPr>
          <w:p w14:paraId="734E5B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0.018</w:t>
            </w:r>
          </w:p>
        </w:tc>
        <w:tc>
          <w:tcPr>
            <w:tcW w:w="1652" w:type="dxa"/>
            <w:shd w:val="clear" w:color="auto" w:fill="auto"/>
            <w:noWrap w:val="0"/>
            <w:vAlign w:val="center"/>
          </w:tcPr>
          <w:p w14:paraId="28CE98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780" w:type="dxa"/>
            <w:shd w:val="clear" w:color="auto" w:fill="auto"/>
            <w:noWrap w:val="0"/>
            <w:vAlign w:val="center"/>
          </w:tcPr>
          <w:p w14:paraId="2BAE57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337" w:type="dxa"/>
            <w:shd w:val="clear" w:color="auto" w:fill="auto"/>
            <w:noWrap w:val="0"/>
            <w:vAlign w:val="center"/>
          </w:tcPr>
          <w:p w14:paraId="1BC4ED2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p>
        </w:tc>
        <w:tc>
          <w:tcPr>
            <w:tcW w:w="917" w:type="dxa"/>
            <w:shd w:val="clear" w:color="auto" w:fill="auto"/>
            <w:noWrap w:val="0"/>
            <w:vAlign w:val="center"/>
          </w:tcPr>
          <w:p w14:paraId="7B66ED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r>
      <w:tr w14:paraId="1D34F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0EF1CF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622E338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059320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动植物油</w:t>
            </w:r>
          </w:p>
        </w:tc>
        <w:tc>
          <w:tcPr>
            <w:tcW w:w="1032" w:type="dxa"/>
            <w:noWrap w:val="0"/>
            <w:vAlign w:val="center"/>
          </w:tcPr>
          <w:p w14:paraId="4BC52C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40</w:t>
            </w:r>
          </w:p>
        </w:tc>
        <w:tc>
          <w:tcPr>
            <w:tcW w:w="874" w:type="dxa"/>
            <w:shd w:val="clear" w:color="auto" w:fill="auto"/>
            <w:noWrap w:val="0"/>
            <w:vAlign w:val="center"/>
          </w:tcPr>
          <w:p w14:paraId="6B5CD7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0.02</w:t>
            </w:r>
            <w:r>
              <w:rPr>
                <w:rFonts w:hint="eastAsia" w:eastAsia="宋体" w:cs="Times New Roman"/>
                <w:snapToGrid w:val="0"/>
                <w:color w:val="auto"/>
                <w:kern w:val="0"/>
                <w:sz w:val="21"/>
                <w:szCs w:val="21"/>
                <w:lang w:val="en-US" w:eastAsia="zh-CN"/>
              </w:rPr>
              <w:t>08</w:t>
            </w:r>
          </w:p>
        </w:tc>
        <w:tc>
          <w:tcPr>
            <w:tcW w:w="1054" w:type="dxa"/>
            <w:vMerge w:val="continue"/>
            <w:noWrap w:val="0"/>
            <w:vAlign w:val="center"/>
          </w:tcPr>
          <w:p w14:paraId="4F4856A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shd w:val="clear" w:color="auto" w:fill="auto"/>
            <w:noWrap w:val="0"/>
            <w:vAlign w:val="center"/>
          </w:tcPr>
          <w:p w14:paraId="63BC5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eastAsia="宋体" w:cs="Times New Roman"/>
                <w:snapToGrid w:val="0"/>
                <w:color w:val="auto"/>
                <w:kern w:val="0"/>
                <w:sz w:val="21"/>
                <w:szCs w:val="21"/>
                <w:lang w:val="en-US" w:eastAsia="zh-CN"/>
              </w:rPr>
              <w:t>30</w:t>
            </w:r>
          </w:p>
        </w:tc>
        <w:tc>
          <w:tcPr>
            <w:tcW w:w="1043" w:type="dxa"/>
            <w:noWrap w:val="0"/>
            <w:vAlign w:val="center"/>
          </w:tcPr>
          <w:p w14:paraId="13DDE1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28</w:t>
            </w:r>
          </w:p>
        </w:tc>
        <w:tc>
          <w:tcPr>
            <w:tcW w:w="842" w:type="dxa"/>
            <w:noWrap w:val="0"/>
            <w:vAlign w:val="center"/>
          </w:tcPr>
          <w:p w14:paraId="77D961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0.015</w:t>
            </w:r>
          </w:p>
        </w:tc>
        <w:tc>
          <w:tcPr>
            <w:tcW w:w="1652" w:type="dxa"/>
            <w:shd w:val="clear" w:color="auto" w:fill="auto"/>
            <w:noWrap w:val="0"/>
            <w:vAlign w:val="center"/>
          </w:tcPr>
          <w:p w14:paraId="29C26B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1780" w:type="dxa"/>
            <w:shd w:val="clear" w:color="auto" w:fill="auto"/>
            <w:noWrap w:val="0"/>
            <w:vAlign w:val="center"/>
          </w:tcPr>
          <w:p w14:paraId="6085D3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w:t>
            </w:r>
          </w:p>
        </w:tc>
        <w:tc>
          <w:tcPr>
            <w:tcW w:w="1337" w:type="dxa"/>
            <w:shd w:val="clear" w:color="auto" w:fill="auto"/>
            <w:noWrap w:val="0"/>
            <w:vAlign w:val="center"/>
          </w:tcPr>
          <w:p w14:paraId="13EE0B6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917" w:type="dxa"/>
            <w:shd w:val="clear" w:color="auto" w:fill="auto"/>
            <w:noWrap w:val="0"/>
            <w:vAlign w:val="center"/>
          </w:tcPr>
          <w:p w14:paraId="4AF1A3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r>
    </w:tbl>
    <w:p w14:paraId="1A8F154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Cs/>
          <w:color w:val="auto"/>
          <w:sz w:val="21"/>
          <w:szCs w:val="21"/>
        </w:rPr>
      </w:pPr>
    </w:p>
    <w:p w14:paraId="03CE250C">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Cs/>
          <w:color w:val="auto"/>
          <w:sz w:val="21"/>
          <w:szCs w:val="21"/>
        </w:rPr>
      </w:pPr>
    </w:p>
    <w:p w14:paraId="4C9C463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Cs/>
          <w:color w:val="auto"/>
          <w:sz w:val="21"/>
          <w:szCs w:val="21"/>
        </w:rPr>
      </w:pPr>
    </w:p>
    <w:p w14:paraId="78797528">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Cs/>
          <w:color w:val="auto"/>
          <w:sz w:val="21"/>
          <w:szCs w:val="21"/>
        </w:rPr>
      </w:pPr>
    </w:p>
    <w:p w14:paraId="255A587F">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lang w:val="en-US" w:eastAsia="zh-CN"/>
        </w:rPr>
        <w:t>2.2-</w:t>
      </w:r>
      <w:r>
        <w:rPr>
          <w:rFonts w:hint="eastAsia" w:eastAsia="宋体" w:cs="Times New Roman"/>
          <w:bCs/>
          <w:color w:val="auto"/>
          <w:sz w:val="21"/>
          <w:szCs w:val="21"/>
          <w:lang w:val="en-US" w:eastAsia="zh-CN"/>
        </w:rPr>
        <w:t>11</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sz w:val="24"/>
          <w:szCs w:val="24"/>
          <w:lang w:eastAsia="zh-CN"/>
        </w:rPr>
        <w:t>全</w:t>
      </w:r>
      <w:r>
        <w:rPr>
          <w:rFonts w:hint="eastAsia" w:ascii="Times New Roman" w:hAnsi="Times New Roman" w:eastAsia="宋体" w:cs="Times New Roman"/>
          <w:b/>
          <w:color w:val="auto"/>
          <w:sz w:val="24"/>
          <w:szCs w:val="24"/>
          <w:lang w:val="en-US" w:eastAsia="zh-CN"/>
        </w:rPr>
        <w:t>厂</w:t>
      </w:r>
      <w:r>
        <w:rPr>
          <w:rFonts w:hint="default" w:ascii="Times New Roman" w:hAnsi="Times New Roman" w:eastAsia="宋体" w:cs="Times New Roman"/>
          <w:b/>
          <w:color w:val="auto"/>
          <w:sz w:val="24"/>
          <w:szCs w:val="24"/>
        </w:rPr>
        <w:t>废水产生及排放情况一览表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975"/>
        <w:gridCol w:w="1121"/>
        <w:gridCol w:w="1028"/>
        <w:gridCol w:w="872"/>
        <w:gridCol w:w="911"/>
        <w:gridCol w:w="935"/>
        <w:gridCol w:w="1064"/>
        <w:gridCol w:w="913"/>
        <w:gridCol w:w="1709"/>
        <w:gridCol w:w="1720"/>
        <w:gridCol w:w="1310"/>
        <w:gridCol w:w="955"/>
      </w:tblGrid>
      <w:tr w14:paraId="416B0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noWrap w:val="0"/>
            <w:vAlign w:val="center"/>
          </w:tcPr>
          <w:p w14:paraId="0568EB2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类别</w:t>
            </w:r>
          </w:p>
        </w:tc>
        <w:tc>
          <w:tcPr>
            <w:tcW w:w="975" w:type="dxa"/>
            <w:vMerge w:val="restart"/>
            <w:noWrap w:val="0"/>
            <w:vAlign w:val="center"/>
          </w:tcPr>
          <w:p w14:paraId="428B44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废水量m</w:t>
            </w:r>
            <w:r>
              <w:rPr>
                <w:rFonts w:hint="default" w:ascii="Times New Roman" w:hAnsi="Times New Roman" w:cs="Times New Roman" w:eastAsiaTheme="minorEastAsia"/>
                <w:b/>
                <w:bCs/>
                <w:color w:val="auto"/>
                <w:kern w:val="0"/>
                <w:sz w:val="21"/>
                <w:szCs w:val="21"/>
                <w:vertAlign w:val="superscript"/>
              </w:rPr>
              <w:t>3</w:t>
            </w:r>
            <w:r>
              <w:rPr>
                <w:rFonts w:hint="default" w:ascii="Times New Roman" w:hAnsi="Times New Roman" w:cs="Times New Roman" w:eastAsiaTheme="minorEastAsia"/>
                <w:b/>
                <w:bCs/>
                <w:color w:val="auto"/>
                <w:kern w:val="0"/>
                <w:sz w:val="21"/>
                <w:szCs w:val="21"/>
              </w:rPr>
              <w:t>/a</w:t>
            </w:r>
          </w:p>
        </w:tc>
        <w:tc>
          <w:tcPr>
            <w:tcW w:w="1121" w:type="dxa"/>
            <w:vMerge w:val="restart"/>
            <w:noWrap w:val="0"/>
            <w:vAlign w:val="center"/>
          </w:tcPr>
          <w:p w14:paraId="6C34A6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污染物名称</w:t>
            </w:r>
          </w:p>
        </w:tc>
        <w:tc>
          <w:tcPr>
            <w:tcW w:w="1900" w:type="dxa"/>
            <w:gridSpan w:val="2"/>
            <w:noWrap w:val="0"/>
            <w:vAlign w:val="center"/>
          </w:tcPr>
          <w:p w14:paraId="0A9136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污染物产生量</w:t>
            </w:r>
          </w:p>
        </w:tc>
        <w:tc>
          <w:tcPr>
            <w:tcW w:w="911" w:type="dxa"/>
            <w:vMerge w:val="restart"/>
            <w:noWrap w:val="0"/>
            <w:vAlign w:val="center"/>
          </w:tcPr>
          <w:p w14:paraId="5615A8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治理</w:t>
            </w:r>
          </w:p>
          <w:p w14:paraId="004B8FA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措施</w:t>
            </w:r>
          </w:p>
        </w:tc>
        <w:tc>
          <w:tcPr>
            <w:tcW w:w="935" w:type="dxa"/>
            <w:vMerge w:val="restart"/>
            <w:noWrap w:val="0"/>
            <w:vAlign w:val="center"/>
          </w:tcPr>
          <w:p w14:paraId="72364F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处理</w:t>
            </w:r>
          </w:p>
          <w:p w14:paraId="1DCDD04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b/>
                <w:bCs/>
                <w:color w:val="auto"/>
                <w:kern w:val="0"/>
                <w:sz w:val="21"/>
                <w:szCs w:val="21"/>
                <w:lang w:eastAsia="zh-CN"/>
              </w:rPr>
            </w:pPr>
            <w:r>
              <w:rPr>
                <w:rFonts w:hint="default" w:ascii="Times New Roman" w:hAnsi="Times New Roman" w:cs="Times New Roman" w:eastAsiaTheme="minorEastAsia"/>
                <w:b/>
                <w:bCs/>
                <w:color w:val="auto"/>
                <w:kern w:val="0"/>
                <w:sz w:val="21"/>
                <w:szCs w:val="21"/>
              </w:rPr>
              <w:t>效率</w:t>
            </w:r>
            <w:r>
              <w:rPr>
                <w:rFonts w:hint="eastAsia" w:cs="Times New Roman" w:eastAsiaTheme="minorEastAsia"/>
                <w:b/>
                <w:bCs/>
                <w:color w:val="auto"/>
                <w:kern w:val="0"/>
                <w:sz w:val="21"/>
                <w:szCs w:val="21"/>
                <w:lang w:eastAsia="zh-CN"/>
              </w:rPr>
              <w:t>（</w:t>
            </w:r>
            <w:r>
              <w:rPr>
                <w:rFonts w:hint="eastAsia" w:cs="Times New Roman" w:eastAsiaTheme="minorEastAsia"/>
                <w:b/>
                <w:bCs/>
                <w:color w:val="auto"/>
                <w:kern w:val="0"/>
                <w:sz w:val="21"/>
                <w:szCs w:val="21"/>
                <w:lang w:val="en-US" w:eastAsia="zh-CN"/>
              </w:rPr>
              <w:t>%</w:t>
            </w:r>
            <w:r>
              <w:rPr>
                <w:rFonts w:hint="eastAsia" w:cs="Times New Roman" w:eastAsiaTheme="minorEastAsia"/>
                <w:b/>
                <w:bCs/>
                <w:color w:val="auto"/>
                <w:kern w:val="0"/>
                <w:sz w:val="21"/>
                <w:szCs w:val="21"/>
                <w:lang w:eastAsia="zh-CN"/>
              </w:rPr>
              <w:t>）</w:t>
            </w:r>
          </w:p>
        </w:tc>
        <w:tc>
          <w:tcPr>
            <w:tcW w:w="1977" w:type="dxa"/>
            <w:gridSpan w:val="2"/>
            <w:noWrap w:val="0"/>
            <w:vAlign w:val="center"/>
          </w:tcPr>
          <w:p w14:paraId="1AB2659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污染物排放量</w:t>
            </w:r>
          </w:p>
        </w:tc>
        <w:tc>
          <w:tcPr>
            <w:tcW w:w="1709" w:type="dxa"/>
            <w:vMerge w:val="restart"/>
            <w:noWrap w:val="0"/>
            <w:vAlign w:val="center"/>
          </w:tcPr>
          <w:p w14:paraId="6F7BA7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lang w:val="en-US" w:eastAsia="zh-CN"/>
              </w:rPr>
              <w:t>《屠宰及肉类加工工业水污染物排放标准》（GB13457-2025）</w:t>
            </w:r>
          </w:p>
        </w:tc>
        <w:tc>
          <w:tcPr>
            <w:tcW w:w="1720" w:type="dxa"/>
            <w:vMerge w:val="restart"/>
            <w:noWrap w:val="0"/>
            <w:vAlign w:val="center"/>
          </w:tcPr>
          <w:p w14:paraId="2330D9A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rPr>
              <w:t>《</w:t>
            </w:r>
            <w:r>
              <w:rPr>
                <w:rFonts w:hint="default" w:ascii="Times New Roman" w:hAnsi="Times New Roman" w:cs="Times New Roman" w:eastAsiaTheme="minorEastAsia"/>
                <w:b/>
                <w:bCs/>
                <w:color w:val="auto"/>
                <w:kern w:val="0"/>
                <w:sz w:val="21"/>
                <w:szCs w:val="21"/>
                <w:lang w:eastAsia="zh-CN"/>
              </w:rPr>
              <w:t>污水排入城镇下水道水质</w:t>
            </w:r>
            <w:r>
              <w:rPr>
                <w:rFonts w:hint="default" w:ascii="Times New Roman" w:hAnsi="Times New Roman" w:cs="Times New Roman" w:eastAsiaTheme="minorEastAsia"/>
                <w:b/>
                <w:bCs/>
                <w:color w:val="auto"/>
                <w:kern w:val="0"/>
                <w:sz w:val="21"/>
                <w:szCs w:val="21"/>
              </w:rPr>
              <w:t>标准》（GB</w:t>
            </w:r>
            <w:r>
              <w:rPr>
                <w:rFonts w:hint="default" w:ascii="Times New Roman" w:hAnsi="Times New Roman" w:cs="Times New Roman" w:eastAsiaTheme="minorEastAsia"/>
                <w:b/>
                <w:bCs/>
                <w:color w:val="auto"/>
                <w:kern w:val="0"/>
                <w:sz w:val="21"/>
                <w:szCs w:val="21"/>
                <w:lang w:val="en-US" w:eastAsia="zh-CN"/>
              </w:rPr>
              <w:t>/T31962-2015</w:t>
            </w:r>
            <w:r>
              <w:rPr>
                <w:rFonts w:hint="default" w:ascii="Times New Roman" w:hAnsi="Times New Roman" w:cs="Times New Roman" w:eastAsiaTheme="minorEastAsia"/>
                <w:b/>
                <w:bCs/>
                <w:color w:val="auto"/>
                <w:kern w:val="0"/>
                <w:sz w:val="21"/>
                <w:szCs w:val="21"/>
              </w:rPr>
              <w:t>）</w:t>
            </w:r>
            <w:r>
              <w:rPr>
                <w:rFonts w:hint="eastAsia" w:cs="Times New Roman" w:eastAsiaTheme="minorEastAsia"/>
                <w:b/>
                <w:bCs/>
                <w:color w:val="auto"/>
                <w:kern w:val="0"/>
                <w:sz w:val="21"/>
                <w:szCs w:val="21"/>
                <w:lang w:val="en-US" w:eastAsia="zh-CN"/>
              </w:rPr>
              <w:t>A</w:t>
            </w:r>
            <w:r>
              <w:rPr>
                <w:rFonts w:hint="default" w:ascii="Times New Roman" w:hAnsi="Times New Roman" w:cs="Times New Roman" w:eastAsiaTheme="minorEastAsia"/>
                <w:b/>
                <w:bCs/>
                <w:color w:val="auto"/>
                <w:kern w:val="0"/>
                <w:sz w:val="21"/>
                <w:szCs w:val="21"/>
                <w:lang w:val="en-US" w:eastAsia="zh-CN"/>
              </w:rPr>
              <w:t>级标准</w:t>
            </w:r>
          </w:p>
        </w:tc>
        <w:tc>
          <w:tcPr>
            <w:tcW w:w="1310" w:type="dxa"/>
            <w:vMerge w:val="restart"/>
            <w:noWrap w:val="0"/>
            <w:vAlign w:val="center"/>
          </w:tcPr>
          <w:p w14:paraId="7D071B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《污水综合排放标准》（GB8978-1996）</w:t>
            </w:r>
          </w:p>
        </w:tc>
        <w:tc>
          <w:tcPr>
            <w:tcW w:w="955" w:type="dxa"/>
            <w:vMerge w:val="restart"/>
            <w:noWrap w:val="0"/>
            <w:vAlign w:val="center"/>
          </w:tcPr>
          <w:p w14:paraId="38DCEA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本项目废水排放标准</w:t>
            </w:r>
          </w:p>
        </w:tc>
      </w:tr>
      <w:tr w14:paraId="07A53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noWrap w:val="0"/>
            <w:vAlign w:val="center"/>
          </w:tcPr>
          <w:p w14:paraId="7D3E22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sz w:val="21"/>
                <w:szCs w:val="21"/>
              </w:rPr>
            </w:pPr>
          </w:p>
        </w:tc>
        <w:tc>
          <w:tcPr>
            <w:tcW w:w="975" w:type="dxa"/>
            <w:vMerge w:val="continue"/>
            <w:noWrap w:val="0"/>
            <w:vAlign w:val="center"/>
          </w:tcPr>
          <w:p w14:paraId="055F2E0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sz w:val="21"/>
                <w:szCs w:val="21"/>
              </w:rPr>
            </w:pPr>
          </w:p>
        </w:tc>
        <w:tc>
          <w:tcPr>
            <w:tcW w:w="1121" w:type="dxa"/>
            <w:vMerge w:val="continue"/>
            <w:noWrap w:val="0"/>
            <w:vAlign w:val="center"/>
          </w:tcPr>
          <w:p w14:paraId="3FD38BC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sz w:val="21"/>
                <w:szCs w:val="21"/>
              </w:rPr>
            </w:pPr>
          </w:p>
        </w:tc>
        <w:tc>
          <w:tcPr>
            <w:tcW w:w="1028" w:type="dxa"/>
            <w:noWrap w:val="0"/>
            <w:vAlign w:val="center"/>
          </w:tcPr>
          <w:p w14:paraId="2E99951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rPr>
              <w:t>浓度（mg/L）</w:t>
            </w:r>
          </w:p>
        </w:tc>
        <w:tc>
          <w:tcPr>
            <w:tcW w:w="872" w:type="dxa"/>
            <w:noWrap w:val="0"/>
            <w:vAlign w:val="center"/>
          </w:tcPr>
          <w:p w14:paraId="2FA1950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rPr>
              <w:t>产生量（t/a）</w:t>
            </w:r>
          </w:p>
        </w:tc>
        <w:tc>
          <w:tcPr>
            <w:tcW w:w="911" w:type="dxa"/>
            <w:vMerge w:val="continue"/>
            <w:noWrap w:val="0"/>
            <w:vAlign w:val="center"/>
          </w:tcPr>
          <w:p w14:paraId="7D853C5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p>
        </w:tc>
        <w:tc>
          <w:tcPr>
            <w:tcW w:w="935" w:type="dxa"/>
            <w:vMerge w:val="continue"/>
            <w:noWrap w:val="0"/>
            <w:vAlign w:val="center"/>
          </w:tcPr>
          <w:p w14:paraId="2CA0537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p>
        </w:tc>
        <w:tc>
          <w:tcPr>
            <w:tcW w:w="1064" w:type="dxa"/>
            <w:noWrap w:val="0"/>
            <w:vAlign w:val="center"/>
          </w:tcPr>
          <w:p w14:paraId="495E03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rPr>
              <w:t>浓度（mg/L）</w:t>
            </w:r>
          </w:p>
        </w:tc>
        <w:tc>
          <w:tcPr>
            <w:tcW w:w="913" w:type="dxa"/>
            <w:noWrap w:val="0"/>
            <w:vAlign w:val="center"/>
          </w:tcPr>
          <w:p w14:paraId="3FA07D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rPr>
              <w:t>排放量（t/a）</w:t>
            </w:r>
          </w:p>
        </w:tc>
        <w:tc>
          <w:tcPr>
            <w:tcW w:w="1709" w:type="dxa"/>
            <w:vMerge w:val="continue"/>
            <w:noWrap w:val="0"/>
            <w:vAlign w:val="center"/>
          </w:tcPr>
          <w:p w14:paraId="50484DF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p>
        </w:tc>
        <w:tc>
          <w:tcPr>
            <w:tcW w:w="1720" w:type="dxa"/>
            <w:vMerge w:val="continue"/>
            <w:noWrap w:val="0"/>
            <w:vAlign w:val="center"/>
          </w:tcPr>
          <w:p w14:paraId="1F5DBA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p>
        </w:tc>
        <w:tc>
          <w:tcPr>
            <w:tcW w:w="1310" w:type="dxa"/>
            <w:vMerge w:val="continue"/>
            <w:noWrap w:val="0"/>
            <w:vAlign w:val="center"/>
          </w:tcPr>
          <w:p w14:paraId="045FB6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p>
        </w:tc>
        <w:tc>
          <w:tcPr>
            <w:tcW w:w="955" w:type="dxa"/>
            <w:vMerge w:val="continue"/>
            <w:noWrap w:val="0"/>
            <w:vAlign w:val="center"/>
          </w:tcPr>
          <w:p w14:paraId="64102B0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p>
        </w:tc>
      </w:tr>
      <w:tr w14:paraId="3B710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noWrap w:val="0"/>
            <w:vAlign w:val="center"/>
          </w:tcPr>
          <w:p w14:paraId="5BE90C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全厂废水</w:t>
            </w:r>
          </w:p>
        </w:tc>
        <w:tc>
          <w:tcPr>
            <w:tcW w:w="975" w:type="dxa"/>
            <w:vMerge w:val="restart"/>
            <w:noWrap w:val="0"/>
            <w:vAlign w:val="center"/>
          </w:tcPr>
          <w:p w14:paraId="49F6CD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18927.88</w:t>
            </w:r>
          </w:p>
        </w:tc>
        <w:tc>
          <w:tcPr>
            <w:tcW w:w="1121" w:type="dxa"/>
            <w:shd w:val="clear" w:color="auto" w:fill="auto"/>
            <w:noWrap w:val="0"/>
            <w:vAlign w:val="center"/>
          </w:tcPr>
          <w:p w14:paraId="50073F1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pH（无量纲）</w:t>
            </w:r>
          </w:p>
        </w:tc>
        <w:tc>
          <w:tcPr>
            <w:tcW w:w="1028" w:type="dxa"/>
            <w:shd w:val="clear" w:color="auto" w:fill="auto"/>
            <w:noWrap w:val="0"/>
            <w:vAlign w:val="center"/>
          </w:tcPr>
          <w:p w14:paraId="45294F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6.5~7.5</w:t>
            </w:r>
          </w:p>
        </w:tc>
        <w:tc>
          <w:tcPr>
            <w:tcW w:w="872" w:type="dxa"/>
            <w:shd w:val="clear" w:color="auto" w:fill="auto"/>
            <w:noWrap w:val="0"/>
            <w:vAlign w:val="center"/>
          </w:tcPr>
          <w:p w14:paraId="643708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911" w:type="dxa"/>
            <w:vMerge w:val="restart"/>
            <w:noWrap w:val="0"/>
            <w:vAlign w:val="center"/>
          </w:tcPr>
          <w:p w14:paraId="6D4F2A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935" w:type="dxa"/>
            <w:noWrap w:val="0"/>
            <w:vAlign w:val="center"/>
          </w:tcPr>
          <w:p w14:paraId="03FB0F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1064" w:type="dxa"/>
            <w:shd w:val="clear" w:color="auto" w:fill="auto"/>
            <w:noWrap w:val="0"/>
            <w:vAlign w:val="center"/>
          </w:tcPr>
          <w:p w14:paraId="50D2B8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6.5~7.5</w:t>
            </w:r>
          </w:p>
        </w:tc>
        <w:tc>
          <w:tcPr>
            <w:tcW w:w="913" w:type="dxa"/>
            <w:shd w:val="clear" w:color="auto" w:fill="auto"/>
            <w:noWrap w:val="0"/>
            <w:vAlign w:val="center"/>
          </w:tcPr>
          <w:p w14:paraId="553E691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709" w:type="dxa"/>
            <w:shd w:val="clear" w:color="auto" w:fill="auto"/>
            <w:noWrap w:val="0"/>
            <w:vAlign w:val="center"/>
          </w:tcPr>
          <w:p w14:paraId="638D15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6~9</w:t>
            </w:r>
          </w:p>
        </w:tc>
        <w:tc>
          <w:tcPr>
            <w:tcW w:w="1720" w:type="dxa"/>
            <w:shd w:val="clear" w:color="auto" w:fill="auto"/>
            <w:noWrap w:val="0"/>
            <w:vAlign w:val="center"/>
          </w:tcPr>
          <w:p w14:paraId="11666F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6.5~9.5</w:t>
            </w:r>
          </w:p>
        </w:tc>
        <w:tc>
          <w:tcPr>
            <w:tcW w:w="1310" w:type="dxa"/>
            <w:shd w:val="clear" w:color="auto" w:fill="auto"/>
            <w:noWrap w:val="0"/>
            <w:vAlign w:val="center"/>
          </w:tcPr>
          <w:p w14:paraId="5F6ABA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6~9</w:t>
            </w:r>
          </w:p>
        </w:tc>
        <w:tc>
          <w:tcPr>
            <w:tcW w:w="955" w:type="dxa"/>
            <w:shd w:val="clear" w:color="auto" w:fill="auto"/>
            <w:noWrap w:val="0"/>
            <w:vAlign w:val="center"/>
          </w:tcPr>
          <w:p w14:paraId="26B040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6.5~8.5</w:t>
            </w:r>
          </w:p>
        </w:tc>
      </w:tr>
      <w:tr w14:paraId="074DC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noWrap w:val="0"/>
            <w:vAlign w:val="center"/>
          </w:tcPr>
          <w:p w14:paraId="3BD7B7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75" w:type="dxa"/>
            <w:vMerge w:val="continue"/>
            <w:noWrap w:val="0"/>
            <w:vAlign w:val="center"/>
          </w:tcPr>
          <w:p w14:paraId="26EC165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1121" w:type="dxa"/>
            <w:shd w:val="clear" w:color="auto" w:fill="auto"/>
            <w:noWrap w:val="0"/>
            <w:vAlign w:val="center"/>
          </w:tcPr>
          <w:p w14:paraId="43B4D7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COD</w:t>
            </w:r>
          </w:p>
        </w:tc>
        <w:tc>
          <w:tcPr>
            <w:tcW w:w="1028" w:type="dxa"/>
            <w:noWrap w:val="0"/>
            <w:vAlign w:val="center"/>
          </w:tcPr>
          <w:p w14:paraId="773AF51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1956.27</w:t>
            </w:r>
          </w:p>
        </w:tc>
        <w:tc>
          <w:tcPr>
            <w:tcW w:w="872" w:type="dxa"/>
            <w:noWrap w:val="0"/>
            <w:vAlign w:val="center"/>
          </w:tcPr>
          <w:p w14:paraId="6F76EF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37.028</w:t>
            </w:r>
          </w:p>
        </w:tc>
        <w:tc>
          <w:tcPr>
            <w:tcW w:w="911" w:type="dxa"/>
            <w:vMerge w:val="continue"/>
            <w:noWrap w:val="0"/>
            <w:vAlign w:val="center"/>
          </w:tcPr>
          <w:p w14:paraId="44714B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35" w:type="dxa"/>
            <w:noWrap w:val="0"/>
            <w:vAlign w:val="center"/>
          </w:tcPr>
          <w:p w14:paraId="4D8006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77</w:t>
            </w:r>
          </w:p>
        </w:tc>
        <w:tc>
          <w:tcPr>
            <w:tcW w:w="1064" w:type="dxa"/>
            <w:noWrap w:val="0"/>
            <w:vAlign w:val="center"/>
          </w:tcPr>
          <w:p w14:paraId="20F0A2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456.75</w:t>
            </w:r>
          </w:p>
        </w:tc>
        <w:tc>
          <w:tcPr>
            <w:tcW w:w="913" w:type="dxa"/>
            <w:noWrap w:val="0"/>
            <w:vAlign w:val="center"/>
          </w:tcPr>
          <w:p w14:paraId="4F8BD34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8.6</w:t>
            </w:r>
            <w:r>
              <w:rPr>
                <w:rFonts w:hint="eastAsia" w:cs="Times New Roman" w:eastAsiaTheme="minorEastAsia"/>
                <w:color w:val="auto"/>
                <w:sz w:val="21"/>
                <w:szCs w:val="21"/>
                <w:lang w:val="en-US" w:eastAsia="zh-CN"/>
              </w:rPr>
              <w:t>5</w:t>
            </w:r>
          </w:p>
        </w:tc>
        <w:tc>
          <w:tcPr>
            <w:tcW w:w="1709" w:type="dxa"/>
            <w:shd w:val="clear" w:color="auto" w:fill="auto"/>
            <w:noWrap w:val="0"/>
            <w:vAlign w:val="center"/>
          </w:tcPr>
          <w:p w14:paraId="39A9EB2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500</w:t>
            </w:r>
          </w:p>
        </w:tc>
        <w:tc>
          <w:tcPr>
            <w:tcW w:w="1720" w:type="dxa"/>
            <w:shd w:val="clear" w:color="auto" w:fill="auto"/>
            <w:noWrap w:val="0"/>
            <w:vAlign w:val="center"/>
          </w:tcPr>
          <w:p w14:paraId="2D99E5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500</w:t>
            </w:r>
          </w:p>
        </w:tc>
        <w:tc>
          <w:tcPr>
            <w:tcW w:w="1310" w:type="dxa"/>
            <w:shd w:val="clear" w:color="auto" w:fill="auto"/>
            <w:noWrap w:val="0"/>
            <w:vAlign w:val="center"/>
          </w:tcPr>
          <w:p w14:paraId="6246AC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500</w:t>
            </w:r>
          </w:p>
        </w:tc>
        <w:tc>
          <w:tcPr>
            <w:tcW w:w="955" w:type="dxa"/>
            <w:shd w:val="clear" w:color="auto" w:fill="auto"/>
            <w:noWrap w:val="0"/>
            <w:vAlign w:val="center"/>
          </w:tcPr>
          <w:p w14:paraId="36B53A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500</w:t>
            </w:r>
          </w:p>
        </w:tc>
      </w:tr>
      <w:tr w14:paraId="05B19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61" w:type="dxa"/>
            <w:vMerge w:val="continue"/>
            <w:noWrap w:val="0"/>
            <w:vAlign w:val="center"/>
          </w:tcPr>
          <w:p w14:paraId="19080A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75" w:type="dxa"/>
            <w:vMerge w:val="continue"/>
            <w:noWrap w:val="0"/>
            <w:vAlign w:val="center"/>
          </w:tcPr>
          <w:p w14:paraId="7E3C195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1121" w:type="dxa"/>
            <w:shd w:val="clear" w:color="auto" w:fill="auto"/>
            <w:noWrap w:val="0"/>
            <w:vAlign w:val="center"/>
          </w:tcPr>
          <w:p w14:paraId="47BA23B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BOD</w:t>
            </w:r>
            <w:r>
              <w:rPr>
                <w:rFonts w:hint="default" w:cs="Times New Roman" w:eastAsiaTheme="minorEastAsia"/>
                <w:color w:val="auto"/>
                <w:sz w:val="21"/>
                <w:szCs w:val="21"/>
                <w:vertAlign w:val="subscript"/>
                <w:lang w:val="en-US" w:eastAsia="zh-CN"/>
              </w:rPr>
              <w:t>5</w:t>
            </w:r>
          </w:p>
        </w:tc>
        <w:tc>
          <w:tcPr>
            <w:tcW w:w="1028" w:type="dxa"/>
            <w:noWrap w:val="0"/>
            <w:vAlign w:val="center"/>
          </w:tcPr>
          <w:p w14:paraId="4C4135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980.88</w:t>
            </w:r>
          </w:p>
        </w:tc>
        <w:tc>
          <w:tcPr>
            <w:tcW w:w="872" w:type="dxa"/>
            <w:noWrap w:val="0"/>
            <w:vAlign w:val="center"/>
          </w:tcPr>
          <w:p w14:paraId="5484CA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18.566</w:t>
            </w:r>
          </w:p>
        </w:tc>
        <w:tc>
          <w:tcPr>
            <w:tcW w:w="911" w:type="dxa"/>
            <w:vMerge w:val="continue"/>
            <w:noWrap w:val="0"/>
            <w:vAlign w:val="center"/>
          </w:tcPr>
          <w:p w14:paraId="12D299C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35" w:type="dxa"/>
            <w:noWrap w:val="0"/>
            <w:vAlign w:val="center"/>
          </w:tcPr>
          <w:p w14:paraId="25EC8E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77</w:t>
            </w:r>
          </w:p>
        </w:tc>
        <w:tc>
          <w:tcPr>
            <w:tcW w:w="1064" w:type="dxa"/>
            <w:noWrap w:val="0"/>
            <w:vAlign w:val="center"/>
          </w:tcPr>
          <w:p w14:paraId="2475125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221.48</w:t>
            </w:r>
          </w:p>
        </w:tc>
        <w:tc>
          <w:tcPr>
            <w:tcW w:w="913" w:type="dxa"/>
            <w:noWrap w:val="0"/>
            <w:vAlign w:val="center"/>
          </w:tcPr>
          <w:p w14:paraId="603B2EB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4.19</w:t>
            </w:r>
          </w:p>
        </w:tc>
        <w:tc>
          <w:tcPr>
            <w:tcW w:w="1709" w:type="dxa"/>
            <w:shd w:val="clear" w:color="auto" w:fill="auto"/>
            <w:noWrap w:val="0"/>
            <w:vAlign w:val="center"/>
          </w:tcPr>
          <w:p w14:paraId="62EC26B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350</w:t>
            </w:r>
          </w:p>
        </w:tc>
        <w:tc>
          <w:tcPr>
            <w:tcW w:w="1720" w:type="dxa"/>
            <w:shd w:val="clear" w:color="auto" w:fill="auto"/>
            <w:noWrap w:val="0"/>
            <w:vAlign w:val="center"/>
          </w:tcPr>
          <w:p w14:paraId="371F8A5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350</w:t>
            </w:r>
          </w:p>
        </w:tc>
        <w:tc>
          <w:tcPr>
            <w:tcW w:w="1310" w:type="dxa"/>
            <w:shd w:val="clear" w:color="auto" w:fill="auto"/>
            <w:noWrap w:val="0"/>
            <w:vAlign w:val="center"/>
          </w:tcPr>
          <w:p w14:paraId="7A031FB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300</w:t>
            </w:r>
          </w:p>
        </w:tc>
        <w:tc>
          <w:tcPr>
            <w:tcW w:w="955" w:type="dxa"/>
            <w:shd w:val="clear" w:color="auto" w:fill="auto"/>
            <w:noWrap w:val="0"/>
            <w:vAlign w:val="center"/>
          </w:tcPr>
          <w:p w14:paraId="40124C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300</w:t>
            </w:r>
          </w:p>
        </w:tc>
      </w:tr>
      <w:tr w14:paraId="5974C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noWrap w:val="0"/>
            <w:vAlign w:val="center"/>
          </w:tcPr>
          <w:p w14:paraId="4633F2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75" w:type="dxa"/>
            <w:vMerge w:val="continue"/>
            <w:noWrap w:val="0"/>
            <w:vAlign w:val="center"/>
          </w:tcPr>
          <w:p w14:paraId="15FAD0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1121" w:type="dxa"/>
            <w:shd w:val="clear" w:color="auto" w:fill="auto"/>
            <w:noWrap w:val="0"/>
            <w:vAlign w:val="center"/>
          </w:tcPr>
          <w:p w14:paraId="52BE6A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SS</w:t>
            </w:r>
          </w:p>
        </w:tc>
        <w:tc>
          <w:tcPr>
            <w:tcW w:w="1028" w:type="dxa"/>
            <w:noWrap w:val="0"/>
            <w:vAlign w:val="center"/>
          </w:tcPr>
          <w:p w14:paraId="0EFDE61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978.13</w:t>
            </w:r>
          </w:p>
        </w:tc>
        <w:tc>
          <w:tcPr>
            <w:tcW w:w="872" w:type="dxa"/>
            <w:noWrap w:val="0"/>
            <w:vAlign w:val="center"/>
          </w:tcPr>
          <w:p w14:paraId="0942A13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18.514</w:t>
            </w:r>
          </w:p>
        </w:tc>
        <w:tc>
          <w:tcPr>
            <w:tcW w:w="911" w:type="dxa"/>
            <w:vMerge w:val="continue"/>
            <w:noWrap w:val="0"/>
            <w:vAlign w:val="center"/>
          </w:tcPr>
          <w:p w14:paraId="2BED6F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35" w:type="dxa"/>
            <w:noWrap w:val="0"/>
            <w:vAlign w:val="center"/>
          </w:tcPr>
          <w:p w14:paraId="73173E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72</w:t>
            </w:r>
          </w:p>
        </w:tc>
        <w:tc>
          <w:tcPr>
            <w:tcW w:w="1064" w:type="dxa"/>
            <w:noWrap w:val="0"/>
            <w:vAlign w:val="center"/>
          </w:tcPr>
          <w:p w14:paraId="1BD338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276.19</w:t>
            </w:r>
          </w:p>
        </w:tc>
        <w:tc>
          <w:tcPr>
            <w:tcW w:w="913" w:type="dxa"/>
            <w:noWrap w:val="0"/>
            <w:vAlign w:val="center"/>
          </w:tcPr>
          <w:p w14:paraId="6D4564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5.2</w:t>
            </w:r>
            <w:r>
              <w:rPr>
                <w:rFonts w:hint="eastAsia" w:cs="Times New Roman" w:eastAsiaTheme="minorEastAsia"/>
                <w:color w:val="auto"/>
                <w:sz w:val="21"/>
                <w:szCs w:val="21"/>
                <w:lang w:val="en-US" w:eastAsia="zh-CN"/>
              </w:rPr>
              <w:t>3</w:t>
            </w:r>
          </w:p>
        </w:tc>
        <w:tc>
          <w:tcPr>
            <w:tcW w:w="1709" w:type="dxa"/>
            <w:shd w:val="clear" w:color="auto" w:fill="auto"/>
            <w:noWrap w:val="0"/>
            <w:vAlign w:val="center"/>
          </w:tcPr>
          <w:p w14:paraId="55042A6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400</w:t>
            </w:r>
          </w:p>
        </w:tc>
        <w:tc>
          <w:tcPr>
            <w:tcW w:w="1720" w:type="dxa"/>
            <w:shd w:val="clear" w:color="auto" w:fill="auto"/>
            <w:noWrap w:val="0"/>
            <w:vAlign w:val="center"/>
          </w:tcPr>
          <w:p w14:paraId="444896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400</w:t>
            </w:r>
          </w:p>
        </w:tc>
        <w:tc>
          <w:tcPr>
            <w:tcW w:w="1310" w:type="dxa"/>
            <w:shd w:val="clear" w:color="auto" w:fill="auto"/>
            <w:noWrap w:val="0"/>
            <w:vAlign w:val="center"/>
          </w:tcPr>
          <w:p w14:paraId="70A78B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400</w:t>
            </w:r>
          </w:p>
        </w:tc>
        <w:tc>
          <w:tcPr>
            <w:tcW w:w="955" w:type="dxa"/>
            <w:shd w:val="clear" w:color="auto" w:fill="auto"/>
            <w:noWrap w:val="0"/>
            <w:vAlign w:val="center"/>
          </w:tcPr>
          <w:p w14:paraId="2859C1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400</w:t>
            </w:r>
          </w:p>
        </w:tc>
      </w:tr>
      <w:tr w14:paraId="0551D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noWrap w:val="0"/>
            <w:vAlign w:val="center"/>
          </w:tcPr>
          <w:p w14:paraId="7E5F3E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75" w:type="dxa"/>
            <w:vMerge w:val="continue"/>
            <w:noWrap w:val="0"/>
            <w:vAlign w:val="center"/>
          </w:tcPr>
          <w:p w14:paraId="0172F3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1121" w:type="dxa"/>
            <w:shd w:val="clear" w:color="auto" w:fill="auto"/>
            <w:noWrap w:val="0"/>
            <w:vAlign w:val="center"/>
          </w:tcPr>
          <w:p w14:paraId="7D162BC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NH</w:t>
            </w:r>
            <w:r>
              <w:rPr>
                <w:rFonts w:hint="default" w:cs="Times New Roman" w:eastAsiaTheme="minorEastAsia"/>
                <w:color w:val="auto"/>
                <w:sz w:val="21"/>
                <w:szCs w:val="21"/>
                <w:vertAlign w:val="subscript"/>
                <w:lang w:val="en-US" w:eastAsia="zh-CN"/>
              </w:rPr>
              <w:t>3</w:t>
            </w:r>
            <w:r>
              <w:rPr>
                <w:rFonts w:hint="default" w:cs="Times New Roman" w:eastAsiaTheme="minorEastAsia"/>
                <w:color w:val="auto"/>
                <w:sz w:val="21"/>
                <w:szCs w:val="21"/>
                <w:lang w:val="en-US" w:eastAsia="zh-CN"/>
              </w:rPr>
              <w:t>-N</w:t>
            </w:r>
          </w:p>
        </w:tc>
        <w:tc>
          <w:tcPr>
            <w:tcW w:w="1028" w:type="dxa"/>
            <w:noWrap w:val="0"/>
            <w:vAlign w:val="center"/>
          </w:tcPr>
          <w:p w14:paraId="61D8A0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199.61</w:t>
            </w:r>
          </w:p>
        </w:tc>
        <w:tc>
          <w:tcPr>
            <w:tcW w:w="872" w:type="dxa"/>
            <w:noWrap w:val="0"/>
            <w:vAlign w:val="center"/>
          </w:tcPr>
          <w:p w14:paraId="6187C28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3.7782</w:t>
            </w:r>
          </w:p>
        </w:tc>
        <w:tc>
          <w:tcPr>
            <w:tcW w:w="911" w:type="dxa"/>
            <w:vMerge w:val="continue"/>
            <w:noWrap w:val="0"/>
            <w:vAlign w:val="center"/>
          </w:tcPr>
          <w:p w14:paraId="294C60F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35" w:type="dxa"/>
            <w:noWrap w:val="0"/>
            <w:vAlign w:val="center"/>
          </w:tcPr>
          <w:p w14:paraId="2DF289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80</w:t>
            </w:r>
          </w:p>
        </w:tc>
        <w:tc>
          <w:tcPr>
            <w:tcW w:w="1064" w:type="dxa"/>
            <w:noWrap w:val="0"/>
            <w:vAlign w:val="center"/>
          </w:tcPr>
          <w:p w14:paraId="4D6C2B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40.66</w:t>
            </w:r>
          </w:p>
        </w:tc>
        <w:tc>
          <w:tcPr>
            <w:tcW w:w="913" w:type="dxa"/>
            <w:noWrap w:val="0"/>
            <w:vAlign w:val="center"/>
          </w:tcPr>
          <w:p w14:paraId="05D5D2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0.7</w:t>
            </w:r>
            <w:r>
              <w:rPr>
                <w:rFonts w:hint="eastAsia" w:cs="Times New Roman" w:eastAsiaTheme="minorEastAsia"/>
                <w:color w:val="auto"/>
                <w:sz w:val="21"/>
                <w:szCs w:val="21"/>
                <w:lang w:val="en-US" w:eastAsia="zh-CN"/>
              </w:rPr>
              <w:t>7</w:t>
            </w:r>
          </w:p>
        </w:tc>
        <w:tc>
          <w:tcPr>
            <w:tcW w:w="1709" w:type="dxa"/>
            <w:shd w:val="clear" w:color="auto" w:fill="auto"/>
            <w:noWrap w:val="0"/>
            <w:vAlign w:val="center"/>
          </w:tcPr>
          <w:p w14:paraId="10D7C8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45</w:t>
            </w:r>
          </w:p>
        </w:tc>
        <w:tc>
          <w:tcPr>
            <w:tcW w:w="1720" w:type="dxa"/>
            <w:shd w:val="clear" w:color="auto" w:fill="auto"/>
            <w:noWrap w:val="0"/>
            <w:vAlign w:val="center"/>
          </w:tcPr>
          <w:p w14:paraId="69EC2E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45</w:t>
            </w:r>
          </w:p>
        </w:tc>
        <w:tc>
          <w:tcPr>
            <w:tcW w:w="1310" w:type="dxa"/>
            <w:shd w:val="clear" w:color="auto" w:fill="auto"/>
            <w:noWrap w:val="0"/>
            <w:vAlign w:val="center"/>
          </w:tcPr>
          <w:p w14:paraId="2A830D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955" w:type="dxa"/>
            <w:shd w:val="clear" w:color="auto" w:fill="auto"/>
            <w:noWrap w:val="0"/>
            <w:vAlign w:val="center"/>
          </w:tcPr>
          <w:p w14:paraId="7B1F3EB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45</w:t>
            </w:r>
          </w:p>
        </w:tc>
      </w:tr>
      <w:tr w14:paraId="7011C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noWrap w:val="0"/>
            <w:vAlign w:val="center"/>
          </w:tcPr>
          <w:p w14:paraId="34EC50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75" w:type="dxa"/>
            <w:vMerge w:val="continue"/>
            <w:noWrap w:val="0"/>
            <w:vAlign w:val="center"/>
          </w:tcPr>
          <w:p w14:paraId="373103B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1121" w:type="dxa"/>
            <w:shd w:val="clear" w:color="auto" w:fill="auto"/>
            <w:noWrap w:val="0"/>
            <w:vAlign w:val="center"/>
          </w:tcPr>
          <w:p w14:paraId="36F0AB1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动植物油</w:t>
            </w:r>
          </w:p>
        </w:tc>
        <w:tc>
          <w:tcPr>
            <w:tcW w:w="1028" w:type="dxa"/>
            <w:noWrap w:val="0"/>
            <w:vAlign w:val="center"/>
          </w:tcPr>
          <w:p w14:paraId="4811C8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195.52</w:t>
            </w:r>
          </w:p>
        </w:tc>
        <w:tc>
          <w:tcPr>
            <w:tcW w:w="872" w:type="dxa"/>
            <w:noWrap w:val="0"/>
            <w:vAlign w:val="center"/>
          </w:tcPr>
          <w:p w14:paraId="2049E1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3.7008</w:t>
            </w:r>
          </w:p>
        </w:tc>
        <w:tc>
          <w:tcPr>
            <w:tcW w:w="911" w:type="dxa"/>
            <w:vMerge w:val="continue"/>
            <w:noWrap w:val="0"/>
            <w:vAlign w:val="center"/>
          </w:tcPr>
          <w:p w14:paraId="1C9045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35" w:type="dxa"/>
            <w:noWrap w:val="0"/>
            <w:vAlign w:val="center"/>
          </w:tcPr>
          <w:p w14:paraId="03A6AA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68</w:t>
            </w:r>
          </w:p>
        </w:tc>
        <w:tc>
          <w:tcPr>
            <w:tcW w:w="1064" w:type="dxa"/>
            <w:noWrap w:val="0"/>
            <w:vAlign w:val="center"/>
          </w:tcPr>
          <w:p w14:paraId="045705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62.98</w:t>
            </w:r>
          </w:p>
        </w:tc>
        <w:tc>
          <w:tcPr>
            <w:tcW w:w="913" w:type="dxa"/>
            <w:noWrap w:val="0"/>
            <w:vAlign w:val="center"/>
          </w:tcPr>
          <w:p w14:paraId="65FEA4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1.19</w:t>
            </w:r>
          </w:p>
        </w:tc>
        <w:tc>
          <w:tcPr>
            <w:tcW w:w="1709" w:type="dxa"/>
            <w:shd w:val="clear" w:color="auto" w:fill="auto"/>
            <w:noWrap w:val="0"/>
            <w:vAlign w:val="center"/>
          </w:tcPr>
          <w:p w14:paraId="6C570ED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100</w:t>
            </w:r>
          </w:p>
        </w:tc>
        <w:tc>
          <w:tcPr>
            <w:tcW w:w="1720" w:type="dxa"/>
            <w:shd w:val="clear" w:color="auto" w:fill="auto"/>
            <w:noWrap w:val="0"/>
            <w:vAlign w:val="center"/>
          </w:tcPr>
          <w:p w14:paraId="7A8C59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100</w:t>
            </w:r>
          </w:p>
        </w:tc>
        <w:tc>
          <w:tcPr>
            <w:tcW w:w="1310" w:type="dxa"/>
            <w:shd w:val="clear" w:color="auto" w:fill="auto"/>
            <w:noWrap w:val="0"/>
            <w:vAlign w:val="center"/>
          </w:tcPr>
          <w:p w14:paraId="71AA0F0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100</w:t>
            </w:r>
          </w:p>
        </w:tc>
        <w:tc>
          <w:tcPr>
            <w:tcW w:w="955" w:type="dxa"/>
            <w:shd w:val="clear" w:color="auto" w:fill="auto"/>
            <w:noWrap w:val="0"/>
            <w:vAlign w:val="center"/>
          </w:tcPr>
          <w:p w14:paraId="12AA59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100</w:t>
            </w:r>
          </w:p>
        </w:tc>
      </w:tr>
      <w:tr w14:paraId="0EDF8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noWrap w:val="0"/>
            <w:vAlign w:val="center"/>
          </w:tcPr>
          <w:p w14:paraId="49CADC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75" w:type="dxa"/>
            <w:vMerge w:val="continue"/>
            <w:noWrap w:val="0"/>
            <w:vAlign w:val="center"/>
          </w:tcPr>
          <w:p w14:paraId="091F71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1121" w:type="dxa"/>
            <w:shd w:val="clear" w:color="auto" w:fill="auto"/>
            <w:noWrap w:val="0"/>
            <w:vAlign w:val="center"/>
          </w:tcPr>
          <w:p w14:paraId="555043B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总磷</w:t>
            </w:r>
          </w:p>
        </w:tc>
        <w:tc>
          <w:tcPr>
            <w:tcW w:w="1028" w:type="dxa"/>
            <w:shd w:val="clear" w:color="auto" w:fill="auto"/>
            <w:noWrap w:val="0"/>
            <w:vAlign w:val="center"/>
          </w:tcPr>
          <w:p w14:paraId="54099E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52.30</w:t>
            </w:r>
          </w:p>
        </w:tc>
        <w:tc>
          <w:tcPr>
            <w:tcW w:w="872" w:type="dxa"/>
            <w:shd w:val="clear" w:color="auto" w:fill="auto"/>
            <w:noWrap w:val="0"/>
            <w:vAlign w:val="center"/>
          </w:tcPr>
          <w:p w14:paraId="7658B8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0.99</w:t>
            </w:r>
          </w:p>
        </w:tc>
        <w:tc>
          <w:tcPr>
            <w:tcW w:w="911" w:type="dxa"/>
            <w:vMerge w:val="continue"/>
            <w:noWrap w:val="0"/>
            <w:vAlign w:val="center"/>
          </w:tcPr>
          <w:p w14:paraId="7D37642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35" w:type="dxa"/>
            <w:shd w:val="clear" w:color="auto" w:fill="auto"/>
            <w:noWrap w:val="0"/>
            <w:vAlign w:val="center"/>
          </w:tcPr>
          <w:p w14:paraId="27CC80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88</w:t>
            </w:r>
          </w:p>
        </w:tc>
        <w:tc>
          <w:tcPr>
            <w:tcW w:w="1064" w:type="dxa"/>
            <w:shd w:val="clear" w:color="auto" w:fill="auto"/>
            <w:noWrap w:val="0"/>
            <w:vAlign w:val="center"/>
          </w:tcPr>
          <w:p w14:paraId="4AD105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6.28</w:t>
            </w:r>
          </w:p>
        </w:tc>
        <w:tc>
          <w:tcPr>
            <w:tcW w:w="913" w:type="dxa"/>
            <w:shd w:val="clear" w:color="auto" w:fill="auto"/>
            <w:noWrap w:val="0"/>
            <w:vAlign w:val="center"/>
          </w:tcPr>
          <w:p w14:paraId="1F538F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0.1</w:t>
            </w:r>
            <w:r>
              <w:rPr>
                <w:rFonts w:hint="eastAsia" w:cs="Times New Roman" w:eastAsiaTheme="minorEastAsia"/>
                <w:color w:val="auto"/>
                <w:sz w:val="21"/>
                <w:szCs w:val="21"/>
                <w:lang w:val="en-US" w:eastAsia="zh-CN"/>
              </w:rPr>
              <w:t>2</w:t>
            </w:r>
          </w:p>
        </w:tc>
        <w:tc>
          <w:tcPr>
            <w:tcW w:w="1709" w:type="dxa"/>
            <w:shd w:val="clear" w:color="auto" w:fill="auto"/>
            <w:noWrap w:val="0"/>
            <w:vAlign w:val="center"/>
          </w:tcPr>
          <w:p w14:paraId="6021AE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8</w:t>
            </w:r>
          </w:p>
        </w:tc>
        <w:tc>
          <w:tcPr>
            <w:tcW w:w="1720" w:type="dxa"/>
            <w:shd w:val="clear" w:color="auto" w:fill="auto"/>
            <w:noWrap w:val="0"/>
            <w:vAlign w:val="center"/>
          </w:tcPr>
          <w:p w14:paraId="22E135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8</w:t>
            </w:r>
          </w:p>
        </w:tc>
        <w:tc>
          <w:tcPr>
            <w:tcW w:w="1310" w:type="dxa"/>
            <w:shd w:val="clear" w:color="auto" w:fill="auto"/>
            <w:noWrap w:val="0"/>
            <w:vAlign w:val="center"/>
          </w:tcPr>
          <w:p w14:paraId="479DD2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955" w:type="dxa"/>
            <w:shd w:val="clear" w:color="auto" w:fill="auto"/>
            <w:noWrap w:val="0"/>
            <w:vAlign w:val="center"/>
          </w:tcPr>
          <w:p w14:paraId="7E2254E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8</w:t>
            </w:r>
          </w:p>
        </w:tc>
      </w:tr>
      <w:tr w14:paraId="388E3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tcPr>
          <w:p w14:paraId="632C57A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75" w:type="dxa"/>
            <w:vMerge w:val="continue"/>
          </w:tcPr>
          <w:p w14:paraId="7D2A64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0" w:type="auto"/>
            <w:shd w:val="clear" w:color="auto" w:fill="auto"/>
            <w:vAlign w:val="center"/>
          </w:tcPr>
          <w:p w14:paraId="112BA2F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总氮</w:t>
            </w:r>
          </w:p>
        </w:tc>
        <w:tc>
          <w:tcPr>
            <w:tcW w:w="1028" w:type="dxa"/>
            <w:vAlign w:val="center"/>
          </w:tcPr>
          <w:p w14:paraId="583044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238.27</w:t>
            </w:r>
          </w:p>
        </w:tc>
        <w:tc>
          <w:tcPr>
            <w:tcW w:w="872" w:type="dxa"/>
            <w:vAlign w:val="center"/>
          </w:tcPr>
          <w:p w14:paraId="5BF7A1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4.51</w:t>
            </w:r>
          </w:p>
        </w:tc>
        <w:tc>
          <w:tcPr>
            <w:tcW w:w="911" w:type="dxa"/>
            <w:vMerge w:val="continue"/>
          </w:tcPr>
          <w:p w14:paraId="0271B1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p>
        </w:tc>
        <w:tc>
          <w:tcPr>
            <w:tcW w:w="935" w:type="dxa"/>
            <w:vAlign w:val="center"/>
          </w:tcPr>
          <w:p w14:paraId="6155BA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73</w:t>
            </w:r>
          </w:p>
        </w:tc>
        <w:tc>
          <w:tcPr>
            <w:tcW w:w="1064" w:type="dxa"/>
            <w:vAlign w:val="center"/>
          </w:tcPr>
          <w:p w14:paraId="7F4848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64.33</w:t>
            </w:r>
          </w:p>
        </w:tc>
        <w:tc>
          <w:tcPr>
            <w:tcW w:w="913" w:type="dxa"/>
            <w:vAlign w:val="top"/>
          </w:tcPr>
          <w:p w14:paraId="3EE614E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1.2</w:t>
            </w:r>
            <w:r>
              <w:rPr>
                <w:rFonts w:hint="eastAsia" w:cs="Times New Roman" w:eastAsiaTheme="minorEastAsia"/>
                <w:color w:val="auto"/>
                <w:sz w:val="21"/>
                <w:szCs w:val="21"/>
                <w:lang w:val="en-US" w:eastAsia="zh-CN"/>
              </w:rPr>
              <w:t>2</w:t>
            </w:r>
          </w:p>
        </w:tc>
        <w:tc>
          <w:tcPr>
            <w:tcW w:w="0" w:type="auto"/>
            <w:shd w:val="clear" w:color="auto" w:fill="auto"/>
            <w:vAlign w:val="center"/>
          </w:tcPr>
          <w:p w14:paraId="09282F0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70</w:t>
            </w:r>
          </w:p>
        </w:tc>
        <w:tc>
          <w:tcPr>
            <w:tcW w:w="0" w:type="auto"/>
            <w:shd w:val="clear" w:color="auto" w:fill="auto"/>
            <w:vAlign w:val="center"/>
          </w:tcPr>
          <w:p w14:paraId="079D25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70</w:t>
            </w:r>
          </w:p>
        </w:tc>
        <w:tc>
          <w:tcPr>
            <w:tcW w:w="0" w:type="auto"/>
            <w:shd w:val="clear" w:color="auto" w:fill="auto"/>
            <w:vAlign w:val="center"/>
          </w:tcPr>
          <w:p w14:paraId="5E146F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0" w:type="auto"/>
            <w:shd w:val="clear" w:color="auto" w:fill="auto"/>
            <w:vAlign w:val="center"/>
          </w:tcPr>
          <w:p w14:paraId="32242DC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cs="Times New Roman" w:eastAsiaTheme="minorEastAsia"/>
                <w:color w:val="auto"/>
                <w:sz w:val="21"/>
                <w:szCs w:val="21"/>
                <w:lang w:val="en-US" w:eastAsia="zh-CN"/>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70</w:t>
            </w:r>
          </w:p>
        </w:tc>
      </w:tr>
    </w:tbl>
    <w:p w14:paraId="18813F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lang w:val="en-US" w:eastAsia="zh-CN"/>
        </w:rPr>
      </w:pPr>
      <w:r>
        <w:rPr>
          <w:rFonts w:hint="default" w:cs="Times New Roman" w:eastAsiaTheme="minorEastAsia"/>
          <w:color w:val="FF0000"/>
          <w:sz w:val="21"/>
          <w:szCs w:val="21"/>
          <w:lang w:val="en-US" w:eastAsia="zh-CN"/>
        </w:rPr>
        <w:br w:type="page"/>
      </w:r>
    </w:p>
    <w:p w14:paraId="01ED1EFD">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2.</w:t>
      </w:r>
      <w:r>
        <w:rPr>
          <w:rFonts w:hint="eastAsia" w:ascii="Times New Roman" w:hAnsi="Times New Roman" w:eastAsia="黑体" w:cs="Times New Roman"/>
          <w:b/>
          <w:bCs w:val="0"/>
          <w:color w:val="auto"/>
          <w:sz w:val="24"/>
          <w:szCs w:val="24"/>
          <w:lang w:val="en-US" w:eastAsia="zh-CN"/>
        </w:rPr>
        <w:t>2</w:t>
      </w:r>
      <w:r>
        <w:rPr>
          <w:rFonts w:hint="default" w:ascii="Times New Roman" w:hAnsi="Times New Roman" w:eastAsia="黑体" w:cs="Times New Roman"/>
          <w:b/>
          <w:bCs w:val="0"/>
          <w:color w:val="auto"/>
          <w:sz w:val="24"/>
          <w:szCs w:val="24"/>
          <w:lang w:val="en-US" w:eastAsia="zh-CN"/>
        </w:rPr>
        <w:t>.</w:t>
      </w:r>
      <w:r>
        <w:rPr>
          <w:rFonts w:hint="eastAsia" w:ascii="Times New Roman" w:hAnsi="Times New Roman" w:eastAsia="黑体" w:cs="Times New Roman"/>
          <w:b/>
          <w:bCs w:val="0"/>
          <w:color w:val="auto"/>
          <w:sz w:val="24"/>
          <w:szCs w:val="24"/>
          <w:lang w:val="en-US" w:eastAsia="zh-CN"/>
        </w:rPr>
        <w:t>4</w:t>
      </w:r>
      <w:r>
        <w:rPr>
          <w:rFonts w:hint="default" w:ascii="Times New Roman" w:hAnsi="Times New Roman" w:eastAsia="黑体" w:cs="Times New Roman"/>
          <w:b/>
          <w:bCs w:val="0"/>
          <w:color w:val="auto"/>
          <w:sz w:val="24"/>
          <w:szCs w:val="24"/>
          <w:lang w:val="en-US" w:eastAsia="zh-CN"/>
        </w:rPr>
        <w:t>.3噪声</w:t>
      </w:r>
    </w:p>
    <w:p w14:paraId="73DFD7C2">
      <w:pPr>
        <w:pageBreakBefore w:val="0"/>
        <w:kinsoku/>
        <w:wordWrap/>
        <w:topLinePunct w:val="0"/>
        <w:bidi w:val="0"/>
        <w:adjustRightInd/>
        <w:snapToGrid/>
        <w:ind w:left="0" w:leftChars="0"/>
        <w:rPr>
          <w:rFonts w:hint="default"/>
          <w:color w:val="auto"/>
          <w:lang w:eastAsia="zh-CN"/>
        </w:rPr>
      </w:pPr>
      <w:r>
        <w:rPr>
          <w:rFonts w:hint="eastAsia"/>
          <w:color w:val="auto"/>
          <w:lang w:val="en-US" w:eastAsia="zh-CN"/>
        </w:rPr>
        <w:t>本项目</w:t>
      </w:r>
      <w:r>
        <w:rPr>
          <w:rFonts w:hint="default"/>
          <w:color w:val="auto"/>
          <w:lang w:eastAsia="zh-CN"/>
        </w:rPr>
        <w:t>噪声</w:t>
      </w:r>
      <w:r>
        <w:rPr>
          <w:rFonts w:hint="eastAsia"/>
          <w:color w:val="auto"/>
          <w:lang w:val="en-US" w:eastAsia="zh-CN"/>
        </w:rPr>
        <w:t>来源</w:t>
      </w:r>
      <w:r>
        <w:rPr>
          <w:rFonts w:hint="default"/>
          <w:color w:val="auto"/>
          <w:lang w:eastAsia="zh-CN"/>
        </w:rPr>
        <w:t>主要为屠宰车间各类机械噪声，项目屠宰过程噪声源强情况见表2.</w:t>
      </w:r>
      <w:r>
        <w:rPr>
          <w:rFonts w:hint="eastAsia"/>
          <w:color w:val="auto"/>
          <w:lang w:val="en-US" w:eastAsia="zh-CN"/>
        </w:rPr>
        <w:t>2</w:t>
      </w:r>
      <w:r>
        <w:rPr>
          <w:rFonts w:hint="default"/>
          <w:color w:val="auto"/>
          <w:lang w:eastAsia="zh-CN"/>
        </w:rPr>
        <w:t>-</w:t>
      </w:r>
      <w:r>
        <w:rPr>
          <w:rFonts w:hint="eastAsia"/>
          <w:color w:val="auto"/>
          <w:lang w:val="en-US" w:eastAsia="zh-CN"/>
        </w:rPr>
        <w:t>12</w:t>
      </w:r>
      <w:r>
        <w:rPr>
          <w:rFonts w:hint="default"/>
          <w:color w:val="auto"/>
          <w:lang w:eastAsia="zh-CN"/>
        </w:rPr>
        <w:t>。</w:t>
      </w:r>
    </w:p>
    <w:p w14:paraId="399107AF">
      <w:pPr>
        <w:pStyle w:val="12"/>
        <w:pageBreakBefore w:val="0"/>
        <w:kinsoku/>
        <w:wordWrap/>
        <w:topLinePunct w:val="0"/>
        <w:bidi w:val="0"/>
        <w:adjustRightInd/>
        <w:snapToGrid/>
        <w:spacing w:line="240" w:lineRule="auto"/>
        <w:ind w:left="0" w:leftChars="0" w:right="0" w:rightChars="0" w:firstLine="420" w:firstLineChars="200"/>
        <w:jc w:val="both"/>
        <w:rPr>
          <w:rFonts w:hint="default" w:ascii="Times New Roman" w:hAnsi="Times New Roman" w:eastAsia="宋体" w:cs="Times New Roman"/>
          <w:b/>
          <w:bCs/>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表</w:t>
      </w:r>
      <w:r>
        <w:rPr>
          <w:rFonts w:hint="eastAsia" w:ascii="Times New Roman" w:hAnsi="Times New Roman" w:eastAsia="宋体" w:cs="Times New Roman"/>
          <w:snapToGrid w:val="0"/>
          <w:color w:val="auto"/>
          <w:kern w:val="0"/>
          <w:sz w:val="21"/>
          <w:szCs w:val="21"/>
          <w:highlight w:val="none"/>
          <w:lang w:val="en-US" w:eastAsia="zh-CN" w:bidi="ar-SA"/>
        </w:rPr>
        <w:t>2.2-12</w:t>
      </w:r>
      <w:r>
        <w:rPr>
          <w:rFonts w:hint="default" w:ascii="Times New Roman" w:hAnsi="Times New Roman" w:eastAsia="黑体" w:cs="Times New Roman"/>
          <w:bCs/>
          <w:color w:val="auto"/>
          <w:spacing w:val="0"/>
          <w:sz w:val="24"/>
          <w:szCs w:val="24"/>
        </w:rPr>
        <w:t xml:space="preserve">  </w:t>
      </w:r>
      <w:r>
        <w:rPr>
          <w:rFonts w:hint="eastAsia" w:ascii="Times New Roman" w:hAnsi="Times New Roman" w:eastAsia="黑体" w:cs="Times New Roman"/>
          <w:bCs/>
          <w:color w:val="auto"/>
          <w:spacing w:val="0"/>
          <w:sz w:val="24"/>
          <w:szCs w:val="24"/>
          <w:lang w:val="en-US" w:eastAsia="zh-CN"/>
        </w:rPr>
        <w:t xml:space="preserve">                                   </w:t>
      </w:r>
      <w:r>
        <w:rPr>
          <w:rFonts w:hint="default" w:ascii="Times New Roman" w:hAnsi="Times New Roman" w:eastAsia="宋体" w:cs="Times New Roman"/>
          <w:b/>
          <w:bCs/>
          <w:snapToGrid w:val="0"/>
          <w:color w:val="auto"/>
          <w:kern w:val="0"/>
          <w:sz w:val="24"/>
          <w:szCs w:val="24"/>
          <w:highlight w:val="none"/>
          <w:lang w:val="en-US" w:eastAsia="zh-CN" w:bidi="ar-SA"/>
        </w:rPr>
        <w:t>本项目室内工业噪声源调查清单表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06"/>
        <w:gridCol w:w="742"/>
        <w:gridCol w:w="504"/>
        <w:gridCol w:w="2103"/>
        <w:gridCol w:w="818"/>
        <w:gridCol w:w="1025"/>
        <w:gridCol w:w="913"/>
        <w:gridCol w:w="787"/>
        <w:gridCol w:w="672"/>
        <w:gridCol w:w="605"/>
        <w:gridCol w:w="930"/>
        <w:gridCol w:w="1092"/>
        <w:gridCol w:w="787"/>
        <w:gridCol w:w="849"/>
        <w:gridCol w:w="745"/>
        <w:gridCol w:w="910"/>
      </w:tblGrid>
      <w:tr w14:paraId="126606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vMerge w:val="restart"/>
            <w:tcBorders>
              <w:tl2br w:val="nil"/>
              <w:tr2bl w:val="nil"/>
            </w:tcBorders>
            <w:noWrap w:val="0"/>
            <w:tcMar>
              <w:top w:w="15" w:type="dxa"/>
              <w:left w:w="15" w:type="dxa"/>
              <w:right w:w="15" w:type="dxa"/>
            </w:tcMar>
            <w:vAlign w:val="center"/>
          </w:tcPr>
          <w:p w14:paraId="245281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265" w:type="pct"/>
            <w:vMerge w:val="restart"/>
            <w:tcBorders>
              <w:tl2br w:val="nil"/>
              <w:tr2bl w:val="nil"/>
            </w:tcBorders>
            <w:noWrap w:val="0"/>
            <w:tcMar>
              <w:top w:w="15" w:type="dxa"/>
              <w:left w:w="15" w:type="dxa"/>
              <w:right w:w="15" w:type="dxa"/>
            </w:tcMar>
            <w:vAlign w:val="center"/>
          </w:tcPr>
          <w:p w14:paraId="3E0BD9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建筑物名称</w:t>
            </w:r>
          </w:p>
        </w:tc>
        <w:tc>
          <w:tcPr>
            <w:tcW w:w="931" w:type="pct"/>
            <w:gridSpan w:val="2"/>
            <w:vMerge w:val="restart"/>
            <w:tcBorders>
              <w:tl2br w:val="nil"/>
              <w:tr2bl w:val="nil"/>
            </w:tcBorders>
            <w:noWrap w:val="0"/>
            <w:tcMar>
              <w:top w:w="15" w:type="dxa"/>
              <w:left w:w="15" w:type="dxa"/>
              <w:right w:w="15" w:type="dxa"/>
            </w:tcMar>
            <w:vAlign w:val="center"/>
          </w:tcPr>
          <w:p w14:paraId="0ED061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声源名称</w:t>
            </w:r>
          </w:p>
        </w:tc>
        <w:tc>
          <w:tcPr>
            <w:tcW w:w="292" w:type="pct"/>
            <w:vMerge w:val="restart"/>
            <w:tcBorders>
              <w:tl2br w:val="nil"/>
              <w:tr2bl w:val="nil"/>
            </w:tcBorders>
            <w:noWrap w:val="0"/>
            <w:tcMar>
              <w:top w:w="15" w:type="dxa"/>
              <w:left w:w="15" w:type="dxa"/>
              <w:right w:w="15" w:type="dxa"/>
            </w:tcMar>
            <w:vAlign w:val="center"/>
          </w:tcPr>
          <w:p w14:paraId="0E6D39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型号</w:t>
            </w:r>
          </w:p>
        </w:tc>
        <w:tc>
          <w:tcPr>
            <w:tcW w:w="366" w:type="pct"/>
            <w:vMerge w:val="restart"/>
            <w:tcBorders>
              <w:tl2br w:val="nil"/>
              <w:tr2bl w:val="nil"/>
            </w:tcBorders>
            <w:noWrap w:val="0"/>
            <w:tcMar>
              <w:top w:w="15" w:type="dxa"/>
              <w:left w:w="15" w:type="dxa"/>
              <w:right w:w="15" w:type="dxa"/>
            </w:tcMar>
            <w:vAlign w:val="center"/>
          </w:tcPr>
          <w:p w14:paraId="44A220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声功率级/dB(A)</w:t>
            </w:r>
          </w:p>
        </w:tc>
        <w:tc>
          <w:tcPr>
            <w:tcW w:w="326" w:type="pct"/>
            <w:vMerge w:val="restart"/>
            <w:tcBorders>
              <w:tl2br w:val="nil"/>
              <w:tr2bl w:val="nil"/>
            </w:tcBorders>
            <w:noWrap w:val="0"/>
            <w:tcMar>
              <w:top w:w="15" w:type="dxa"/>
              <w:left w:w="15" w:type="dxa"/>
              <w:right w:w="15" w:type="dxa"/>
            </w:tcMar>
            <w:vAlign w:val="center"/>
          </w:tcPr>
          <w:p w14:paraId="36B8C7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声源控制措施</w:t>
            </w:r>
          </w:p>
        </w:tc>
        <w:tc>
          <w:tcPr>
            <w:tcW w:w="737" w:type="pct"/>
            <w:gridSpan w:val="3"/>
            <w:tcBorders>
              <w:tl2br w:val="nil"/>
              <w:tr2bl w:val="nil"/>
            </w:tcBorders>
            <w:noWrap w:val="0"/>
            <w:tcMar>
              <w:top w:w="15" w:type="dxa"/>
              <w:left w:w="15" w:type="dxa"/>
              <w:right w:w="15" w:type="dxa"/>
            </w:tcMar>
            <w:vAlign w:val="center"/>
          </w:tcPr>
          <w:p w14:paraId="45B28F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空间相对位置/m</w:t>
            </w:r>
          </w:p>
        </w:tc>
        <w:tc>
          <w:tcPr>
            <w:tcW w:w="332" w:type="pct"/>
            <w:vMerge w:val="restart"/>
            <w:tcBorders>
              <w:tl2br w:val="nil"/>
              <w:tr2bl w:val="nil"/>
            </w:tcBorders>
            <w:noWrap w:val="0"/>
            <w:tcMar>
              <w:top w:w="15" w:type="dxa"/>
              <w:left w:w="15" w:type="dxa"/>
              <w:right w:w="15" w:type="dxa"/>
            </w:tcMar>
            <w:vAlign w:val="center"/>
          </w:tcPr>
          <w:p w14:paraId="0AAC13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距室内边界距离/m</w:t>
            </w:r>
          </w:p>
        </w:tc>
        <w:tc>
          <w:tcPr>
            <w:tcW w:w="390" w:type="pct"/>
            <w:vMerge w:val="restart"/>
            <w:tcBorders>
              <w:tl2br w:val="nil"/>
              <w:tr2bl w:val="nil"/>
            </w:tcBorders>
            <w:noWrap w:val="0"/>
            <w:tcMar>
              <w:top w:w="15" w:type="dxa"/>
              <w:left w:w="15" w:type="dxa"/>
              <w:right w:w="15" w:type="dxa"/>
            </w:tcMar>
            <w:vAlign w:val="center"/>
          </w:tcPr>
          <w:p w14:paraId="0278A8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室内边界声级/dB（A）</w:t>
            </w:r>
          </w:p>
        </w:tc>
        <w:tc>
          <w:tcPr>
            <w:tcW w:w="281" w:type="pct"/>
            <w:vMerge w:val="restart"/>
            <w:tcBorders>
              <w:tl2br w:val="nil"/>
              <w:tr2bl w:val="nil"/>
            </w:tcBorders>
            <w:noWrap w:val="0"/>
            <w:tcMar>
              <w:top w:w="15" w:type="dxa"/>
              <w:left w:w="15" w:type="dxa"/>
              <w:right w:w="15" w:type="dxa"/>
            </w:tcMar>
            <w:vAlign w:val="center"/>
          </w:tcPr>
          <w:p w14:paraId="7E8B20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运行时段/h/d</w:t>
            </w:r>
          </w:p>
        </w:tc>
        <w:tc>
          <w:tcPr>
            <w:tcW w:w="303" w:type="pct"/>
            <w:vMerge w:val="restart"/>
            <w:tcBorders>
              <w:tl2br w:val="nil"/>
              <w:tr2bl w:val="nil"/>
            </w:tcBorders>
            <w:noWrap w:val="0"/>
            <w:tcMar>
              <w:top w:w="15" w:type="dxa"/>
              <w:left w:w="15" w:type="dxa"/>
              <w:right w:w="15" w:type="dxa"/>
            </w:tcMar>
            <w:vAlign w:val="center"/>
          </w:tcPr>
          <w:p w14:paraId="1AB79D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建筑物插入损失/dB(A)</w:t>
            </w:r>
          </w:p>
        </w:tc>
        <w:tc>
          <w:tcPr>
            <w:tcW w:w="591" w:type="pct"/>
            <w:gridSpan w:val="2"/>
            <w:tcBorders>
              <w:tl2br w:val="nil"/>
              <w:tr2bl w:val="nil"/>
            </w:tcBorders>
            <w:noWrap w:val="0"/>
            <w:tcMar>
              <w:top w:w="15" w:type="dxa"/>
              <w:left w:w="15" w:type="dxa"/>
              <w:right w:w="15" w:type="dxa"/>
            </w:tcMar>
            <w:vAlign w:val="center"/>
          </w:tcPr>
          <w:p w14:paraId="7C33DC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建筑物外噪声</w:t>
            </w:r>
          </w:p>
        </w:tc>
      </w:tr>
      <w:tr w14:paraId="3966B7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vMerge w:val="continue"/>
            <w:tcBorders>
              <w:tl2br w:val="nil"/>
              <w:tr2bl w:val="nil"/>
            </w:tcBorders>
            <w:noWrap w:val="0"/>
            <w:tcMar>
              <w:top w:w="15" w:type="dxa"/>
              <w:left w:w="15" w:type="dxa"/>
              <w:right w:w="15" w:type="dxa"/>
            </w:tcMar>
            <w:vAlign w:val="center"/>
          </w:tcPr>
          <w:p w14:paraId="5E7400B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65" w:type="pct"/>
            <w:vMerge w:val="continue"/>
            <w:tcBorders>
              <w:tl2br w:val="nil"/>
              <w:tr2bl w:val="nil"/>
            </w:tcBorders>
            <w:noWrap w:val="0"/>
            <w:tcMar>
              <w:top w:w="15" w:type="dxa"/>
              <w:left w:w="15" w:type="dxa"/>
              <w:right w:w="15" w:type="dxa"/>
            </w:tcMar>
            <w:vAlign w:val="center"/>
          </w:tcPr>
          <w:p w14:paraId="65602F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931" w:type="pct"/>
            <w:gridSpan w:val="2"/>
            <w:vMerge w:val="continue"/>
            <w:tcBorders>
              <w:tl2br w:val="nil"/>
              <w:tr2bl w:val="nil"/>
            </w:tcBorders>
            <w:noWrap w:val="0"/>
            <w:tcMar>
              <w:top w:w="15" w:type="dxa"/>
              <w:left w:w="15" w:type="dxa"/>
              <w:right w:w="15" w:type="dxa"/>
            </w:tcMar>
            <w:vAlign w:val="center"/>
          </w:tcPr>
          <w:p w14:paraId="1A5009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92" w:type="pct"/>
            <w:vMerge w:val="continue"/>
            <w:tcBorders>
              <w:tl2br w:val="nil"/>
              <w:tr2bl w:val="nil"/>
            </w:tcBorders>
            <w:noWrap w:val="0"/>
            <w:tcMar>
              <w:top w:w="15" w:type="dxa"/>
              <w:left w:w="15" w:type="dxa"/>
              <w:right w:w="15" w:type="dxa"/>
            </w:tcMar>
            <w:vAlign w:val="center"/>
          </w:tcPr>
          <w:p w14:paraId="29AC5B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p>
        </w:tc>
        <w:tc>
          <w:tcPr>
            <w:tcW w:w="366" w:type="pct"/>
            <w:vMerge w:val="continue"/>
            <w:tcBorders>
              <w:tl2br w:val="nil"/>
              <w:tr2bl w:val="nil"/>
            </w:tcBorders>
            <w:noWrap w:val="0"/>
            <w:tcMar>
              <w:top w:w="15" w:type="dxa"/>
              <w:left w:w="15" w:type="dxa"/>
              <w:right w:w="15" w:type="dxa"/>
            </w:tcMar>
            <w:vAlign w:val="center"/>
          </w:tcPr>
          <w:p w14:paraId="132FAB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p>
        </w:tc>
        <w:tc>
          <w:tcPr>
            <w:tcW w:w="326" w:type="pct"/>
            <w:vMerge w:val="continue"/>
            <w:tcBorders>
              <w:tl2br w:val="nil"/>
              <w:tr2bl w:val="nil"/>
            </w:tcBorders>
            <w:noWrap w:val="0"/>
            <w:tcMar>
              <w:top w:w="15" w:type="dxa"/>
              <w:left w:w="15" w:type="dxa"/>
              <w:right w:w="15" w:type="dxa"/>
            </w:tcMar>
            <w:vAlign w:val="center"/>
          </w:tcPr>
          <w:p w14:paraId="00D3AC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7C7FE9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color w:val="auto"/>
                <w:sz w:val="21"/>
                <w:szCs w:val="21"/>
                <w:highlight w:val="none"/>
                <w:u w:val="none"/>
              </w:rPr>
            </w:pPr>
            <w:r>
              <w:rPr>
                <w:rFonts w:hint="default" w:ascii="Times New Roman" w:hAnsi="Times New Roman" w:eastAsia="宋体" w:cs="Times New Roman"/>
                <w:b/>
                <w:bCs/>
                <w:i/>
                <w:color w:val="auto"/>
                <w:kern w:val="0"/>
                <w:sz w:val="21"/>
                <w:szCs w:val="21"/>
                <w:highlight w:val="none"/>
                <w:u w:val="none"/>
                <w:lang w:val="en-US" w:eastAsia="zh-CN" w:bidi="ar"/>
              </w:rPr>
              <w:t>X</w:t>
            </w:r>
          </w:p>
        </w:tc>
        <w:tc>
          <w:tcPr>
            <w:tcW w:w="240" w:type="pct"/>
            <w:tcBorders>
              <w:tl2br w:val="nil"/>
              <w:tr2bl w:val="nil"/>
            </w:tcBorders>
            <w:noWrap w:val="0"/>
            <w:tcMar>
              <w:top w:w="15" w:type="dxa"/>
              <w:left w:w="15" w:type="dxa"/>
              <w:right w:w="15" w:type="dxa"/>
            </w:tcMar>
            <w:vAlign w:val="center"/>
          </w:tcPr>
          <w:p w14:paraId="40632A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color w:val="auto"/>
                <w:sz w:val="21"/>
                <w:szCs w:val="21"/>
                <w:highlight w:val="none"/>
                <w:u w:val="none"/>
              </w:rPr>
            </w:pPr>
            <w:r>
              <w:rPr>
                <w:rFonts w:hint="default" w:ascii="Times New Roman" w:hAnsi="Times New Roman" w:eastAsia="宋体" w:cs="Times New Roman"/>
                <w:b/>
                <w:bCs/>
                <w:i/>
                <w:color w:val="auto"/>
                <w:kern w:val="0"/>
                <w:sz w:val="21"/>
                <w:szCs w:val="21"/>
                <w:highlight w:val="none"/>
                <w:u w:val="none"/>
                <w:lang w:val="en-US" w:eastAsia="zh-CN" w:bidi="ar"/>
              </w:rPr>
              <w:t>Y</w:t>
            </w:r>
          </w:p>
        </w:tc>
        <w:tc>
          <w:tcPr>
            <w:tcW w:w="216" w:type="pct"/>
            <w:tcBorders>
              <w:tl2br w:val="nil"/>
              <w:tr2bl w:val="nil"/>
            </w:tcBorders>
            <w:noWrap w:val="0"/>
            <w:tcMar>
              <w:top w:w="15" w:type="dxa"/>
              <w:left w:w="15" w:type="dxa"/>
              <w:right w:w="15" w:type="dxa"/>
            </w:tcMar>
            <w:vAlign w:val="center"/>
          </w:tcPr>
          <w:p w14:paraId="6E2F07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color w:val="auto"/>
                <w:sz w:val="21"/>
                <w:szCs w:val="21"/>
                <w:highlight w:val="none"/>
                <w:u w:val="none"/>
              </w:rPr>
            </w:pPr>
            <w:r>
              <w:rPr>
                <w:rFonts w:hint="default" w:ascii="Times New Roman" w:hAnsi="Times New Roman" w:eastAsia="宋体" w:cs="Times New Roman"/>
                <w:b/>
                <w:bCs/>
                <w:i/>
                <w:color w:val="auto"/>
                <w:kern w:val="0"/>
                <w:sz w:val="21"/>
                <w:szCs w:val="21"/>
                <w:highlight w:val="none"/>
                <w:u w:val="none"/>
                <w:lang w:val="en-US" w:eastAsia="zh-CN" w:bidi="ar"/>
              </w:rPr>
              <w:t>Z</w:t>
            </w:r>
          </w:p>
        </w:tc>
        <w:tc>
          <w:tcPr>
            <w:tcW w:w="332" w:type="pct"/>
            <w:vMerge w:val="continue"/>
            <w:tcBorders>
              <w:tl2br w:val="nil"/>
              <w:tr2bl w:val="nil"/>
            </w:tcBorders>
            <w:noWrap w:val="0"/>
            <w:tcMar>
              <w:top w:w="15" w:type="dxa"/>
              <w:left w:w="15" w:type="dxa"/>
              <w:right w:w="15" w:type="dxa"/>
            </w:tcMar>
            <w:vAlign w:val="center"/>
          </w:tcPr>
          <w:p w14:paraId="5A298AF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390" w:type="pct"/>
            <w:vMerge w:val="continue"/>
            <w:tcBorders>
              <w:tl2br w:val="nil"/>
              <w:tr2bl w:val="nil"/>
            </w:tcBorders>
            <w:noWrap w:val="0"/>
            <w:tcMar>
              <w:top w:w="15" w:type="dxa"/>
              <w:left w:w="15" w:type="dxa"/>
              <w:right w:w="15" w:type="dxa"/>
            </w:tcMar>
            <w:vAlign w:val="center"/>
          </w:tcPr>
          <w:p w14:paraId="1650710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81" w:type="pct"/>
            <w:vMerge w:val="continue"/>
            <w:tcBorders>
              <w:tl2br w:val="nil"/>
              <w:tr2bl w:val="nil"/>
            </w:tcBorders>
            <w:noWrap w:val="0"/>
            <w:tcMar>
              <w:top w:w="15" w:type="dxa"/>
              <w:left w:w="15" w:type="dxa"/>
              <w:right w:w="15" w:type="dxa"/>
            </w:tcMar>
            <w:vAlign w:val="center"/>
          </w:tcPr>
          <w:p w14:paraId="5DEFFF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303" w:type="pct"/>
            <w:vMerge w:val="continue"/>
            <w:tcBorders>
              <w:tl2br w:val="nil"/>
              <w:tr2bl w:val="nil"/>
            </w:tcBorders>
            <w:noWrap w:val="0"/>
            <w:tcMar>
              <w:top w:w="15" w:type="dxa"/>
              <w:left w:w="15" w:type="dxa"/>
              <w:right w:w="15" w:type="dxa"/>
            </w:tcMar>
            <w:vAlign w:val="center"/>
          </w:tcPr>
          <w:p w14:paraId="276D74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66" w:type="pct"/>
            <w:tcBorders>
              <w:tl2br w:val="nil"/>
              <w:tr2bl w:val="nil"/>
            </w:tcBorders>
            <w:noWrap w:val="0"/>
            <w:tcMar>
              <w:top w:w="15" w:type="dxa"/>
              <w:left w:w="15" w:type="dxa"/>
              <w:right w:w="15" w:type="dxa"/>
            </w:tcMar>
            <w:vAlign w:val="center"/>
          </w:tcPr>
          <w:p w14:paraId="2BB89C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声压级/dB(A)</w:t>
            </w:r>
          </w:p>
        </w:tc>
        <w:tc>
          <w:tcPr>
            <w:tcW w:w="325" w:type="pct"/>
            <w:tcBorders>
              <w:tl2br w:val="nil"/>
              <w:tr2bl w:val="nil"/>
            </w:tcBorders>
            <w:noWrap w:val="0"/>
            <w:tcMar>
              <w:top w:w="15" w:type="dxa"/>
              <w:left w:w="15" w:type="dxa"/>
              <w:right w:w="15" w:type="dxa"/>
            </w:tcMar>
            <w:vAlign w:val="center"/>
          </w:tcPr>
          <w:p w14:paraId="5DB9EA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ascii="Times New Roman" w:hAnsi="Times New Roman" w:eastAsia="宋体" w:cs="Times New Roman"/>
                <w:b/>
                <w:bCs/>
                <w:i w:val="0"/>
                <w:color w:val="auto"/>
                <w:kern w:val="0"/>
                <w:sz w:val="21"/>
                <w:szCs w:val="21"/>
                <w:highlight w:val="none"/>
                <w:u w:val="none"/>
                <w:lang w:val="en-US" w:eastAsia="zh-CN" w:bidi="ar"/>
              </w:rPr>
              <w:t>建筑物外距离</w:t>
            </w:r>
          </w:p>
        </w:tc>
      </w:tr>
      <w:tr w14:paraId="0F26B1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2D9E71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65" w:type="pct"/>
            <w:vMerge w:val="restart"/>
            <w:tcBorders>
              <w:tl2br w:val="nil"/>
              <w:tr2bl w:val="nil"/>
            </w:tcBorders>
            <w:noWrap w:val="0"/>
            <w:tcMar>
              <w:top w:w="15" w:type="dxa"/>
              <w:left w:w="15" w:type="dxa"/>
              <w:right w:w="15" w:type="dxa"/>
            </w:tcMar>
            <w:vAlign w:val="center"/>
          </w:tcPr>
          <w:p w14:paraId="247A82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屠宰</w:t>
            </w:r>
            <w:r>
              <w:rPr>
                <w:rFonts w:hint="eastAsia" w:eastAsia="宋体" w:cs="Times New Roman"/>
                <w:i w:val="0"/>
                <w:color w:val="auto"/>
                <w:sz w:val="21"/>
                <w:szCs w:val="21"/>
                <w:highlight w:val="none"/>
                <w:u w:val="none"/>
                <w:lang w:val="en-US" w:eastAsia="zh-CN"/>
              </w:rPr>
              <w:t>加工</w:t>
            </w:r>
            <w:r>
              <w:rPr>
                <w:rFonts w:hint="default" w:ascii="Times New Roman" w:hAnsi="Times New Roman" w:eastAsia="宋体" w:cs="Times New Roman"/>
                <w:i w:val="0"/>
                <w:color w:val="auto"/>
                <w:sz w:val="21"/>
                <w:szCs w:val="21"/>
                <w:highlight w:val="none"/>
                <w:u w:val="none"/>
                <w:lang w:val="en-US" w:eastAsia="zh-CN"/>
              </w:rPr>
              <w:t>车间</w:t>
            </w:r>
          </w:p>
        </w:tc>
        <w:tc>
          <w:tcPr>
            <w:tcW w:w="180" w:type="pct"/>
            <w:vMerge w:val="restart"/>
            <w:tcBorders>
              <w:tl2br w:val="nil"/>
              <w:tr2bl w:val="nil"/>
            </w:tcBorders>
            <w:noWrap w:val="0"/>
            <w:tcMar>
              <w:top w:w="15" w:type="dxa"/>
              <w:left w:w="15" w:type="dxa"/>
              <w:right w:w="15" w:type="dxa"/>
            </w:tcMar>
            <w:vAlign w:val="center"/>
          </w:tcPr>
          <w:p w14:paraId="04C71A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一层</w:t>
            </w:r>
          </w:p>
        </w:tc>
        <w:tc>
          <w:tcPr>
            <w:tcW w:w="751" w:type="pct"/>
            <w:tcBorders>
              <w:tl2br w:val="nil"/>
              <w:tr2bl w:val="nil"/>
            </w:tcBorders>
            <w:shd w:val="clear" w:color="auto" w:fill="auto"/>
            <w:noWrap w:val="0"/>
            <w:tcMar>
              <w:top w:w="15" w:type="dxa"/>
              <w:left w:w="15" w:type="dxa"/>
              <w:right w:w="15" w:type="dxa"/>
            </w:tcMar>
            <w:vAlign w:val="center"/>
          </w:tcPr>
          <w:p w14:paraId="1D1EA6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2"/>
                <w:sz w:val="21"/>
                <w:szCs w:val="21"/>
                <w:highlight w:val="none"/>
                <w:u w:val="none"/>
                <w:lang w:val="en-US" w:eastAsia="zh-CN" w:bidi="ar-SA"/>
              </w:rPr>
              <w:t>活牛称重系统</w:t>
            </w:r>
          </w:p>
        </w:tc>
        <w:tc>
          <w:tcPr>
            <w:tcW w:w="292" w:type="pct"/>
            <w:tcBorders>
              <w:tl2br w:val="nil"/>
              <w:tr2bl w:val="nil"/>
            </w:tcBorders>
            <w:noWrap w:val="0"/>
            <w:tcMar>
              <w:top w:w="15" w:type="dxa"/>
              <w:left w:w="15" w:type="dxa"/>
              <w:right w:w="15" w:type="dxa"/>
            </w:tcMar>
            <w:vAlign w:val="center"/>
          </w:tcPr>
          <w:p w14:paraId="0D4DA1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val="0"/>
            <w:tcMar>
              <w:top w:w="15" w:type="dxa"/>
              <w:left w:w="15" w:type="dxa"/>
              <w:right w:w="15" w:type="dxa"/>
            </w:tcMar>
            <w:vAlign w:val="center"/>
          </w:tcPr>
          <w:p w14:paraId="4855D1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70</w:t>
            </w:r>
          </w:p>
        </w:tc>
        <w:tc>
          <w:tcPr>
            <w:tcW w:w="326" w:type="pct"/>
            <w:vMerge w:val="restart"/>
            <w:tcBorders>
              <w:tl2br w:val="nil"/>
              <w:tr2bl w:val="nil"/>
            </w:tcBorders>
            <w:noWrap w:val="0"/>
            <w:tcMar>
              <w:top w:w="15" w:type="dxa"/>
              <w:left w:w="15" w:type="dxa"/>
              <w:right w:w="15" w:type="dxa"/>
            </w:tcMar>
            <w:vAlign w:val="center"/>
          </w:tcPr>
          <w:p w14:paraId="682A3D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墙体隔声，基础减振</w:t>
            </w:r>
          </w:p>
        </w:tc>
        <w:tc>
          <w:tcPr>
            <w:tcW w:w="281" w:type="pct"/>
            <w:tcBorders>
              <w:tl2br w:val="nil"/>
              <w:tr2bl w:val="nil"/>
            </w:tcBorders>
            <w:noWrap w:val="0"/>
            <w:tcMar>
              <w:top w:w="15" w:type="dxa"/>
              <w:left w:w="15" w:type="dxa"/>
              <w:right w:w="15" w:type="dxa"/>
            </w:tcMar>
            <w:vAlign w:val="center"/>
          </w:tcPr>
          <w:p w14:paraId="43DEF6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kern w:val="2"/>
                <w:sz w:val="21"/>
                <w:szCs w:val="21"/>
                <w:highlight w:val="none"/>
                <w:u w:val="none"/>
                <w:lang w:val="en-US" w:eastAsia="zh-CN" w:bidi="ar-SA"/>
              </w:rPr>
              <w:t>6.8</w:t>
            </w:r>
          </w:p>
        </w:tc>
        <w:tc>
          <w:tcPr>
            <w:tcW w:w="240" w:type="pct"/>
            <w:tcBorders>
              <w:tl2br w:val="nil"/>
              <w:tr2bl w:val="nil"/>
            </w:tcBorders>
            <w:noWrap w:val="0"/>
            <w:tcMar>
              <w:top w:w="15" w:type="dxa"/>
              <w:left w:w="15" w:type="dxa"/>
              <w:right w:w="15" w:type="dxa"/>
            </w:tcMar>
            <w:vAlign w:val="center"/>
          </w:tcPr>
          <w:p w14:paraId="38E6CD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kern w:val="2"/>
                <w:sz w:val="21"/>
                <w:szCs w:val="21"/>
                <w:highlight w:val="none"/>
                <w:u w:val="none"/>
                <w:lang w:val="en-US" w:eastAsia="zh-CN" w:bidi="ar-SA"/>
              </w:rPr>
              <w:t>14.3</w:t>
            </w:r>
          </w:p>
        </w:tc>
        <w:tc>
          <w:tcPr>
            <w:tcW w:w="216" w:type="pct"/>
            <w:tcBorders>
              <w:tl2br w:val="nil"/>
              <w:tr2bl w:val="nil"/>
            </w:tcBorders>
            <w:noWrap w:val="0"/>
            <w:tcMar>
              <w:top w:w="15" w:type="dxa"/>
              <w:left w:w="15" w:type="dxa"/>
              <w:right w:w="15" w:type="dxa"/>
            </w:tcMar>
            <w:vAlign w:val="center"/>
          </w:tcPr>
          <w:p w14:paraId="003433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1.5</w:t>
            </w:r>
          </w:p>
        </w:tc>
        <w:tc>
          <w:tcPr>
            <w:tcW w:w="332" w:type="pct"/>
            <w:tcBorders>
              <w:tl2br w:val="nil"/>
              <w:tr2bl w:val="nil"/>
            </w:tcBorders>
            <w:noWrap w:val="0"/>
            <w:tcMar>
              <w:top w:w="15" w:type="dxa"/>
              <w:left w:w="15" w:type="dxa"/>
              <w:right w:w="15" w:type="dxa"/>
            </w:tcMar>
            <w:vAlign w:val="center"/>
          </w:tcPr>
          <w:p w14:paraId="413796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6.8</w:t>
            </w:r>
          </w:p>
        </w:tc>
        <w:tc>
          <w:tcPr>
            <w:tcW w:w="390" w:type="pct"/>
            <w:tcBorders>
              <w:tl2br w:val="nil"/>
              <w:tr2bl w:val="nil"/>
            </w:tcBorders>
            <w:noWrap w:val="0"/>
            <w:tcMar>
              <w:top w:w="15" w:type="dxa"/>
              <w:left w:w="15" w:type="dxa"/>
              <w:right w:w="15" w:type="dxa"/>
            </w:tcMar>
            <w:vAlign w:val="center"/>
          </w:tcPr>
          <w:p w14:paraId="76AA7C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0.92</w:t>
            </w:r>
          </w:p>
        </w:tc>
        <w:tc>
          <w:tcPr>
            <w:tcW w:w="281" w:type="pct"/>
            <w:tcBorders>
              <w:tl2br w:val="nil"/>
              <w:tr2bl w:val="nil"/>
            </w:tcBorders>
            <w:noWrap w:val="0"/>
            <w:tcMar>
              <w:top w:w="15" w:type="dxa"/>
              <w:left w:w="15" w:type="dxa"/>
              <w:right w:w="15" w:type="dxa"/>
            </w:tcMar>
            <w:vAlign w:val="center"/>
          </w:tcPr>
          <w:p w14:paraId="69C95A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restart"/>
            <w:tcBorders>
              <w:tl2br w:val="nil"/>
              <w:tr2bl w:val="nil"/>
            </w:tcBorders>
            <w:noWrap w:val="0"/>
            <w:tcMar>
              <w:top w:w="15" w:type="dxa"/>
              <w:left w:w="15" w:type="dxa"/>
              <w:right w:w="15" w:type="dxa"/>
            </w:tcMar>
            <w:vAlign w:val="center"/>
          </w:tcPr>
          <w:p w14:paraId="23D6E3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15</w:t>
            </w:r>
          </w:p>
        </w:tc>
        <w:tc>
          <w:tcPr>
            <w:tcW w:w="266" w:type="pct"/>
            <w:vMerge w:val="restart"/>
            <w:tcBorders>
              <w:tl2br w:val="nil"/>
              <w:tr2bl w:val="nil"/>
            </w:tcBorders>
            <w:noWrap w:val="0"/>
            <w:tcMar>
              <w:top w:w="15" w:type="dxa"/>
              <w:left w:w="15" w:type="dxa"/>
              <w:right w:w="15" w:type="dxa"/>
            </w:tcMar>
            <w:vAlign w:val="center"/>
          </w:tcPr>
          <w:p w14:paraId="594805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58</w:t>
            </w:r>
            <w:r>
              <w:rPr>
                <w:rFonts w:hint="eastAsia" w:ascii="Times New Roman" w:hAnsi="Times New Roman" w:eastAsia="宋体" w:cs="Times New Roman"/>
                <w:i w:val="0"/>
                <w:color w:val="auto"/>
                <w:sz w:val="21"/>
                <w:szCs w:val="21"/>
                <w:highlight w:val="none"/>
                <w:u w:val="none"/>
                <w:lang w:val="en-US" w:eastAsia="zh-CN"/>
              </w:rPr>
              <w:t>.89</w:t>
            </w:r>
          </w:p>
        </w:tc>
        <w:tc>
          <w:tcPr>
            <w:tcW w:w="325" w:type="pct"/>
            <w:vMerge w:val="restart"/>
            <w:tcBorders>
              <w:tl2br w:val="nil"/>
              <w:tr2bl w:val="nil"/>
            </w:tcBorders>
            <w:noWrap w:val="0"/>
            <w:tcMar>
              <w:top w:w="15" w:type="dxa"/>
              <w:left w:w="15" w:type="dxa"/>
              <w:right w:w="15" w:type="dxa"/>
            </w:tcMar>
            <w:vAlign w:val="center"/>
          </w:tcPr>
          <w:p w14:paraId="1B1C6E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1m</w:t>
            </w:r>
          </w:p>
        </w:tc>
      </w:tr>
      <w:tr w14:paraId="57503E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29EDDE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265" w:type="pct"/>
            <w:vMerge w:val="continue"/>
            <w:tcBorders>
              <w:tl2br w:val="nil"/>
              <w:tr2bl w:val="nil"/>
            </w:tcBorders>
            <w:noWrap w:val="0"/>
            <w:tcMar>
              <w:top w:w="15" w:type="dxa"/>
              <w:left w:w="15" w:type="dxa"/>
              <w:right w:w="15" w:type="dxa"/>
            </w:tcMar>
            <w:vAlign w:val="center"/>
          </w:tcPr>
          <w:p w14:paraId="0FAA06B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noWrap w:val="0"/>
            <w:tcMar>
              <w:top w:w="15" w:type="dxa"/>
              <w:left w:w="15" w:type="dxa"/>
              <w:right w:w="15" w:type="dxa"/>
            </w:tcMar>
            <w:vAlign w:val="center"/>
          </w:tcPr>
          <w:p w14:paraId="6A7908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751" w:type="pct"/>
            <w:tcBorders>
              <w:tl2br w:val="nil"/>
              <w:tr2bl w:val="nil"/>
            </w:tcBorders>
            <w:shd w:val="clear" w:color="auto" w:fill="auto"/>
            <w:noWrap w:val="0"/>
            <w:tcMar>
              <w:top w:w="15" w:type="dxa"/>
              <w:left w:w="15" w:type="dxa"/>
              <w:right w:w="15" w:type="dxa"/>
            </w:tcMar>
            <w:vAlign w:val="center"/>
          </w:tcPr>
          <w:p w14:paraId="432CC6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2"/>
                <w:sz w:val="21"/>
                <w:szCs w:val="21"/>
                <w:highlight w:val="none"/>
                <w:u w:val="none"/>
                <w:lang w:val="en-US" w:eastAsia="zh-CN" w:bidi="ar-SA"/>
              </w:rPr>
              <w:t>放血提升机</w:t>
            </w:r>
          </w:p>
        </w:tc>
        <w:tc>
          <w:tcPr>
            <w:tcW w:w="292" w:type="pct"/>
            <w:tcBorders>
              <w:tl2br w:val="nil"/>
              <w:tr2bl w:val="nil"/>
            </w:tcBorders>
            <w:noWrap w:val="0"/>
            <w:tcMar>
              <w:top w:w="15" w:type="dxa"/>
              <w:left w:w="15" w:type="dxa"/>
              <w:right w:w="15" w:type="dxa"/>
            </w:tcMar>
            <w:vAlign w:val="center"/>
          </w:tcPr>
          <w:p w14:paraId="1D94B6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val="0"/>
            <w:tcMar>
              <w:top w:w="15" w:type="dxa"/>
              <w:left w:w="15" w:type="dxa"/>
              <w:right w:w="15" w:type="dxa"/>
            </w:tcMar>
            <w:vAlign w:val="center"/>
          </w:tcPr>
          <w:p w14:paraId="570B95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6" w:type="pct"/>
            <w:vMerge w:val="continue"/>
            <w:tcBorders>
              <w:tl2br w:val="nil"/>
              <w:tr2bl w:val="nil"/>
            </w:tcBorders>
            <w:noWrap w:val="0"/>
            <w:tcMar>
              <w:top w:w="15" w:type="dxa"/>
              <w:left w:w="15" w:type="dxa"/>
              <w:right w:w="15" w:type="dxa"/>
            </w:tcMar>
            <w:vAlign w:val="center"/>
          </w:tcPr>
          <w:p w14:paraId="7981F1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4D9715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kern w:val="2"/>
                <w:sz w:val="21"/>
                <w:szCs w:val="21"/>
                <w:highlight w:val="none"/>
                <w:u w:val="none"/>
                <w:lang w:val="en-US" w:eastAsia="zh-CN" w:bidi="ar-SA"/>
              </w:rPr>
              <w:t>24.8</w:t>
            </w:r>
          </w:p>
        </w:tc>
        <w:tc>
          <w:tcPr>
            <w:tcW w:w="240" w:type="pct"/>
            <w:tcBorders>
              <w:tl2br w:val="nil"/>
              <w:tr2bl w:val="nil"/>
            </w:tcBorders>
            <w:noWrap w:val="0"/>
            <w:tcMar>
              <w:top w:w="15" w:type="dxa"/>
              <w:left w:w="15" w:type="dxa"/>
              <w:right w:w="15" w:type="dxa"/>
            </w:tcMar>
            <w:vAlign w:val="center"/>
          </w:tcPr>
          <w:p w14:paraId="27D034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kern w:val="2"/>
                <w:sz w:val="21"/>
                <w:szCs w:val="21"/>
                <w:highlight w:val="none"/>
                <w:u w:val="none"/>
                <w:lang w:val="en-US" w:eastAsia="zh-CN" w:bidi="ar-SA"/>
              </w:rPr>
              <w:t>36.2</w:t>
            </w:r>
          </w:p>
        </w:tc>
        <w:tc>
          <w:tcPr>
            <w:tcW w:w="216" w:type="pct"/>
            <w:tcBorders>
              <w:tl2br w:val="nil"/>
              <w:tr2bl w:val="nil"/>
            </w:tcBorders>
            <w:noWrap w:val="0"/>
            <w:tcMar>
              <w:top w:w="15" w:type="dxa"/>
              <w:left w:w="15" w:type="dxa"/>
              <w:right w:w="15" w:type="dxa"/>
            </w:tcMar>
            <w:vAlign w:val="center"/>
          </w:tcPr>
          <w:p w14:paraId="423631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2.2</w:t>
            </w:r>
          </w:p>
        </w:tc>
        <w:tc>
          <w:tcPr>
            <w:tcW w:w="332" w:type="pct"/>
            <w:tcBorders>
              <w:tl2br w:val="nil"/>
              <w:tr2bl w:val="nil"/>
            </w:tcBorders>
            <w:shd w:val="clear" w:color="auto" w:fill="auto"/>
            <w:noWrap w:val="0"/>
            <w:tcMar>
              <w:top w:w="15" w:type="dxa"/>
              <w:left w:w="15" w:type="dxa"/>
              <w:right w:w="15" w:type="dxa"/>
            </w:tcMar>
            <w:vAlign w:val="center"/>
          </w:tcPr>
          <w:p w14:paraId="2778B7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kern w:val="2"/>
                <w:sz w:val="21"/>
                <w:szCs w:val="21"/>
                <w:highlight w:val="none"/>
                <w:u w:val="none"/>
                <w:lang w:val="en-US" w:eastAsia="zh-CN" w:bidi="ar-SA"/>
              </w:rPr>
              <w:t>24.8</w:t>
            </w:r>
          </w:p>
        </w:tc>
        <w:tc>
          <w:tcPr>
            <w:tcW w:w="390" w:type="pct"/>
            <w:tcBorders>
              <w:tl2br w:val="nil"/>
              <w:tr2bl w:val="nil"/>
            </w:tcBorders>
            <w:noWrap w:val="0"/>
            <w:tcMar>
              <w:top w:w="15" w:type="dxa"/>
              <w:left w:w="15" w:type="dxa"/>
              <w:right w:w="15" w:type="dxa"/>
            </w:tcMar>
            <w:vAlign w:val="center"/>
          </w:tcPr>
          <w:p w14:paraId="6E9CE5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4.89</w:t>
            </w:r>
          </w:p>
        </w:tc>
        <w:tc>
          <w:tcPr>
            <w:tcW w:w="281" w:type="pct"/>
            <w:tcBorders>
              <w:tl2br w:val="nil"/>
              <w:tr2bl w:val="nil"/>
            </w:tcBorders>
            <w:noWrap w:val="0"/>
            <w:tcMar>
              <w:top w:w="15" w:type="dxa"/>
              <w:left w:w="15" w:type="dxa"/>
              <w:right w:w="15" w:type="dxa"/>
            </w:tcMar>
            <w:vAlign w:val="center"/>
          </w:tcPr>
          <w:p w14:paraId="46EAF5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2CC9DD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val="0"/>
            <w:tcMar>
              <w:top w:w="15" w:type="dxa"/>
              <w:left w:w="15" w:type="dxa"/>
              <w:right w:w="15" w:type="dxa"/>
            </w:tcMar>
            <w:vAlign w:val="center"/>
          </w:tcPr>
          <w:p w14:paraId="270DDC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rPr>
            </w:pPr>
          </w:p>
        </w:tc>
        <w:tc>
          <w:tcPr>
            <w:tcW w:w="325" w:type="pct"/>
            <w:vMerge w:val="continue"/>
            <w:tcBorders>
              <w:tl2br w:val="nil"/>
              <w:tr2bl w:val="nil"/>
            </w:tcBorders>
            <w:noWrap w:val="0"/>
            <w:tcMar>
              <w:top w:w="15" w:type="dxa"/>
              <w:left w:w="15" w:type="dxa"/>
              <w:right w:w="15" w:type="dxa"/>
            </w:tcMar>
            <w:vAlign w:val="center"/>
          </w:tcPr>
          <w:p w14:paraId="44B005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rPr>
            </w:pPr>
          </w:p>
        </w:tc>
      </w:tr>
      <w:tr w14:paraId="32AA19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522CAE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kern w:val="0"/>
                <w:sz w:val="21"/>
                <w:szCs w:val="21"/>
                <w:highlight w:val="none"/>
                <w:u w:val="none"/>
                <w:lang w:val="en-US" w:eastAsia="zh-CN" w:bidi="ar"/>
              </w:rPr>
              <w:t>3</w:t>
            </w:r>
          </w:p>
        </w:tc>
        <w:tc>
          <w:tcPr>
            <w:tcW w:w="265" w:type="pct"/>
            <w:vMerge w:val="continue"/>
            <w:tcBorders>
              <w:tl2br w:val="nil"/>
              <w:tr2bl w:val="nil"/>
            </w:tcBorders>
            <w:noWrap w:val="0"/>
            <w:tcMar>
              <w:top w:w="15" w:type="dxa"/>
              <w:left w:w="15" w:type="dxa"/>
              <w:right w:w="15" w:type="dxa"/>
            </w:tcMar>
            <w:vAlign w:val="center"/>
          </w:tcPr>
          <w:p w14:paraId="272FF33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noWrap/>
            <w:tcMar>
              <w:top w:w="15" w:type="dxa"/>
              <w:left w:w="15" w:type="dxa"/>
              <w:right w:w="15" w:type="dxa"/>
            </w:tcMar>
            <w:vAlign w:val="center"/>
          </w:tcPr>
          <w:p w14:paraId="23358B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751" w:type="pct"/>
            <w:tcBorders>
              <w:tl2br w:val="nil"/>
              <w:tr2bl w:val="nil"/>
            </w:tcBorders>
            <w:shd w:val="clear" w:color="auto" w:fill="auto"/>
            <w:noWrap/>
            <w:tcMar>
              <w:top w:w="15" w:type="dxa"/>
              <w:left w:w="15" w:type="dxa"/>
              <w:right w:w="15" w:type="dxa"/>
            </w:tcMar>
            <w:vAlign w:val="center"/>
          </w:tcPr>
          <w:p w14:paraId="6621C4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lang w:val="en-US" w:eastAsia="zh-CN" w:bidi="ar-SA"/>
              </w:rPr>
              <w:t>滑轮回空系统</w:t>
            </w:r>
          </w:p>
        </w:tc>
        <w:tc>
          <w:tcPr>
            <w:tcW w:w="292" w:type="pct"/>
            <w:tcBorders>
              <w:tl2br w:val="nil"/>
              <w:tr2bl w:val="nil"/>
            </w:tcBorders>
            <w:noWrap/>
            <w:tcMar>
              <w:top w:w="15" w:type="dxa"/>
              <w:left w:w="15" w:type="dxa"/>
              <w:right w:w="15" w:type="dxa"/>
            </w:tcMar>
            <w:vAlign w:val="center"/>
          </w:tcPr>
          <w:p w14:paraId="303A5A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531EE1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6" w:type="pct"/>
            <w:vMerge w:val="continue"/>
            <w:tcBorders>
              <w:tl2br w:val="nil"/>
              <w:tr2bl w:val="nil"/>
            </w:tcBorders>
            <w:noWrap w:val="0"/>
            <w:tcMar>
              <w:top w:w="15" w:type="dxa"/>
              <w:left w:w="15" w:type="dxa"/>
              <w:right w:w="15" w:type="dxa"/>
            </w:tcMar>
            <w:vAlign w:val="center"/>
          </w:tcPr>
          <w:p w14:paraId="4584CB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4BC41F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14.5</w:t>
            </w:r>
          </w:p>
        </w:tc>
        <w:tc>
          <w:tcPr>
            <w:tcW w:w="240" w:type="pct"/>
            <w:tcBorders>
              <w:tl2br w:val="nil"/>
              <w:tr2bl w:val="nil"/>
            </w:tcBorders>
            <w:noWrap w:val="0"/>
            <w:tcMar>
              <w:top w:w="15" w:type="dxa"/>
              <w:left w:w="15" w:type="dxa"/>
              <w:right w:w="15" w:type="dxa"/>
            </w:tcMar>
            <w:vAlign w:val="center"/>
          </w:tcPr>
          <w:p w14:paraId="54DDC0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28.9</w:t>
            </w:r>
          </w:p>
        </w:tc>
        <w:tc>
          <w:tcPr>
            <w:tcW w:w="216" w:type="pct"/>
            <w:tcBorders>
              <w:tl2br w:val="nil"/>
              <w:tr2bl w:val="nil"/>
            </w:tcBorders>
            <w:noWrap w:val="0"/>
            <w:tcMar>
              <w:top w:w="15" w:type="dxa"/>
              <w:left w:w="15" w:type="dxa"/>
              <w:right w:w="15" w:type="dxa"/>
            </w:tcMar>
            <w:vAlign w:val="center"/>
          </w:tcPr>
          <w:p w14:paraId="7F70B1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2.0</w:t>
            </w:r>
          </w:p>
        </w:tc>
        <w:tc>
          <w:tcPr>
            <w:tcW w:w="332" w:type="pct"/>
            <w:tcBorders>
              <w:tl2br w:val="nil"/>
              <w:tr2bl w:val="nil"/>
            </w:tcBorders>
            <w:shd w:val="clear" w:color="auto" w:fill="auto"/>
            <w:noWrap/>
            <w:tcMar>
              <w:top w:w="15" w:type="dxa"/>
              <w:left w:w="15" w:type="dxa"/>
              <w:right w:w="15" w:type="dxa"/>
            </w:tcMar>
            <w:vAlign w:val="center"/>
          </w:tcPr>
          <w:p w14:paraId="284CF1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14.5</w:t>
            </w:r>
          </w:p>
        </w:tc>
        <w:tc>
          <w:tcPr>
            <w:tcW w:w="390" w:type="pct"/>
            <w:tcBorders>
              <w:tl2br w:val="nil"/>
              <w:tr2bl w:val="nil"/>
            </w:tcBorders>
            <w:noWrap/>
            <w:tcMar>
              <w:top w:w="15" w:type="dxa"/>
              <w:left w:w="15" w:type="dxa"/>
              <w:right w:w="15" w:type="dxa"/>
            </w:tcMar>
            <w:vAlign w:val="center"/>
          </w:tcPr>
          <w:p w14:paraId="770949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8.45</w:t>
            </w:r>
          </w:p>
        </w:tc>
        <w:tc>
          <w:tcPr>
            <w:tcW w:w="281" w:type="pct"/>
            <w:tcBorders>
              <w:tl2br w:val="nil"/>
              <w:tr2bl w:val="nil"/>
            </w:tcBorders>
            <w:noWrap w:val="0"/>
            <w:tcMar>
              <w:top w:w="15" w:type="dxa"/>
              <w:left w:w="15" w:type="dxa"/>
              <w:right w:w="15" w:type="dxa"/>
            </w:tcMar>
            <w:vAlign w:val="center"/>
          </w:tcPr>
          <w:p w14:paraId="68AAB8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3E7458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6B6278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08FDC2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643839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5C3724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w:t>
            </w:r>
          </w:p>
        </w:tc>
        <w:tc>
          <w:tcPr>
            <w:tcW w:w="265" w:type="pct"/>
            <w:vMerge w:val="continue"/>
            <w:tcBorders>
              <w:tl2br w:val="nil"/>
              <w:tr2bl w:val="nil"/>
            </w:tcBorders>
            <w:noWrap w:val="0"/>
            <w:tcMar>
              <w:top w:w="15" w:type="dxa"/>
              <w:left w:w="15" w:type="dxa"/>
              <w:right w:w="15" w:type="dxa"/>
            </w:tcMar>
            <w:vAlign w:val="center"/>
          </w:tcPr>
          <w:p w14:paraId="1C107F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noWrap/>
            <w:tcMar>
              <w:top w:w="15" w:type="dxa"/>
              <w:left w:w="15" w:type="dxa"/>
              <w:right w:w="15" w:type="dxa"/>
            </w:tcMar>
            <w:vAlign w:val="center"/>
          </w:tcPr>
          <w:p w14:paraId="38D196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751" w:type="pct"/>
            <w:tcBorders>
              <w:tl2br w:val="nil"/>
              <w:tr2bl w:val="nil"/>
            </w:tcBorders>
            <w:shd w:val="clear" w:color="auto" w:fill="auto"/>
            <w:noWrap/>
            <w:tcMar>
              <w:top w:w="15" w:type="dxa"/>
              <w:left w:w="15" w:type="dxa"/>
              <w:right w:w="15" w:type="dxa"/>
            </w:tcMar>
            <w:vAlign w:val="center"/>
          </w:tcPr>
          <w:p w14:paraId="426A4A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自动加载器</w:t>
            </w:r>
          </w:p>
        </w:tc>
        <w:tc>
          <w:tcPr>
            <w:tcW w:w="292" w:type="pct"/>
            <w:tcBorders>
              <w:tl2br w:val="nil"/>
              <w:tr2bl w:val="nil"/>
            </w:tcBorders>
            <w:noWrap/>
            <w:tcMar>
              <w:top w:w="15" w:type="dxa"/>
              <w:left w:w="15" w:type="dxa"/>
              <w:right w:w="15" w:type="dxa"/>
            </w:tcMar>
            <w:vAlign w:val="center"/>
          </w:tcPr>
          <w:p w14:paraId="36AC9F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4B4413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6" w:type="pct"/>
            <w:vMerge w:val="continue"/>
            <w:tcBorders>
              <w:tl2br w:val="nil"/>
              <w:tr2bl w:val="nil"/>
            </w:tcBorders>
            <w:noWrap w:val="0"/>
            <w:tcMar>
              <w:top w:w="15" w:type="dxa"/>
              <w:left w:w="15" w:type="dxa"/>
              <w:right w:w="15" w:type="dxa"/>
            </w:tcMar>
            <w:vAlign w:val="center"/>
          </w:tcPr>
          <w:p w14:paraId="1ACA20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3FBCB2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13.4</w:t>
            </w:r>
          </w:p>
        </w:tc>
        <w:tc>
          <w:tcPr>
            <w:tcW w:w="240" w:type="pct"/>
            <w:tcBorders>
              <w:tl2br w:val="nil"/>
              <w:tr2bl w:val="nil"/>
            </w:tcBorders>
            <w:noWrap w:val="0"/>
            <w:tcMar>
              <w:top w:w="15" w:type="dxa"/>
              <w:left w:w="15" w:type="dxa"/>
              <w:right w:w="15" w:type="dxa"/>
            </w:tcMar>
            <w:vAlign w:val="center"/>
          </w:tcPr>
          <w:p w14:paraId="7F7BC8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36.2</w:t>
            </w:r>
          </w:p>
        </w:tc>
        <w:tc>
          <w:tcPr>
            <w:tcW w:w="216" w:type="pct"/>
            <w:tcBorders>
              <w:tl2br w:val="nil"/>
              <w:tr2bl w:val="nil"/>
            </w:tcBorders>
            <w:noWrap w:val="0"/>
            <w:tcMar>
              <w:top w:w="15" w:type="dxa"/>
              <w:left w:w="15" w:type="dxa"/>
              <w:right w:w="15" w:type="dxa"/>
            </w:tcMar>
            <w:vAlign w:val="center"/>
          </w:tcPr>
          <w:p w14:paraId="682A60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2.0</w:t>
            </w:r>
          </w:p>
        </w:tc>
        <w:tc>
          <w:tcPr>
            <w:tcW w:w="332" w:type="pct"/>
            <w:tcBorders>
              <w:tl2br w:val="nil"/>
              <w:tr2bl w:val="nil"/>
            </w:tcBorders>
            <w:shd w:val="clear" w:color="auto" w:fill="auto"/>
            <w:noWrap/>
            <w:tcMar>
              <w:top w:w="15" w:type="dxa"/>
              <w:left w:w="15" w:type="dxa"/>
              <w:right w:w="15" w:type="dxa"/>
            </w:tcMar>
            <w:vAlign w:val="center"/>
          </w:tcPr>
          <w:p w14:paraId="523763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13.4</w:t>
            </w:r>
          </w:p>
        </w:tc>
        <w:tc>
          <w:tcPr>
            <w:tcW w:w="390" w:type="pct"/>
            <w:tcBorders>
              <w:tl2br w:val="nil"/>
              <w:tr2bl w:val="nil"/>
            </w:tcBorders>
            <w:noWrap/>
            <w:tcMar>
              <w:top w:w="15" w:type="dxa"/>
              <w:left w:w="15" w:type="dxa"/>
              <w:right w:w="15" w:type="dxa"/>
            </w:tcMar>
            <w:vAlign w:val="center"/>
          </w:tcPr>
          <w:p w14:paraId="6B5029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9.51</w:t>
            </w:r>
          </w:p>
        </w:tc>
        <w:tc>
          <w:tcPr>
            <w:tcW w:w="281" w:type="pct"/>
            <w:tcBorders>
              <w:tl2br w:val="nil"/>
              <w:tr2bl w:val="nil"/>
            </w:tcBorders>
            <w:noWrap w:val="0"/>
            <w:tcMar>
              <w:top w:w="15" w:type="dxa"/>
              <w:left w:w="15" w:type="dxa"/>
              <w:right w:w="15" w:type="dxa"/>
            </w:tcMar>
            <w:vAlign w:val="center"/>
          </w:tcPr>
          <w:p w14:paraId="0A3F8F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112776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04C482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2E6B7C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329054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426103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w:t>
            </w:r>
          </w:p>
        </w:tc>
        <w:tc>
          <w:tcPr>
            <w:tcW w:w="265" w:type="pct"/>
            <w:vMerge w:val="continue"/>
            <w:tcBorders>
              <w:tl2br w:val="nil"/>
              <w:tr2bl w:val="nil"/>
            </w:tcBorders>
            <w:noWrap w:val="0"/>
            <w:tcMar>
              <w:top w:w="15" w:type="dxa"/>
              <w:left w:w="15" w:type="dxa"/>
              <w:right w:w="15" w:type="dxa"/>
            </w:tcMar>
            <w:vAlign w:val="center"/>
          </w:tcPr>
          <w:p w14:paraId="7CEC14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4C1B6A60">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1013F6D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毛牛换轨提升机</w:t>
            </w:r>
          </w:p>
        </w:tc>
        <w:tc>
          <w:tcPr>
            <w:tcW w:w="292" w:type="pct"/>
            <w:tcBorders>
              <w:tl2br w:val="nil"/>
              <w:tr2bl w:val="nil"/>
            </w:tcBorders>
            <w:noWrap/>
            <w:tcMar>
              <w:top w:w="15" w:type="dxa"/>
              <w:left w:w="15" w:type="dxa"/>
              <w:right w:w="15" w:type="dxa"/>
            </w:tcMar>
            <w:vAlign w:val="center"/>
          </w:tcPr>
          <w:p w14:paraId="0035A0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5EA815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6" w:type="pct"/>
            <w:vMerge w:val="continue"/>
            <w:tcBorders>
              <w:tl2br w:val="nil"/>
              <w:tr2bl w:val="nil"/>
            </w:tcBorders>
            <w:noWrap w:val="0"/>
            <w:tcMar>
              <w:top w:w="15" w:type="dxa"/>
              <w:left w:w="15" w:type="dxa"/>
              <w:right w:w="15" w:type="dxa"/>
            </w:tcMar>
            <w:vAlign w:val="center"/>
          </w:tcPr>
          <w:p w14:paraId="007A31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2B8619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8.4</w:t>
            </w:r>
          </w:p>
        </w:tc>
        <w:tc>
          <w:tcPr>
            <w:tcW w:w="240" w:type="pct"/>
            <w:tcBorders>
              <w:tl2br w:val="nil"/>
              <w:tr2bl w:val="nil"/>
            </w:tcBorders>
            <w:noWrap w:val="0"/>
            <w:tcMar>
              <w:top w:w="15" w:type="dxa"/>
              <w:left w:w="15" w:type="dxa"/>
              <w:right w:w="15" w:type="dxa"/>
            </w:tcMar>
            <w:vAlign w:val="center"/>
          </w:tcPr>
          <w:p w14:paraId="22805C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12.9</w:t>
            </w:r>
          </w:p>
        </w:tc>
        <w:tc>
          <w:tcPr>
            <w:tcW w:w="216" w:type="pct"/>
            <w:tcBorders>
              <w:tl2br w:val="nil"/>
              <w:tr2bl w:val="nil"/>
            </w:tcBorders>
            <w:noWrap w:val="0"/>
            <w:tcMar>
              <w:top w:w="15" w:type="dxa"/>
              <w:left w:w="15" w:type="dxa"/>
              <w:right w:w="15" w:type="dxa"/>
            </w:tcMar>
            <w:vAlign w:val="center"/>
          </w:tcPr>
          <w:p w14:paraId="6957A3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2.2</w:t>
            </w:r>
          </w:p>
        </w:tc>
        <w:tc>
          <w:tcPr>
            <w:tcW w:w="332" w:type="pct"/>
            <w:tcBorders>
              <w:tl2br w:val="nil"/>
              <w:tr2bl w:val="nil"/>
            </w:tcBorders>
            <w:shd w:val="clear" w:color="auto" w:fill="auto"/>
            <w:noWrap/>
            <w:tcMar>
              <w:top w:w="15" w:type="dxa"/>
              <w:left w:w="15" w:type="dxa"/>
              <w:right w:w="15" w:type="dxa"/>
            </w:tcMar>
            <w:vAlign w:val="center"/>
          </w:tcPr>
          <w:p w14:paraId="1CEC06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8.4</w:t>
            </w:r>
          </w:p>
        </w:tc>
        <w:tc>
          <w:tcPr>
            <w:tcW w:w="390" w:type="pct"/>
            <w:tcBorders>
              <w:tl2br w:val="nil"/>
              <w:tr2bl w:val="nil"/>
            </w:tcBorders>
            <w:noWrap/>
            <w:tcMar>
              <w:top w:w="15" w:type="dxa"/>
              <w:left w:w="15" w:type="dxa"/>
              <w:right w:w="15" w:type="dxa"/>
            </w:tcMar>
            <w:vAlign w:val="center"/>
          </w:tcPr>
          <w:p w14:paraId="6FB33A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6.32</w:t>
            </w:r>
          </w:p>
        </w:tc>
        <w:tc>
          <w:tcPr>
            <w:tcW w:w="281" w:type="pct"/>
            <w:tcBorders>
              <w:tl2br w:val="nil"/>
              <w:tr2bl w:val="nil"/>
            </w:tcBorders>
            <w:noWrap w:val="0"/>
            <w:tcMar>
              <w:top w:w="15" w:type="dxa"/>
              <w:left w:w="15" w:type="dxa"/>
              <w:right w:w="15" w:type="dxa"/>
            </w:tcMar>
            <w:vAlign w:val="center"/>
          </w:tcPr>
          <w:p w14:paraId="67316F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3C0F78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17FB2A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7AFFDE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2AF2E0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0D13D5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6</w:t>
            </w:r>
          </w:p>
        </w:tc>
        <w:tc>
          <w:tcPr>
            <w:tcW w:w="265" w:type="pct"/>
            <w:vMerge w:val="continue"/>
            <w:tcBorders>
              <w:tl2br w:val="nil"/>
              <w:tr2bl w:val="nil"/>
            </w:tcBorders>
            <w:noWrap w:val="0"/>
            <w:tcMar>
              <w:top w:w="15" w:type="dxa"/>
              <w:left w:w="15" w:type="dxa"/>
              <w:right w:w="15" w:type="dxa"/>
            </w:tcMar>
            <w:vAlign w:val="center"/>
          </w:tcPr>
          <w:p w14:paraId="48BE535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2B849D0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714F3BE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管轨滑轮提升机</w:t>
            </w:r>
          </w:p>
        </w:tc>
        <w:tc>
          <w:tcPr>
            <w:tcW w:w="292" w:type="pct"/>
            <w:tcBorders>
              <w:tl2br w:val="nil"/>
              <w:tr2bl w:val="nil"/>
            </w:tcBorders>
            <w:noWrap/>
            <w:tcMar>
              <w:top w:w="15" w:type="dxa"/>
              <w:left w:w="15" w:type="dxa"/>
              <w:right w:w="15" w:type="dxa"/>
            </w:tcMar>
            <w:vAlign w:val="center"/>
          </w:tcPr>
          <w:p w14:paraId="0AA7E0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2BEE39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85</w:t>
            </w:r>
          </w:p>
        </w:tc>
        <w:tc>
          <w:tcPr>
            <w:tcW w:w="326" w:type="pct"/>
            <w:vMerge w:val="continue"/>
            <w:tcBorders>
              <w:tl2br w:val="nil"/>
              <w:tr2bl w:val="nil"/>
            </w:tcBorders>
            <w:noWrap w:val="0"/>
            <w:tcMar>
              <w:top w:w="15" w:type="dxa"/>
              <w:left w:w="15" w:type="dxa"/>
              <w:right w:w="15" w:type="dxa"/>
            </w:tcMar>
            <w:vAlign w:val="center"/>
          </w:tcPr>
          <w:p w14:paraId="3B7C9F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400D8E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28.8</w:t>
            </w:r>
          </w:p>
        </w:tc>
        <w:tc>
          <w:tcPr>
            <w:tcW w:w="240" w:type="pct"/>
            <w:tcBorders>
              <w:tl2br w:val="nil"/>
              <w:tr2bl w:val="nil"/>
            </w:tcBorders>
            <w:noWrap w:val="0"/>
            <w:tcMar>
              <w:top w:w="15" w:type="dxa"/>
              <w:left w:w="15" w:type="dxa"/>
              <w:right w:w="15" w:type="dxa"/>
            </w:tcMar>
            <w:vAlign w:val="center"/>
          </w:tcPr>
          <w:p w14:paraId="7D4AD0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32.6</w:t>
            </w:r>
          </w:p>
        </w:tc>
        <w:tc>
          <w:tcPr>
            <w:tcW w:w="216" w:type="pct"/>
            <w:tcBorders>
              <w:tl2br w:val="nil"/>
              <w:tr2bl w:val="nil"/>
            </w:tcBorders>
            <w:noWrap w:val="0"/>
            <w:tcMar>
              <w:top w:w="15" w:type="dxa"/>
              <w:left w:w="15" w:type="dxa"/>
              <w:right w:w="15" w:type="dxa"/>
            </w:tcMar>
            <w:vAlign w:val="center"/>
          </w:tcPr>
          <w:p w14:paraId="62F01D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2.0</w:t>
            </w:r>
          </w:p>
        </w:tc>
        <w:tc>
          <w:tcPr>
            <w:tcW w:w="332" w:type="pct"/>
            <w:tcBorders>
              <w:tl2br w:val="nil"/>
              <w:tr2bl w:val="nil"/>
            </w:tcBorders>
            <w:noWrap/>
            <w:tcMar>
              <w:top w:w="15" w:type="dxa"/>
              <w:left w:w="15" w:type="dxa"/>
              <w:right w:w="15" w:type="dxa"/>
            </w:tcMar>
            <w:vAlign w:val="center"/>
          </w:tcPr>
          <w:p w14:paraId="0C9C68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15.3</w:t>
            </w:r>
          </w:p>
        </w:tc>
        <w:tc>
          <w:tcPr>
            <w:tcW w:w="390" w:type="pct"/>
            <w:tcBorders>
              <w:tl2br w:val="nil"/>
              <w:tr2bl w:val="nil"/>
            </w:tcBorders>
            <w:noWrap/>
            <w:tcMar>
              <w:top w:w="15" w:type="dxa"/>
              <w:left w:w="15" w:type="dxa"/>
              <w:right w:w="15" w:type="dxa"/>
            </w:tcMar>
            <w:vAlign w:val="center"/>
          </w:tcPr>
          <w:p w14:paraId="3ADA73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3.62</w:t>
            </w:r>
          </w:p>
        </w:tc>
        <w:tc>
          <w:tcPr>
            <w:tcW w:w="281" w:type="pct"/>
            <w:tcBorders>
              <w:tl2br w:val="nil"/>
              <w:tr2bl w:val="nil"/>
            </w:tcBorders>
            <w:noWrap w:val="0"/>
            <w:tcMar>
              <w:top w:w="15" w:type="dxa"/>
              <w:left w:w="15" w:type="dxa"/>
              <w:right w:w="15" w:type="dxa"/>
            </w:tcMar>
            <w:vAlign w:val="center"/>
          </w:tcPr>
          <w:p w14:paraId="6E0323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01A2D0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6704B1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49C8B6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7C6CCD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408160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265" w:type="pct"/>
            <w:vMerge w:val="continue"/>
            <w:tcBorders>
              <w:tl2br w:val="nil"/>
              <w:tr2bl w:val="nil"/>
            </w:tcBorders>
            <w:noWrap w:val="0"/>
            <w:tcMar>
              <w:top w:w="15" w:type="dxa"/>
              <w:left w:w="15" w:type="dxa"/>
              <w:right w:w="15" w:type="dxa"/>
            </w:tcMar>
            <w:vAlign w:val="center"/>
          </w:tcPr>
          <w:p w14:paraId="35A245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378EE54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3B6EE52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胴体加工输送机</w:t>
            </w:r>
          </w:p>
        </w:tc>
        <w:tc>
          <w:tcPr>
            <w:tcW w:w="292" w:type="pct"/>
            <w:tcBorders>
              <w:tl2br w:val="nil"/>
              <w:tr2bl w:val="nil"/>
            </w:tcBorders>
            <w:noWrap/>
            <w:tcMar>
              <w:top w:w="15" w:type="dxa"/>
              <w:left w:w="15" w:type="dxa"/>
              <w:right w:w="15" w:type="dxa"/>
            </w:tcMar>
            <w:vAlign w:val="center"/>
          </w:tcPr>
          <w:p w14:paraId="5AE3D2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3EAB3A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85</w:t>
            </w:r>
          </w:p>
        </w:tc>
        <w:tc>
          <w:tcPr>
            <w:tcW w:w="326" w:type="pct"/>
            <w:vMerge w:val="continue"/>
            <w:tcBorders>
              <w:tl2br w:val="nil"/>
              <w:tr2bl w:val="nil"/>
            </w:tcBorders>
            <w:noWrap w:val="0"/>
            <w:tcMar>
              <w:top w:w="15" w:type="dxa"/>
              <w:left w:w="15" w:type="dxa"/>
              <w:right w:w="15" w:type="dxa"/>
            </w:tcMar>
            <w:vAlign w:val="center"/>
          </w:tcPr>
          <w:p w14:paraId="7A47DB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2C75E5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31.4</w:t>
            </w:r>
          </w:p>
        </w:tc>
        <w:tc>
          <w:tcPr>
            <w:tcW w:w="240" w:type="pct"/>
            <w:tcBorders>
              <w:tl2br w:val="nil"/>
              <w:tr2bl w:val="nil"/>
            </w:tcBorders>
            <w:noWrap w:val="0"/>
            <w:tcMar>
              <w:top w:w="15" w:type="dxa"/>
              <w:left w:w="15" w:type="dxa"/>
              <w:right w:w="15" w:type="dxa"/>
            </w:tcMar>
            <w:vAlign w:val="center"/>
          </w:tcPr>
          <w:p w14:paraId="1D3B31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27.3</w:t>
            </w:r>
          </w:p>
        </w:tc>
        <w:tc>
          <w:tcPr>
            <w:tcW w:w="216" w:type="pct"/>
            <w:tcBorders>
              <w:tl2br w:val="nil"/>
              <w:tr2bl w:val="nil"/>
            </w:tcBorders>
            <w:noWrap w:val="0"/>
            <w:tcMar>
              <w:top w:w="15" w:type="dxa"/>
              <w:left w:w="15" w:type="dxa"/>
              <w:right w:w="15" w:type="dxa"/>
            </w:tcMar>
            <w:vAlign w:val="center"/>
          </w:tcPr>
          <w:p w14:paraId="74F110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2.0</w:t>
            </w:r>
          </w:p>
        </w:tc>
        <w:tc>
          <w:tcPr>
            <w:tcW w:w="332" w:type="pct"/>
            <w:tcBorders>
              <w:tl2br w:val="nil"/>
              <w:tr2bl w:val="nil"/>
            </w:tcBorders>
            <w:noWrap/>
            <w:tcMar>
              <w:top w:w="15" w:type="dxa"/>
              <w:left w:w="15" w:type="dxa"/>
              <w:right w:w="15" w:type="dxa"/>
            </w:tcMar>
            <w:vAlign w:val="center"/>
          </w:tcPr>
          <w:p w14:paraId="7D9DB9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21.6</w:t>
            </w:r>
          </w:p>
        </w:tc>
        <w:tc>
          <w:tcPr>
            <w:tcW w:w="390" w:type="pct"/>
            <w:tcBorders>
              <w:tl2br w:val="nil"/>
              <w:tr2bl w:val="nil"/>
            </w:tcBorders>
            <w:noWrap/>
            <w:tcMar>
              <w:top w:w="15" w:type="dxa"/>
              <w:left w:w="15" w:type="dxa"/>
              <w:right w:w="15" w:type="dxa"/>
            </w:tcMar>
            <w:vAlign w:val="center"/>
          </w:tcPr>
          <w:p w14:paraId="48DCC9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2.33</w:t>
            </w:r>
          </w:p>
        </w:tc>
        <w:tc>
          <w:tcPr>
            <w:tcW w:w="281" w:type="pct"/>
            <w:tcBorders>
              <w:tl2br w:val="nil"/>
              <w:tr2bl w:val="nil"/>
            </w:tcBorders>
            <w:noWrap w:val="0"/>
            <w:tcMar>
              <w:top w:w="15" w:type="dxa"/>
              <w:left w:w="15" w:type="dxa"/>
              <w:right w:w="15" w:type="dxa"/>
            </w:tcMar>
            <w:vAlign w:val="center"/>
          </w:tcPr>
          <w:p w14:paraId="1228CF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3C2A04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4C1C3D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1A62A5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5BDCD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5659B6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8</w:t>
            </w:r>
          </w:p>
        </w:tc>
        <w:tc>
          <w:tcPr>
            <w:tcW w:w="265" w:type="pct"/>
            <w:vMerge w:val="continue"/>
            <w:tcBorders>
              <w:tl2br w:val="nil"/>
              <w:tr2bl w:val="nil"/>
            </w:tcBorders>
            <w:noWrap w:val="0"/>
            <w:tcMar>
              <w:top w:w="15" w:type="dxa"/>
              <w:left w:w="15" w:type="dxa"/>
              <w:right w:w="15" w:type="dxa"/>
            </w:tcMar>
            <w:vAlign w:val="center"/>
          </w:tcPr>
          <w:p w14:paraId="33030E8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50B125D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380D67C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牛扯皮机</w:t>
            </w:r>
          </w:p>
        </w:tc>
        <w:tc>
          <w:tcPr>
            <w:tcW w:w="292" w:type="pct"/>
            <w:tcBorders>
              <w:tl2br w:val="nil"/>
              <w:tr2bl w:val="nil"/>
            </w:tcBorders>
            <w:noWrap/>
            <w:tcMar>
              <w:top w:w="15" w:type="dxa"/>
              <w:left w:w="15" w:type="dxa"/>
              <w:right w:w="15" w:type="dxa"/>
            </w:tcMar>
            <w:vAlign w:val="center"/>
          </w:tcPr>
          <w:p w14:paraId="42083B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11B458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6" w:type="pct"/>
            <w:vMerge w:val="continue"/>
            <w:tcBorders>
              <w:tl2br w:val="nil"/>
              <w:tr2bl w:val="nil"/>
            </w:tcBorders>
            <w:noWrap w:val="0"/>
            <w:tcMar>
              <w:top w:w="15" w:type="dxa"/>
              <w:left w:w="15" w:type="dxa"/>
              <w:right w:w="15" w:type="dxa"/>
            </w:tcMar>
            <w:vAlign w:val="center"/>
          </w:tcPr>
          <w:p w14:paraId="784E31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02F4BB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36.3</w:t>
            </w:r>
          </w:p>
        </w:tc>
        <w:tc>
          <w:tcPr>
            <w:tcW w:w="240" w:type="pct"/>
            <w:tcBorders>
              <w:tl2br w:val="nil"/>
              <w:tr2bl w:val="nil"/>
            </w:tcBorders>
            <w:noWrap w:val="0"/>
            <w:tcMar>
              <w:top w:w="15" w:type="dxa"/>
              <w:left w:w="15" w:type="dxa"/>
              <w:right w:w="15" w:type="dxa"/>
            </w:tcMar>
            <w:vAlign w:val="center"/>
          </w:tcPr>
          <w:p w14:paraId="48496D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25.1</w:t>
            </w:r>
          </w:p>
        </w:tc>
        <w:tc>
          <w:tcPr>
            <w:tcW w:w="216" w:type="pct"/>
            <w:tcBorders>
              <w:tl2br w:val="nil"/>
              <w:tr2bl w:val="nil"/>
            </w:tcBorders>
            <w:noWrap w:val="0"/>
            <w:tcMar>
              <w:top w:w="15" w:type="dxa"/>
              <w:left w:w="15" w:type="dxa"/>
              <w:right w:w="15" w:type="dxa"/>
            </w:tcMar>
            <w:vAlign w:val="center"/>
          </w:tcPr>
          <w:p w14:paraId="361284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1.8</w:t>
            </w:r>
          </w:p>
        </w:tc>
        <w:tc>
          <w:tcPr>
            <w:tcW w:w="332" w:type="pct"/>
            <w:tcBorders>
              <w:tl2br w:val="nil"/>
              <w:tr2bl w:val="nil"/>
            </w:tcBorders>
            <w:noWrap/>
            <w:tcMar>
              <w:top w:w="15" w:type="dxa"/>
              <w:left w:w="15" w:type="dxa"/>
              <w:right w:w="15" w:type="dxa"/>
            </w:tcMar>
            <w:vAlign w:val="center"/>
          </w:tcPr>
          <w:p w14:paraId="217DD7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17.1</w:t>
            </w:r>
          </w:p>
        </w:tc>
        <w:tc>
          <w:tcPr>
            <w:tcW w:w="390" w:type="pct"/>
            <w:tcBorders>
              <w:tl2br w:val="nil"/>
              <w:tr2bl w:val="nil"/>
            </w:tcBorders>
            <w:noWrap/>
            <w:tcMar>
              <w:top w:w="15" w:type="dxa"/>
              <w:left w:w="15" w:type="dxa"/>
              <w:right w:w="15" w:type="dxa"/>
            </w:tcMar>
            <w:vAlign w:val="center"/>
          </w:tcPr>
          <w:p w14:paraId="0C3A63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9.51</w:t>
            </w:r>
          </w:p>
        </w:tc>
        <w:tc>
          <w:tcPr>
            <w:tcW w:w="281" w:type="pct"/>
            <w:tcBorders>
              <w:tl2br w:val="nil"/>
              <w:tr2bl w:val="nil"/>
            </w:tcBorders>
            <w:noWrap w:val="0"/>
            <w:tcMar>
              <w:top w:w="15" w:type="dxa"/>
              <w:left w:w="15" w:type="dxa"/>
              <w:right w:w="15" w:type="dxa"/>
            </w:tcMar>
            <w:vAlign w:val="center"/>
          </w:tcPr>
          <w:p w14:paraId="333EC5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5C9566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53DAA6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2F482E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6385E7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436049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9</w:t>
            </w:r>
          </w:p>
        </w:tc>
        <w:tc>
          <w:tcPr>
            <w:tcW w:w="265" w:type="pct"/>
            <w:vMerge w:val="continue"/>
            <w:tcBorders>
              <w:tl2br w:val="nil"/>
              <w:tr2bl w:val="nil"/>
            </w:tcBorders>
            <w:noWrap w:val="0"/>
            <w:tcMar>
              <w:top w:w="15" w:type="dxa"/>
              <w:left w:w="15" w:type="dxa"/>
              <w:right w:w="15" w:type="dxa"/>
            </w:tcMar>
            <w:vAlign w:val="center"/>
          </w:tcPr>
          <w:p w14:paraId="636D69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058E1EF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1F18EB6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气动单柱升降台</w:t>
            </w:r>
          </w:p>
        </w:tc>
        <w:tc>
          <w:tcPr>
            <w:tcW w:w="292" w:type="pct"/>
            <w:tcBorders>
              <w:tl2br w:val="nil"/>
              <w:tr2bl w:val="nil"/>
            </w:tcBorders>
            <w:noWrap/>
            <w:tcMar>
              <w:top w:w="15" w:type="dxa"/>
              <w:left w:w="15" w:type="dxa"/>
              <w:right w:w="15" w:type="dxa"/>
            </w:tcMar>
            <w:vAlign w:val="center"/>
          </w:tcPr>
          <w:p w14:paraId="692651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5C93CF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6" w:type="pct"/>
            <w:vMerge w:val="continue"/>
            <w:tcBorders>
              <w:tl2br w:val="nil"/>
              <w:tr2bl w:val="nil"/>
            </w:tcBorders>
            <w:noWrap w:val="0"/>
            <w:tcMar>
              <w:top w:w="15" w:type="dxa"/>
              <w:left w:w="15" w:type="dxa"/>
              <w:right w:w="15" w:type="dxa"/>
            </w:tcMar>
            <w:vAlign w:val="center"/>
          </w:tcPr>
          <w:p w14:paraId="71E459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335BF0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40.6</w:t>
            </w:r>
          </w:p>
        </w:tc>
        <w:tc>
          <w:tcPr>
            <w:tcW w:w="240" w:type="pct"/>
            <w:tcBorders>
              <w:tl2br w:val="nil"/>
              <w:tr2bl w:val="nil"/>
            </w:tcBorders>
            <w:noWrap w:val="0"/>
            <w:tcMar>
              <w:top w:w="15" w:type="dxa"/>
              <w:left w:w="15" w:type="dxa"/>
              <w:right w:w="15" w:type="dxa"/>
            </w:tcMar>
            <w:vAlign w:val="center"/>
          </w:tcPr>
          <w:p w14:paraId="71BFA2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27.3</w:t>
            </w:r>
          </w:p>
        </w:tc>
        <w:tc>
          <w:tcPr>
            <w:tcW w:w="216" w:type="pct"/>
            <w:tcBorders>
              <w:tl2br w:val="nil"/>
              <w:tr2bl w:val="nil"/>
            </w:tcBorders>
            <w:noWrap w:val="0"/>
            <w:tcMar>
              <w:top w:w="15" w:type="dxa"/>
              <w:left w:w="15" w:type="dxa"/>
              <w:right w:w="15" w:type="dxa"/>
            </w:tcMar>
            <w:vAlign w:val="center"/>
          </w:tcPr>
          <w:p w14:paraId="3AFD9A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1.8</w:t>
            </w:r>
          </w:p>
        </w:tc>
        <w:tc>
          <w:tcPr>
            <w:tcW w:w="332" w:type="pct"/>
            <w:tcBorders>
              <w:tl2br w:val="nil"/>
              <w:tr2bl w:val="nil"/>
            </w:tcBorders>
            <w:noWrap/>
            <w:tcMar>
              <w:top w:w="15" w:type="dxa"/>
              <w:left w:w="15" w:type="dxa"/>
              <w:right w:w="15" w:type="dxa"/>
            </w:tcMar>
            <w:vAlign w:val="center"/>
          </w:tcPr>
          <w:p w14:paraId="2AA998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21.3</w:t>
            </w:r>
          </w:p>
        </w:tc>
        <w:tc>
          <w:tcPr>
            <w:tcW w:w="390" w:type="pct"/>
            <w:tcBorders>
              <w:tl2br w:val="nil"/>
              <w:tr2bl w:val="nil"/>
            </w:tcBorders>
            <w:noWrap/>
            <w:tcMar>
              <w:top w:w="15" w:type="dxa"/>
              <w:left w:w="15" w:type="dxa"/>
              <w:right w:w="15" w:type="dxa"/>
            </w:tcMar>
            <w:vAlign w:val="center"/>
          </w:tcPr>
          <w:p w14:paraId="72F0A8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7.43</w:t>
            </w:r>
          </w:p>
        </w:tc>
        <w:tc>
          <w:tcPr>
            <w:tcW w:w="281" w:type="pct"/>
            <w:tcBorders>
              <w:tl2br w:val="nil"/>
              <w:tr2bl w:val="nil"/>
            </w:tcBorders>
            <w:noWrap w:val="0"/>
            <w:tcMar>
              <w:top w:w="15" w:type="dxa"/>
              <w:left w:w="15" w:type="dxa"/>
              <w:right w:w="15" w:type="dxa"/>
            </w:tcMar>
            <w:vAlign w:val="center"/>
          </w:tcPr>
          <w:p w14:paraId="55B3CE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21F2C6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1CDA6F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6378B3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7E9C5F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22D5DF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265" w:type="pct"/>
            <w:vMerge w:val="continue"/>
            <w:tcBorders>
              <w:tl2br w:val="nil"/>
              <w:tr2bl w:val="nil"/>
            </w:tcBorders>
            <w:noWrap w:val="0"/>
            <w:tcMar>
              <w:top w:w="15" w:type="dxa"/>
              <w:left w:w="15" w:type="dxa"/>
              <w:right w:w="15" w:type="dxa"/>
            </w:tcMar>
            <w:vAlign w:val="center"/>
          </w:tcPr>
          <w:p w14:paraId="1B7B9E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41EF589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68FB081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取白脏升降台</w:t>
            </w:r>
          </w:p>
        </w:tc>
        <w:tc>
          <w:tcPr>
            <w:tcW w:w="292" w:type="pct"/>
            <w:tcBorders>
              <w:tl2br w:val="nil"/>
              <w:tr2bl w:val="nil"/>
            </w:tcBorders>
            <w:noWrap/>
            <w:tcMar>
              <w:top w:w="15" w:type="dxa"/>
              <w:left w:w="15" w:type="dxa"/>
              <w:right w:w="15" w:type="dxa"/>
            </w:tcMar>
            <w:vAlign w:val="center"/>
          </w:tcPr>
          <w:p w14:paraId="5CCA95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0BD265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6" w:type="pct"/>
            <w:vMerge w:val="continue"/>
            <w:tcBorders>
              <w:tl2br w:val="nil"/>
              <w:tr2bl w:val="nil"/>
            </w:tcBorders>
            <w:noWrap w:val="0"/>
            <w:tcMar>
              <w:top w:w="15" w:type="dxa"/>
              <w:left w:w="15" w:type="dxa"/>
              <w:right w:w="15" w:type="dxa"/>
            </w:tcMar>
            <w:vAlign w:val="center"/>
          </w:tcPr>
          <w:p w14:paraId="762440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485C53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60.9</w:t>
            </w:r>
          </w:p>
        </w:tc>
        <w:tc>
          <w:tcPr>
            <w:tcW w:w="240" w:type="pct"/>
            <w:tcBorders>
              <w:tl2br w:val="nil"/>
              <w:tr2bl w:val="nil"/>
            </w:tcBorders>
            <w:noWrap w:val="0"/>
            <w:tcMar>
              <w:top w:w="15" w:type="dxa"/>
              <w:left w:w="15" w:type="dxa"/>
              <w:right w:w="15" w:type="dxa"/>
            </w:tcMar>
            <w:vAlign w:val="center"/>
          </w:tcPr>
          <w:p w14:paraId="468224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71.4</w:t>
            </w:r>
          </w:p>
        </w:tc>
        <w:tc>
          <w:tcPr>
            <w:tcW w:w="216" w:type="pct"/>
            <w:tcBorders>
              <w:tl2br w:val="nil"/>
              <w:tr2bl w:val="nil"/>
            </w:tcBorders>
            <w:noWrap w:val="0"/>
            <w:tcMar>
              <w:top w:w="15" w:type="dxa"/>
              <w:left w:w="15" w:type="dxa"/>
              <w:right w:w="15" w:type="dxa"/>
            </w:tcMar>
            <w:vAlign w:val="center"/>
          </w:tcPr>
          <w:p w14:paraId="2E6787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332" w:type="pct"/>
            <w:tcBorders>
              <w:tl2br w:val="nil"/>
              <w:tr2bl w:val="nil"/>
            </w:tcBorders>
            <w:noWrap/>
            <w:tcMar>
              <w:top w:w="15" w:type="dxa"/>
              <w:left w:w="15" w:type="dxa"/>
              <w:right w:w="15" w:type="dxa"/>
            </w:tcMar>
            <w:vAlign w:val="center"/>
          </w:tcPr>
          <w:p w14:paraId="7FA0E0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20.1</w:t>
            </w:r>
          </w:p>
        </w:tc>
        <w:tc>
          <w:tcPr>
            <w:tcW w:w="390" w:type="pct"/>
            <w:tcBorders>
              <w:tl2br w:val="nil"/>
              <w:tr2bl w:val="nil"/>
            </w:tcBorders>
            <w:noWrap/>
            <w:tcMar>
              <w:top w:w="15" w:type="dxa"/>
              <w:left w:w="15" w:type="dxa"/>
              <w:right w:w="15" w:type="dxa"/>
            </w:tcMar>
            <w:vAlign w:val="center"/>
          </w:tcPr>
          <w:p w14:paraId="381F89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5.29</w:t>
            </w:r>
          </w:p>
        </w:tc>
        <w:tc>
          <w:tcPr>
            <w:tcW w:w="281" w:type="pct"/>
            <w:tcBorders>
              <w:tl2br w:val="nil"/>
              <w:tr2bl w:val="nil"/>
            </w:tcBorders>
            <w:noWrap w:val="0"/>
            <w:tcMar>
              <w:top w:w="15" w:type="dxa"/>
              <w:left w:w="15" w:type="dxa"/>
              <w:right w:w="15" w:type="dxa"/>
            </w:tcMar>
            <w:vAlign w:val="center"/>
          </w:tcPr>
          <w:p w14:paraId="5F9AF6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57BF6D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6CA4D1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03FE95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1314CC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0407F7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11</w:t>
            </w:r>
          </w:p>
        </w:tc>
        <w:tc>
          <w:tcPr>
            <w:tcW w:w="265" w:type="pct"/>
            <w:vMerge w:val="continue"/>
            <w:tcBorders>
              <w:tl2br w:val="nil"/>
              <w:tr2bl w:val="nil"/>
            </w:tcBorders>
            <w:noWrap w:val="0"/>
            <w:tcMar>
              <w:top w:w="15" w:type="dxa"/>
              <w:left w:w="15" w:type="dxa"/>
              <w:right w:w="15" w:type="dxa"/>
            </w:tcMar>
            <w:vAlign w:val="center"/>
          </w:tcPr>
          <w:p w14:paraId="7536A6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1B3E90A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28D16A0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屠宰线中央控制系统</w:t>
            </w:r>
          </w:p>
        </w:tc>
        <w:tc>
          <w:tcPr>
            <w:tcW w:w="292" w:type="pct"/>
            <w:tcBorders>
              <w:tl2br w:val="nil"/>
              <w:tr2bl w:val="nil"/>
            </w:tcBorders>
            <w:noWrap/>
            <w:tcMar>
              <w:top w:w="15" w:type="dxa"/>
              <w:left w:w="15" w:type="dxa"/>
              <w:right w:w="15" w:type="dxa"/>
            </w:tcMar>
            <w:vAlign w:val="center"/>
          </w:tcPr>
          <w:p w14:paraId="5EEE72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4F50D2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6" w:type="pct"/>
            <w:vMerge w:val="continue"/>
            <w:tcBorders>
              <w:tl2br w:val="nil"/>
              <w:tr2bl w:val="nil"/>
            </w:tcBorders>
            <w:noWrap w:val="0"/>
            <w:tcMar>
              <w:top w:w="15" w:type="dxa"/>
              <w:left w:w="15" w:type="dxa"/>
              <w:right w:w="15" w:type="dxa"/>
            </w:tcMar>
            <w:vAlign w:val="center"/>
          </w:tcPr>
          <w:p w14:paraId="38B781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27C487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62.9</w:t>
            </w:r>
          </w:p>
        </w:tc>
        <w:tc>
          <w:tcPr>
            <w:tcW w:w="240" w:type="pct"/>
            <w:tcBorders>
              <w:tl2br w:val="nil"/>
              <w:tr2bl w:val="nil"/>
            </w:tcBorders>
            <w:noWrap w:val="0"/>
            <w:tcMar>
              <w:top w:w="15" w:type="dxa"/>
              <w:left w:w="15" w:type="dxa"/>
              <w:right w:w="15" w:type="dxa"/>
            </w:tcMar>
            <w:vAlign w:val="center"/>
          </w:tcPr>
          <w:p w14:paraId="292078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32.1</w:t>
            </w:r>
          </w:p>
        </w:tc>
        <w:tc>
          <w:tcPr>
            <w:tcW w:w="216" w:type="pct"/>
            <w:tcBorders>
              <w:tl2br w:val="nil"/>
              <w:tr2bl w:val="nil"/>
            </w:tcBorders>
            <w:noWrap w:val="0"/>
            <w:tcMar>
              <w:top w:w="15" w:type="dxa"/>
              <w:left w:w="15" w:type="dxa"/>
              <w:right w:w="15" w:type="dxa"/>
            </w:tcMar>
            <w:vAlign w:val="center"/>
          </w:tcPr>
          <w:p w14:paraId="23E818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w:t>
            </w:r>
          </w:p>
        </w:tc>
        <w:tc>
          <w:tcPr>
            <w:tcW w:w="332" w:type="pct"/>
            <w:tcBorders>
              <w:tl2br w:val="nil"/>
              <w:tr2bl w:val="nil"/>
            </w:tcBorders>
            <w:noWrap/>
            <w:tcMar>
              <w:top w:w="15" w:type="dxa"/>
              <w:left w:w="15" w:type="dxa"/>
              <w:right w:w="15" w:type="dxa"/>
            </w:tcMar>
            <w:vAlign w:val="center"/>
          </w:tcPr>
          <w:p w14:paraId="32E2D2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17.8</w:t>
            </w:r>
          </w:p>
        </w:tc>
        <w:tc>
          <w:tcPr>
            <w:tcW w:w="390" w:type="pct"/>
            <w:tcBorders>
              <w:tl2br w:val="nil"/>
              <w:tr2bl w:val="nil"/>
            </w:tcBorders>
            <w:noWrap/>
            <w:tcMar>
              <w:top w:w="15" w:type="dxa"/>
              <w:left w:w="15" w:type="dxa"/>
              <w:right w:w="15" w:type="dxa"/>
            </w:tcMar>
            <w:vAlign w:val="center"/>
          </w:tcPr>
          <w:p w14:paraId="289C4D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4.32</w:t>
            </w:r>
          </w:p>
        </w:tc>
        <w:tc>
          <w:tcPr>
            <w:tcW w:w="281" w:type="pct"/>
            <w:tcBorders>
              <w:tl2br w:val="nil"/>
              <w:tr2bl w:val="nil"/>
            </w:tcBorders>
            <w:noWrap w:val="0"/>
            <w:tcMar>
              <w:top w:w="15" w:type="dxa"/>
              <w:left w:w="15" w:type="dxa"/>
              <w:right w:w="15" w:type="dxa"/>
            </w:tcMar>
            <w:vAlign w:val="center"/>
          </w:tcPr>
          <w:p w14:paraId="44A6D6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00E082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5563D7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4B352D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0805C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0E656B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12</w:t>
            </w:r>
          </w:p>
        </w:tc>
        <w:tc>
          <w:tcPr>
            <w:tcW w:w="265" w:type="pct"/>
            <w:vMerge w:val="continue"/>
            <w:tcBorders>
              <w:tl2br w:val="nil"/>
              <w:tr2bl w:val="nil"/>
            </w:tcBorders>
            <w:noWrap w:val="0"/>
            <w:tcMar>
              <w:top w:w="15" w:type="dxa"/>
              <w:left w:w="15" w:type="dxa"/>
              <w:right w:w="15" w:type="dxa"/>
            </w:tcMar>
            <w:vAlign w:val="center"/>
          </w:tcPr>
          <w:p w14:paraId="73BA6B0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05FDCDB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62B37C7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牛胴体轨道电子秤</w:t>
            </w:r>
          </w:p>
        </w:tc>
        <w:tc>
          <w:tcPr>
            <w:tcW w:w="292" w:type="pct"/>
            <w:tcBorders>
              <w:tl2br w:val="nil"/>
              <w:tr2bl w:val="nil"/>
            </w:tcBorders>
            <w:noWrap/>
            <w:tcMar>
              <w:top w:w="15" w:type="dxa"/>
              <w:left w:w="15" w:type="dxa"/>
              <w:right w:w="15" w:type="dxa"/>
            </w:tcMar>
            <w:vAlign w:val="center"/>
          </w:tcPr>
          <w:p w14:paraId="1B40E6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24DEBE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70</w:t>
            </w:r>
          </w:p>
        </w:tc>
        <w:tc>
          <w:tcPr>
            <w:tcW w:w="326" w:type="pct"/>
            <w:vMerge w:val="continue"/>
            <w:tcBorders>
              <w:tl2br w:val="nil"/>
              <w:tr2bl w:val="nil"/>
            </w:tcBorders>
            <w:noWrap w:val="0"/>
            <w:tcMar>
              <w:top w:w="15" w:type="dxa"/>
              <w:left w:w="15" w:type="dxa"/>
              <w:right w:w="15" w:type="dxa"/>
            </w:tcMar>
            <w:vAlign w:val="center"/>
          </w:tcPr>
          <w:p w14:paraId="57CFDD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0B297C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51.4</w:t>
            </w:r>
          </w:p>
        </w:tc>
        <w:tc>
          <w:tcPr>
            <w:tcW w:w="240" w:type="pct"/>
            <w:tcBorders>
              <w:tl2br w:val="nil"/>
              <w:tr2bl w:val="nil"/>
            </w:tcBorders>
            <w:noWrap w:val="0"/>
            <w:tcMar>
              <w:top w:w="15" w:type="dxa"/>
              <w:left w:w="15" w:type="dxa"/>
              <w:right w:w="15" w:type="dxa"/>
            </w:tcMar>
            <w:vAlign w:val="center"/>
          </w:tcPr>
          <w:p w14:paraId="6BDA6E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23.4</w:t>
            </w:r>
          </w:p>
        </w:tc>
        <w:tc>
          <w:tcPr>
            <w:tcW w:w="216" w:type="pct"/>
            <w:tcBorders>
              <w:tl2br w:val="nil"/>
              <w:tr2bl w:val="nil"/>
            </w:tcBorders>
            <w:noWrap w:val="0"/>
            <w:tcMar>
              <w:top w:w="15" w:type="dxa"/>
              <w:left w:w="15" w:type="dxa"/>
              <w:right w:w="15" w:type="dxa"/>
            </w:tcMar>
            <w:vAlign w:val="center"/>
          </w:tcPr>
          <w:p w14:paraId="17BF1C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0.5</w:t>
            </w:r>
          </w:p>
        </w:tc>
        <w:tc>
          <w:tcPr>
            <w:tcW w:w="332" w:type="pct"/>
            <w:tcBorders>
              <w:tl2br w:val="nil"/>
              <w:tr2bl w:val="nil"/>
            </w:tcBorders>
            <w:noWrap/>
            <w:tcMar>
              <w:top w:w="15" w:type="dxa"/>
              <w:left w:w="15" w:type="dxa"/>
              <w:right w:w="15" w:type="dxa"/>
            </w:tcMar>
            <w:vAlign w:val="center"/>
          </w:tcPr>
          <w:p w14:paraId="03F9BB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23.6</w:t>
            </w:r>
          </w:p>
        </w:tc>
        <w:tc>
          <w:tcPr>
            <w:tcW w:w="390" w:type="pct"/>
            <w:tcBorders>
              <w:tl2br w:val="nil"/>
              <w:tr2bl w:val="nil"/>
            </w:tcBorders>
            <w:noWrap/>
            <w:tcMar>
              <w:top w:w="15" w:type="dxa"/>
              <w:left w:w="15" w:type="dxa"/>
              <w:right w:w="15" w:type="dxa"/>
            </w:tcMar>
            <w:vAlign w:val="center"/>
          </w:tcPr>
          <w:p w14:paraId="5AE6F1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4</w:t>
            </w:r>
            <w:r>
              <w:rPr>
                <w:rFonts w:hint="eastAsia" w:ascii="Times New Roman" w:hAnsi="Times New Roman" w:eastAsia="宋体" w:cs="Times New Roman"/>
                <w:i w:val="0"/>
                <w:color w:val="auto"/>
                <w:sz w:val="21"/>
                <w:szCs w:val="21"/>
                <w:highlight w:val="none"/>
                <w:u w:val="none"/>
                <w:lang w:val="en-US" w:eastAsia="zh-CN"/>
              </w:rPr>
              <w:t>8.51</w:t>
            </w:r>
          </w:p>
        </w:tc>
        <w:tc>
          <w:tcPr>
            <w:tcW w:w="281" w:type="pct"/>
            <w:tcBorders>
              <w:tl2br w:val="nil"/>
              <w:tr2bl w:val="nil"/>
            </w:tcBorders>
            <w:noWrap w:val="0"/>
            <w:tcMar>
              <w:top w:w="15" w:type="dxa"/>
              <w:left w:w="15" w:type="dxa"/>
              <w:right w:w="15" w:type="dxa"/>
            </w:tcMar>
            <w:vAlign w:val="center"/>
          </w:tcPr>
          <w:p w14:paraId="13F190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145BFD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76AAB3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5E4376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2A756F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4F9D47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13</w:t>
            </w:r>
          </w:p>
        </w:tc>
        <w:tc>
          <w:tcPr>
            <w:tcW w:w="265" w:type="pct"/>
            <w:vMerge w:val="continue"/>
            <w:tcBorders>
              <w:tl2br w:val="nil"/>
              <w:tr2bl w:val="nil"/>
            </w:tcBorders>
            <w:noWrap w:val="0"/>
            <w:tcMar>
              <w:top w:w="15" w:type="dxa"/>
              <w:left w:w="15" w:type="dxa"/>
              <w:right w:w="15" w:type="dxa"/>
            </w:tcMar>
            <w:vAlign w:val="center"/>
          </w:tcPr>
          <w:p w14:paraId="5F66D3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788852A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2DD9E46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四分体下降系统</w:t>
            </w:r>
          </w:p>
        </w:tc>
        <w:tc>
          <w:tcPr>
            <w:tcW w:w="292" w:type="pct"/>
            <w:tcBorders>
              <w:tl2br w:val="nil"/>
              <w:tr2bl w:val="nil"/>
            </w:tcBorders>
            <w:noWrap/>
            <w:tcMar>
              <w:top w:w="15" w:type="dxa"/>
              <w:left w:w="15" w:type="dxa"/>
              <w:right w:w="15" w:type="dxa"/>
            </w:tcMar>
            <w:vAlign w:val="center"/>
          </w:tcPr>
          <w:p w14:paraId="14BC1B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36D4B6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70</w:t>
            </w:r>
          </w:p>
        </w:tc>
        <w:tc>
          <w:tcPr>
            <w:tcW w:w="326" w:type="pct"/>
            <w:vMerge w:val="continue"/>
            <w:tcBorders>
              <w:tl2br w:val="nil"/>
              <w:tr2bl w:val="nil"/>
            </w:tcBorders>
            <w:noWrap w:val="0"/>
            <w:tcMar>
              <w:top w:w="15" w:type="dxa"/>
              <w:left w:w="15" w:type="dxa"/>
              <w:right w:w="15" w:type="dxa"/>
            </w:tcMar>
            <w:vAlign w:val="center"/>
          </w:tcPr>
          <w:p w14:paraId="76FE60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3E0FB7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50.3</w:t>
            </w:r>
          </w:p>
        </w:tc>
        <w:tc>
          <w:tcPr>
            <w:tcW w:w="240" w:type="pct"/>
            <w:tcBorders>
              <w:tl2br w:val="nil"/>
              <w:tr2bl w:val="nil"/>
            </w:tcBorders>
            <w:noWrap w:val="0"/>
            <w:tcMar>
              <w:top w:w="15" w:type="dxa"/>
              <w:left w:w="15" w:type="dxa"/>
              <w:right w:w="15" w:type="dxa"/>
            </w:tcMar>
            <w:vAlign w:val="center"/>
          </w:tcPr>
          <w:p w14:paraId="27C2F3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20.9</w:t>
            </w:r>
          </w:p>
        </w:tc>
        <w:tc>
          <w:tcPr>
            <w:tcW w:w="216" w:type="pct"/>
            <w:tcBorders>
              <w:tl2br w:val="nil"/>
              <w:tr2bl w:val="nil"/>
            </w:tcBorders>
            <w:noWrap w:val="0"/>
            <w:tcMar>
              <w:top w:w="15" w:type="dxa"/>
              <w:left w:w="15" w:type="dxa"/>
              <w:right w:w="15" w:type="dxa"/>
            </w:tcMar>
            <w:vAlign w:val="center"/>
          </w:tcPr>
          <w:p w14:paraId="7D5271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0.5</w:t>
            </w:r>
          </w:p>
        </w:tc>
        <w:tc>
          <w:tcPr>
            <w:tcW w:w="332" w:type="pct"/>
            <w:tcBorders>
              <w:tl2br w:val="nil"/>
              <w:tr2bl w:val="nil"/>
            </w:tcBorders>
            <w:noWrap/>
            <w:tcMar>
              <w:top w:w="15" w:type="dxa"/>
              <w:left w:w="15" w:type="dxa"/>
              <w:right w:w="15" w:type="dxa"/>
            </w:tcMar>
            <w:vAlign w:val="center"/>
          </w:tcPr>
          <w:p w14:paraId="2749AE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15.2</w:t>
            </w:r>
          </w:p>
        </w:tc>
        <w:tc>
          <w:tcPr>
            <w:tcW w:w="390" w:type="pct"/>
            <w:tcBorders>
              <w:tl2br w:val="nil"/>
              <w:tr2bl w:val="nil"/>
            </w:tcBorders>
            <w:noWrap/>
            <w:tcMar>
              <w:top w:w="15" w:type="dxa"/>
              <w:left w:w="15" w:type="dxa"/>
              <w:right w:w="15" w:type="dxa"/>
            </w:tcMar>
            <w:vAlign w:val="center"/>
          </w:tcPr>
          <w:p w14:paraId="07C13C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0.37</w:t>
            </w:r>
          </w:p>
        </w:tc>
        <w:tc>
          <w:tcPr>
            <w:tcW w:w="281" w:type="pct"/>
            <w:tcBorders>
              <w:tl2br w:val="nil"/>
              <w:tr2bl w:val="nil"/>
            </w:tcBorders>
            <w:noWrap w:val="0"/>
            <w:tcMar>
              <w:top w:w="15" w:type="dxa"/>
              <w:left w:w="15" w:type="dxa"/>
              <w:right w:w="15" w:type="dxa"/>
            </w:tcMar>
            <w:vAlign w:val="center"/>
          </w:tcPr>
          <w:p w14:paraId="6132A2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506A8A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1BA36B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0D7275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00B775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5FEA37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14</w:t>
            </w:r>
          </w:p>
        </w:tc>
        <w:tc>
          <w:tcPr>
            <w:tcW w:w="265" w:type="pct"/>
            <w:vMerge w:val="continue"/>
            <w:tcBorders>
              <w:tl2br w:val="nil"/>
              <w:tr2bl w:val="nil"/>
            </w:tcBorders>
            <w:noWrap w:val="0"/>
            <w:tcMar>
              <w:top w:w="15" w:type="dxa"/>
              <w:left w:w="15" w:type="dxa"/>
              <w:right w:w="15" w:type="dxa"/>
            </w:tcMar>
            <w:vAlign w:val="center"/>
          </w:tcPr>
          <w:p w14:paraId="433669B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26F3EEB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3F6B832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四分体提升机</w:t>
            </w:r>
          </w:p>
        </w:tc>
        <w:tc>
          <w:tcPr>
            <w:tcW w:w="292" w:type="pct"/>
            <w:tcBorders>
              <w:tl2br w:val="nil"/>
              <w:tr2bl w:val="nil"/>
            </w:tcBorders>
            <w:noWrap/>
            <w:tcMar>
              <w:top w:w="15" w:type="dxa"/>
              <w:left w:w="15" w:type="dxa"/>
              <w:right w:w="15" w:type="dxa"/>
            </w:tcMar>
            <w:vAlign w:val="center"/>
          </w:tcPr>
          <w:p w14:paraId="2DCC72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12F418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6" w:type="pct"/>
            <w:vMerge w:val="continue"/>
            <w:tcBorders>
              <w:tl2br w:val="nil"/>
              <w:tr2bl w:val="nil"/>
            </w:tcBorders>
            <w:noWrap w:val="0"/>
            <w:tcMar>
              <w:top w:w="15" w:type="dxa"/>
              <w:left w:w="15" w:type="dxa"/>
              <w:right w:w="15" w:type="dxa"/>
            </w:tcMar>
            <w:vAlign w:val="center"/>
          </w:tcPr>
          <w:p w14:paraId="232854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108EF5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40.2</w:t>
            </w:r>
          </w:p>
        </w:tc>
        <w:tc>
          <w:tcPr>
            <w:tcW w:w="240" w:type="pct"/>
            <w:tcBorders>
              <w:tl2br w:val="nil"/>
              <w:tr2bl w:val="nil"/>
            </w:tcBorders>
            <w:noWrap w:val="0"/>
            <w:tcMar>
              <w:top w:w="15" w:type="dxa"/>
              <w:left w:w="15" w:type="dxa"/>
              <w:right w:w="15" w:type="dxa"/>
            </w:tcMar>
            <w:vAlign w:val="center"/>
          </w:tcPr>
          <w:p w14:paraId="2916E0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61.5</w:t>
            </w:r>
          </w:p>
        </w:tc>
        <w:tc>
          <w:tcPr>
            <w:tcW w:w="216" w:type="pct"/>
            <w:tcBorders>
              <w:tl2br w:val="nil"/>
              <w:tr2bl w:val="nil"/>
            </w:tcBorders>
            <w:noWrap w:val="0"/>
            <w:tcMar>
              <w:top w:w="15" w:type="dxa"/>
              <w:left w:w="15" w:type="dxa"/>
              <w:right w:w="15" w:type="dxa"/>
            </w:tcMar>
            <w:vAlign w:val="center"/>
          </w:tcPr>
          <w:p w14:paraId="411849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0.5</w:t>
            </w:r>
          </w:p>
        </w:tc>
        <w:tc>
          <w:tcPr>
            <w:tcW w:w="332" w:type="pct"/>
            <w:tcBorders>
              <w:tl2br w:val="nil"/>
              <w:tr2bl w:val="nil"/>
            </w:tcBorders>
            <w:noWrap/>
            <w:tcMar>
              <w:top w:w="15" w:type="dxa"/>
              <w:left w:w="15" w:type="dxa"/>
              <w:right w:w="15" w:type="dxa"/>
            </w:tcMar>
            <w:vAlign w:val="center"/>
          </w:tcPr>
          <w:p w14:paraId="384970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23.3</w:t>
            </w:r>
          </w:p>
        </w:tc>
        <w:tc>
          <w:tcPr>
            <w:tcW w:w="390" w:type="pct"/>
            <w:tcBorders>
              <w:tl2br w:val="nil"/>
              <w:tr2bl w:val="nil"/>
            </w:tcBorders>
            <w:noWrap/>
            <w:tcMar>
              <w:top w:w="15" w:type="dxa"/>
              <w:left w:w="15" w:type="dxa"/>
              <w:right w:w="15" w:type="dxa"/>
            </w:tcMar>
            <w:vAlign w:val="center"/>
          </w:tcPr>
          <w:p w14:paraId="4459DD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3.26</w:t>
            </w:r>
          </w:p>
        </w:tc>
        <w:tc>
          <w:tcPr>
            <w:tcW w:w="281" w:type="pct"/>
            <w:tcBorders>
              <w:tl2br w:val="nil"/>
              <w:tr2bl w:val="nil"/>
            </w:tcBorders>
            <w:noWrap w:val="0"/>
            <w:tcMar>
              <w:top w:w="15" w:type="dxa"/>
              <w:left w:w="15" w:type="dxa"/>
              <w:right w:w="15" w:type="dxa"/>
            </w:tcMar>
            <w:vAlign w:val="center"/>
          </w:tcPr>
          <w:p w14:paraId="4E9DD5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0F381C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69287F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60044E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548C71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3AF90B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15</w:t>
            </w:r>
          </w:p>
        </w:tc>
        <w:tc>
          <w:tcPr>
            <w:tcW w:w="265" w:type="pct"/>
            <w:vMerge w:val="continue"/>
            <w:tcBorders>
              <w:tl2br w:val="nil"/>
              <w:tr2bl w:val="nil"/>
            </w:tcBorders>
            <w:noWrap w:val="0"/>
            <w:tcMar>
              <w:top w:w="15" w:type="dxa"/>
              <w:left w:w="15" w:type="dxa"/>
              <w:right w:w="15" w:type="dxa"/>
            </w:tcMar>
            <w:vAlign w:val="center"/>
          </w:tcPr>
          <w:p w14:paraId="7C72B0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01F7512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6A852C9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开胸锯</w:t>
            </w:r>
          </w:p>
        </w:tc>
        <w:tc>
          <w:tcPr>
            <w:tcW w:w="292" w:type="pct"/>
            <w:tcBorders>
              <w:tl2br w:val="nil"/>
              <w:tr2bl w:val="nil"/>
            </w:tcBorders>
            <w:noWrap/>
            <w:tcMar>
              <w:top w:w="15" w:type="dxa"/>
              <w:left w:w="15" w:type="dxa"/>
              <w:right w:w="15" w:type="dxa"/>
            </w:tcMar>
            <w:vAlign w:val="center"/>
          </w:tcPr>
          <w:p w14:paraId="577E8A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4F6A29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6" w:type="pct"/>
            <w:vMerge w:val="continue"/>
            <w:tcBorders>
              <w:tl2br w:val="nil"/>
              <w:tr2bl w:val="nil"/>
            </w:tcBorders>
            <w:noWrap w:val="0"/>
            <w:tcMar>
              <w:top w:w="15" w:type="dxa"/>
              <w:left w:w="15" w:type="dxa"/>
              <w:right w:w="15" w:type="dxa"/>
            </w:tcMar>
            <w:vAlign w:val="center"/>
          </w:tcPr>
          <w:p w14:paraId="44042A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51BF28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38.3</w:t>
            </w:r>
          </w:p>
        </w:tc>
        <w:tc>
          <w:tcPr>
            <w:tcW w:w="240" w:type="pct"/>
            <w:tcBorders>
              <w:tl2br w:val="nil"/>
              <w:tr2bl w:val="nil"/>
            </w:tcBorders>
            <w:noWrap w:val="0"/>
            <w:tcMar>
              <w:top w:w="15" w:type="dxa"/>
              <w:left w:w="15" w:type="dxa"/>
              <w:right w:w="15" w:type="dxa"/>
            </w:tcMar>
            <w:vAlign w:val="center"/>
          </w:tcPr>
          <w:p w14:paraId="008876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59.6</w:t>
            </w:r>
          </w:p>
        </w:tc>
        <w:tc>
          <w:tcPr>
            <w:tcW w:w="216" w:type="pct"/>
            <w:tcBorders>
              <w:tl2br w:val="nil"/>
              <w:tr2bl w:val="nil"/>
            </w:tcBorders>
            <w:noWrap w:val="0"/>
            <w:tcMar>
              <w:top w:w="15" w:type="dxa"/>
              <w:left w:w="15" w:type="dxa"/>
              <w:right w:w="15" w:type="dxa"/>
            </w:tcMar>
            <w:vAlign w:val="center"/>
          </w:tcPr>
          <w:p w14:paraId="030F50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0.5</w:t>
            </w:r>
          </w:p>
        </w:tc>
        <w:tc>
          <w:tcPr>
            <w:tcW w:w="332" w:type="pct"/>
            <w:tcBorders>
              <w:tl2br w:val="nil"/>
              <w:tr2bl w:val="nil"/>
            </w:tcBorders>
            <w:noWrap/>
            <w:tcMar>
              <w:top w:w="15" w:type="dxa"/>
              <w:left w:w="15" w:type="dxa"/>
              <w:right w:w="15" w:type="dxa"/>
            </w:tcMar>
            <w:vAlign w:val="center"/>
          </w:tcPr>
          <w:p w14:paraId="1C04A3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12.8</w:t>
            </w:r>
          </w:p>
        </w:tc>
        <w:tc>
          <w:tcPr>
            <w:tcW w:w="390" w:type="pct"/>
            <w:tcBorders>
              <w:tl2br w:val="nil"/>
              <w:tr2bl w:val="nil"/>
            </w:tcBorders>
            <w:noWrap/>
            <w:tcMar>
              <w:top w:w="15" w:type="dxa"/>
              <w:left w:w="15" w:type="dxa"/>
              <w:right w:w="15" w:type="dxa"/>
            </w:tcMar>
            <w:vAlign w:val="center"/>
          </w:tcPr>
          <w:p w14:paraId="62DA47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4.52</w:t>
            </w:r>
          </w:p>
        </w:tc>
        <w:tc>
          <w:tcPr>
            <w:tcW w:w="281" w:type="pct"/>
            <w:tcBorders>
              <w:tl2br w:val="nil"/>
              <w:tr2bl w:val="nil"/>
            </w:tcBorders>
            <w:noWrap w:val="0"/>
            <w:tcMar>
              <w:top w:w="15" w:type="dxa"/>
              <w:left w:w="15" w:type="dxa"/>
              <w:right w:w="15" w:type="dxa"/>
            </w:tcMar>
            <w:vAlign w:val="center"/>
          </w:tcPr>
          <w:p w14:paraId="0FA6A0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131814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2E5006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114B5D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0070B8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5CB654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16</w:t>
            </w:r>
          </w:p>
        </w:tc>
        <w:tc>
          <w:tcPr>
            <w:tcW w:w="265" w:type="pct"/>
            <w:vMerge w:val="continue"/>
            <w:tcBorders>
              <w:tl2br w:val="nil"/>
              <w:tr2bl w:val="nil"/>
            </w:tcBorders>
            <w:noWrap w:val="0"/>
            <w:tcMar>
              <w:top w:w="15" w:type="dxa"/>
              <w:left w:w="15" w:type="dxa"/>
              <w:right w:w="15" w:type="dxa"/>
            </w:tcMar>
            <w:vAlign w:val="center"/>
          </w:tcPr>
          <w:p w14:paraId="69993A7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2F4C381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486A714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带式劈半锯</w:t>
            </w:r>
          </w:p>
        </w:tc>
        <w:tc>
          <w:tcPr>
            <w:tcW w:w="292" w:type="pct"/>
            <w:tcBorders>
              <w:tl2br w:val="nil"/>
              <w:tr2bl w:val="nil"/>
            </w:tcBorders>
            <w:noWrap/>
            <w:tcMar>
              <w:top w:w="15" w:type="dxa"/>
              <w:left w:w="15" w:type="dxa"/>
              <w:right w:w="15" w:type="dxa"/>
            </w:tcMar>
            <w:vAlign w:val="center"/>
          </w:tcPr>
          <w:p w14:paraId="258CBC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23D970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75</w:t>
            </w:r>
          </w:p>
        </w:tc>
        <w:tc>
          <w:tcPr>
            <w:tcW w:w="326" w:type="pct"/>
            <w:vMerge w:val="continue"/>
            <w:tcBorders>
              <w:tl2br w:val="nil"/>
              <w:tr2bl w:val="nil"/>
            </w:tcBorders>
            <w:noWrap w:val="0"/>
            <w:tcMar>
              <w:top w:w="15" w:type="dxa"/>
              <w:left w:w="15" w:type="dxa"/>
              <w:right w:w="15" w:type="dxa"/>
            </w:tcMar>
            <w:vAlign w:val="center"/>
          </w:tcPr>
          <w:p w14:paraId="202990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4F027C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87.4</w:t>
            </w:r>
          </w:p>
        </w:tc>
        <w:tc>
          <w:tcPr>
            <w:tcW w:w="240" w:type="pct"/>
            <w:tcBorders>
              <w:tl2br w:val="nil"/>
              <w:tr2bl w:val="nil"/>
            </w:tcBorders>
            <w:noWrap w:val="0"/>
            <w:tcMar>
              <w:top w:w="15" w:type="dxa"/>
              <w:left w:w="15" w:type="dxa"/>
              <w:right w:w="15" w:type="dxa"/>
            </w:tcMar>
            <w:vAlign w:val="center"/>
          </w:tcPr>
          <w:p w14:paraId="628A46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41.8</w:t>
            </w:r>
          </w:p>
        </w:tc>
        <w:tc>
          <w:tcPr>
            <w:tcW w:w="216" w:type="pct"/>
            <w:tcBorders>
              <w:tl2br w:val="nil"/>
              <w:tr2bl w:val="nil"/>
            </w:tcBorders>
            <w:noWrap w:val="0"/>
            <w:tcMar>
              <w:top w:w="15" w:type="dxa"/>
              <w:left w:w="15" w:type="dxa"/>
              <w:right w:w="15" w:type="dxa"/>
            </w:tcMar>
            <w:vAlign w:val="center"/>
          </w:tcPr>
          <w:p w14:paraId="4F95D0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w:t>
            </w:r>
          </w:p>
        </w:tc>
        <w:tc>
          <w:tcPr>
            <w:tcW w:w="332" w:type="pct"/>
            <w:tcBorders>
              <w:tl2br w:val="nil"/>
              <w:tr2bl w:val="nil"/>
            </w:tcBorders>
            <w:noWrap/>
            <w:tcMar>
              <w:top w:w="15" w:type="dxa"/>
              <w:left w:w="15" w:type="dxa"/>
              <w:right w:w="15" w:type="dxa"/>
            </w:tcMar>
            <w:vAlign w:val="center"/>
          </w:tcPr>
          <w:p w14:paraId="3C5A20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14.6</w:t>
            </w:r>
          </w:p>
        </w:tc>
        <w:tc>
          <w:tcPr>
            <w:tcW w:w="390" w:type="pct"/>
            <w:tcBorders>
              <w:tl2br w:val="nil"/>
              <w:tr2bl w:val="nil"/>
            </w:tcBorders>
            <w:noWrap/>
            <w:tcMar>
              <w:top w:w="15" w:type="dxa"/>
              <w:left w:w="15" w:type="dxa"/>
              <w:right w:w="15" w:type="dxa"/>
            </w:tcMar>
            <w:vAlign w:val="center"/>
          </w:tcPr>
          <w:p w14:paraId="2AFAE0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4.33</w:t>
            </w:r>
          </w:p>
        </w:tc>
        <w:tc>
          <w:tcPr>
            <w:tcW w:w="281" w:type="pct"/>
            <w:tcBorders>
              <w:tl2br w:val="nil"/>
              <w:tr2bl w:val="nil"/>
            </w:tcBorders>
            <w:noWrap w:val="0"/>
            <w:tcMar>
              <w:top w:w="15" w:type="dxa"/>
              <w:left w:w="15" w:type="dxa"/>
              <w:right w:w="15" w:type="dxa"/>
            </w:tcMar>
            <w:vAlign w:val="center"/>
          </w:tcPr>
          <w:p w14:paraId="278566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09D1B8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69CE75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1B6073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75C2CC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5B78B7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17</w:t>
            </w:r>
          </w:p>
        </w:tc>
        <w:tc>
          <w:tcPr>
            <w:tcW w:w="265" w:type="pct"/>
            <w:vMerge w:val="continue"/>
            <w:tcBorders>
              <w:tl2br w:val="nil"/>
              <w:tr2bl w:val="nil"/>
            </w:tcBorders>
            <w:noWrap w:val="0"/>
            <w:tcMar>
              <w:top w:w="15" w:type="dxa"/>
              <w:left w:w="15" w:type="dxa"/>
              <w:right w:w="15" w:type="dxa"/>
            </w:tcMar>
            <w:vAlign w:val="center"/>
          </w:tcPr>
          <w:p w14:paraId="43253CB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20913BC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5C02EEF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洗肚机</w:t>
            </w:r>
          </w:p>
        </w:tc>
        <w:tc>
          <w:tcPr>
            <w:tcW w:w="292" w:type="pct"/>
            <w:tcBorders>
              <w:tl2br w:val="nil"/>
              <w:tr2bl w:val="nil"/>
            </w:tcBorders>
            <w:noWrap/>
            <w:tcMar>
              <w:top w:w="15" w:type="dxa"/>
              <w:left w:w="15" w:type="dxa"/>
              <w:right w:w="15" w:type="dxa"/>
            </w:tcMar>
            <w:vAlign w:val="center"/>
          </w:tcPr>
          <w:p w14:paraId="5B39BF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noWrap/>
            <w:tcMar>
              <w:top w:w="15" w:type="dxa"/>
              <w:left w:w="15" w:type="dxa"/>
              <w:right w:w="15" w:type="dxa"/>
            </w:tcMar>
            <w:vAlign w:val="center"/>
          </w:tcPr>
          <w:p w14:paraId="1ADEF4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6" w:type="pct"/>
            <w:vMerge w:val="continue"/>
            <w:tcBorders>
              <w:tl2br w:val="nil"/>
              <w:tr2bl w:val="nil"/>
            </w:tcBorders>
            <w:noWrap w:val="0"/>
            <w:tcMar>
              <w:top w:w="15" w:type="dxa"/>
              <w:left w:w="15" w:type="dxa"/>
              <w:right w:w="15" w:type="dxa"/>
            </w:tcMar>
            <w:vAlign w:val="center"/>
          </w:tcPr>
          <w:p w14:paraId="56F30F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noWrap w:val="0"/>
            <w:tcMar>
              <w:top w:w="15" w:type="dxa"/>
              <w:left w:w="15" w:type="dxa"/>
              <w:right w:w="15" w:type="dxa"/>
            </w:tcMar>
            <w:vAlign w:val="center"/>
          </w:tcPr>
          <w:p w14:paraId="50A2ED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79.5</w:t>
            </w:r>
          </w:p>
        </w:tc>
        <w:tc>
          <w:tcPr>
            <w:tcW w:w="240" w:type="pct"/>
            <w:tcBorders>
              <w:tl2br w:val="nil"/>
              <w:tr2bl w:val="nil"/>
            </w:tcBorders>
            <w:noWrap w:val="0"/>
            <w:tcMar>
              <w:top w:w="15" w:type="dxa"/>
              <w:left w:w="15" w:type="dxa"/>
              <w:right w:w="15" w:type="dxa"/>
            </w:tcMar>
            <w:vAlign w:val="center"/>
          </w:tcPr>
          <w:p w14:paraId="4BDC25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38.8</w:t>
            </w:r>
          </w:p>
        </w:tc>
        <w:tc>
          <w:tcPr>
            <w:tcW w:w="216" w:type="pct"/>
            <w:tcBorders>
              <w:tl2br w:val="nil"/>
              <w:tr2bl w:val="nil"/>
            </w:tcBorders>
            <w:noWrap w:val="0"/>
            <w:tcMar>
              <w:top w:w="15" w:type="dxa"/>
              <w:left w:w="15" w:type="dxa"/>
              <w:right w:w="15" w:type="dxa"/>
            </w:tcMar>
            <w:vAlign w:val="center"/>
          </w:tcPr>
          <w:p w14:paraId="776CC4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w:t>
            </w:r>
          </w:p>
        </w:tc>
        <w:tc>
          <w:tcPr>
            <w:tcW w:w="332" w:type="pct"/>
            <w:tcBorders>
              <w:tl2br w:val="nil"/>
              <w:tr2bl w:val="nil"/>
            </w:tcBorders>
            <w:noWrap/>
            <w:tcMar>
              <w:top w:w="15" w:type="dxa"/>
              <w:left w:w="15" w:type="dxa"/>
              <w:right w:w="15" w:type="dxa"/>
            </w:tcMar>
            <w:vAlign w:val="center"/>
          </w:tcPr>
          <w:p w14:paraId="2F52E5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21.4</w:t>
            </w:r>
          </w:p>
        </w:tc>
        <w:tc>
          <w:tcPr>
            <w:tcW w:w="390" w:type="pct"/>
            <w:tcBorders>
              <w:tl2br w:val="nil"/>
              <w:tr2bl w:val="nil"/>
            </w:tcBorders>
            <w:noWrap/>
            <w:tcMar>
              <w:top w:w="15" w:type="dxa"/>
              <w:left w:w="15" w:type="dxa"/>
              <w:right w:w="15" w:type="dxa"/>
            </w:tcMar>
            <w:vAlign w:val="center"/>
          </w:tcPr>
          <w:p w14:paraId="350669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3.89</w:t>
            </w:r>
          </w:p>
        </w:tc>
        <w:tc>
          <w:tcPr>
            <w:tcW w:w="281" w:type="pct"/>
            <w:tcBorders>
              <w:tl2br w:val="nil"/>
              <w:tr2bl w:val="nil"/>
            </w:tcBorders>
            <w:noWrap w:val="0"/>
            <w:tcMar>
              <w:top w:w="15" w:type="dxa"/>
              <w:left w:w="15" w:type="dxa"/>
              <w:right w:w="15" w:type="dxa"/>
            </w:tcMar>
            <w:vAlign w:val="center"/>
          </w:tcPr>
          <w:p w14:paraId="02D86A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7E4211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3B6429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6B84EF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7D8609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2112A2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eastAsia="宋体" w:cs="Times New Roman"/>
                <w:i w:val="0"/>
                <w:color w:val="auto"/>
                <w:kern w:val="0"/>
                <w:sz w:val="21"/>
                <w:szCs w:val="21"/>
                <w:highlight w:val="none"/>
                <w:u w:val="none"/>
                <w:lang w:val="en-US" w:eastAsia="zh-CN" w:bidi="ar"/>
              </w:rPr>
              <w:t>18</w:t>
            </w:r>
          </w:p>
        </w:tc>
        <w:tc>
          <w:tcPr>
            <w:tcW w:w="265" w:type="pct"/>
            <w:vMerge w:val="continue"/>
            <w:tcBorders>
              <w:tl2br w:val="nil"/>
              <w:tr2bl w:val="nil"/>
            </w:tcBorders>
            <w:noWrap w:val="0"/>
            <w:tcMar>
              <w:top w:w="15" w:type="dxa"/>
              <w:left w:w="15" w:type="dxa"/>
              <w:right w:w="15" w:type="dxa"/>
            </w:tcMar>
            <w:vAlign w:val="center"/>
          </w:tcPr>
          <w:p w14:paraId="5C1EC7A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6F42CB28">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2F1F79E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胃容物吹送系统</w:t>
            </w:r>
          </w:p>
        </w:tc>
        <w:tc>
          <w:tcPr>
            <w:tcW w:w="292" w:type="pct"/>
            <w:tcBorders>
              <w:tl2br w:val="nil"/>
              <w:tr2bl w:val="nil"/>
            </w:tcBorders>
            <w:shd w:val="clear" w:color="auto" w:fill="auto"/>
            <w:noWrap/>
            <w:tcMar>
              <w:top w:w="15" w:type="dxa"/>
              <w:left w:w="15" w:type="dxa"/>
              <w:right w:w="15" w:type="dxa"/>
            </w:tcMar>
            <w:vAlign w:val="center"/>
          </w:tcPr>
          <w:p w14:paraId="4F48B8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6" w:type="pct"/>
            <w:tcBorders>
              <w:tl2br w:val="nil"/>
              <w:tr2bl w:val="nil"/>
            </w:tcBorders>
            <w:shd w:val="clear" w:color="auto" w:fill="auto"/>
            <w:noWrap/>
            <w:tcMar>
              <w:top w:w="15" w:type="dxa"/>
              <w:left w:w="15" w:type="dxa"/>
              <w:right w:w="15" w:type="dxa"/>
            </w:tcMar>
            <w:vAlign w:val="center"/>
          </w:tcPr>
          <w:p w14:paraId="5016AD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80</w:t>
            </w:r>
          </w:p>
        </w:tc>
        <w:tc>
          <w:tcPr>
            <w:tcW w:w="326" w:type="pct"/>
            <w:vMerge w:val="continue"/>
            <w:tcBorders>
              <w:tl2br w:val="nil"/>
              <w:tr2bl w:val="nil"/>
            </w:tcBorders>
            <w:noWrap w:val="0"/>
            <w:tcMar>
              <w:top w:w="15" w:type="dxa"/>
              <w:left w:w="15" w:type="dxa"/>
              <w:right w:w="15" w:type="dxa"/>
            </w:tcMar>
            <w:vAlign w:val="center"/>
          </w:tcPr>
          <w:p w14:paraId="5DC23E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shd w:val="clear" w:color="auto" w:fill="auto"/>
            <w:noWrap w:val="0"/>
            <w:tcMar>
              <w:top w:w="15" w:type="dxa"/>
              <w:left w:w="15" w:type="dxa"/>
              <w:right w:w="15" w:type="dxa"/>
            </w:tcMar>
            <w:vAlign w:val="center"/>
          </w:tcPr>
          <w:p w14:paraId="3E43C0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89.6</w:t>
            </w:r>
          </w:p>
        </w:tc>
        <w:tc>
          <w:tcPr>
            <w:tcW w:w="240" w:type="pct"/>
            <w:tcBorders>
              <w:tl2br w:val="nil"/>
              <w:tr2bl w:val="nil"/>
            </w:tcBorders>
            <w:shd w:val="clear" w:color="auto" w:fill="auto"/>
            <w:noWrap w:val="0"/>
            <w:tcMar>
              <w:top w:w="15" w:type="dxa"/>
              <w:left w:w="15" w:type="dxa"/>
              <w:right w:w="15" w:type="dxa"/>
            </w:tcMar>
            <w:vAlign w:val="center"/>
          </w:tcPr>
          <w:p w14:paraId="33FC5E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90.2</w:t>
            </w:r>
          </w:p>
        </w:tc>
        <w:tc>
          <w:tcPr>
            <w:tcW w:w="216" w:type="pct"/>
            <w:tcBorders>
              <w:tl2br w:val="nil"/>
              <w:tr2bl w:val="nil"/>
            </w:tcBorders>
            <w:shd w:val="clear" w:color="auto" w:fill="auto"/>
            <w:noWrap w:val="0"/>
            <w:tcMar>
              <w:top w:w="15" w:type="dxa"/>
              <w:left w:w="15" w:type="dxa"/>
              <w:right w:w="15" w:type="dxa"/>
            </w:tcMar>
            <w:vAlign w:val="center"/>
          </w:tcPr>
          <w:p w14:paraId="5A8542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1.5</w:t>
            </w:r>
          </w:p>
        </w:tc>
        <w:tc>
          <w:tcPr>
            <w:tcW w:w="332" w:type="pct"/>
            <w:tcBorders>
              <w:tl2br w:val="nil"/>
              <w:tr2bl w:val="nil"/>
            </w:tcBorders>
            <w:shd w:val="clear" w:color="auto" w:fill="auto"/>
            <w:noWrap/>
            <w:tcMar>
              <w:top w:w="15" w:type="dxa"/>
              <w:left w:w="15" w:type="dxa"/>
              <w:right w:w="15" w:type="dxa"/>
            </w:tcMar>
            <w:vAlign w:val="center"/>
          </w:tcPr>
          <w:p w14:paraId="0047E9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8.2</w:t>
            </w:r>
          </w:p>
        </w:tc>
        <w:tc>
          <w:tcPr>
            <w:tcW w:w="390" w:type="pct"/>
            <w:tcBorders>
              <w:tl2br w:val="nil"/>
              <w:tr2bl w:val="nil"/>
            </w:tcBorders>
            <w:shd w:val="clear" w:color="auto" w:fill="auto"/>
            <w:noWrap/>
            <w:tcMar>
              <w:top w:w="15" w:type="dxa"/>
              <w:left w:w="15" w:type="dxa"/>
              <w:right w:w="15" w:type="dxa"/>
            </w:tcMar>
            <w:vAlign w:val="center"/>
          </w:tcPr>
          <w:p w14:paraId="651567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0.21</w:t>
            </w:r>
          </w:p>
        </w:tc>
        <w:tc>
          <w:tcPr>
            <w:tcW w:w="281" w:type="pct"/>
            <w:tcBorders>
              <w:tl2br w:val="nil"/>
              <w:tr2bl w:val="nil"/>
            </w:tcBorders>
            <w:shd w:val="clear" w:color="auto" w:fill="auto"/>
            <w:noWrap w:val="0"/>
            <w:tcMar>
              <w:top w:w="15" w:type="dxa"/>
              <w:left w:w="15" w:type="dxa"/>
              <w:right w:w="15" w:type="dxa"/>
            </w:tcMar>
            <w:vAlign w:val="center"/>
          </w:tcPr>
          <w:p w14:paraId="06E9CE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7FE394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317634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0AD6FB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126218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0" w:type="pct"/>
            <w:tcBorders>
              <w:tl2br w:val="nil"/>
              <w:tr2bl w:val="nil"/>
            </w:tcBorders>
            <w:noWrap w:val="0"/>
            <w:tcMar>
              <w:top w:w="15" w:type="dxa"/>
              <w:left w:w="15" w:type="dxa"/>
              <w:right w:w="15" w:type="dxa"/>
            </w:tcMar>
            <w:vAlign w:val="center"/>
          </w:tcPr>
          <w:p w14:paraId="2B16FF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s="Times New Roman"/>
                <w:i w:val="0"/>
                <w:color w:val="auto"/>
                <w:kern w:val="0"/>
                <w:sz w:val="21"/>
                <w:szCs w:val="21"/>
                <w:highlight w:val="none"/>
                <w:u w:val="none"/>
                <w:lang w:val="en-US" w:eastAsia="zh-CN" w:bidi="ar"/>
              </w:rPr>
            </w:pPr>
            <w:r>
              <w:rPr>
                <w:rFonts w:hint="eastAsia" w:eastAsia="宋体" w:cs="Times New Roman"/>
                <w:i w:val="0"/>
                <w:color w:val="auto"/>
                <w:kern w:val="0"/>
                <w:sz w:val="21"/>
                <w:szCs w:val="21"/>
                <w:highlight w:val="none"/>
                <w:u w:val="none"/>
                <w:lang w:val="en-US" w:eastAsia="zh-CN" w:bidi="ar"/>
              </w:rPr>
              <w:t>19</w:t>
            </w:r>
          </w:p>
        </w:tc>
        <w:tc>
          <w:tcPr>
            <w:tcW w:w="265" w:type="pct"/>
            <w:vMerge w:val="continue"/>
            <w:tcBorders>
              <w:tl2br w:val="nil"/>
              <w:tr2bl w:val="nil"/>
            </w:tcBorders>
            <w:noWrap w:val="0"/>
            <w:tcMar>
              <w:top w:w="15" w:type="dxa"/>
              <w:left w:w="15" w:type="dxa"/>
              <w:right w:w="15" w:type="dxa"/>
            </w:tcMar>
            <w:vAlign w:val="center"/>
          </w:tcPr>
          <w:p w14:paraId="6BB85F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80" w:type="pct"/>
            <w:vMerge w:val="continue"/>
            <w:tcBorders>
              <w:tl2br w:val="nil"/>
              <w:tr2bl w:val="nil"/>
            </w:tcBorders>
            <w:shd w:val="clear" w:color="auto" w:fill="auto"/>
            <w:noWrap/>
            <w:tcMar>
              <w:top w:w="15" w:type="dxa"/>
              <w:left w:w="15" w:type="dxa"/>
              <w:right w:w="15" w:type="dxa"/>
            </w:tcMar>
            <w:vAlign w:val="center"/>
          </w:tcPr>
          <w:p w14:paraId="5C893EB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51" w:type="pct"/>
            <w:tcBorders>
              <w:tl2br w:val="nil"/>
              <w:tr2bl w:val="nil"/>
            </w:tcBorders>
            <w:shd w:val="clear" w:color="auto" w:fill="auto"/>
            <w:noWrap/>
            <w:tcMar>
              <w:top w:w="15" w:type="dxa"/>
              <w:left w:w="15" w:type="dxa"/>
              <w:right w:w="15" w:type="dxa"/>
            </w:tcMar>
            <w:vAlign w:val="center"/>
          </w:tcPr>
          <w:p w14:paraId="1D3256A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风机</w:t>
            </w:r>
          </w:p>
        </w:tc>
        <w:tc>
          <w:tcPr>
            <w:tcW w:w="292" w:type="pct"/>
            <w:tcBorders>
              <w:tl2br w:val="nil"/>
              <w:tr2bl w:val="nil"/>
            </w:tcBorders>
            <w:shd w:val="clear" w:color="auto" w:fill="auto"/>
            <w:noWrap/>
            <w:tcMar>
              <w:top w:w="15" w:type="dxa"/>
              <w:left w:w="15" w:type="dxa"/>
              <w:right w:w="15" w:type="dxa"/>
            </w:tcMar>
            <w:vAlign w:val="center"/>
          </w:tcPr>
          <w:p w14:paraId="08790C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eastAsia="宋体" w:cs="Times New Roman"/>
                <w:i w:val="0"/>
                <w:color w:val="auto"/>
                <w:kern w:val="0"/>
                <w:sz w:val="21"/>
                <w:szCs w:val="21"/>
                <w:highlight w:val="none"/>
                <w:u w:val="none"/>
                <w:lang w:val="en-US" w:eastAsia="zh-CN" w:bidi="ar"/>
              </w:rPr>
              <w:t>/</w:t>
            </w:r>
          </w:p>
        </w:tc>
        <w:tc>
          <w:tcPr>
            <w:tcW w:w="366" w:type="pct"/>
            <w:tcBorders>
              <w:tl2br w:val="nil"/>
              <w:tr2bl w:val="nil"/>
            </w:tcBorders>
            <w:shd w:val="clear" w:color="auto" w:fill="auto"/>
            <w:noWrap/>
            <w:tcMar>
              <w:top w:w="15" w:type="dxa"/>
              <w:left w:w="15" w:type="dxa"/>
              <w:right w:w="15" w:type="dxa"/>
            </w:tcMar>
            <w:vAlign w:val="center"/>
          </w:tcPr>
          <w:p w14:paraId="728613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eastAsia="宋体" w:cs="Times New Roman"/>
                <w:i w:val="0"/>
                <w:color w:val="auto"/>
                <w:sz w:val="21"/>
                <w:szCs w:val="21"/>
                <w:highlight w:val="none"/>
                <w:u w:val="none"/>
                <w:lang w:val="en-US" w:eastAsia="zh-CN"/>
              </w:rPr>
              <w:t>90</w:t>
            </w:r>
          </w:p>
        </w:tc>
        <w:tc>
          <w:tcPr>
            <w:tcW w:w="326" w:type="pct"/>
            <w:vMerge w:val="continue"/>
            <w:tcBorders>
              <w:tl2br w:val="nil"/>
              <w:tr2bl w:val="nil"/>
            </w:tcBorders>
            <w:noWrap w:val="0"/>
            <w:tcMar>
              <w:top w:w="15" w:type="dxa"/>
              <w:left w:w="15" w:type="dxa"/>
              <w:right w:w="15" w:type="dxa"/>
            </w:tcMar>
            <w:vAlign w:val="center"/>
          </w:tcPr>
          <w:p w14:paraId="73C8C0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81" w:type="pct"/>
            <w:tcBorders>
              <w:tl2br w:val="nil"/>
              <w:tr2bl w:val="nil"/>
            </w:tcBorders>
            <w:shd w:val="clear" w:color="auto" w:fill="auto"/>
            <w:noWrap w:val="0"/>
            <w:tcMar>
              <w:top w:w="15" w:type="dxa"/>
              <w:left w:w="15" w:type="dxa"/>
              <w:right w:w="15" w:type="dxa"/>
            </w:tcMar>
            <w:vAlign w:val="center"/>
          </w:tcPr>
          <w:p w14:paraId="34A8DD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eastAsia="宋体" w:cs="Times New Roman"/>
                <w:i w:val="0"/>
                <w:color w:val="auto"/>
                <w:sz w:val="21"/>
                <w:szCs w:val="21"/>
                <w:highlight w:val="none"/>
                <w:u w:val="none"/>
                <w:lang w:val="en-US" w:eastAsia="zh-CN"/>
              </w:rPr>
              <w:t>1.7</w:t>
            </w:r>
          </w:p>
        </w:tc>
        <w:tc>
          <w:tcPr>
            <w:tcW w:w="240" w:type="pct"/>
            <w:tcBorders>
              <w:tl2br w:val="nil"/>
              <w:tr2bl w:val="nil"/>
            </w:tcBorders>
            <w:shd w:val="clear" w:color="auto" w:fill="auto"/>
            <w:noWrap w:val="0"/>
            <w:tcMar>
              <w:top w:w="15" w:type="dxa"/>
              <w:left w:w="15" w:type="dxa"/>
              <w:right w:w="15" w:type="dxa"/>
            </w:tcMar>
            <w:vAlign w:val="center"/>
          </w:tcPr>
          <w:p w14:paraId="68E22C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eastAsia="宋体" w:cs="Times New Roman"/>
                <w:i w:val="0"/>
                <w:color w:val="auto"/>
                <w:sz w:val="21"/>
                <w:szCs w:val="21"/>
                <w:highlight w:val="none"/>
                <w:u w:val="none"/>
                <w:lang w:val="en-US" w:eastAsia="zh-CN"/>
              </w:rPr>
              <w:t>37.2</w:t>
            </w:r>
          </w:p>
        </w:tc>
        <w:tc>
          <w:tcPr>
            <w:tcW w:w="216" w:type="pct"/>
            <w:tcBorders>
              <w:tl2br w:val="nil"/>
              <w:tr2bl w:val="nil"/>
            </w:tcBorders>
            <w:shd w:val="clear" w:color="auto" w:fill="auto"/>
            <w:noWrap w:val="0"/>
            <w:tcMar>
              <w:top w:w="15" w:type="dxa"/>
              <w:left w:w="15" w:type="dxa"/>
              <w:right w:w="15" w:type="dxa"/>
            </w:tcMar>
            <w:vAlign w:val="center"/>
          </w:tcPr>
          <w:p w14:paraId="23FBBA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eastAsia="宋体" w:cs="Times New Roman"/>
                <w:i w:val="0"/>
                <w:color w:val="auto"/>
                <w:sz w:val="21"/>
                <w:szCs w:val="21"/>
                <w:highlight w:val="none"/>
                <w:u w:val="none"/>
                <w:lang w:val="en-US" w:eastAsia="zh-CN"/>
              </w:rPr>
              <w:t>3.0</w:t>
            </w:r>
          </w:p>
        </w:tc>
        <w:tc>
          <w:tcPr>
            <w:tcW w:w="332" w:type="pct"/>
            <w:tcBorders>
              <w:tl2br w:val="nil"/>
              <w:tr2bl w:val="nil"/>
            </w:tcBorders>
            <w:shd w:val="clear" w:color="auto" w:fill="auto"/>
            <w:noWrap/>
            <w:tcMar>
              <w:top w:w="15" w:type="dxa"/>
              <w:left w:w="15" w:type="dxa"/>
              <w:right w:w="15" w:type="dxa"/>
            </w:tcMar>
            <w:vAlign w:val="center"/>
          </w:tcPr>
          <w:p w14:paraId="16F9C0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eastAsia="宋体" w:cs="Times New Roman"/>
                <w:i w:val="0"/>
                <w:color w:val="auto"/>
                <w:sz w:val="21"/>
                <w:szCs w:val="21"/>
                <w:highlight w:val="none"/>
                <w:u w:val="none"/>
                <w:lang w:val="en-US" w:eastAsia="zh-CN"/>
              </w:rPr>
              <w:t>1.7</w:t>
            </w:r>
          </w:p>
        </w:tc>
        <w:tc>
          <w:tcPr>
            <w:tcW w:w="390" w:type="pct"/>
            <w:tcBorders>
              <w:tl2br w:val="nil"/>
              <w:tr2bl w:val="nil"/>
            </w:tcBorders>
            <w:shd w:val="clear" w:color="auto" w:fill="auto"/>
            <w:noWrap/>
            <w:tcMar>
              <w:top w:w="15" w:type="dxa"/>
              <w:left w:w="15" w:type="dxa"/>
              <w:right w:w="15" w:type="dxa"/>
            </w:tcMar>
            <w:vAlign w:val="center"/>
          </w:tcPr>
          <w:p w14:paraId="54CEE5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eastAsia="宋体" w:cs="Times New Roman"/>
                <w:i w:val="0"/>
                <w:color w:val="auto"/>
                <w:sz w:val="21"/>
                <w:szCs w:val="21"/>
                <w:highlight w:val="none"/>
                <w:u w:val="none"/>
                <w:lang w:val="en-US" w:eastAsia="zh-CN"/>
              </w:rPr>
              <w:t>70.91</w:t>
            </w:r>
          </w:p>
        </w:tc>
        <w:tc>
          <w:tcPr>
            <w:tcW w:w="281" w:type="pct"/>
            <w:tcBorders>
              <w:tl2br w:val="nil"/>
              <w:tr2bl w:val="nil"/>
            </w:tcBorders>
            <w:shd w:val="clear" w:color="auto" w:fill="auto"/>
            <w:noWrap w:val="0"/>
            <w:tcMar>
              <w:top w:w="15" w:type="dxa"/>
              <w:left w:w="15" w:type="dxa"/>
              <w:right w:w="15" w:type="dxa"/>
            </w:tcMar>
            <w:vAlign w:val="center"/>
          </w:tcPr>
          <w:p w14:paraId="745F11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eastAsia" w:eastAsia="宋体" w:cs="Times New Roman"/>
                <w:i w:val="0"/>
                <w:color w:val="auto"/>
                <w:sz w:val="21"/>
                <w:szCs w:val="21"/>
                <w:highlight w:val="none"/>
                <w:u w:val="none"/>
                <w:lang w:val="en-US" w:eastAsia="zh-CN"/>
              </w:rPr>
              <w:t>8</w:t>
            </w:r>
          </w:p>
        </w:tc>
        <w:tc>
          <w:tcPr>
            <w:tcW w:w="303" w:type="pct"/>
            <w:vMerge w:val="continue"/>
            <w:tcBorders>
              <w:tl2br w:val="nil"/>
              <w:tr2bl w:val="nil"/>
            </w:tcBorders>
            <w:noWrap w:val="0"/>
            <w:tcMar>
              <w:top w:w="15" w:type="dxa"/>
              <w:left w:w="15" w:type="dxa"/>
              <w:right w:w="15" w:type="dxa"/>
            </w:tcMar>
            <w:vAlign w:val="center"/>
          </w:tcPr>
          <w:p w14:paraId="1D23D9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66" w:type="pct"/>
            <w:vMerge w:val="continue"/>
            <w:tcBorders>
              <w:tl2br w:val="nil"/>
              <w:tr2bl w:val="nil"/>
            </w:tcBorders>
            <w:noWrap/>
            <w:tcMar>
              <w:top w:w="15" w:type="dxa"/>
              <w:left w:w="15" w:type="dxa"/>
              <w:right w:w="15" w:type="dxa"/>
            </w:tcMar>
            <w:vAlign w:val="center"/>
          </w:tcPr>
          <w:p w14:paraId="2531D4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25" w:type="pct"/>
            <w:vMerge w:val="continue"/>
            <w:tcBorders>
              <w:tl2br w:val="nil"/>
              <w:tr2bl w:val="nil"/>
            </w:tcBorders>
            <w:noWrap/>
            <w:tcMar>
              <w:top w:w="15" w:type="dxa"/>
              <w:left w:w="15" w:type="dxa"/>
              <w:right w:w="15" w:type="dxa"/>
            </w:tcMar>
            <w:vAlign w:val="center"/>
          </w:tcPr>
          <w:p w14:paraId="280892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bl>
    <w:p w14:paraId="6472ED4F">
      <w:pPr>
        <w:pStyle w:val="12"/>
        <w:pageBreakBefore w:val="0"/>
        <w:kinsoku/>
        <w:wordWrap/>
        <w:topLinePunct w:val="0"/>
        <w:bidi w:val="0"/>
        <w:adjustRightInd/>
        <w:snapToGrid/>
        <w:spacing w:line="240" w:lineRule="auto"/>
        <w:ind w:left="0" w:leftChars="0" w:right="0" w:rightChars="0" w:firstLine="420" w:firstLineChars="200"/>
        <w:jc w:val="both"/>
        <w:rPr>
          <w:rFonts w:hint="default" w:ascii="Times New Roman" w:hAnsi="Times New Roman" w:eastAsia="宋体" w:cs="Times New Roman"/>
          <w:b/>
          <w:bCs/>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续</w:t>
      </w:r>
      <w:r>
        <w:rPr>
          <w:rFonts w:hint="default" w:ascii="Times New Roman" w:hAnsi="Times New Roman" w:eastAsia="宋体" w:cs="Times New Roman"/>
          <w:snapToGrid w:val="0"/>
          <w:color w:val="auto"/>
          <w:kern w:val="0"/>
          <w:sz w:val="21"/>
          <w:szCs w:val="21"/>
          <w:highlight w:val="none"/>
          <w:lang w:val="en-US" w:eastAsia="zh-CN" w:bidi="ar-SA"/>
        </w:rPr>
        <w:t>表</w:t>
      </w:r>
      <w:r>
        <w:rPr>
          <w:rFonts w:hint="eastAsia" w:ascii="Times New Roman" w:hAnsi="Times New Roman" w:eastAsia="宋体" w:cs="Times New Roman"/>
          <w:snapToGrid w:val="0"/>
          <w:color w:val="auto"/>
          <w:kern w:val="0"/>
          <w:sz w:val="21"/>
          <w:szCs w:val="21"/>
          <w:highlight w:val="none"/>
          <w:lang w:val="en-US" w:eastAsia="zh-CN" w:bidi="ar-SA"/>
        </w:rPr>
        <w:t>2.2-12</w:t>
      </w:r>
      <w:r>
        <w:rPr>
          <w:rFonts w:hint="default" w:ascii="Times New Roman" w:hAnsi="Times New Roman" w:eastAsia="黑体" w:cs="Times New Roman"/>
          <w:bCs/>
          <w:color w:val="auto"/>
          <w:spacing w:val="0"/>
          <w:sz w:val="24"/>
          <w:szCs w:val="24"/>
        </w:rPr>
        <w:t xml:space="preserve">  </w:t>
      </w:r>
      <w:r>
        <w:rPr>
          <w:rFonts w:hint="eastAsia" w:ascii="Times New Roman" w:hAnsi="Times New Roman" w:eastAsia="黑体" w:cs="Times New Roman"/>
          <w:bCs/>
          <w:color w:val="auto"/>
          <w:spacing w:val="0"/>
          <w:sz w:val="24"/>
          <w:szCs w:val="24"/>
          <w:lang w:val="en-US" w:eastAsia="zh-CN"/>
        </w:rPr>
        <w:t xml:space="preserve">                                   </w:t>
      </w:r>
      <w:r>
        <w:rPr>
          <w:rFonts w:hint="default" w:ascii="Times New Roman" w:hAnsi="Times New Roman" w:eastAsia="宋体" w:cs="Times New Roman"/>
          <w:b/>
          <w:bCs/>
          <w:snapToGrid w:val="0"/>
          <w:color w:val="auto"/>
          <w:kern w:val="0"/>
          <w:sz w:val="24"/>
          <w:szCs w:val="24"/>
          <w:highlight w:val="none"/>
          <w:lang w:val="en-US" w:eastAsia="zh-CN" w:bidi="ar-SA"/>
        </w:rPr>
        <w:t>本项目室内工业噪声源调查清单表</w:t>
      </w:r>
    </w:p>
    <w:tbl>
      <w:tblPr>
        <w:tblStyle w:val="27"/>
        <w:tblW w:w="50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83"/>
        <w:gridCol w:w="7"/>
        <w:gridCol w:w="777"/>
        <w:gridCol w:w="452"/>
        <w:gridCol w:w="2234"/>
        <w:gridCol w:w="818"/>
        <w:gridCol w:w="1025"/>
        <w:gridCol w:w="913"/>
        <w:gridCol w:w="787"/>
        <w:gridCol w:w="672"/>
        <w:gridCol w:w="717"/>
        <w:gridCol w:w="821"/>
        <w:gridCol w:w="1092"/>
        <w:gridCol w:w="851"/>
        <w:gridCol w:w="1040"/>
        <w:gridCol w:w="771"/>
        <w:gridCol w:w="876"/>
      </w:tblGrid>
      <w:tr w14:paraId="021296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34" w:type="pct"/>
            <w:vMerge w:val="restart"/>
            <w:tcBorders>
              <w:tl2br w:val="nil"/>
              <w:tr2bl w:val="nil"/>
            </w:tcBorders>
            <w:noWrap w:val="0"/>
            <w:tcMar>
              <w:top w:w="15" w:type="dxa"/>
              <w:left w:w="15" w:type="dxa"/>
              <w:right w:w="15" w:type="dxa"/>
            </w:tcMar>
            <w:vAlign w:val="center"/>
          </w:tcPr>
          <w:p w14:paraId="14C3AF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275" w:type="pct"/>
            <w:gridSpan w:val="2"/>
            <w:vMerge w:val="restart"/>
            <w:tcBorders>
              <w:tl2br w:val="nil"/>
              <w:tr2bl w:val="nil"/>
            </w:tcBorders>
            <w:noWrap w:val="0"/>
            <w:tcMar>
              <w:top w:w="15" w:type="dxa"/>
              <w:left w:w="15" w:type="dxa"/>
              <w:right w:w="15" w:type="dxa"/>
            </w:tcMar>
            <w:vAlign w:val="center"/>
          </w:tcPr>
          <w:p w14:paraId="1BA366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建筑物名称</w:t>
            </w:r>
          </w:p>
        </w:tc>
        <w:tc>
          <w:tcPr>
            <w:tcW w:w="943" w:type="pct"/>
            <w:gridSpan w:val="2"/>
            <w:vMerge w:val="restart"/>
            <w:tcBorders>
              <w:tl2br w:val="nil"/>
              <w:tr2bl w:val="nil"/>
            </w:tcBorders>
            <w:noWrap w:val="0"/>
            <w:tcMar>
              <w:top w:w="15" w:type="dxa"/>
              <w:left w:w="15" w:type="dxa"/>
              <w:right w:w="15" w:type="dxa"/>
            </w:tcMar>
            <w:vAlign w:val="center"/>
          </w:tcPr>
          <w:p w14:paraId="24AE60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声源名称</w:t>
            </w:r>
          </w:p>
        </w:tc>
        <w:tc>
          <w:tcPr>
            <w:tcW w:w="287" w:type="pct"/>
            <w:vMerge w:val="restart"/>
            <w:tcBorders>
              <w:tl2br w:val="nil"/>
              <w:tr2bl w:val="nil"/>
            </w:tcBorders>
            <w:noWrap w:val="0"/>
            <w:tcMar>
              <w:top w:w="15" w:type="dxa"/>
              <w:left w:w="15" w:type="dxa"/>
              <w:right w:w="15" w:type="dxa"/>
            </w:tcMar>
            <w:vAlign w:val="center"/>
          </w:tcPr>
          <w:p w14:paraId="64832C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型号</w:t>
            </w:r>
          </w:p>
        </w:tc>
        <w:tc>
          <w:tcPr>
            <w:tcW w:w="360" w:type="pct"/>
            <w:vMerge w:val="restart"/>
            <w:tcBorders>
              <w:tl2br w:val="nil"/>
              <w:tr2bl w:val="nil"/>
            </w:tcBorders>
            <w:noWrap w:val="0"/>
            <w:tcMar>
              <w:top w:w="15" w:type="dxa"/>
              <w:left w:w="15" w:type="dxa"/>
              <w:right w:w="15" w:type="dxa"/>
            </w:tcMar>
            <w:vAlign w:val="center"/>
          </w:tcPr>
          <w:p w14:paraId="438E78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声功率级/dB(A)</w:t>
            </w:r>
          </w:p>
        </w:tc>
        <w:tc>
          <w:tcPr>
            <w:tcW w:w="320" w:type="pct"/>
            <w:vMerge w:val="restart"/>
            <w:tcBorders>
              <w:tl2br w:val="nil"/>
              <w:tr2bl w:val="nil"/>
            </w:tcBorders>
            <w:noWrap w:val="0"/>
            <w:tcMar>
              <w:top w:w="15" w:type="dxa"/>
              <w:left w:w="15" w:type="dxa"/>
              <w:right w:w="15" w:type="dxa"/>
            </w:tcMar>
            <w:vAlign w:val="center"/>
          </w:tcPr>
          <w:p w14:paraId="30E870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声源控制措施</w:t>
            </w:r>
          </w:p>
        </w:tc>
        <w:tc>
          <w:tcPr>
            <w:tcW w:w="764" w:type="pct"/>
            <w:gridSpan w:val="3"/>
            <w:tcBorders>
              <w:tl2br w:val="nil"/>
              <w:tr2bl w:val="nil"/>
            </w:tcBorders>
            <w:noWrap w:val="0"/>
            <w:tcMar>
              <w:top w:w="15" w:type="dxa"/>
              <w:left w:w="15" w:type="dxa"/>
              <w:right w:w="15" w:type="dxa"/>
            </w:tcMar>
            <w:vAlign w:val="center"/>
          </w:tcPr>
          <w:p w14:paraId="7C5DC9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空间相对位置/m</w:t>
            </w:r>
          </w:p>
        </w:tc>
        <w:tc>
          <w:tcPr>
            <w:tcW w:w="288" w:type="pct"/>
            <w:vMerge w:val="restart"/>
            <w:tcBorders>
              <w:tl2br w:val="nil"/>
              <w:tr2bl w:val="nil"/>
            </w:tcBorders>
            <w:noWrap w:val="0"/>
            <w:tcMar>
              <w:top w:w="15" w:type="dxa"/>
              <w:left w:w="15" w:type="dxa"/>
              <w:right w:w="15" w:type="dxa"/>
            </w:tcMar>
            <w:vAlign w:val="center"/>
          </w:tcPr>
          <w:p w14:paraId="047F2B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距室内边界距离/m</w:t>
            </w:r>
          </w:p>
        </w:tc>
        <w:tc>
          <w:tcPr>
            <w:tcW w:w="383" w:type="pct"/>
            <w:vMerge w:val="restart"/>
            <w:tcBorders>
              <w:tl2br w:val="nil"/>
              <w:tr2bl w:val="nil"/>
            </w:tcBorders>
            <w:noWrap w:val="0"/>
            <w:tcMar>
              <w:top w:w="15" w:type="dxa"/>
              <w:left w:w="15" w:type="dxa"/>
              <w:right w:w="15" w:type="dxa"/>
            </w:tcMar>
            <w:vAlign w:val="center"/>
          </w:tcPr>
          <w:p w14:paraId="011012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室内边界声级/dB（A）</w:t>
            </w:r>
          </w:p>
        </w:tc>
        <w:tc>
          <w:tcPr>
            <w:tcW w:w="298" w:type="pct"/>
            <w:vMerge w:val="restart"/>
            <w:tcBorders>
              <w:tl2br w:val="nil"/>
              <w:tr2bl w:val="nil"/>
            </w:tcBorders>
            <w:noWrap w:val="0"/>
            <w:tcMar>
              <w:top w:w="15" w:type="dxa"/>
              <w:left w:w="15" w:type="dxa"/>
              <w:right w:w="15" w:type="dxa"/>
            </w:tcMar>
            <w:vAlign w:val="center"/>
          </w:tcPr>
          <w:p w14:paraId="4AE115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运行时段/h/d</w:t>
            </w:r>
          </w:p>
        </w:tc>
        <w:tc>
          <w:tcPr>
            <w:tcW w:w="365" w:type="pct"/>
            <w:vMerge w:val="restart"/>
            <w:tcBorders>
              <w:tl2br w:val="nil"/>
              <w:tr2bl w:val="nil"/>
            </w:tcBorders>
            <w:noWrap w:val="0"/>
            <w:tcMar>
              <w:top w:w="15" w:type="dxa"/>
              <w:left w:w="15" w:type="dxa"/>
              <w:right w:w="15" w:type="dxa"/>
            </w:tcMar>
            <w:vAlign w:val="center"/>
          </w:tcPr>
          <w:p w14:paraId="6CC279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建筑物插入损失/dB(A)</w:t>
            </w:r>
          </w:p>
        </w:tc>
        <w:tc>
          <w:tcPr>
            <w:tcW w:w="578" w:type="pct"/>
            <w:gridSpan w:val="2"/>
            <w:tcBorders>
              <w:tl2br w:val="nil"/>
              <w:tr2bl w:val="nil"/>
            </w:tcBorders>
            <w:noWrap w:val="0"/>
            <w:tcMar>
              <w:top w:w="15" w:type="dxa"/>
              <w:left w:w="15" w:type="dxa"/>
              <w:right w:w="15" w:type="dxa"/>
            </w:tcMar>
            <w:vAlign w:val="center"/>
          </w:tcPr>
          <w:p w14:paraId="104606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建筑物外噪声</w:t>
            </w:r>
          </w:p>
        </w:tc>
      </w:tr>
      <w:tr w14:paraId="619EEE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134" w:type="pct"/>
            <w:vMerge w:val="continue"/>
            <w:tcBorders>
              <w:tl2br w:val="nil"/>
              <w:tr2bl w:val="nil"/>
            </w:tcBorders>
            <w:noWrap w:val="0"/>
            <w:tcMar>
              <w:top w:w="15" w:type="dxa"/>
              <w:left w:w="15" w:type="dxa"/>
              <w:right w:w="15" w:type="dxa"/>
            </w:tcMar>
            <w:vAlign w:val="center"/>
          </w:tcPr>
          <w:p w14:paraId="768254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75" w:type="pct"/>
            <w:gridSpan w:val="2"/>
            <w:vMerge w:val="continue"/>
            <w:tcBorders>
              <w:tl2br w:val="nil"/>
              <w:tr2bl w:val="nil"/>
            </w:tcBorders>
            <w:noWrap w:val="0"/>
            <w:tcMar>
              <w:top w:w="15" w:type="dxa"/>
              <w:left w:w="15" w:type="dxa"/>
              <w:right w:w="15" w:type="dxa"/>
            </w:tcMar>
            <w:vAlign w:val="center"/>
          </w:tcPr>
          <w:p w14:paraId="229F57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943" w:type="pct"/>
            <w:gridSpan w:val="2"/>
            <w:vMerge w:val="continue"/>
            <w:tcBorders>
              <w:tl2br w:val="nil"/>
              <w:tr2bl w:val="nil"/>
            </w:tcBorders>
            <w:noWrap w:val="0"/>
            <w:tcMar>
              <w:top w:w="15" w:type="dxa"/>
              <w:left w:w="15" w:type="dxa"/>
              <w:right w:w="15" w:type="dxa"/>
            </w:tcMar>
            <w:vAlign w:val="center"/>
          </w:tcPr>
          <w:p w14:paraId="76DF9A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87" w:type="pct"/>
            <w:vMerge w:val="continue"/>
            <w:tcBorders>
              <w:tl2br w:val="nil"/>
              <w:tr2bl w:val="nil"/>
            </w:tcBorders>
            <w:noWrap w:val="0"/>
            <w:tcMar>
              <w:top w:w="15" w:type="dxa"/>
              <w:left w:w="15" w:type="dxa"/>
              <w:right w:w="15" w:type="dxa"/>
            </w:tcMar>
            <w:vAlign w:val="center"/>
          </w:tcPr>
          <w:p w14:paraId="566194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p>
        </w:tc>
        <w:tc>
          <w:tcPr>
            <w:tcW w:w="360" w:type="pct"/>
            <w:vMerge w:val="continue"/>
            <w:tcBorders>
              <w:tl2br w:val="nil"/>
              <w:tr2bl w:val="nil"/>
            </w:tcBorders>
            <w:noWrap w:val="0"/>
            <w:tcMar>
              <w:top w:w="15" w:type="dxa"/>
              <w:left w:w="15" w:type="dxa"/>
              <w:right w:w="15" w:type="dxa"/>
            </w:tcMar>
            <w:vAlign w:val="center"/>
          </w:tcPr>
          <w:p w14:paraId="74D348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p>
        </w:tc>
        <w:tc>
          <w:tcPr>
            <w:tcW w:w="320" w:type="pct"/>
            <w:vMerge w:val="continue"/>
            <w:tcBorders>
              <w:tl2br w:val="nil"/>
              <w:tr2bl w:val="nil"/>
            </w:tcBorders>
            <w:noWrap w:val="0"/>
            <w:tcMar>
              <w:top w:w="15" w:type="dxa"/>
              <w:left w:w="15" w:type="dxa"/>
              <w:right w:w="15" w:type="dxa"/>
            </w:tcMar>
            <w:vAlign w:val="center"/>
          </w:tcPr>
          <w:p w14:paraId="4CF8D2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76" w:type="pct"/>
            <w:tcBorders>
              <w:tl2br w:val="nil"/>
              <w:tr2bl w:val="nil"/>
            </w:tcBorders>
            <w:noWrap w:val="0"/>
            <w:tcMar>
              <w:top w:w="15" w:type="dxa"/>
              <w:left w:w="15" w:type="dxa"/>
              <w:right w:w="15" w:type="dxa"/>
            </w:tcMar>
            <w:vAlign w:val="center"/>
          </w:tcPr>
          <w:p w14:paraId="4D2E17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color w:val="auto"/>
                <w:sz w:val="21"/>
                <w:szCs w:val="21"/>
                <w:highlight w:val="none"/>
                <w:u w:val="none"/>
              </w:rPr>
            </w:pPr>
            <w:r>
              <w:rPr>
                <w:rFonts w:hint="default" w:ascii="Times New Roman" w:hAnsi="Times New Roman" w:eastAsia="宋体" w:cs="Times New Roman"/>
                <w:b/>
                <w:bCs/>
                <w:i/>
                <w:color w:val="auto"/>
                <w:kern w:val="0"/>
                <w:sz w:val="21"/>
                <w:szCs w:val="21"/>
                <w:highlight w:val="none"/>
                <w:u w:val="none"/>
                <w:lang w:val="en-US" w:eastAsia="zh-CN" w:bidi="ar"/>
              </w:rPr>
              <w:t>X</w:t>
            </w:r>
          </w:p>
        </w:tc>
        <w:tc>
          <w:tcPr>
            <w:tcW w:w="236" w:type="pct"/>
            <w:tcBorders>
              <w:tl2br w:val="nil"/>
              <w:tr2bl w:val="nil"/>
            </w:tcBorders>
            <w:noWrap w:val="0"/>
            <w:tcMar>
              <w:top w:w="15" w:type="dxa"/>
              <w:left w:w="15" w:type="dxa"/>
              <w:right w:w="15" w:type="dxa"/>
            </w:tcMar>
            <w:vAlign w:val="center"/>
          </w:tcPr>
          <w:p w14:paraId="683810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color w:val="auto"/>
                <w:sz w:val="21"/>
                <w:szCs w:val="21"/>
                <w:highlight w:val="none"/>
                <w:u w:val="none"/>
              </w:rPr>
            </w:pPr>
            <w:r>
              <w:rPr>
                <w:rFonts w:hint="default" w:ascii="Times New Roman" w:hAnsi="Times New Roman" w:eastAsia="宋体" w:cs="Times New Roman"/>
                <w:b/>
                <w:bCs/>
                <w:i/>
                <w:color w:val="auto"/>
                <w:kern w:val="0"/>
                <w:sz w:val="21"/>
                <w:szCs w:val="21"/>
                <w:highlight w:val="none"/>
                <w:u w:val="none"/>
                <w:lang w:val="en-US" w:eastAsia="zh-CN" w:bidi="ar"/>
              </w:rPr>
              <w:t>Y</w:t>
            </w:r>
          </w:p>
        </w:tc>
        <w:tc>
          <w:tcPr>
            <w:tcW w:w="251" w:type="pct"/>
            <w:tcBorders>
              <w:tl2br w:val="nil"/>
              <w:tr2bl w:val="nil"/>
            </w:tcBorders>
            <w:noWrap w:val="0"/>
            <w:tcMar>
              <w:top w:w="15" w:type="dxa"/>
              <w:left w:w="15" w:type="dxa"/>
              <w:right w:w="15" w:type="dxa"/>
            </w:tcMar>
            <w:vAlign w:val="center"/>
          </w:tcPr>
          <w:p w14:paraId="2F843F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color w:val="auto"/>
                <w:sz w:val="21"/>
                <w:szCs w:val="21"/>
                <w:highlight w:val="none"/>
                <w:u w:val="none"/>
              </w:rPr>
            </w:pPr>
            <w:r>
              <w:rPr>
                <w:rFonts w:hint="default" w:ascii="Times New Roman" w:hAnsi="Times New Roman" w:eastAsia="宋体" w:cs="Times New Roman"/>
                <w:b/>
                <w:bCs/>
                <w:i/>
                <w:color w:val="auto"/>
                <w:kern w:val="0"/>
                <w:sz w:val="21"/>
                <w:szCs w:val="21"/>
                <w:highlight w:val="none"/>
                <w:u w:val="none"/>
                <w:lang w:val="en-US" w:eastAsia="zh-CN" w:bidi="ar"/>
              </w:rPr>
              <w:t>Z</w:t>
            </w:r>
          </w:p>
        </w:tc>
        <w:tc>
          <w:tcPr>
            <w:tcW w:w="288" w:type="pct"/>
            <w:vMerge w:val="continue"/>
            <w:tcBorders>
              <w:tl2br w:val="nil"/>
              <w:tr2bl w:val="nil"/>
            </w:tcBorders>
            <w:noWrap w:val="0"/>
            <w:tcMar>
              <w:top w:w="15" w:type="dxa"/>
              <w:left w:w="15" w:type="dxa"/>
              <w:right w:w="15" w:type="dxa"/>
            </w:tcMar>
            <w:vAlign w:val="center"/>
          </w:tcPr>
          <w:p w14:paraId="520075C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383" w:type="pct"/>
            <w:vMerge w:val="continue"/>
            <w:tcBorders>
              <w:tl2br w:val="nil"/>
              <w:tr2bl w:val="nil"/>
            </w:tcBorders>
            <w:noWrap w:val="0"/>
            <w:tcMar>
              <w:top w:w="15" w:type="dxa"/>
              <w:left w:w="15" w:type="dxa"/>
              <w:right w:w="15" w:type="dxa"/>
            </w:tcMar>
            <w:vAlign w:val="center"/>
          </w:tcPr>
          <w:p w14:paraId="5030D6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98" w:type="pct"/>
            <w:vMerge w:val="continue"/>
            <w:tcBorders>
              <w:tl2br w:val="nil"/>
              <w:tr2bl w:val="nil"/>
            </w:tcBorders>
            <w:noWrap w:val="0"/>
            <w:tcMar>
              <w:top w:w="15" w:type="dxa"/>
              <w:left w:w="15" w:type="dxa"/>
              <w:right w:w="15" w:type="dxa"/>
            </w:tcMar>
            <w:vAlign w:val="center"/>
          </w:tcPr>
          <w:p w14:paraId="3FF2E7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365" w:type="pct"/>
            <w:vMerge w:val="continue"/>
            <w:tcBorders>
              <w:tl2br w:val="nil"/>
              <w:tr2bl w:val="nil"/>
            </w:tcBorders>
            <w:noWrap w:val="0"/>
            <w:tcMar>
              <w:top w:w="15" w:type="dxa"/>
              <w:left w:w="15" w:type="dxa"/>
              <w:right w:w="15" w:type="dxa"/>
            </w:tcMar>
            <w:vAlign w:val="center"/>
          </w:tcPr>
          <w:p w14:paraId="775F2BC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color w:val="auto"/>
                <w:sz w:val="21"/>
                <w:szCs w:val="21"/>
                <w:highlight w:val="none"/>
                <w:u w:val="none"/>
              </w:rPr>
            </w:pPr>
          </w:p>
        </w:tc>
        <w:tc>
          <w:tcPr>
            <w:tcW w:w="270" w:type="pct"/>
            <w:tcBorders>
              <w:tl2br w:val="nil"/>
              <w:tr2bl w:val="nil"/>
            </w:tcBorders>
            <w:noWrap w:val="0"/>
            <w:tcMar>
              <w:top w:w="15" w:type="dxa"/>
              <w:left w:w="15" w:type="dxa"/>
              <w:right w:w="15" w:type="dxa"/>
            </w:tcMar>
            <w:vAlign w:val="center"/>
          </w:tcPr>
          <w:p w14:paraId="7BBE8F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声压级/dB(A)</w:t>
            </w:r>
          </w:p>
        </w:tc>
        <w:tc>
          <w:tcPr>
            <w:tcW w:w="307" w:type="pct"/>
            <w:tcBorders>
              <w:tl2br w:val="nil"/>
              <w:tr2bl w:val="nil"/>
            </w:tcBorders>
            <w:noWrap w:val="0"/>
            <w:tcMar>
              <w:top w:w="15" w:type="dxa"/>
              <w:left w:w="15" w:type="dxa"/>
              <w:right w:w="15" w:type="dxa"/>
            </w:tcMar>
            <w:vAlign w:val="center"/>
          </w:tcPr>
          <w:p w14:paraId="4E5031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ascii="Times New Roman" w:hAnsi="Times New Roman" w:eastAsia="宋体" w:cs="Times New Roman"/>
                <w:b/>
                <w:bCs/>
                <w:i w:val="0"/>
                <w:color w:val="auto"/>
                <w:kern w:val="0"/>
                <w:sz w:val="21"/>
                <w:szCs w:val="21"/>
                <w:highlight w:val="none"/>
                <w:u w:val="none"/>
                <w:lang w:val="en-US" w:eastAsia="zh-CN" w:bidi="ar"/>
              </w:rPr>
              <w:t>建筑物外距离</w:t>
            </w:r>
          </w:p>
        </w:tc>
      </w:tr>
      <w:tr w14:paraId="40BA3C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4" w:type="pct"/>
            <w:vAlign w:val="center"/>
          </w:tcPr>
          <w:p w14:paraId="212D72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20</w:t>
            </w:r>
          </w:p>
        </w:tc>
        <w:tc>
          <w:tcPr>
            <w:tcW w:w="275" w:type="pct"/>
            <w:gridSpan w:val="2"/>
            <w:vMerge w:val="restart"/>
            <w:vAlign w:val="center"/>
          </w:tcPr>
          <w:p w14:paraId="6AE6EDA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屠宰</w:t>
            </w:r>
            <w:r>
              <w:rPr>
                <w:rFonts w:hint="eastAsia" w:ascii="Times New Roman" w:hAnsi="Times New Roman" w:eastAsia="宋体" w:cs="Times New Roman"/>
                <w:i w:val="0"/>
                <w:color w:val="auto"/>
                <w:sz w:val="21"/>
                <w:szCs w:val="21"/>
                <w:highlight w:val="none"/>
                <w:u w:val="none"/>
                <w:lang w:val="en-US" w:eastAsia="zh-CN"/>
              </w:rPr>
              <w:t>加工</w:t>
            </w:r>
            <w:r>
              <w:rPr>
                <w:rFonts w:hint="default" w:ascii="Times New Roman" w:hAnsi="Times New Roman" w:eastAsia="宋体" w:cs="Times New Roman"/>
                <w:i w:val="0"/>
                <w:color w:val="auto"/>
                <w:sz w:val="21"/>
                <w:szCs w:val="21"/>
                <w:highlight w:val="none"/>
                <w:u w:val="none"/>
                <w:lang w:val="en-US" w:eastAsia="zh-CN"/>
              </w:rPr>
              <w:t>车间</w:t>
            </w:r>
          </w:p>
        </w:tc>
        <w:tc>
          <w:tcPr>
            <w:tcW w:w="158" w:type="pct"/>
            <w:vMerge w:val="restart"/>
            <w:shd w:val="clear" w:color="auto" w:fill="auto"/>
            <w:vAlign w:val="center"/>
          </w:tcPr>
          <w:p w14:paraId="53B568E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二层</w:t>
            </w:r>
          </w:p>
        </w:tc>
        <w:tc>
          <w:tcPr>
            <w:tcW w:w="784" w:type="pct"/>
            <w:shd w:val="clear" w:color="auto" w:fill="auto"/>
            <w:vAlign w:val="center"/>
          </w:tcPr>
          <w:p w14:paraId="1C54EBA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宰杀放血输送线</w:t>
            </w:r>
          </w:p>
        </w:tc>
        <w:tc>
          <w:tcPr>
            <w:tcW w:w="287" w:type="pct"/>
            <w:shd w:val="clear" w:color="auto" w:fill="auto"/>
            <w:vAlign w:val="center"/>
          </w:tcPr>
          <w:p w14:paraId="36CD30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shd w:val="clear" w:color="auto" w:fill="auto"/>
            <w:vAlign w:val="center"/>
          </w:tcPr>
          <w:p w14:paraId="53AB8A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0" w:type="pct"/>
            <w:vMerge w:val="restart"/>
            <w:shd w:val="clear" w:color="auto" w:fill="auto"/>
            <w:vAlign w:val="center"/>
          </w:tcPr>
          <w:p w14:paraId="01B5A1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墙体隔声，基础减振</w:t>
            </w:r>
          </w:p>
        </w:tc>
        <w:tc>
          <w:tcPr>
            <w:tcW w:w="276" w:type="pct"/>
            <w:shd w:val="clear" w:color="auto" w:fill="auto"/>
            <w:vAlign w:val="center"/>
          </w:tcPr>
          <w:p w14:paraId="714D46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32.1</w:t>
            </w:r>
          </w:p>
        </w:tc>
        <w:tc>
          <w:tcPr>
            <w:tcW w:w="236" w:type="pct"/>
            <w:shd w:val="clear" w:color="auto" w:fill="auto"/>
            <w:vAlign w:val="center"/>
          </w:tcPr>
          <w:p w14:paraId="17C2D5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21.4</w:t>
            </w:r>
          </w:p>
        </w:tc>
        <w:tc>
          <w:tcPr>
            <w:tcW w:w="251" w:type="pct"/>
            <w:shd w:val="clear" w:color="auto" w:fill="auto"/>
            <w:vAlign w:val="center"/>
          </w:tcPr>
          <w:p w14:paraId="1F0AB0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6.2</w:t>
            </w:r>
          </w:p>
        </w:tc>
        <w:tc>
          <w:tcPr>
            <w:tcW w:w="288" w:type="pct"/>
            <w:shd w:val="clear" w:color="auto" w:fill="auto"/>
            <w:vAlign w:val="center"/>
          </w:tcPr>
          <w:p w14:paraId="158796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12.9</w:t>
            </w:r>
          </w:p>
        </w:tc>
        <w:tc>
          <w:tcPr>
            <w:tcW w:w="383" w:type="pct"/>
            <w:shd w:val="clear" w:color="auto" w:fill="auto"/>
            <w:vAlign w:val="center"/>
          </w:tcPr>
          <w:p w14:paraId="770D80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5.21</w:t>
            </w:r>
          </w:p>
        </w:tc>
        <w:tc>
          <w:tcPr>
            <w:tcW w:w="298" w:type="pct"/>
            <w:shd w:val="clear" w:color="auto" w:fill="auto"/>
            <w:vAlign w:val="center"/>
          </w:tcPr>
          <w:p w14:paraId="07D7CB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restart"/>
            <w:vAlign w:val="center"/>
          </w:tcPr>
          <w:p w14:paraId="70064B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eastAsia="宋体" w:cs="Times New Roman"/>
                <w:i w:val="0"/>
                <w:color w:val="auto"/>
                <w:sz w:val="21"/>
                <w:szCs w:val="21"/>
                <w:highlight w:val="none"/>
                <w:u w:val="none"/>
                <w:lang w:val="en-US" w:eastAsia="zh-CN"/>
              </w:rPr>
              <w:t>15</w:t>
            </w:r>
          </w:p>
        </w:tc>
        <w:tc>
          <w:tcPr>
            <w:tcW w:w="270" w:type="pct"/>
            <w:vMerge w:val="restart"/>
            <w:vAlign w:val="center"/>
          </w:tcPr>
          <w:p w14:paraId="355EA6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eastAsia="宋体" w:cs="Times New Roman"/>
                <w:i w:val="0"/>
                <w:color w:val="auto"/>
                <w:sz w:val="21"/>
                <w:szCs w:val="21"/>
                <w:highlight w:val="none"/>
                <w:u w:val="none"/>
                <w:lang w:val="en-US" w:eastAsia="zh-CN"/>
              </w:rPr>
              <w:t>58</w:t>
            </w:r>
            <w:r>
              <w:rPr>
                <w:rFonts w:hint="eastAsia" w:ascii="Times New Roman" w:hAnsi="Times New Roman" w:eastAsia="宋体" w:cs="Times New Roman"/>
                <w:i w:val="0"/>
                <w:color w:val="auto"/>
                <w:sz w:val="21"/>
                <w:szCs w:val="21"/>
                <w:highlight w:val="none"/>
                <w:u w:val="none"/>
                <w:lang w:val="en-US" w:eastAsia="zh-CN"/>
              </w:rPr>
              <w:t>.89</w:t>
            </w:r>
          </w:p>
        </w:tc>
        <w:tc>
          <w:tcPr>
            <w:tcW w:w="307" w:type="pct"/>
            <w:vMerge w:val="restart"/>
            <w:vAlign w:val="center"/>
          </w:tcPr>
          <w:p w14:paraId="2C2EED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1m</w:t>
            </w:r>
          </w:p>
        </w:tc>
      </w:tr>
      <w:tr w14:paraId="51717C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3760BD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21</w:t>
            </w:r>
          </w:p>
        </w:tc>
        <w:tc>
          <w:tcPr>
            <w:tcW w:w="275" w:type="pct"/>
            <w:gridSpan w:val="2"/>
            <w:vMerge w:val="continue"/>
            <w:vAlign w:val="center"/>
          </w:tcPr>
          <w:p w14:paraId="333F85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17DF3FB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714A921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一次转挂后腿-换轨站台</w:t>
            </w:r>
          </w:p>
        </w:tc>
        <w:tc>
          <w:tcPr>
            <w:tcW w:w="287" w:type="pct"/>
            <w:vAlign w:val="center"/>
          </w:tcPr>
          <w:p w14:paraId="49C538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632170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0" w:type="pct"/>
            <w:vMerge w:val="continue"/>
            <w:vAlign w:val="center"/>
          </w:tcPr>
          <w:p w14:paraId="06A5DD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7EF366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29.6</w:t>
            </w:r>
          </w:p>
        </w:tc>
        <w:tc>
          <w:tcPr>
            <w:tcW w:w="236" w:type="pct"/>
            <w:vAlign w:val="center"/>
          </w:tcPr>
          <w:p w14:paraId="3EB2F6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22.3</w:t>
            </w:r>
          </w:p>
        </w:tc>
        <w:tc>
          <w:tcPr>
            <w:tcW w:w="251" w:type="pct"/>
            <w:vAlign w:val="center"/>
          </w:tcPr>
          <w:p w14:paraId="6F18F0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10.2</w:t>
            </w:r>
          </w:p>
        </w:tc>
        <w:tc>
          <w:tcPr>
            <w:tcW w:w="288" w:type="pct"/>
            <w:vAlign w:val="center"/>
          </w:tcPr>
          <w:p w14:paraId="1011CE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5.8</w:t>
            </w:r>
          </w:p>
        </w:tc>
        <w:tc>
          <w:tcPr>
            <w:tcW w:w="383" w:type="pct"/>
            <w:vAlign w:val="center"/>
          </w:tcPr>
          <w:p w14:paraId="6CBBF1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6.69</w:t>
            </w:r>
          </w:p>
        </w:tc>
        <w:tc>
          <w:tcPr>
            <w:tcW w:w="298" w:type="pct"/>
            <w:vAlign w:val="center"/>
          </w:tcPr>
          <w:p w14:paraId="5CF890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572B0C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5DC92D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4BEB6B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505DDE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22D052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22</w:t>
            </w:r>
          </w:p>
        </w:tc>
        <w:tc>
          <w:tcPr>
            <w:tcW w:w="275" w:type="pct"/>
            <w:gridSpan w:val="2"/>
            <w:vMerge w:val="continue"/>
            <w:vAlign w:val="center"/>
          </w:tcPr>
          <w:p w14:paraId="302BEE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3A44893C">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17A20D2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羊气动斜拉式扯皮机</w:t>
            </w:r>
          </w:p>
        </w:tc>
        <w:tc>
          <w:tcPr>
            <w:tcW w:w="287" w:type="pct"/>
            <w:vAlign w:val="center"/>
          </w:tcPr>
          <w:p w14:paraId="0C514A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438220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0" w:type="pct"/>
            <w:vMerge w:val="continue"/>
            <w:vAlign w:val="center"/>
          </w:tcPr>
          <w:p w14:paraId="3E68BA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7C54BD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27.8</w:t>
            </w:r>
          </w:p>
        </w:tc>
        <w:tc>
          <w:tcPr>
            <w:tcW w:w="236" w:type="pct"/>
            <w:vAlign w:val="center"/>
          </w:tcPr>
          <w:p w14:paraId="007000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31.2</w:t>
            </w:r>
          </w:p>
        </w:tc>
        <w:tc>
          <w:tcPr>
            <w:tcW w:w="251" w:type="pct"/>
            <w:vAlign w:val="center"/>
          </w:tcPr>
          <w:p w14:paraId="758099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10.2</w:t>
            </w:r>
          </w:p>
        </w:tc>
        <w:tc>
          <w:tcPr>
            <w:tcW w:w="288" w:type="pct"/>
            <w:vAlign w:val="center"/>
          </w:tcPr>
          <w:p w14:paraId="5FB67E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14.1</w:t>
            </w:r>
          </w:p>
        </w:tc>
        <w:tc>
          <w:tcPr>
            <w:tcW w:w="383" w:type="pct"/>
            <w:vAlign w:val="center"/>
          </w:tcPr>
          <w:p w14:paraId="3D9C98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4.87</w:t>
            </w:r>
          </w:p>
        </w:tc>
        <w:tc>
          <w:tcPr>
            <w:tcW w:w="298" w:type="pct"/>
            <w:vAlign w:val="center"/>
          </w:tcPr>
          <w:p w14:paraId="6CA9C9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73B9C5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7BD6E5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2C69B9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090C8D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26B46E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23</w:t>
            </w:r>
          </w:p>
        </w:tc>
        <w:tc>
          <w:tcPr>
            <w:tcW w:w="275" w:type="pct"/>
            <w:gridSpan w:val="2"/>
            <w:vMerge w:val="continue"/>
            <w:vAlign w:val="center"/>
          </w:tcPr>
          <w:p w14:paraId="383DB2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06D084DE">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11A57DF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水平预剥后蹄输送线</w:t>
            </w:r>
          </w:p>
        </w:tc>
        <w:tc>
          <w:tcPr>
            <w:tcW w:w="287" w:type="pct"/>
            <w:vAlign w:val="center"/>
          </w:tcPr>
          <w:p w14:paraId="25DD93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60277B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0" w:type="pct"/>
            <w:vMerge w:val="continue"/>
            <w:vAlign w:val="center"/>
          </w:tcPr>
          <w:p w14:paraId="707D73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3EC917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30.6</w:t>
            </w:r>
          </w:p>
        </w:tc>
        <w:tc>
          <w:tcPr>
            <w:tcW w:w="236" w:type="pct"/>
            <w:vAlign w:val="center"/>
          </w:tcPr>
          <w:p w14:paraId="3AEAD7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27.8</w:t>
            </w:r>
          </w:p>
        </w:tc>
        <w:tc>
          <w:tcPr>
            <w:tcW w:w="251" w:type="pct"/>
            <w:vAlign w:val="center"/>
          </w:tcPr>
          <w:p w14:paraId="28B1CF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6.2</w:t>
            </w:r>
          </w:p>
        </w:tc>
        <w:tc>
          <w:tcPr>
            <w:tcW w:w="288" w:type="pct"/>
            <w:vAlign w:val="center"/>
          </w:tcPr>
          <w:p w14:paraId="5C2BB8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20.6</w:t>
            </w:r>
          </w:p>
        </w:tc>
        <w:tc>
          <w:tcPr>
            <w:tcW w:w="383" w:type="pct"/>
            <w:vAlign w:val="center"/>
          </w:tcPr>
          <w:p w14:paraId="35AD97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2.96</w:t>
            </w:r>
          </w:p>
        </w:tc>
        <w:tc>
          <w:tcPr>
            <w:tcW w:w="298" w:type="pct"/>
            <w:vAlign w:val="center"/>
          </w:tcPr>
          <w:p w14:paraId="0D0BF3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5E4468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2A4548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560537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39661C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235FDE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24</w:t>
            </w:r>
          </w:p>
        </w:tc>
        <w:tc>
          <w:tcPr>
            <w:tcW w:w="275" w:type="pct"/>
            <w:gridSpan w:val="2"/>
            <w:vMerge w:val="continue"/>
            <w:vAlign w:val="center"/>
          </w:tcPr>
          <w:p w14:paraId="01D248B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49FCD43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7C8BEB26">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掏内脏胴体输送线</w:t>
            </w:r>
          </w:p>
        </w:tc>
        <w:tc>
          <w:tcPr>
            <w:tcW w:w="287" w:type="pct"/>
            <w:vAlign w:val="center"/>
          </w:tcPr>
          <w:p w14:paraId="166EF9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1C2D95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0" w:type="pct"/>
            <w:vMerge w:val="continue"/>
            <w:vAlign w:val="center"/>
          </w:tcPr>
          <w:p w14:paraId="231CE6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366825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21.6</w:t>
            </w:r>
          </w:p>
        </w:tc>
        <w:tc>
          <w:tcPr>
            <w:tcW w:w="236" w:type="pct"/>
            <w:vAlign w:val="center"/>
          </w:tcPr>
          <w:p w14:paraId="747488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25.4</w:t>
            </w:r>
          </w:p>
        </w:tc>
        <w:tc>
          <w:tcPr>
            <w:tcW w:w="251" w:type="pct"/>
            <w:vAlign w:val="center"/>
          </w:tcPr>
          <w:p w14:paraId="520662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6.0</w:t>
            </w:r>
          </w:p>
        </w:tc>
        <w:tc>
          <w:tcPr>
            <w:tcW w:w="288" w:type="pct"/>
            <w:vAlign w:val="center"/>
          </w:tcPr>
          <w:p w14:paraId="22FA36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11.8</w:t>
            </w:r>
          </w:p>
        </w:tc>
        <w:tc>
          <w:tcPr>
            <w:tcW w:w="383" w:type="pct"/>
            <w:vAlign w:val="center"/>
          </w:tcPr>
          <w:p w14:paraId="5CF1B9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0.41</w:t>
            </w:r>
          </w:p>
        </w:tc>
        <w:tc>
          <w:tcPr>
            <w:tcW w:w="298" w:type="pct"/>
            <w:vAlign w:val="center"/>
          </w:tcPr>
          <w:p w14:paraId="7D5B87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216B48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7A62B6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6EC40C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232FA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4C6398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25</w:t>
            </w:r>
          </w:p>
        </w:tc>
        <w:tc>
          <w:tcPr>
            <w:tcW w:w="275" w:type="pct"/>
            <w:gridSpan w:val="2"/>
            <w:vMerge w:val="continue"/>
            <w:vAlign w:val="center"/>
          </w:tcPr>
          <w:p w14:paraId="29AD25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3A75E4C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6EB774DA">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落地式红白脏输送线</w:t>
            </w:r>
          </w:p>
        </w:tc>
        <w:tc>
          <w:tcPr>
            <w:tcW w:w="287" w:type="pct"/>
            <w:vAlign w:val="center"/>
          </w:tcPr>
          <w:p w14:paraId="525A77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6A3FC1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0" w:type="pct"/>
            <w:vMerge w:val="continue"/>
            <w:vAlign w:val="center"/>
          </w:tcPr>
          <w:p w14:paraId="3788DD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3415EA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29.6</w:t>
            </w:r>
          </w:p>
        </w:tc>
        <w:tc>
          <w:tcPr>
            <w:tcW w:w="236" w:type="pct"/>
            <w:vAlign w:val="center"/>
          </w:tcPr>
          <w:p w14:paraId="35A9CF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28.3</w:t>
            </w:r>
          </w:p>
        </w:tc>
        <w:tc>
          <w:tcPr>
            <w:tcW w:w="251" w:type="pct"/>
            <w:vAlign w:val="center"/>
          </w:tcPr>
          <w:p w14:paraId="6E2FBA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6.0</w:t>
            </w:r>
          </w:p>
        </w:tc>
        <w:tc>
          <w:tcPr>
            <w:tcW w:w="288" w:type="pct"/>
            <w:vAlign w:val="center"/>
          </w:tcPr>
          <w:p w14:paraId="22BFA2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12.4</w:t>
            </w:r>
          </w:p>
        </w:tc>
        <w:tc>
          <w:tcPr>
            <w:tcW w:w="383" w:type="pct"/>
            <w:vAlign w:val="center"/>
          </w:tcPr>
          <w:p w14:paraId="77A9F9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0.26</w:t>
            </w:r>
          </w:p>
        </w:tc>
        <w:tc>
          <w:tcPr>
            <w:tcW w:w="298" w:type="pct"/>
            <w:vAlign w:val="center"/>
          </w:tcPr>
          <w:p w14:paraId="5D5014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6E7CBF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406619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26E8A7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07F067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1B30FA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26</w:t>
            </w:r>
          </w:p>
        </w:tc>
        <w:tc>
          <w:tcPr>
            <w:tcW w:w="275" w:type="pct"/>
            <w:gridSpan w:val="2"/>
            <w:vMerge w:val="continue"/>
            <w:vAlign w:val="center"/>
          </w:tcPr>
          <w:p w14:paraId="58173A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5D6D12BD">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18C23E1F">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白脏滑槽</w:t>
            </w:r>
          </w:p>
        </w:tc>
        <w:tc>
          <w:tcPr>
            <w:tcW w:w="287" w:type="pct"/>
            <w:vAlign w:val="center"/>
          </w:tcPr>
          <w:p w14:paraId="5036DD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3E8270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0" w:type="pct"/>
            <w:vMerge w:val="continue"/>
            <w:vAlign w:val="center"/>
          </w:tcPr>
          <w:p w14:paraId="3D079D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661928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21.5</w:t>
            </w:r>
          </w:p>
        </w:tc>
        <w:tc>
          <w:tcPr>
            <w:tcW w:w="236" w:type="pct"/>
            <w:vAlign w:val="center"/>
          </w:tcPr>
          <w:p w14:paraId="67E463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30.3</w:t>
            </w:r>
          </w:p>
        </w:tc>
        <w:tc>
          <w:tcPr>
            <w:tcW w:w="251" w:type="pct"/>
            <w:vAlign w:val="center"/>
          </w:tcPr>
          <w:p w14:paraId="7BF435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10.0</w:t>
            </w:r>
          </w:p>
        </w:tc>
        <w:tc>
          <w:tcPr>
            <w:tcW w:w="288" w:type="pct"/>
            <w:vAlign w:val="center"/>
          </w:tcPr>
          <w:p w14:paraId="0CB7A4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16.9</w:t>
            </w:r>
          </w:p>
        </w:tc>
        <w:tc>
          <w:tcPr>
            <w:tcW w:w="383" w:type="pct"/>
            <w:vAlign w:val="center"/>
          </w:tcPr>
          <w:p w14:paraId="77C67D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9.59</w:t>
            </w:r>
          </w:p>
        </w:tc>
        <w:tc>
          <w:tcPr>
            <w:tcW w:w="298" w:type="pct"/>
            <w:vAlign w:val="center"/>
          </w:tcPr>
          <w:p w14:paraId="292C32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0F3A49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6D9EE8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52E77C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6A9706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28BB2F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27</w:t>
            </w:r>
          </w:p>
        </w:tc>
        <w:tc>
          <w:tcPr>
            <w:tcW w:w="275" w:type="pct"/>
            <w:gridSpan w:val="2"/>
            <w:vMerge w:val="continue"/>
            <w:vAlign w:val="center"/>
          </w:tcPr>
          <w:p w14:paraId="179C5CC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79F2FCC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5328CE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红脏滑槽</w:t>
            </w:r>
          </w:p>
        </w:tc>
        <w:tc>
          <w:tcPr>
            <w:tcW w:w="287" w:type="pct"/>
            <w:vAlign w:val="center"/>
          </w:tcPr>
          <w:p w14:paraId="31C997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02FB22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0" w:type="pct"/>
            <w:vMerge w:val="continue"/>
            <w:vAlign w:val="center"/>
          </w:tcPr>
          <w:p w14:paraId="2670D3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27FE9D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25.9</w:t>
            </w:r>
          </w:p>
        </w:tc>
        <w:tc>
          <w:tcPr>
            <w:tcW w:w="236" w:type="pct"/>
            <w:vAlign w:val="center"/>
          </w:tcPr>
          <w:p w14:paraId="7905BD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26.5</w:t>
            </w:r>
          </w:p>
        </w:tc>
        <w:tc>
          <w:tcPr>
            <w:tcW w:w="251" w:type="pct"/>
            <w:vAlign w:val="center"/>
          </w:tcPr>
          <w:p w14:paraId="139229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10.0</w:t>
            </w:r>
          </w:p>
        </w:tc>
        <w:tc>
          <w:tcPr>
            <w:tcW w:w="288" w:type="pct"/>
            <w:vAlign w:val="center"/>
          </w:tcPr>
          <w:p w14:paraId="5E88EA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13.5</w:t>
            </w:r>
          </w:p>
        </w:tc>
        <w:tc>
          <w:tcPr>
            <w:tcW w:w="383" w:type="pct"/>
            <w:vAlign w:val="center"/>
          </w:tcPr>
          <w:p w14:paraId="539C4D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0.14</w:t>
            </w:r>
          </w:p>
        </w:tc>
        <w:tc>
          <w:tcPr>
            <w:tcW w:w="298" w:type="pct"/>
            <w:vAlign w:val="center"/>
          </w:tcPr>
          <w:p w14:paraId="45EEE5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676C43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2289DC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491147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1F02B9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03DED2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28</w:t>
            </w:r>
          </w:p>
        </w:tc>
        <w:tc>
          <w:tcPr>
            <w:tcW w:w="275" w:type="pct"/>
            <w:gridSpan w:val="2"/>
            <w:vMerge w:val="continue"/>
            <w:vAlign w:val="center"/>
          </w:tcPr>
          <w:p w14:paraId="1374414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3B1E11E4">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4ED0D3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羊屠宰线中央控制系统</w:t>
            </w:r>
          </w:p>
        </w:tc>
        <w:tc>
          <w:tcPr>
            <w:tcW w:w="287" w:type="pct"/>
            <w:vAlign w:val="center"/>
          </w:tcPr>
          <w:p w14:paraId="30E13F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1AA586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85</w:t>
            </w:r>
          </w:p>
        </w:tc>
        <w:tc>
          <w:tcPr>
            <w:tcW w:w="320" w:type="pct"/>
            <w:vMerge w:val="continue"/>
            <w:vAlign w:val="center"/>
          </w:tcPr>
          <w:p w14:paraId="18D02E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202B4D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38.7</w:t>
            </w:r>
          </w:p>
        </w:tc>
        <w:tc>
          <w:tcPr>
            <w:tcW w:w="236" w:type="pct"/>
            <w:vAlign w:val="center"/>
          </w:tcPr>
          <w:p w14:paraId="5D9C5F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42.1</w:t>
            </w:r>
          </w:p>
        </w:tc>
        <w:tc>
          <w:tcPr>
            <w:tcW w:w="251" w:type="pct"/>
            <w:vAlign w:val="center"/>
          </w:tcPr>
          <w:p w14:paraId="0058AE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6.0</w:t>
            </w:r>
          </w:p>
        </w:tc>
        <w:tc>
          <w:tcPr>
            <w:tcW w:w="288" w:type="pct"/>
            <w:vAlign w:val="center"/>
          </w:tcPr>
          <w:p w14:paraId="45DA74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14.7</w:t>
            </w:r>
          </w:p>
        </w:tc>
        <w:tc>
          <w:tcPr>
            <w:tcW w:w="383" w:type="pct"/>
            <w:vAlign w:val="center"/>
          </w:tcPr>
          <w:p w14:paraId="4B2EDD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5.09</w:t>
            </w:r>
          </w:p>
        </w:tc>
        <w:tc>
          <w:tcPr>
            <w:tcW w:w="298" w:type="pct"/>
            <w:vAlign w:val="center"/>
          </w:tcPr>
          <w:p w14:paraId="1CDECB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749592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35B016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4119C0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6D3F2A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4E829F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29</w:t>
            </w:r>
          </w:p>
        </w:tc>
        <w:tc>
          <w:tcPr>
            <w:tcW w:w="275" w:type="pct"/>
            <w:gridSpan w:val="2"/>
            <w:vMerge w:val="continue"/>
            <w:vAlign w:val="center"/>
          </w:tcPr>
          <w:p w14:paraId="42AF44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0E6EDAC7">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76FAA1E7">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内脏接收台</w:t>
            </w:r>
          </w:p>
        </w:tc>
        <w:tc>
          <w:tcPr>
            <w:tcW w:w="287" w:type="pct"/>
            <w:vAlign w:val="center"/>
          </w:tcPr>
          <w:p w14:paraId="333A10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42A0E5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85</w:t>
            </w:r>
          </w:p>
        </w:tc>
        <w:tc>
          <w:tcPr>
            <w:tcW w:w="320" w:type="pct"/>
            <w:vMerge w:val="continue"/>
            <w:vAlign w:val="center"/>
          </w:tcPr>
          <w:p w14:paraId="6691C0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532086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40.6</w:t>
            </w:r>
          </w:p>
        </w:tc>
        <w:tc>
          <w:tcPr>
            <w:tcW w:w="236" w:type="pct"/>
            <w:vAlign w:val="center"/>
          </w:tcPr>
          <w:p w14:paraId="278DCC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41.2</w:t>
            </w:r>
          </w:p>
        </w:tc>
        <w:tc>
          <w:tcPr>
            <w:tcW w:w="251" w:type="pct"/>
            <w:vAlign w:val="center"/>
          </w:tcPr>
          <w:p w14:paraId="51D380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6.0</w:t>
            </w:r>
          </w:p>
        </w:tc>
        <w:tc>
          <w:tcPr>
            <w:tcW w:w="288" w:type="pct"/>
            <w:vAlign w:val="center"/>
          </w:tcPr>
          <w:p w14:paraId="0FE716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14.9</w:t>
            </w:r>
          </w:p>
        </w:tc>
        <w:tc>
          <w:tcPr>
            <w:tcW w:w="383" w:type="pct"/>
            <w:vAlign w:val="center"/>
          </w:tcPr>
          <w:p w14:paraId="590CA9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5.00</w:t>
            </w:r>
          </w:p>
        </w:tc>
        <w:tc>
          <w:tcPr>
            <w:tcW w:w="298" w:type="pct"/>
            <w:vAlign w:val="center"/>
          </w:tcPr>
          <w:p w14:paraId="607EF4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67EDA9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0F109E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64C7C0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22BDD9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204CEC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30</w:t>
            </w:r>
          </w:p>
        </w:tc>
        <w:tc>
          <w:tcPr>
            <w:tcW w:w="275" w:type="pct"/>
            <w:gridSpan w:val="2"/>
            <w:vMerge w:val="continue"/>
            <w:vAlign w:val="center"/>
          </w:tcPr>
          <w:p w14:paraId="63ED71A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55B095B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03940B95">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大肠接收台</w:t>
            </w:r>
          </w:p>
        </w:tc>
        <w:tc>
          <w:tcPr>
            <w:tcW w:w="287" w:type="pct"/>
            <w:vAlign w:val="center"/>
          </w:tcPr>
          <w:p w14:paraId="774320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6DC237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85</w:t>
            </w:r>
          </w:p>
        </w:tc>
        <w:tc>
          <w:tcPr>
            <w:tcW w:w="320" w:type="pct"/>
            <w:vMerge w:val="continue"/>
            <w:vAlign w:val="center"/>
          </w:tcPr>
          <w:p w14:paraId="77AA3F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5A0E53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37.9</w:t>
            </w:r>
          </w:p>
        </w:tc>
        <w:tc>
          <w:tcPr>
            <w:tcW w:w="236" w:type="pct"/>
            <w:vAlign w:val="center"/>
          </w:tcPr>
          <w:p w14:paraId="34923F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45.6</w:t>
            </w:r>
          </w:p>
        </w:tc>
        <w:tc>
          <w:tcPr>
            <w:tcW w:w="251" w:type="pct"/>
            <w:vAlign w:val="center"/>
          </w:tcPr>
          <w:p w14:paraId="6EE2E5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10.0</w:t>
            </w:r>
          </w:p>
        </w:tc>
        <w:tc>
          <w:tcPr>
            <w:tcW w:w="288" w:type="pct"/>
            <w:vAlign w:val="center"/>
          </w:tcPr>
          <w:p w14:paraId="4E134E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14.3</w:t>
            </w:r>
          </w:p>
        </w:tc>
        <w:tc>
          <w:tcPr>
            <w:tcW w:w="383" w:type="pct"/>
            <w:vAlign w:val="center"/>
          </w:tcPr>
          <w:p w14:paraId="798864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5.19</w:t>
            </w:r>
          </w:p>
        </w:tc>
        <w:tc>
          <w:tcPr>
            <w:tcW w:w="298" w:type="pct"/>
            <w:vAlign w:val="center"/>
          </w:tcPr>
          <w:p w14:paraId="3D0B2E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25CC74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3A0981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02FE64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130157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704978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31</w:t>
            </w:r>
          </w:p>
        </w:tc>
        <w:tc>
          <w:tcPr>
            <w:tcW w:w="275" w:type="pct"/>
            <w:gridSpan w:val="2"/>
            <w:vMerge w:val="continue"/>
            <w:vAlign w:val="center"/>
          </w:tcPr>
          <w:p w14:paraId="7ECA80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33B4172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7B98718D">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大肠翻洗池</w:t>
            </w:r>
          </w:p>
        </w:tc>
        <w:tc>
          <w:tcPr>
            <w:tcW w:w="287" w:type="pct"/>
            <w:vAlign w:val="center"/>
          </w:tcPr>
          <w:p w14:paraId="7C940F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7D3670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85</w:t>
            </w:r>
          </w:p>
        </w:tc>
        <w:tc>
          <w:tcPr>
            <w:tcW w:w="320" w:type="pct"/>
            <w:vMerge w:val="continue"/>
            <w:vAlign w:val="center"/>
          </w:tcPr>
          <w:p w14:paraId="2C4661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4A86B0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41.1</w:t>
            </w:r>
          </w:p>
        </w:tc>
        <w:tc>
          <w:tcPr>
            <w:tcW w:w="236" w:type="pct"/>
            <w:vAlign w:val="center"/>
          </w:tcPr>
          <w:p w14:paraId="545C85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42.3</w:t>
            </w:r>
          </w:p>
        </w:tc>
        <w:tc>
          <w:tcPr>
            <w:tcW w:w="251" w:type="pct"/>
            <w:vAlign w:val="center"/>
          </w:tcPr>
          <w:p w14:paraId="4C2496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10.0</w:t>
            </w:r>
          </w:p>
        </w:tc>
        <w:tc>
          <w:tcPr>
            <w:tcW w:w="288" w:type="pct"/>
            <w:vAlign w:val="center"/>
          </w:tcPr>
          <w:p w14:paraId="0DFD64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19.6</w:t>
            </w:r>
          </w:p>
        </w:tc>
        <w:tc>
          <w:tcPr>
            <w:tcW w:w="383" w:type="pct"/>
            <w:vAlign w:val="center"/>
          </w:tcPr>
          <w:p w14:paraId="3220A4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3.26</w:t>
            </w:r>
          </w:p>
        </w:tc>
        <w:tc>
          <w:tcPr>
            <w:tcW w:w="298" w:type="pct"/>
            <w:vAlign w:val="center"/>
          </w:tcPr>
          <w:p w14:paraId="158898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424862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4D98EE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152368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4500EC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337A93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32</w:t>
            </w:r>
          </w:p>
        </w:tc>
        <w:tc>
          <w:tcPr>
            <w:tcW w:w="275" w:type="pct"/>
            <w:gridSpan w:val="2"/>
            <w:vMerge w:val="continue"/>
            <w:vAlign w:val="center"/>
          </w:tcPr>
          <w:p w14:paraId="62B9B6C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6BDEC62B">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38BA21D8">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胃清洗整理台</w:t>
            </w:r>
          </w:p>
        </w:tc>
        <w:tc>
          <w:tcPr>
            <w:tcW w:w="287" w:type="pct"/>
            <w:vAlign w:val="center"/>
          </w:tcPr>
          <w:p w14:paraId="686A41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05CC95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0" w:type="pct"/>
            <w:vMerge w:val="continue"/>
            <w:vAlign w:val="center"/>
          </w:tcPr>
          <w:p w14:paraId="5F0889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3B4EDE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55.6</w:t>
            </w:r>
          </w:p>
        </w:tc>
        <w:tc>
          <w:tcPr>
            <w:tcW w:w="236" w:type="pct"/>
            <w:vAlign w:val="center"/>
          </w:tcPr>
          <w:p w14:paraId="511DA9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57.4</w:t>
            </w:r>
          </w:p>
        </w:tc>
        <w:tc>
          <w:tcPr>
            <w:tcW w:w="251" w:type="pct"/>
            <w:vAlign w:val="center"/>
          </w:tcPr>
          <w:p w14:paraId="0B957D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5.8</w:t>
            </w:r>
          </w:p>
        </w:tc>
        <w:tc>
          <w:tcPr>
            <w:tcW w:w="288" w:type="pct"/>
            <w:vAlign w:val="center"/>
          </w:tcPr>
          <w:p w14:paraId="66F3F7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83" w:type="pct"/>
            <w:vAlign w:val="center"/>
          </w:tcPr>
          <w:p w14:paraId="2462DA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0.89</w:t>
            </w:r>
          </w:p>
        </w:tc>
        <w:tc>
          <w:tcPr>
            <w:tcW w:w="298" w:type="pct"/>
            <w:vAlign w:val="center"/>
          </w:tcPr>
          <w:p w14:paraId="6498FC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318B90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103F8E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4C78F0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6029B9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1ED681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33</w:t>
            </w:r>
          </w:p>
        </w:tc>
        <w:tc>
          <w:tcPr>
            <w:tcW w:w="275" w:type="pct"/>
            <w:gridSpan w:val="2"/>
            <w:vMerge w:val="continue"/>
            <w:vAlign w:val="center"/>
          </w:tcPr>
          <w:p w14:paraId="1F9F9D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47E9C4B2">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35AF8F93">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洗肚机</w:t>
            </w:r>
          </w:p>
        </w:tc>
        <w:tc>
          <w:tcPr>
            <w:tcW w:w="287" w:type="pct"/>
            <w:vAlign w:val="center"/>
          </w:tcPr>
          <w:p w14:paraId="1946D9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6F19B4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0" w:type="pct"/>
            <w:vMerge w:val="continue"/>
            <w:vAlign w:val="center"/>
          </w:tcPr>
          <w:p w14:paraId="1655DB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226358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54.8</w:t>
            </w:r>
          </w:p>
        </w:tc>
        <w:tc>
          <w:tcPr>
            <w:tcW w:w="236" w:type="pct"/>
            <w:vAlign w:val="center"/>
          </w:tcPr>
          <w:p w14:paraId="54E6EB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60.1</w:t>
            </w:r>
          </w:p>
        </w:tc>
        <w:tc>
          <w:tcPr>
            <w:tcW w:w="251" w:type="pct"/>
            <w:vAlign w:val="center"/>
          </w:tcPr>
          <w:p w14:paraId="0EF770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5.8</w:t>
            </w:r>
          </w:p>
        </w:tc>
        <w:tc>
          <w:tcPr>
            <w:tcW w:w="288" w:type="pct"/>
            <w:vAlign w:val="center"/>
          </w:tcPr>
          <w:p w14:paraId="7F191E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9.3</w:t>
            </w:r>
          </w:p>
        </w:tc>
        <w:tc>
          <w:tcPr>
            <w:tcW w:w="383" w:type="pct"/>
            <w:vAlign w:val="center"/>
          </w:tcPr>
          <w:p w14:paraId="298FD5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0.54</w:t>
            </w:r>
          </w:p>
        </w:tc>
        <w:tc>
          <w:tcPr>
            <w:tcW w:w="298" w:type="pct"/>
            <w:vAlign w:val="center"/>
          </w:tcPr>
          <w:p w14:paraId="6BEEEE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2D0721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350CDA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22E4FE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43D856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2D9EAA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34</w:t>
            </w:r>
          </w:p>
        </w:tc>
        <w:tc>
          <w:tcPr>
            <w:tcW w:w="275" w:type="pct"/>
            <w:gridSpan w:val="2"/>
            <w:vMerge w:val="continue"/>
            <w:vAlign w:val="center"/>
          </w:tcPr>
          <w:p w14:paraId="0A830A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2D7DEF31">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0FD9A86A">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胃容物吹送系统</w:t>
            </w:r>
          </w:p>
        </w:tc>
        <w:tc>
          <w:tcPr>
            <w:tcW w:w="287" w:type="pct"/>
            <w:vAlign w:val="center"/>
          </w:tcPr>
          <w:p w14:paraId="23B5F7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7A46A7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0" w:type="pct"/>
            <w:vMerge w:val="continue"/>
            <w:vAlign w:val="center"/>
          </w:tcPr>
          <w:p w14:paraId="612867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6CC2B1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52.1</w:t>
            </w:r>
          </w:p>
        </w:tc>
        <w:tc>
          <w:tcPr>
            <w:tcW w:w="236" w:type="pct"/>
            <w:vAlign w:val="center"/>
          </w:tcPr>
          <w:p w14:paraId="42BBEE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73.2</w:t>
            </w:r>
          </w:p>
        </w:tc>
        <w:tc>
          <w:tcPr>
            <w:tcW w:w="251" w:type="pct"/>
            <w:vAlign w:val="center"/>
          </w:tcPr>
          <w:p w14:paraId="2D7C36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9.8</w:t>
            </w:r>
          </w:p>
        </w:tc>
        <w:tc>
          <w:tcPr>
            <w:tcW w:w="288" w:type="pct"/>
            <w:vAlign w:val="center"/>
          </w:tcPr>
          <w:p w14:paraId="5EC838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11.2</w:t>
            </w:r>
          </w:p>
        </w:tc>
        <w:tc>
          <w:tcPr>
            <w:tcW w:w="383" w:type="pct"/>
            <w:vAlign w:val="center"/>
          </w:tcPr>
          <w:p w14:paraId="409B3A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0.26</w:t>
            </w:r>
          </w:p>
        </w:tc>
        <w:tc>
          <w:tcPr>
            <w:tcW w:w="298" w:type="pct"/>
            <w:vAlign w:val="center"/>
          </w:tcPr>
          <w:p w14:paraId="0D7F5D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7A03BC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12AF12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6675C0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60A922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0ED1E2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35</w:t>
            </w:r>
          </w:p>
        </w:tc>
        <w:tc>
          <w:tcPr>
            <w:tcW w:w="275" w:type="pct"/>
            <w:gridSpan w:val="2"/>
            <w:vMerge w:val="continue"/>
            <w:vAlign w:val="center"/>
          </w:tcPr>
          <w:p w14:paraId="6CFC0C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1CBB3923">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489F8ADD">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热缩机</w:t>
            </w:r>
          </w:p>
        </w:tc>
        <w:tc>
          <w:tcPr>
            <w:tcW w:w="287" w:type="pct"/>
            <w:vAlign w:val="center"/>
          </w:tcPr>
          <w:p w14:paraId="5FDBA6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25A47F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80</w:t>
            </w:r>
          </w:p>
        </w:tc>
        <w:tc>
          <w:tcPr>
            <w:tcW w:w="320" w:type="pct"/>
            <w:vMerge w:val="continue"/>
            <w:vAlign w:val="center"/>
          </w:tcPr>
          <w:p w14:paraId="6B9E57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73892F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60.8</w:t>
            </w:r>
          </w:p>
        </w:tc>
        <w:tc>
          <w:tcPr>
            <w:tcW w:w="236" w:type="pct"/>
            <w:vAlign w:val="center"/>
          </w:tcPr>
          <w:p w14:paraId="6662FA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54.8</w:t>
            </w:r>
          </w:p>
        </w:tc>
        <w:tc>
          <w:tcPr>
            <w:tcW w:w="251" w:type="pct"/>
            <w:vAlign w:val="center"/>
          </w:tcPr>
          <w:p w14:paraId="7DB17A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9.8</w:t>
            </w:r>
          </w:p>
        </w:tc>
        <w:tc>
          <w:tcPr>
            <w:tcW w:w="288" w:type="pct"/>
            <w:vAlign w:val="center"/>
          </w:tcPr>
          <w:p w14:paraId="38D9F7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21.0</w:t>
            </w:r>
          </w:p>
        </w:tc>
        <w:tc>
          <w:tcPr>
            <w:tcW w:w="383" w:type="pct"/>
            <w:vAlign w:val="center"/>
          </w:tcPr>
          <w:p w14:paraId="751B24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6</w:t>
            </w:r>
            <w:r>
              <w:rPr>
                <w:rFonts w:hint="eastAsia" w:ascii="Times New Roman" w:hAnsi="Times New Roman" w:eastAsia="宋体" w:cs="Times New Roman"/>
                <w:i w:val="0"/>
                <w:color w:val="auto"/>
                <w:sz w:val="21"/>
                <w:szCs w:val="21"/>
                <w:highlight w:val="none"/>
                <w:u w:val="none"/>
                <w:lang w:val="en-US" w:eastAsia="zh-CN"/>
              </w:rPr>
              <w:t>4.62</w:t>
            </w:r>
          </w:p>
        </w:tc>
        <w:tc>
          <w:tcPr>
            <w:tcW w:w="298" w:type="pct"/>
            <w:vAlign w:val="center"/>
          </w:tcPr>
          <w:p w14:paraId="71C79B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137186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29E636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0385B4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5E1944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40054D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36</w:t>
            </w:r>
          </w:p>
        </w:tc>
        <w:tc>
          <w:tcPr>
            <w:tcW w:w="275" w:type="pct"/>
            <w:gridSpan w:val="2"/>
            <w:vMerge w:val="continue"/>
            <w:vAlign w:val="center"/>
          </w:tcPr>
          <w:p w14:paraId="7FD30BC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52C6DC79">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5ACFF6AC">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分割线电器控制</w:t>
            </w:r>
          </w:p>
        </w:tc>
        <w:tc>
          <w:tcPr>
            <w:tcW w:w="287" w:type="pct"/>
            <w:vAlign w:val="center"/>
          </w:tcPr>
          <w:p w14:paraId="42306B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220D54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0" w:type="pct"/>
            <w:vMerge w:val="continue"/>
            <w:vAlign w:val="center"/>
          </w:tcPr>
          <w:p w14:paraId="13F98E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137618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70.1</w:t>
            </w:r>
          </w:p>
        </w:tc>
        <w:tc>
          <w:tcPr>
            <w:tcW w:w="236" w:type="pct"/>
            <w:vAlign w:val="center"/>
          </w:tcPr>
          <w:p w14:paraId="7CB577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59.6</w:t>
            </w:r>
          </w:p>
        </w:tc>
        <w:tc>
          <w:tcPr>
            <w:tcW w:w="251" w:type="pct"/>
            <w:vAlign w:val="center"/>
          </w:tcPr>
          <w:p w14:paraId="5EBDF0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5.2</w:t>
            </w:r>
          </w:p>
        </w:tc>
        <w:tc>
          <w:tcPr>
            <w:tcW w:w="288" w:type="pct"/>
            <w:vAlign w:val="center"/>
          </w:tcPr>
          <w:p w14:paraId="6AA6B1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12.8</w:t>
            </w:r>
          </w:p>
        </w:tc>
        <w:tc>
          <w:tcPr>
            <w:tcW w:w="383" w:type="pct"/>
            <w:vAlign w:val="center"/>
          </w:tcPr>
          <w:p w14:paraId="11422C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4.96</w:t>
            </w:r>
          </w:p>
        </w:tc>
        <w:tc>
          <w:tcPr>
            <w:tcW w:w="298" w:type="pct"/>
            <w:vAlign w:val="center"/>
          </w:tcPr>
          <w:p w14:paraId="1F1C7E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327220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51887E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7A6512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78C316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34" w:type="pct"/>
            <w:vAlign w:val="center"/>
          </w:tcPr>
          <w:p w14:paraId="3F35A9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37</w:t>
            </w:r>
          </w:p>
        </w:tc>
        <w:tc>
          <w:tcPr>
            <w:tcW w:w="275" w:type="pct"/>
            <w:gridSpan w:val="2"/>
            <w:vMerge w:val="continue"/>
            <w:vAlign w:val="center"/>
          </w:tcPr>
          <w:p w14:paraId="42B6880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i w:val="0"/>
                <w:color w:val="auto"/>
                <w:sz w:val="21"/>
                <w:szCs w:val="21"/>
                <w:highlight w:val="none"/>
                <w:u w:val="none"/>
              </w:rPr>
            </w:pPr>
          </w:p>
        </w:tc>
        <w:tc>
          <w:tcPr>
            <w:tcW w:w="158" w:type="pct"/>
            <w:vMerge w:val="continue"/>
            <w:shd w:val="clear" w:color="auto" w:fill="auto"/>
            <w:vAlign w:val="center"/>
          </w:tcPr>
          <w:p w14:paraId="739BD3C5">
            <w:pPr>
              <w:pStyle w:val="1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784" w:type="pct"/>
            <w:shd w:val="clear" w:color="auto" w:fill="auto"/>
            <w:vAlign w:val="center"/>
          </w:tcPr>
          <w:p w14:paraId="2A4566D4">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锯骨机</w:t>
            </w:r>
          </w:p>
        </w:tc>
        <w:tc>
          <w:tcPr>
            <w:tcW w:w="287" w:type="pct"/>
            <w:vAlign w:val="center"/>
          </w:tcPr>
          <w:p w14:paraId="4781D0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360" w:type="pct"/>
            <w:vAlign w:val="center"/>
          </w:tcPr>
          <w:p w14:paraId="64A276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w:t>
            </w:r>
          </w:p>
        </w:tc>
        <w:tc>
          <w:tcPr>
            <w:tcW w:w="320" w:type="pct"/>
            <w:vMerge w:val="continue"/>
            <w:vAlign w:val="center"/>
          </w:tcPr>
          <w:p w14:paraId="798E96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6" w:type="pct"/>
            <w:vAlign w:val="center"/>
          </w:tcPr>
          <w:p w14:paraId="4BFA06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75.2</w:t>
            </w:r>
          </w:p>
        </w:tc>
        <w:tc>
          <w:tcPr>
            <w:tcW w:w="236" w:type="pct"/>
            <w:vAlign w:val="center"/>
          </w:tcPr>
          <w:p w14:paraId="580173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66.5</w:t>
            </w:r>
          </w:p>
        </w:tc>
        <w:tc>
          <w:tcPr>
            <w:tcW w:w="251" w:type="pct"/>
            <w:vAlign w:val="center"/>
          </w:tcPr>
          <w:p w14:paraId="6419BA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9.2</w:t>
            </w:r>
          </w:p>
        </w:tc>
        <w:tc>
          <w:tcPr>
            <w:tcW w:w="288" w:type="pct"/>
            <w:vAlign w:val="center"/>
          </w:tcPr>
          <w:p w14:paraId="1F8EDC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5.8</w:t>
            </w:r>
          </w:p>
        </w:tc>
        <w:tc>
          <w:tcPr>
            <w:tcW w:w="383" w:type="pct"/>
            <w:vAlign w:val="center"/>
          </w:tcPr>
          <w:p w14:paraId="0E74EA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eastAsia="宋体" w:cs="Times New Roman"/>
                <w:i w:val="0"/>
                <w:color w:val="auto"/>
                <w:sz w:val="21"/>
                <w:szCs w:val="21"/>
                <w:highlight w:val="none"/>
                <w:u w:val="none"/>
                <w:lang w:val="en-US" w:eastAsia="zh-CN"/>
              </w:rPr>
              <w:t>5</w:t>
            </w:r>
            <w:r>
              <w:rPr>
                <w:rFonts w:hint="eastAsia" w:ascii="Times New Roman" w:hAnsi="Times New Roman" w:eastAsia="宋体" w:cs="Times New Roman"/>
                <w:i w:val="0"/>
                <w:color w:val="auto"/>
                <w:sz w:val="21"/>
                <w:szCs w:val="21"/>
                <w:highlight w:val="none"/>
                <w:u w:val="none"/>
                <w:lang w:val="en-US" w:eastAsia="zh-CN"/>
              </w:rPr>
              <w:t>5.37</w:t>
            </w:r>
          </w:p>
        </w:tc>
        <w:tc>
          <w:tcPr>
            <w:tcW w:w="298" w:type="pct"/>
            <w:vAlign w:val="center"/>
          </w:tcPr>
          <w:p w14:paraId="5D38F1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eastAsia" w:ascii="Times New Roman" w:hAnsi="Times New Roman" w:eastAsia="宋体" w:cs="Times New Roman"/>
                <w:i w:val="0"/>
                <w:color w:val="auto"/>
                <w:sz w:val="21"/>
                <w:szCs w:val="21"/>
                <w:highlight w:val="none"/>
                <w:u w:val="none"/>
                <w:lang w:val="en-US" w:eastAsia="zh-CN"/>
              </w:rPr>
              <w:t>8</w:t>
            </w:r>
          </w:p>
        </w:tc>
        <w:tc>
          <w:tcPr>
            <w:tcW w:w="365" w:type="pct"/>
            <w:vMerge w:val="continue"/>
            <w:vAlign w:val="center"/>
          </w:tcPr>
          <w:p w14:paraId="190D6B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270" w:type="pct"/>
            <w:vMerge w:val="continue"/>
            <w:vAlign w:val="center"/>
          </w:tcPr>
          <w:p w14:paraId="1C7EA5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c>
          <w:tcPr>
            <w:tcW w:w="307" w:type="pct"/>
            <w:vMerge w:val="continue"/>
            <w:vAlign w:val="center"/>
          </w:tcPr>
          <w:p w14:paraId="282D20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p>
        </w:tc>
      </w:tr>
      <w:tr w14:paraId="6545DF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36" w:type="pct"/>
            <w:gridSpan w:val="2"/>
            <w:vAlign w:val="center"/>
          </w:tcPr>
          <w:p w14:paraId="66A63B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eastAsia="宋体" w:cs="Times New Roman"/>
                <w:i w:val="0"/>
                <w:color w:val="auto"/>
                <w:kern w:val="0"/>
                <w:sz w:val="21"/>
                <w:szCs w:val="21"/>
                <w:highlight w:val="none"/>
                <w:u w:val="none"/>
                <w:lang w:val="en-US" w:eastAsia="zh-CN" w:bidi="ar"/>
              </w:rPr>
              <w:t>60</w:t>
            </w:r>
          </w:p>
        </w:tc>
        <w:tc>
          <w:tcPr>
            <w:tcW w:w="272" w:type="pct"/>
            <w:vAlign w:val="center"/>
          </w:tcPr>
          <w:p w14:paraId="13C623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污水处理站</w:t>
            </w:r>
          </w:p>
        </w:tc>
        <w:tc>
          <w:tcPr>
            <w:tcW w:w="943" w:type="pct"/>
            <w:gridSpan w:val="2"/>
            <w:shd w:val="clear" w:color="auto" w:fill="auto"/>
            <w:vAlign w:val="center"/>
          </w:tcPr>
          <w:p w14:paraId="4E1E5A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污泥离心机</w:t>
            </w:r>
          </w:p>
        </w:tc>
        <w:tc>
          <w:tcPr>
            <w:tcW w:w="287" w:type="pct"/>
            <w:vAlign w:val="center"/>
          </w:tcPr>
          <w:p w14:paraId="2657E3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eastAsia="宋体" w:cs="Times New Roman"/>
                <w:i w:val="0"/>
                <w:color w:val="auto"/>
                <w:kern w:val="0"/>
                <w:sz w:val="21"/>
                <w:szCs w:val="21"/>
                <w:highlight w:val="none"/>
                <w:u w:val="none"/>
                <w:lang w:val="en-US" w:eastAsia="zh-CN" w:bidi="ar"/>
              </w:rPr>
              <w:t>/</w:t>
            </w:r>
          </w:p>
        </w:tc>
        <w:tc>
          <w:tcPr>
            <w:tcW w:w="360" w:type="pct"/>
            <w:vAlign w:val="center"/>
          </w:tcPr>
          <w:p w14:paraId="621FAA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80</w:t>
            </w:r>
          </w:p>
        </w:tc>
        <w:tc>
          <w:tcPr>
            <w:tcW w:w="320" w:type="pct"/>
            <w:vAlign w:val="center"/>
          </w:tcPr>
          <w:p w14:paraId="3FB4B9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埋入地下，墙体隔声</w:t>
            </w:r>
          </w:p>
        </w:tc>
        <w:tc>
          <w:tcPr>
            <w:tcW w:w="276" w:type="pct"/>
            <w:vAlign w:val="center"/>
          </w:tcPr>
          <w:p w14:paraId="684041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color w:val="auto"/>
                <w:sz w:val="21"/>
                <w:szCs w:val="21"/>
                <w:lang w:val="en-US" w:eastAsia="zh-CN"/>
              </w:rPr>
              <w:t>6.5</w:t>
            </w:r>
          </w:p>
        </w:tc>
        <w:tc>
          <w:tcPr>
            <w:tcW w:w="236" w:type="pct"/>
            <w:vAlign w:val="center"/>
          </w:tcPr>
          <w:p w14:paraId="66939A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color w:val="auto"/>
                <w:sz w:val="21"/>
                <w:szCs w:val="21"/>
                <w:lang w:val="en-US" w:eastAsia="zh-CN"/>
              </w:rPr>
              <w:t>8.2</w:t>
            </w:r>
          </w:p>
        </w:tc>
        <w:tc>
          <w:tcPr>
            <w:tcW w:w="251" w:type="pct"/>
            <w:vAlign w:val="center"/>
          </w:tcPr>
          <w:p w14:paraId="0F11F3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color w:val="auto"/>
                <w:kern w:val="2"/>
                <w:sz w:val="21"/>
                <w:szCs w:val="21"/>
                <w:lang w:val="en-US" w:eastAsia="zh-CN" w:bidi="ar-SA"/>
              </w:rPr>
              <w:t>0.8</w:t>
            </w:r>
          </w:p>
        </w:tc>
        <w:tc>
          <w:tcPr>
            <w:tcW w:w="288" w:type="pct"/>
            <w:vAlign w:val="center"/>
          </w:tcPr>
          <w:p w14:paraId="3B699A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0.8</w:t>
            </w:r>
          </w:p>
        </w:tc>
        <w:tc>
          <w:tcPr>
            <w:tcW w:w="383" w:type="pct"/>
            <w:vAlign w:val="center"/>
          </w:tcPr>
          <w:p w14:paraId="26B416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70.7</w:t>
            </w:r>
          </w:p>
        </w:tc>
        <w:tc>
          <w:tcPr>
            <w:tcW w:w="298" w:type="pct"/>
            <w:vAlign w:val="center"/>
          </w:tcPr>
          <w:p w14:paraId="7DBE82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24</w:t>
            </w:r>
          </w:p>
        </w:tc>
        <w:tc>
          <w:tcPr>
            <w:tcW w:w="365" w:type="pct"/>
            <w:vAlign w:val="center"/>
          </w:tcPr>
          <w:p w14:paraId="2398BF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15</w:t>
            </w:r>
          </w:p>
        </w:tc>
        <w:tc>
          <w:tcPr>
            <w:tcW w:w="270" w:type="pct"/>
            <w:vAlign w:val="center"/>
          </w:tcPr>
          <w:p w14:paraId="246038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50</w:t>
            </w:r>
          </w:p>
        </w:tc>
        <w:tc>
          <w:tcPr>
            <w:tcW w:w="307" w:type="pct"/>
            <w:vAlign w:val="center"/>
          </w:tcPr>
          <w:p w14:paraId="45C919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eastAsia" w:eastAsia="宋体" w:cs="Times New Roman"/>
                <w:i w:val="0"/>
                <w:color w:val="auto"/>
                <w:sz w:val="21"/>
                <w:szCs w:val="21"/>
                <w:highlight w:val="none"/>
                <w:u w:val="none"/>
                <w:lang w:val="en-US" w:eastAsia="zh-CN"/>
              </w:rPr>
              <w:t>1m</w:t>
            </w:r>
          </w:p>
        </w:tc>
      </w:tr>
    </w:tbl>
    <w:p w14:paraId="6B4D8E7A">
      <w:pPr>
        <w:pStyle w:val="25"/>
        <w:pageBreakBefore w:val="0"/>
        <w:kinsoku/>
        <w:wordWrap/>
        <w:topLinePunct w:val="0"/>
        <w:bidi w:val="0"/>
        <w:adjustRightInd/>
        <w:snapToGrid/>
        <w:spacing w:after="0"/>
        <w:ind w:left="0" w:leftChars="0"/>
        <w:rPr>
          <w:rFonts w:hint="default"/>
          <w:lang w:val="en-US" w:eastAsia="zh-CN"/>
        </w:rPr>
      </w:pPr>
    </w:p>
    <w:p w14:paraId="76D4683C">
      <w:pPr>
        <w:pStyle w:val="25"/>
        <w:pageBreakBefore w:val="0"/>
        <w:kinsoku/>
        <w:wordWrap/>
        <w:topLinePunct w:val="0"/>
        <w:bidi w:val="0"/>
        <w:adjustRightInd/>
        <w:snapToGrid/>
        <w:spacing w:after="0"/>
        <w:ind w:left="0" w:leftChars="0"/>
        <w:rPr>
          <w:rFonts w:hint="default"/>
          <w:lang w:val="en-US" w:eastAsia="zh-CN"/>
        </w:rPr>
        <w:sectPr>
          <w:headerReference r:id="rId19" w:type="default"/>
          <w:footerReference r:id="rId20" w:type="default"/>
          <w:pgSz w:w="16838" w:h="11906" w:orient="landscape"/>
          <w:pgMar w:top="1587"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E83DBF1">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zh-CN" w:eastAsia="zh-CN"/>
        </w:rPr>
      </w:pPr>
      <w:r>
        <w:rPr>
          <w:rFonts w:hint="default" w:ascii="Times New Roman" w:hAnsi="Times New Roman" w:eastAsia="黑体" w:cs="Times New Roman"/>
          <w:b/>
          <w:bCs w:val="0"/>
          <w:color w:val="auto"/>
          <w:sz w:val="24"/>
          <w:szCs w:val="24"/>
          <w:lang w:val="en-US" w:eastAsia="zh-CN"/>
        </w:rPr>
        <w:t>2.2.</w:t>
      </w:r>
      <w:r>
        <w:rPr>
          <w:rFonts w:hint="eastAsia" w:ascii="Times New Roman" w:hAnsi="Times New Roman" w:eastAsia="黑体" w:cs="Times New Roman"/>
          <w:b/>
          <w:bCs w:val="0"/>
          <w:color w:val="auto"/>
          <w:sz w:val="24"/>
          <w:szCs w:val="24"/>
          <w:lang w:val="en-US" w:eastAsia="zh-CN"/>
        </w:rPr>
        <w:t>4</w:t>
      </w:r>
      <w:r>
        <w:rPr>
          <w:rFonts w:hint="default" w:ascii="Times New Roman" w:hAnsi="Times New Roman" w:eastAsia="黑体" w:cs="Times New Roman"/>
          <w:b/>
          <w:bCs w:val="0"/>
          <w:color w:val="auto"/>
          <w:sz w:val="24"/>
          <w:szCs w:val="24"/>
          <w:lang w:val="en-US" w:eastAsia="zh-CN"/>
        </w:rPr>
        <w:t>.4</w:t>
      </w:r>
      <w:r>
        <w:rPr>
          <w:rFonts w:hint="default" w:ascii="Times New Roman" w:hAnsi="Times New Roman" w:eastAsia="黑体" w:cs="Times New Roman"/>
          <w:b/>
          <w:bCs w:val="0"/>
          <w:color w:val="auto"/>
          <w:sz w:val="24"/>
          <w:szCs w:val="24"/>
          <w:lang w:val="zh-CN" w:eastAsia="zh-CN"/>
        </w:rPr>
        <w:t>固体废物</w:t>
      </w:r>
    </w:p>
    <w:p w14:paraId="7F3F68EE">
      <w:pPr>
        <w:pageBreakBefore w:val="0"/>
        <w:kinsoku/>
        <w:wordWrap/>
        <w:topLinePunct w:val="0"/>
        <w:bidi w:val="0"/>
        <w:adjustRightInd/>
        <w:snapToGrid/>
        <w:ind w:left="0" w:leftChars="0"/>
        <w:rPr>
          <w:rFonts w:hint="default"/>
          <w:color w:val="auto"/>
          <w:lang w:val="en-US" w:eastAsia="zh-CN"/>
        </w:rPr>
      </w:pPr>
      <w:r>
        <w:rPr>
          <w:rFonts w:hint="default"/>
          <w:color w:val="auto"/>
          <w:lang w:val="zh-CN" w:eastAsia="zh-CN"/>
        </w:rPr>
        <w:t>本项目产生的固体废物</w:t>
      </w:r>
      <w:r>
        <w:rPr>
          <w:rFonts w:hint="eastAsia"/>
          <w:color w:val="auto"/>
          <w:lang w:val="en-US" w:eastAsia="zh-CN"/>
        </w:rPr>
        <w:t>为牛屠宰过程中产生的分割边角料、胃内容物、病变内脏、不合格胴体、牛粪便（含牛尿）、病死牛，羊屠宰过程产生的分割边角料、胃内容物、病变内脏、不合格胴体、羊粪便（含羊尿）、病死羊，</w:t>
      </w:r>
      <w:r>
        <w:rPr>
          <w:rFonts w:hint="default"/>
          <w:color w:val="auto"/>
          <w:lang w:val="zh-CN" w:eastAsia="zh-CN"/>
        </w:rPr>
        <w:t>污水处理站污泥</w:t>
      </w:r>
      <w:r>
        <w:rPr>
          <w:rFonts w:hint="eastAsia"/>
          <w:color w:val="auto"/>
          <w:lang w:val="zh-CN" w:eastAsia="zh-CN"/>
        </w:rPr>
        <w:t>、</w:t>
      </w:r>
      <w:r>
        <w:rPr>
          <w:rFonts w:hint="eastAsia"/>
          <w:color w:val="auto"/>
          <w:lang w:val="en-US" w:eastAsia="zh-CN"/>
        </w:rPr>
        <w:t>废活性炭、废机油、废机油桶、检疫废物</w:t>
      </w:r>
      <w:r>
        <w:rPr>
          <w:rFonts w:hint="default"/>
          <w:color w:val="auto"/>
          <w:lang w:val="zh-CN" w:eastAsia="zh-CN"/>
        </w:rPr>
        <w:t>及职工产生的生活垃圾。</w:t>
      </w:r>
    </w:p>
    <w:p w14:paraId="33A71D7C">
      <w:pPr>
        <w:pageBreakBefore w:val="0"/>
        <w:kinsoku/>
        <w:wordWrap/>
        <w:topLinePunct w:val="0"/>
        <w:bidi w:val="0"/>
        <w:adjustRightInd/>
        <w:snapToGrid/>
        <w:ind w:left="0" w:leftChars="0"/>
        <w:rPr>
          <w:rFonts w:hint="default"/>
          <w:color w:val="auto"/>
          <w:lang w:val="zh-CN" w:eastAsia="zh-CN"/>
        </w:rPr>
      </w:pPr>
      <w:bookmarkStart w:id="302" w:name="_Toc27479"/>
      <w:bookmarkStart w:id="303" w:name="_Toc190"/>
      <w:bookmarkStart w:id="304" w:name="_Toc17519"/>
      <w:r>
        <w:rPr>
          <w:rFonts w:hint="eastAsia"/>
          <w:color w:val="auto"/>
          <w:lang w:val="zh-CN" w:eastAsia="zh-CN"/>
        </w:rPr>
        <w:t>（</w:t>
      </w:r>
      <w:r>
        <w:rPr>
          <w:rFonts w:hint="eastAsia"/>
          <w:color w:val="auto"/>
          <w:lang w:val="en-US" w:eastAsia="zh-CN"/>
        </w:rPr>
        <w:t>1</w:t>
      </w:r>
      <w:r>
        <w:rPr>
          <w:rFonts w:hint="eastAsia"/>
          <w:color w:val="auto"/>
          <w:lang w:val="zh-CN" w:eastAsia="zh-CN"/>
        </w:rPr>
        <w:t>）牛屠宰全过程产生的固废</w:t>
      </w:r>
      <w:bookmarkEnd w:id="302"/>
      <w:bookmarkEnd w:id="303"/>
      <w:bookmarkEnd w:id="304"/>
    </w:p>
    <w:p w14:paraId="7D87386B">
      <w:pPr>
        <w:pageBreakBefore w:val="0"/>
        <w:kinsoku/>
        <w:wordWrap/>
        <w:topLinePunct w:val="0"/>
        <w:bidi w:val="0"/>
        <w:adjustRightInd/>
        <w:snapToGrid/>
        <w:ind w:left="0" w:leftChars="0"/>
        <w:rPr>
          <w:rFonts w:hint="default"/>
          <w:color w:val="auto"/>
          <w:lang w:val="en-US" w:eastAsia="zh-CN"/>
        </w:rPr>
      </w:pPr>
      <w:r>
        <w:rPr>
          <w:rFonts w:hint="default"/>
          <w:color w:val="auto"/>
          <w:lang w:val="zh-CN" w:eastAsia="zh-CN"/>
        </w:rPr>
        <w:t>①</w:t>
      </w:r>
      <w:r>
        <w:rPr>
          <w:rFonts w:hint="eastAsia"/>
          <w:color w:val="auto"/>
          <w:lang w:val="en-US" w:eastAsia="zh-CN"/>
        </w:rPr>
        <w:t>牛粪便（含牛尿）</w:t>
      </w:r>
    </w:p>
    <w:p w14:paraId="3C5B30FA">
      <w:pPr>
        <w:pageBreakBefore w:val="0"/>
        <w:kinsoku/>
        <w:wordWrap/>
        <w:topLinePunct w:val="0"/>
        <w:bidi w:val="0"/>
        <w:adjustRightInd/>
        <w:snapToGrid/>
        <w:ind w:left="0" w:leftChars="0"/>
        <w:rPr>
          <w:rFonts w:hint="default"/>
          <w:color w:val="000000" w:themeColor="text1"/>
          <w:lang w:val="zh-CN" w:eastAsia="zh-CN"/>
          <w14:textFill>
            <w14:solidFill>
              <w14:schemeClr w14:val="tx1"/>
            </w14:solidFill>
          </w14:textFill>
        </w:rPr>
      </w:pPr>
      <w:r>
        <w:rPr>
          <w:rFonts w:hint="default"/>
          <w:color w:val="auto"/>
          <w:lang w:val="zh-CN" w:eastAsia="zh-CN"/>
        </w:rPr>
        <w:t>参照《排污许可证申请与核发技术规范 畜禽养殖行业》（HJ1029-2019）表9各类畜禽污染物产生量可知：肉牛</w:t>
      </w:r>
      <w:r>
        <w:rPr>
          <w:rFonts w:hint="default"/>
          <w:color w:val="000000" w:themeColor="text1"/>
          <w:lang w:val="zh-CN" w:eastAsia="zh-CN"/>
          <w14:textFill>
            <w14:solidFill>
              <w14:schemeClr w14:val="tx1"/>
            </w14:solidFill>
          </w14:textFill>
        </w:rPr>
        <w:t>牛粪的产生量为10.88kg·d/头</w:t>
      </w: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本项目牛屠宰量为10000头，待宰牛留观24小时，</w:t>
      </w:r>
      <w:r>
        <w:rPr>
          <w:rFonts w:hint="default"/>
          <w:color w:val="000000" w:themeColor="text1"/>
          <w:lang w:val="zh-CN" w:eastAsia="zh-CN"/>
          <w14:textFill>
            <w14:solidFill>
              <w14:schemeClr w14:val="tx1"/>
            </w14:solidFill>
          </w14:textFill>
        </w:rPr>
        <w:t>则牛粪产生量为</w:t>
      </w:r>
      <w:r>
        <w:rPr>
          <w:rFonts w:hint="eastAsia"/>
          <w:color w:val="000000" w:themeColor="text1"/>
          <w:lang w:val="en-US" w:eastAsia="zh-CN"/>
          <w14:textFill>
            <w14:solidFill>
              <w14:schemeClr w14:val="tx1"/>
            </w14:solidFill>
          </w14:textFill>
        </w:rPr>
        <w:t>108.8</w:t>
      </w:r>
      <w:r>
        <w:rPr>
          <w:rFonts w:hint="default"/>
          <w:color w:val="000000" w:themeColor="text1"/>
          <w:lang w:val="zh-CN" w:eastAsia="zh-CN"/>
          <w14:textFill>
            <w14:solidFill>
              <w14:schemeClr w14:val="tx1"/>
            </w14:solidFill>
          </w14:textFill>
        </w:rPr>
        <w:t>t/a。定期清出的牛粪拉运至固原富田有机肥有限公司生产肥料。</w:t>
      </w:r>
    </w:p>
    <w:p w14:paraId="7ACF0BE1">
      <w:pPr>
        <w:pageBreakBefore w:val="0"/>
        <w:kinsoku/>
        <w:wordWrap/>
        <w:topLinePunct w:val="0"/>
        <w:bidi w:val="0"/>
        <w:adjustRightInd/>
        <w:snapToGrid/>
        <w:ind w:left="0" w:leftChars="0"/>
        <w:rPr>
          <w:rFonts w:hint="default" w:ascii="Times New Roman" w:hAnsi="Times New Roman" w:cs="Times New Roman"/>
          <w:color w:val="auto"/>
          <w:lang w:val="en-US" w:eastAsia="zh-CN"/>
        </w:rPr>
      </w:pPr>
      <w:r>
        <w:rPr>
          <w:rFonts w:hint="default"/>
          <w:color w:val="auto"/>
          <w:lang w:val="zh-CN" w:eastAsia="zh-CN"/>
        </w:rPr>
        <w:t>②</w:t>
      </w:r>
      <w:r>
        <w:rPr>
          <w:rFonts w:hint="eastAsia" w:ascii="Times New Roman" w:hAnsi="Times New Roman" w:cs="Times New Roman"/>
          <w:color w:val="auto"/>
          <w:lang w:val="en-US" w:eastAsia="zh-CN"/>
        </w:rPr>
        <w:t>分割边角料</w:t>
      </w:r>
    </w:p>
    <w:p w14:paraId="4F7ED001">
      <w:pPr>
        <w:pageBreakBefore w:val="0"/>
        <w:kinsoku/>
        <w:wordWrap/>
        <w:topLinePunct w:val="0"/>
        <w:bidi w:val="0"/>
        <w:adjustRightInd/>
        <w:snapToGrid/>
        <w:ind w:left="0" w:leftChars="0"/>
        <w:rPr>
          <w:rFonts w:hint="default"/>
          <w:b/>
          <w:bCs/>
          <w:color w:val="000000" w:themeColor="text1"/>
          <w:lang w:val="en-US" w:eastAsia="zh-CN"/>
          <w14:textFill>
            <w14:solidFill>
              <w14:schemeClr w14:val="tx1"/>
            </w14:solidFill>
          </w14:textFill>
        </w:rPr>
      </w:pPr>
      <w:r>
        <w:rPr>
          <w:rFonts w:hint="eastAsia"/>
          <w:color w:val="auto"/>
          <w:lang w:val="en-US" w:eastAsia="zh-CN"/>
        </w:rPr>
        <w:t>参照同类型企业，</w:t>
      </w:r>
      <w:r>
        <w:rPr>
          <w:rFonts w:hint="eastAsia" w:ascii="Times New Roman" w:hAnsi="Times New Roman" w:cs="Times New Roman"/>
          <w:color w:val="auto"/>
          <w:lang w:val="en-US" w:eastAsia="zh-CN"/>
        </w:rPr>
        <w:t>分割边角料约占</w:t>
      </w:r>
      <w:r>
        <w:rPr>
          <w:rFonts w:hint="eastAsia" w:ascii="Times New Roman" w:hAnsi="Times New Roman" w:cs="Times New Roman"/>
          <w:color w:val="000000" w:themeColor="text1"/>
          <w:lang w:val="en-US" w:eastAsia="zh-CN"/>
          <w14:textFill>
            <w14:solidFill>
              <w14:schemeClr w14:val="tx1"/>
            </w14:solidFill>
          </w14:textFill>
        </w:rPr>
        <w:t>活体牛总重量的2%，产生量为</w:t>
      </w:r>
      <w:r>
        <w:rPr>
          <w:rFonts w:hint="eastAsia" w:cs="Times New Roman"/>
          <w:color w:val="000000" w:themeColor="text1"/>
          <w:lang w:val="en-US" w:eastAsia="zh-CN"/>
          <w14:textFill>
            <w14:solidFill>
              <w14:schemeClr w14:val="tx1"/>
            </w14:solidFill>
          </w14:textFill>
        </w:rPr>
        <w:t>100</w:t>
      </w:r>
      <w:r>
        <w:rPr>
          <w:rFonts w:hint="eastAsia" w:ascii="Times New Roman" w:hAnsi="Times New Roman" w:cs="Times New Roman"/>
          <w:color w:val="000000" w:themeColor="text1"/>
          <w:lang w:val="en-US" w:eastAsia="zh-CN"/>
          <w14:textFill>
            <w14:solidFill>
              <w14:schemeClr w14:val="tx1"/>
            </w14:solidFill>
          </w14:textFill>
        </w:rPr>
        <w:t>t/a</w:t>
      </w:r>
      <w:r>
        <w:rPr>
          <w:rFonts w:hint="eastAsia" w:cs="Times New Roman"/>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暂存于内脏处理间粪便池内</w:t>
      </w:r>
      <w:r>
        <w:rPr>
          <w:rFonts w:hint="eastAsia" w:ascii="Times New Roman" w:hAnsi="Times New Roman" w:cs="Times New Roman"/>
          <w:color w:val="000000" w:themeColor="text1"/>
          <w:lang w:val="en-US" w:eastAsia="zh-CN"/>
          <w14:textFill>
            <w14:solidFill>
              <w14:schemeClr w14:val="tx1"/>
            </w14:solidFill>
          </w14:textFill>
        </w:rPr>
        <w:t>，由吸污车拉运至固原富田有机肥有限公司生产肥料，不在厂区储存</w:t>
      </w:r>
      <w:r>
        <w:rPr>
          <w:rFonts w:hint="eastAsia" w:cs="Times New Roman"/>
          <w:color w:val="000000" w:themeColor="text1"/>
          <w:lang w:val="en-US" w:eastAsia="zh-CN"/>
          <w14:textFill>
            <w14:solidFill>
              <w14:schemeClr w14:val="tx1"/>
            </w14:solidFill>
          </w14:textFill>
        </w:rPr>
        <w:t>。</w:t>
      </w:r>
    </w:p>
    <w:p w14:paraId="70ACBC50">
      <w:pPr>
        <w:pageBreakBefore w:val="0"/>
        <w:kinsoku/>
        <w:wordWrap/>
        <w:topLinePunct w:val="0"/>
        <w:bidi w:val="0"/>
        <w:adjustRightInd/>
        <w:snapToGrid/>
        <w:ind w:left="0" w:leftChars="0"/>
        <w:rPr>
          <w:rFonts w:hint="eastAsia"/>
          <w:color w:val="auto"/>
          <w:lang w:val="en-US" w:eastAsia="zh-CN"/>
        </w:rPr>
      </w:pPr>
      <w:r>
        <w:rPr>
          <w:rFonts w:hint="default" w:ascii="Times New Roman" w:hAnsi="Times New Roman" w:cs="Times New Roman"/>
          <w:color w:val="auto"/>
          <w:lang w:val="en-US" w:eastAsia="zh-CN"/>
        </w:rPr>
        <w:t>③</w:t>
      </w:r>
      <w:r>
        <w:rPr>
          <w:rFonts w:hint="eastAsia" w:ascii="Times New Roman" w:hAnsi="Times New Roman" w:cs="Times New Roman"/>
          <w:color w:val="auto"/>
          <w:lang w:val="en-US" w:eastAsia="zh-CN"/>
        </w:rPr>
        <w:t>胃内容物</w:t>
      </w:r>
    </w:p>
    <w:p w14:paraId="045EA7DC">
      <w:pPr>
        <w:pageBreakBefore w:val="0"/>
        <w:kinsoku/>
        <w:wordWrap/>
        <w:topLinePunct w:val="0"/>
        <w:bidi w:val="0"/>
        <w:adjustRightInd/>
        <w:snapToGrid/>
        <w:ind w:left="0" w:left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参照同类型企业，</w:t>
      </w:r>
      <w:r>
        <w:rPr>
          <w:rFonts w:hint="eastAsia" w:ascii="Times New Roman" w:hAnsi="Times New Roman" w:cs="Times New Roman"/>
          <w:color w:val="000000" w:themeColor="text1"/>
          <w:lang w:val="en-US" w:eastAsia="zh-CN"/>
          <w14:textFill>
            <w14:solidFill>
              <w14:schemeClr w14:val="tx1"/>
            </w14:solidFill>
          </w14:textFill>
        </w:rPr>
        <w:t>胃内容物约占活体牛总重量的5%，产生量为</w:t>
      </w:r>
      <w:r>
        <w:rPr>
          <w:rFonts w:hint="eastAsia" w:cs="Times New Roman"/>
          <w:color w:val="000000" w:themeColor="text1"/>
          <w:lang w:val="en-US" w:eastAsia="zh-CN"/>
          <w14:textFill>
            <w14:solidFill>
              <w14:schemeClr w14:val="tx1"/>
            </w14:solidFill>
          </w14:textFill>
        </w:rPr>
        <w:t>250</w:t>
      </w:r>
      <w:r>
        <w:rPr>
          <w:rFonts w:hint="eastAsia" w:ascii="Times New Roman" w:hAnsi="Times New Roman" w:cs="Times New Roman"/>
          <w:color w:val="000000" w:themeColor="text1"/>
          <w:lang w:val="en-US" w:eastAsia="zh-CN"/>
          <w14:textFill>
            <w14:solidFill>
              <w14:schemeClr w14:val="tx1"/>
            </w14:solidFill>
          </w14:textFill>
        </w:rPr>
        <w:t>t/a，</w:t>
      </w:r>
      <w:r>
        <w:rPr>
          <w:rFonts w:hint="eastAsia"/>
          <w:color w:val="000000" w:themeColor="text1"/>
          <w:lang w:val="en-US" w:eastAsia="zh-CN"/>
          <w14:textFill>
            <w14:solidFill>
              <w14:schemeClr w14:val="tx1"/>
            </w14:solidFill>
          </w14:textFill>
        </w:rPr>
        <w:t>暂存于内脏处理间粪便池内</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由吸污车拉运至</w:t>
      </w:r>
      <w:r>
        <w:rPr>
          <w:rFonts w:hint="default"/>
          <w:color w:val="000000" w:themeColor="text1"/>
          <w:lang w:val="en-US" w:eastAsia="zh-CN"/>
          <w14:textFill>
            <w14:solidFill>
              <w14:schemeClr w14:val="tx1"/>
            </w14:solidFill>
          </w14:textFill>
        </w:rPr>
        <w:t>固原富田有机肥有限公司生产</w:t>
      </w:r>
      <w:r>
        <w:rPr>
          <w:rFonts w:hint="eastAsia"/>
          <w:color w:val="000000" w:themeColor="text1"/>
          <w:lang w:val="en-US" w:eastAsia="zh-CN"/>
          <w14:textFill>
            <w14:solidFill>
              <w14:schemeClr w14:val="tx1"/>
            </w14:solidFill>
          </w14:textFill>
        </w:rPr>
        <w:t>肥料，不在厂区储存。</w:t>
      </w:r>
    </w:p>
    <w:p w14:paraId="4CB9FA5E">
      <w:pPr>
        <w:pageBreakBefore w:val="0"/>
        <w:kinsoku/>
        <w:wordWrap/>
        <w:topLinePunct w:val="0"/>
        <w:bidi w:val="0"/>
        <w:adjustRightInd/>
        <w:snapToGrid/>
        <w:ind w:left="0" w:leftChars="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④</w:t>
      </w:r>
      <w:r>
        <w:rPr>
          <w:rFonts w:hint="eastAsia"/>
          <w:color w:val="auto"/>
          <w:lang w:val="en-US" w:eastAsia="zh-CN"/>
        </w:rPr>
        <w:t>病变内脏、不合格胴体、病死牛</w:t>
      </w:r>
    </w:p>
    <w:p w14:paraId="245601A6">
      <w:pPr>
        <w:pageBreakBefore w:val="0"/>
        <w:kinsoku/>
        <w:wordWrap/>
        <w:topLinePunct w:val="0"/>
        <w:bidi w:val="0"/>
        <w:adjustRightInd/>
        <w:snapToGrid/>
        <w:ind w:left="0" w:leftChars="0"/>
        <w:rPr>
          <w:rFonts w:hint="eastAsia"/>
          <w:color w:val="auto"/>
          <w:lang w:val="en-US" w:eastAsia="zh-CN"/>
        </w:rPr>
      </w:pPr>
      <w:r>
        <w:rPr>
          <w:rFonts w:hint="eastAsia"/>
          <w:color w:val="auto"/>
          <w:lang w:val="en-US" w:eastAsia="zh-CN"/>
        </w:rPr>
        <w:t>经入厂检疫后，对检疫不合格的肉牛进行急宰后无害化处置。参照同类型企业，病变内脏、不合格胴体、病死牛</w:t>
      </w:r>
      <w:r>
        <w:rPr>
          <w:rFonts w:hint="eastAsia" w:ascii="Times New Roman" w:hAnsi="Times New Roman" w:cs="Times New Roman"/>
          <w:color w:val="auto"/>
          <w:lang w:val="en-US" w:eastAsia="zh-CN"/>
        </w:rPr>
        <w:t>约占活体牛总重量的2.8%，产生量为</w:t>
      </w:r>
      <w:r>
        <w:rPr>
          <w:rFonts w:hint="eastAsia" w:cs="Times New Roman"/>
          <w:color w:val="auto"/>
          <w:lang w:val="en-US" w:eastAsia="zh-CN"/>
        </w:rPr>
        <w:t>141.2</w:t>
      </w:r>
      <w:r>
        <w:rPr>
          <w:rFonts w:hint="eastAsia" w:ascii="Times New Roman" w:hAnsi="Times New Roman" w:cs="Times New Roman"/>
          <w:color w:val="auto"/>
          <w:lang w:val="en-US" w:eastAsia="zh-CN"/>
        </w:rPr>
        <w:t>t/a，</w:t>
      </w:r>
      <w:r>
        <w:rPr>
          <w:rFonts w:hint="eastAsia"/>
          <w:color w:val="auto"/>
          <w:lang w:val="en-US" w:eastAsia="zh-CN"/>
        </w:rPr>
        <w:t>集中收集后暂存于危废贮存库内的冰柜</w:t>
      </w:r>
      <w:r>
        <w:rPr>
          <w:rFonts w:hint="eastAsia"/>
          <w:color w:val="000000" w:themeColor="text1"/>
          <w:lang w:val="en-US" w:eastAsia="zh-CN"/>
          <w14:textFill>
            <w14:solidFill>
              <w14:schemeClr w14:val="tx1"/>
            </w14:solidFill>
          </w14:textFill>
        </w:rPr>
        <w:t>中，</w:t>
      </w:r>
      <w:r>
        <w:rPr>
          <w:rFonts w:hint="default"/>
          <w:color w:val="000000" w:themeColor="text1"/>
          <w:lang w:val="en-US" w:eastAsia="zh-CN"/>
          <w14:textFill>
            <w14:solidFill>
              <w14:schemeClr w14:val="tx1"/>
            </w14:solidFill>
          </w14:textFill>
        </w:rPr>
        <w:t>定期拉运至原州区动物疾病预防控制中心（动物卫生监督）</w:t>
      </w:r>
      <w:r>
        <w:rPr>
          <w:rFonts w:hint="eastAsia"/>
          <w:color w:val="000000" w:themeColor="text1"/>
          <w:lang w:val="en-US" w:eastAsia="zh-CN"/>
          <w14:textFill>
            <w14:solidFill>
              <w14:schemeClr w14:val="tx1"/>
            </w14:solidFill>
          </w14:textFill>
        </w:rPr>
        <w:t>指定场所进行</w:t>
      </w:r>
      <w:r>
        <w:rPr>
          <w:rFonts w:hint="default"/>
          <w:color w:val="000000" w:themeColor="text1"/>
          <w:lang w:val="en-US" w:eastAsia="zh-CN"/>
          <w14:textFill>
            <w14:solidFill>
              <w14:schemeClr w14:val="tx1"/>
            </w14:solidFill>
          </w14:textFill>
        </w:rPr>
        <w:t>无害化处置</w:t>
      </w:r>
      <w:r>
        <w:rPr>
          <w:rFonts w:hint="eastAsia"/>
          <w:color w:val="000000" w:themeColor="text1"/>
          <w:lang w:val="en-US" w:eastAsia="zh-CN"/>
          <w14:textFill>
            <w14:solidFill>
              <w14:schemeClr w14:val="tx1"/>
            </w14:solidFill>
          </w14:textFill>
        </w:rPr>
        <w:t>。</w:t>
      </w:r>
    </w:p>
    <w:p w14:paraId="29D31514">
      <w:pPr>
        <w:pageBreakBefore w:val="0"/>
        <w:kinsoku/>
        <w:wordWrap/>
        <w:topLinePunct w:val="0"/>
        <w:bidi w:val="0"/>
        <w:adjustRightInd/>
        <w:snapToGrid/>
        <w:ind w:left="0" w:leftChars="0"/>
        <w:rPr>
          <w:rFonts w:hint="default"/>
          <w:color w:val="auto"/>
          <w:lang w:val="zh-CN" w:eastAsia="zh-CN"/>
        </w:rPr>
      </w:pPr>
      <w:bookmarkStart w:id="305" w:name="_Toc21645"/>
      <w:bookmarkStart w:id="306" w:name="_Toc6639"/>
      <w:bookmarkStart w:id="307" w:name="_Toc12791"/>
      <w:r>
        <w:rPr>
          <w:rFonts w:hint="eastAsia"/>
          <w:color w:val="auto"/>
          <w:lang w:val="zh-CN" w:eastAsia="zh-CN"/>
        </w:rPr>
        <w:t>（</w:t>
      </w:r>
      <w:r>
        <w:rPr>
          <w:rFonts w:hint="eastAsia"/>
          <w:color w:val="auto"/>
          <w:lang w:val="en-US" w:eastAsia="zh-CN"/>
        </w:rPr>
        <w:t>2</w:t>
      </w:r>
      <w:r>
        <w:rPr>
          <w:rFonts w:hint="eastAsia"/>
          <w:color w:val="auto"/>
          <w:lang w:val="zh-CN" w:eastAsia="zh-CN"/>
        </w:rPr>
        <w:t>）</w:t>
      </w:r>
      <w:r>
        <w:rPr>
          <w:rFonts w:hint="eastAsia"/>
          <w:color w:val="auto"/>
          <w:lang w:val="en-US" w:eastAsia="zh-CN"/>
        </w:rPr>
        <w:t>羊</w:t>
      </w:r>
      <w:r>
        <w:rPr>
          <w:rFonts w:hint="eastAsia"/>
          <w:color w:val="auto"/>
          <w:lang w:val="zh-CN" w:eastAsia="zh-CN"/>
        </w:rPr>
        <w:t>屠宰全过程产生的固废</w:t>
      </w:r>
      <w:bookmarkEnd w:id="305"/>
      <w:bookmarkEnd w:id="306"/>
      <w:bookmarkEnd w:id="307"/>
    </w:p>
    <w:p w14:paraId="7BE6CB8D">
      <w:pPr>
        <w:pageBreakBefore w:val="0"/>
        <w:kinsoku/>
        <w:wordWrap/>
        <w:topLinePunct w:val="0"/>
        <w:bidi w:val="0"/>
        <w:adjustRightInd/>
        <w:snapToGrid/>
        <w:ind w:left="0" w:leftChars="0"/>
        <w:rPr>
          <w:rFonts w:hint="default"/>
          <w:color w:val="auto"/>
          <w:lang w:val="en-US" w:eastAsia="zh-CN"/>
        </w:rPr>
      </w:pPr>
      <w:r>
        <w:rPr>
          <w:rFonts w:hint="default"/>
          <w:color w:val="auto"/>
          <w:lang w:val="zh-CN" w:eastAsia="zh-CN"/>
        </w:rPr>
        <w:t>①</w:t>
      </w:r>
      <w:r>
        <w:rPr>
          <w:rFonts w:hint="eastAsia"/>
          <w:color w:val="auto"/>
          <w:lang w:val="en-US" w:eastAsia="zh-CN"/>
        </w:rPr>
        <w:t>羊粪便（含羊尿）</w:t>
      </w:r>
    </w:p>
    <w:p w14:paraId="46C386F0">
      <w:pPr>
        <w:pageBreakBefore w:val="0"/>
        <w:kinsoku/>
        <w:wordWrap/>
        <w:topLinePunct w:val="0"/>
        <w:bidi w:val="0"/>
        <w:adjustRightInd/>
        <w:snapToGrid/>
        <w:ind w:left="0" w:leftChars="0"/>
        <w:rPr>
          <w:rFonts w:hint="default"/>
          <w:color w:val="auto"/>
          <w:lang w:val="zh-CN" w:eastAsia="zh-CN"/>
        </w:rPr>
      </w:pPr>
      <w:r>
        <w:rPr>
          <w:rFonts w:hint="eastAsia"/>
          <w:color w:val="auto"/>
          <w:lang w:eastAsia="zh-CN"/>
        </w:rPr>
        <w:t>根据《排污许可证申请与核发技术规范</w:t>
      </w:r>
      <w:r>
        <w:rPr>
          <w:rFonts w:hint="eastAsia"/>
          <w:color w:val="auto"/>
          <w:lang w:val="en-US" w:eastAsia="zh-CN"/>
        </w:rPr>
        <w:t xml:space="preserve"> 畜禽养殖行业</w:t>
      </w:r>
      <w:r>
        <w:rPr>
          <w:rFonts w:hint="eastAsia"/>
          <w:color w:val="auto"/>
          <w:lang w:eastAsia="zh-CN"/>
        </w:rPr>
        <w:t>》（</w:t>
      </w:r>
      <w:r>
        <w:rPr>
          <w:rFonts w:hint="eastAsia"/>
          <w:color w:val="auto"/>
          <w:lang w:val="en-US" w:eastAsia="zh-CN"/>
        </w:rPr>
        <w:t>HJ1029-2019</w:t>
      </w:r>
      <w:r>
        <w:rPr>
          <w:rFonts w:hint="eastAsia"/>
          <w:color w:val="auto"/>
          <w:lang w:eastAsia="zh-CN"/>
        </w:rPr>
        <w:t>）表</w:t>
      </w:r>
      <w:r>
        <w:rPr>
          <w:rFonts w:hint="eastAsia"/>
          <w:color w:val="auto"/>
          <w:lang w:val="en-US" w:eastAsia="zh-CN"/>
        </w:rPr>
        <w:t>9各类畜禽污染物产生量可知：三只羊折算成1头猪，猪粪便产生量为1.24kg·头/d。本项目羊屠宰量为15万只，待宰羊留观24小时，则羊</w:t>
      </w:r>
      <w:r>
        <w:rPr>
          <w:rFonts w:hint="default"/>
          <w:color w:val="auto"/>
          <w:lang w:val="zh-CN" w:eastAsia="zh-CN"/>
        </w:rPr>
        <w:t>粪的产</w:t>
      </w:r>
      <w:r>
        <w:rPr>
          <w:rFonts w:hint="default"/>
          <w:color w:val="000000" w:themeColor="text1"/>
          <w:lang w:val="zh-CN" w:eastAsia="zh-CN"/>
          <w14:textFill>
            <w14:solidFill>
              <w14:schemeClr w14:val="tx1"/>
            </w14:solidFill>
          </w14:textFill>
        </w:rPr>
        <w:t>生量</w:t>
      </w:r>
      <w:r>
        <w:rPr>
          <w:rFonts w:hint="default"/>
          <w:color w:val="000000" w:themeColor="text1"/>
          <w:lang w:val="en-US" w:eastAsia="zh-CN"/>
          <w14:textFill>
            <w14:solidFill>
              <w14:schemeClr w14:val="tx1"/>
            </w14:solidFill>
          </w14:textFill>
        </w:rPr>
        <w:t>为</w:t>
      </w:r>
      <w:r>
        <w:rPr>
          <w:rFonts w:hint="eastAsia"/>
          <w:color w:val="000000" w:themeColor="text1"/>
          <w:lang w:val="en-US" w:eastAsia="zh-CN"/>
          <w14:textFill>
            <w14:solidFill>
              <w14:schemeClr w14:val="tx1"/>
            </w14:solidFill>
          </w14:textFill>
        </w:rPr>
        <w:t>62</w:t>
      </w:r>
      <w:r>
        <w:rPr>
          <w:rFonts w:hint="default"/>
          <w:color w:val="000000" w:themeColor="text1"/>
          <w:lang w:val="en-US" w:eastAsia="zh-CN"/>
          <w14:textFill>
            <w14:solidFill>
              <w14:schemeClr w14:val="tx1"/>
            </w14:solidFill>
          </w14:textFill>
        </w:rPr>
        <w:t>t/a。定期清出的</w:t>
      </w:r>
      <w:r>
        <w:rPr>
          <w:rFonts w:hint="eastAsia"/>
          <w:color w:val="000000" w:themeColor="text1"/>
          <w:lang w:val="en-US" w:eastAsia="zh-CN"/>
          <w14:textFill>
            <w14:solidFill>
              <w14:schemeClr w14:val="tx1"/>
            </w14:solidFill>
          </w14:textFill>
        </w:rPr>
        <w:t>羊</w:t>
      </w:r>
      <w:r>
        <w:rPr>
          <w:rFonts w:hint="default"/>
          <w:color w:val="000000" w:themeColor="text1"/>
          <w:lang w:val="en-US" w:eastAsia="zh-CN"/>
          <w14:textFill>
            <w14:solidFill>
              <w14:schemeClr w14:val="tx1"/>
            </w14:solidFill>
          </w14:textFill>
        </w:rPr>
        <w:t>粪</w:t>
      </w:r>
      <w:r>
        <w:rPr>
          <w:rFonts w:hint="default"/>
          <w:color w:val="000000" w:themeColor="text1"/>
          <w:lang w:val="zh-CN" w:eastAsia="zh-CN"/>
          <w14:textFill>
            <w14:solidFill>
              <w14:schemeClr w14:val="tx1"/>
            </w14:solidFill>
          </w14:textFill>
        </w:rPr>
        <w:t>运至固原富田有机肥有限公司生产</w:t>
      </w:r>
      <w:r>
        <w:rPr>
          <w:rFonts w:hint="eastAsia"/>
          <w:color w:val="000000" w:themeColor="text1"/>
          <w:lang w:val="en-US" w:eastAsia="zh-CN"/>
          <w14:textFill>
            <w14:solidFill>
              <w14:schemeClr w14:val="tx1"/>
            </w14:solidFill>
          </w14:textFill>
        </w:rPr>
        <w:t>肥料</w:t>
      </w:r>
      <w:r>
        <w:rPr>
          <w:rFonts w:hint="default"/>
          <w:color w:val="000000" w:themeColor="text1"/>
          <w:lang w:val="en-US" w:eastAsia="zh-CN"/>
          <w14:textFill>
            <w14:solidFill>
              <w14:schemeClr w14:val="tx1"/>
            </w14:solidFill>
          </w14:textFill>
        </w:rPr>
        <w:t>。</w:t>
      </w:r>
    </w:p>
    <w:p w14:paraId="55EA7624">
      <w:pPr>
        <w:pageBreakBefore w:val="0"/>
        <w:kinsoku/>
        <w:wordWrap/>
        <w:topLinePunct w:val="0"/>
        <w:bidi w:val="0"/>
        <w:adjustRightInd/>
        <w:snapToGrid/>
        <w:ind w:left="0" w:leftChars="0"/>
        <w:rPr>
          <w:rFonts w:hint="eastAsia" w:ascii="Times New Roman" w:hAnsi="Times New Roman" w:cs="Times New Roman"/>
          <w:color w:val="auto"/>
          <w:lang w:val="en-US" w:eastAsia="zh-CN"/>
        </w:rPr>
      </w:pPr>
      <w:r>
        <w:rPr>
          <w:rFonts w:hint="default"/>
          <w:color w:val="auto"/>
          <w:lang w:val="zh-CN" w:eastAsia="zh-CN"/>
        </w:rPr>
        <w:t>②</w:t>
      </w:r>
      <w:r>
        <w:rPr>
          <w:rFonts w:hint="eastAsia" w:ascii="Times New Roman" w:hAnsi="Times New Roman" w:cs="Times New Roman"/>
          <w:color w:val="auto"/>
          <w:lang w:val="en-US" w:eastAsia="zh-CN"/>
        </w:rPr>
        <w:t>分割边角料</w:t>
      </w:r>
    </w:p>
    <w:p w14:paraId="089C8773">
      <w:pPr>
        <w:pageBreakBefore w:val="0"/>
        <w:kinsoku/>
        <w:wordWrap/>
        <w:topLinePunct w:val="0"/>
        <w:bidi w:val="0"/>
        <w:adjustRightInd/>
        <w:snapToGrid/>
        <w:ind w:left="0" w:leftChars="0"/>
        <w:rPr>
          <w:rFonts w:hint="eastAsia" w:ascii="Times New Roman" w:hAnsi="Times New Roman" w:cs="Times New Roman"/>
          <w:color w:val="000000" w:themeColor="text1"/>
          <w:lang w:val="en-US" w:eastAsia="zh-CN"/>
          <w14:textFill>
            <w14:solidFill>
              <w14:schemeClr w14:val="tx1"/>
            </w14:solidFill>
          </w14:textFill>
        </w:rPr>
      </w:pPr>
      <w:r>
        <w:rPr>
          <w:rFonts w:hint="eastAsia"/>
          <w:color w:val="auto"/>
          <w:lang w:val="en-US" w:eastAsia="zh-CN"/>
        </w:rPr>
        <w:t>参照同类型企业，</w:t>
      </w:r>
      <w:r>
        <w:rPr>
          <w:rFonts w:hint="eastAsia" w:ascii="Times New Roman" w:hAnsi="Times New Roman" w:cs="Times New Roman"/>
          <w:color w:val="auto"/>
          <w:lang w:val="en-US" w:eastAsia="zh-CN"/>
        </w:rPr>
        <w:t>分割边角料约占活体羊总重量的2%，产生量为</w:t>
      </w:r>
      <w:r>
        <w:rPr>
          <w:rFonts w:hint="eastAsia" w:cs="Times New Roman"/>
          <w:color w:val="auto"/>
          <w:lang w:val="en-US" w:eastAsia="zh-CN"/>
        </w:rPr>
        <w:t>90</w:t>
      </w:r>
      <w:r>
        <w:rPr>
          <w:rFonts w:hint="eastAsia" w:ascii="Times New Roman" w:hAnsi="Times New Roman" w:cs="Times New Roman"/>
          <w:color w:val="auto"/>
          <w:lang w:val="en-US" w:eastAsia="zh-CN"/>
        </w:rPr>
        <w:t>t/a，</w:t>
      </w:r>
      <w:r>
        <w:rPr>
          <w:rFonts w:hint="eastAsia"/>
          <w:color w:val="000000" w:themeColor="text1"/>
          <w:lang w:val="en-US" w:eastAsia="zh-CN"/>
          <w14:textFill>
            <w14:solidFill>
              <w14:schemeClr w14:val="tx1"/>
            </w14:solidFill>
          </w14:textFill>
        </w:rPr>
        <w:t>暂存于内脏处理间粪便池内</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由吸污车拉运至</w:t>
      </w:r>
      <w:r>
        <w:rPr>
          <w:rFonts w:hint="default"/>
          <w:color w:val="000000" w:themeColor="text1"/>
          <w:lang w:val="en-US" w:eastAsia="zh-CN"/>
          <w14:textFill>
            <w14:solidFill>
              <w14:schemeClr w14:val="tx1"/>
            </w14:solidFill>
          </w14:textFill>
        </w:rPr>
        <w:t>固原富田有机肥有限公司生产</w:t>
      </w:r>
      <w:r>
        <w:rPr>
          <w:rFonts w:hint="eastAsia"/>
          <w:color w:val="000000" w:themeColor="text1"/>
          <w:lang w:val="en-US" w:eastAsia="zh-CN"/>
          <w14:textFill>
            <w14:solidFill>
              <w14:schemeClr w14:val="tx1"/>
            </w14:solidFill>
          </w14:textFill>
        </w:rPr>
        <w:t>肥料，不在厂区储存</w:t>
      </w:r>
      <w:r>
        <w:rPr>
          <w:rFonts w:hint="eastAsia"/>
          <w:b/>
          <w:bCs/>
          <w:color w:val="000000" w:themeColor="text1"/>
          <w:lang w:val="zh-CN" w:eastAsia="zh-CN"/>
          <w14:textFill>
            <w14:solidFill>
              <w14:schemeClr w14:val="tx1"/>
            </w14:solidFill>
          </w14:textFill>
        </w:rPr>
        <w:t>。</w:t>
      </w:r>
    </w:p>
    <w:p w14:paraId="10D20A92">
      <w:pPr>
        <w:pageBreakBefore w:val="0"/>
        <w:kinsoku/>
        <w:wordWrap/>
        <w:topLinePunct w:val="0"/>
        <w:bidi w:val="0"/>
        <w:adjustRightInd/>
        <w:snapToGrid/>
        <w:ind w:left="0"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w:t>
      </w:r>
      <w:r>
        <w:rPr>
          <w:rFonts w:hint="eastAsia" w:ascii="Times New Roman" w:hAnsi="Times New Roman" w:cs="Times New Roman"/>
          <w:color w:val="auto"/>
          <w:lang w:val="en-US" w:eastAsia="zh-CN"/>
        </w:rPr>
        <w:t>胃内容物</w:t>
      </w:r>
    </w:p>
    <w:p w14:paraId="32D604E7">
      <w:pPr>
        <w:pageBreakBefore w:val="0"/>
        <w:kinsoku/>
        <w:wordWrap/>
        <w:topLinePunct w:val="0"/>
        <w:bidi w:val="0"/>
        <w:adjustRightInd/>
        <w:snapToGrid/>
        <w:ind w:left="0" w:leftChars="0"/>
        <w:rPr>
          <w:rFonts w:hint="eastAsia"/>
          <w:color w:val="000000" w:themeColor="text1"/>
          <w:lang w:val="en-US" w:eastAsia="zh-CN"/>
          <w14:textFill>
            <w14:solidFill>
              <w14:schemeClr w14:val="tx1"/>
            </w14:solidFill>
          </w14:textFill>
        </w:rPr>
      </w:pPr>
      <w:r>
        <w:rPr>
          <w:rFonts w:hint="eastAsia"/>
          <w:color w:val="auto"/>
          <w:lang w:val="en-US" w:eastAsia="zh-CN"/>
        </w:rPr>
        <w:t>参照同类型企业，</w:t>
      </w:r>
      <w:r>
        <w:rPr>
          <w:rFonts w:hint="eastAsia" w:ascii="Times New Roman" w:hAnsi="Times New Roman" w:cs="Times New Roman"/>
          <w:color w:val="auto"/>
          <w:lang w:val="en-US" w:eastAsia="zh-CN"/>
        </w:rPr>
        <w:t>胃内容物约占活体羊总重量的4%，产生量为</w:t>
      </w:r>
      <w:r>
        <w:rPr>
          <w:rFonts w:hint="eastAsia" w:cs="Times New Roman"/>
          <w:color w:val="auto"/>
          <w:lang w:val="en-US" w:eastAsia="zh-CN"/>
        </w:rPr>
        <w:t>180</w:t>
      </w:r>
      <w:r>
        <w:rPr>
          <w:rFonts w:hint="eastAsia" w:ascii="Times New Roman" w:hAnsi="Times New Roman" w:cs="Times New Roman"/>
          <w:color w:val="auto"/>
          <w:lang w:val="en-US" w:eastAsia="zh-CN"/>
        </w:rPr>
        <w:t>t/a，</w:t>
      </w:r>
      <w:r>
        <w:rPr>
          <w:rFonts w:hint="eastAsia"/>
          <w:color w:val="000000" w:themeColor="text1"/>
          <w:lang w:val="en-US" w:eastAsia="zh-CN"/>
          <w14:textFill>
            <w14:solidFill>
              <w14:schemeClr w14:val="tx1"/>
            </w14:solidFill>
          </w14:textFill>
        </w:rPr>
        <w:t>暂存于内脏处理间粪便池内</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由吸污车拉运至</w:t>
      </w:r>
      <w:r>
        <w:rPr>
          <w:rFonts w:hint="default"/>
          <w:color w:val="000000" w:themeColor="text1"/>
          <w:lang w:val="en-US" w:eastAsia="zh-CN"/>
          <w14:textFill>
            <w14:solidFill>
              <w14:schemeClr w14:val="tx1"/>
            </w14:solidFill>
          </w14:textFill>
        </w:rPr>
        <w:t>固原富田有机肥有限公司生产</w:t>
      </w:r>
      <w:r>
        <w:rPr>
          <w:rFonts w:hint="eastAsia"/>
          <w:color w:val="000000" w:themeColor="text1"/>
          <w:lang w:val="en-US" w:eastAsia="zh-CN"/>
          <w14:textFill>
            <w14:solidFill>
              <w14:schemeClr w14:val="tx1"/>
            </w14:solidFill>
          </w14:textFill>
        </w:rPr>
        <w:t>肥料，不在厂区储存</w:t>
      </w:r>
      <w:r>
        <w:rPr>
          <w:rFonts w:hint="eastAsia"/>
          <w:b/>
          <w:bCs/>
          <w:color w:val="000000" w:themeColor="text1"/>
          <w:lang w:val="zh-CN" w:eastAsia="zh-CN"/>
          <w14:textFill>
            <w14:solidFill>
              <w14:schemeClr w14:val="tx1"/>
            </w14:solidFill>
          </w14:textFill>
        </w:rPr>
        <w:t>。</w:t>
      </w:r>
    </w:p>
    <w:p w14:paraId="0F185605">
      <w:pPr>
        <w:pageBreakBefore w:val="0"/>
        <w:kinsoku/>
        <w:wordWrap/>
        <w:topLinePunct w:val="0"/>
        <w:bidi w:val="0"/>
        <w:adjustRightInd/>
        <w:snapToGrid/>
        <w:ind w:left="0" w:leftChars="0"/>
        <w:rPr>
          <w:rFonts w:hint="default"/>
          <w:color w:val="auto"/>
          <w:lang w:val="zh-CN" w:eastAsia="zh-CN"/>
        </w:rPr>
      </w:pPr>
      <w:r>
        <w:rPr>
          <w:rFonts w:hint="default" w:ascii="Times New Roman" w:hAnsi="Times New Roman" w:cs="Times New Roman"/>
          <w:color w:val="auto"/>
          <w:lang w:val="en-US" w:eastAsia="zh-CN"/>
        </w:rPr>
        <w:t>④</w:t>
      </w:r>
      <w:r>
        <w:rPr>
          <w:rFonts w:hint="eastAsia"/>
          <w:color w:val="auto"/>
          <w:lang w:val="en-US" w:eastAsia="zh-CN"/>
        </w:rPr>
        <w:t>病变内脏、不合格胴体、病死羊</w:t>
      </w:r>
    </w:p>
    <w:p w14:paraId="1A2F11C0">
      <w:pPr>
        <w:pageBreakBefore w:val="0"/>
        <w:kinsoku/>
        <w:wordWrap/>
        <w:topLinePunct w:val="0"/>
        <w:bidi w:val="0"/>
        <w:adjustRightInd/>
        <w:snapToGrid/>
        <w:ind w:left="0" w:leftChars="0"/>
        <w:rPr>
          <w:rFonts w:hint="eastAsia"/>
          <w:color w:val="auto"/>
          <w:lang w:val="en-US" w:eastAsia="zh-CN"/>
        </w:rPr>
      </w:pPr>
      <w:r>
        <w:rPr>
          <w:rFonts w:hint="eastAsia"/>
          <w:color w:val="auto"/>
          <w:lang w:val="en-US" w:eastAsia="zh-CN"/>
        </w:rPr>
        <w:t>经入厂检疫后，对检疫不合格的羊进行急宰后无害化处置。参照同类型企业，病变内脏、不合格胴体、病死羊</w:t>
      </w:r>
      <w:r>
        <w:rPr>
          <w:rFonts w:hint="eastAsia" w:ascii="Times New Roman" w:hAnsi="Times New Roman" w:cs="Times New Roman"/>
          <w:color w:val="auto"/>
          <w:lang w:val="en-US" w:eastAsia="zh-CN"/>
        </w:rPr>
        <w:t>约占活体</w:t>
      </w:r>
      <w:r>
        <w:rPr>
          <w:rFonts w:hint="eastAsia" w:cs="Times New Roman"/>
          <w:color w:val="auto"/>
          <w:lang w:val="en-US" w:eastAsia="zh-CN"/>
        </w:rPr>
        <w:t>羊</w:t>
      </w:r>
      <w:r>
        <w:rPr>
          <w:rFonts w:hint="eastAsia" w:ascii="Times New Roman" w:hAnsi="Times New Roman" w:cs="Times New Roman"/>
          <w:color w:val="auto"/>
          <w:lang w:val="en-US" w:eastAsia="zh-CN"/>
        </w:rPr>
        <w:t>总重量的2.6%，产生量为</w:t>
      </w:r>
      <w:r>
        <w:rPr>
          <w:rFonts w:hint="eastAsia" w:cs="Times New Roman"/>
          <w:color w:val="auto"/>
          <w:lang w:val="en-US" w:eastAsia="zh-CN"/>
        </w:rPr>
        <w:t>118</w:t>
      </w:r>
      <w:r>
        <w:rPr>
          <w:rFonts w:hint="eastAsia" w:ascii="Times New Roman" w:hAnsi="Times New Roman" w:cs="Times New Roman"/>
          <w:color w:val="auto"/>
          <w:lang w:val="en-US" w:eastAsia="zh-CN"/>
        </w:rPr>
        <w:t>t/a，</w:t>
      </w:r>
      <w:r>
        <w:rPr>
          <w:rFonts w:hint="eastAsia"/>
          <w:color w:val="auto"/>
          <w:lang w:val="en-US" w:eastAsia="zh-CN"/>
        </w:rPr>
        <w:t>集中收集后暂存于危废贮存库内的冰柜中，</w:t>
      </w:r>
      <w:r>
        <w:rPr>
          <w:rFonts w:hint="default"/>
          <w:color w:val="000000" w:themeColor="text1"/>
          <w:lang w:val="en-US" w:eastAsia="zh-CN"/>
          <w14:textFill>
            <w14:solidFill>
              <w14:schemeClr w14:val="tx1"/>
            </w14:solidFill>
          </w14:textFill>
        </w:rPr>
        <w:t>定期拉运至原州区动物疾病预防控制中心（动物卫生监督）</w:t>
      </w:r>
      <w:r>
        <w:rPr>
          <w:rFonts w:hint="eastAsia"/>
          <w:color w:val="000000" w:themeColor="text1"/>
          <w:lang w:val="en-US" w:eastAsia="zh-CN"/>
          <w14:textFill>
            <w14:solidFill>
              <w14:schemeClr w14:val="tx1"/>
            </w14:solidFill>
          </w14:textFill>
        </w:rPr>
        <w:t>指定场所进行</w:t>
      </w:r>
      <w:r>
        <w:rPr>
          <w:rFonts w:hint="default"/>
          <w:color w:val="000000" w:themeColor="text1"/>
          <w:lang w:val="en-US" w:eastAsia="zh-CN"/>
          <w14:textFill>
            <w14:solidFill>
              <w14:schemeClr w14:val="tx1"/>
            </w14:solidFill>
          </w14:textFill>
        </w:rPr>
        <w:t>无害化处置</w:t>
      </w:r>
      <w:r>
        <w:rPr>
          <w:rFonts w:hint="eastAsia"/>
          <w:color w:val="000000" w:themeColor="text1"/>
          <w:lang w:val="en-US" w:eastAsia="zh-CN"/>
          <w14:textFill>
            <w14:solidFill>
              <w14:schemeClr w14:val="tx1"/>
            </w14:solidFill>
          </w14:textFill>
        </w:rPr>
        <w:t>。</w:t>
      </w:r>
    </w:p>
    <w:p w14:paraId="3F6D8E17">
      <w:pPr>
        <w:pageBreakBefore w:val="0"/>
        <w:kinsoku/>
        <w:wordWrap/>
        <w:topLinePunct w:val="0"/>
        <w:bidi w:val="0"/>
        <w:adjustRightInd/>
        <w:snapToGrid/>
        <w:ind w:left="0" w:leftChars="0"/>
        <w:rPr>
          <w:rFonts w:hint="default"/>
          <w:color w:val="auto"/>
          <w:lang w:val="en-US" w:eastAsia="zh-CN"/>
        </w:rPr>
      </w:pPr>
      <w:bookmarkStart w:id="308" w:name="_Toc5045"/>
      <w:bookmarkStart w:id="309" w:name="_Toc16050"/>
      <w:bookmarkStart w:id="310" w:name="_Toc27370"/>
      <w:r>
        <w:rPr>
          <w:rFonts w:hint="eastAsia"/>
          <w:color w:val="auto"/>
          <w:lang w:val="zh-CN" w:eastAsia="zh-CN"/>
        </w:rPr>
        <w:t>（</w:t>
      </w:r>
      <w:r>
        <w:rPr>
          <w:rFonts w:hint="eastAsia"/>
          <w:color w:val="auto"/>
          <w:lang w:val="en-US" w:eastAsia="zh-CN"/>
        </w:rPr>
        <w:t>3</w:t>
      </w:r>
      <w:r>
        <w:rPr>
          <w:rFonts w:hint="eastAsia"/>
          <w:color w:val="auto"/>
          <w:lang w:val="zh-CN" w:eastAsia="zh-CN"/>
        </w:rPr>
        <w:t>）</w:t>
      </w:r>
      <w:r>
        <w:rPr>
          <w:rFonts w:hint="eastAsia"/>
          <w:color w:val="auto"/>
          <w:lang w:val="en-US" w:eastAsia="zh-CN"/>
        </w:rPr>
        <w:t>其他固废</w:t>
      </w:r>
      <w:bookmarkEnd w:id="308"/>
      <w:bookmarkEnd w:id="309"/>
      <w:bookmarkEnd w:id="310"/>
    </w:p>
    <w:p w14:paraId="22281ECF">
      <w:pPr>
        <w:pageBreakBefore w:val="0"/>
        <w:kinsoku/>
        <w:wordWrap/>
        <w:topLinePunct w:val="0"/>
        <w:bidi w:val="0"/>
        <w:adjustRightInd/>
        <w:snapToGrid/>
        <w:ind w:left="0" w:leftChars="0"/>
        <w:rPr>
          <w:rFonts w:hint="default"/>
          <w:color w:val="auto"/>
          <w:lang w:val="zh-CN" w:eastAsia="zh-CN"/>
        </w:rPr>
      </w:pPr>
      <w:r>
        <w:rPr>
          <w:rFonts w:hint="default"/>
          <w:color w:val="auto"/>
          <w:lang w:val="zh-CN" w:eastAsia="zh-CN"/>
        </w:rPr>
        <w:t>①生活垃圾</w:t>
      </w:r>
    </w:p>
    <w:p w14:paraId="55891470">
      <w:pPr>
        <w:pageBreakBefore w:val="0"/>
        <w:kinsoku/>
        <w:wordWrap/>
        <w:topLinePunct w:val="0"/>
        <w:bidi w:val="0"/>
        <w:adjustRightInd/>
        <w:snapToGrid/>
        <w:ind w:left="0" w:leftChars="0"/>
        <w:rPr>
          <w:rFonts w:hint="default"/>
          <w:color w:val="auto"/>
          <w:lang w:val="zh-CN" w:eastAsia="zh-CN"/>
        </w:rPr>
      </w:pPr>
      <w:r>
        <w:rPr>
          <w:rFonts w:hint="default"/>
          <w:color w:val="auto"/>
          <w:lang w:val="zh-CN" w:eastAsia="zh-CN"/>
        </w:rPr>
        <w:t>项目劳动定员</w:t>
      </w:r>
      <w:r>
        <w:rPr>
          <w:rFonts w:hint="eastAsia"/>
          <w:color w:val="auto"/>
          <w:lang w:val="en-US" w:eastAsia="zh-CN"/>
        </w:rPr>
        <w:t>26</w:t>
      </w:r>
      <w:r>
        <w:rPr>
          <w:rFonts w:hint="default"/>
          <w:color w:val="auto"/>
          <w:lang w:val="zh-CN" w:eastAsia="zh-CN"/>
        </w:rPr>
        <w:t>人，职工每人每天按0.5kg生活垃圾产生量计，则生活垃圾产生量约</w:t>
      </w:r>
      <w:r>
        <w:rPr>
          <w:rFonts w:hint="eastAsia"/>
          <w:color w:val="auto"/>
          <w:lang w:val="en-US" w:eastAsia="zh-CN"/>
        </w:rPr>
        <w:t>4.29</w:t>
      </w:r>
      <w:r>
        <w:rPr>
          <w:rFonts w:hint="default"/>
          <w:color w:val="auto"/>
          <w:lang w:val="zh-CN" w:eastAsia="zh-CN"/>
        </w:rPr>
        <w:t>t/a，生活垃圾收集后由环卫部门统一处置。</w:t>
      </w:r>
    </w:p>
    <w:p w14:paraId="05AAE54A">
      <w:pPr>
        <w:pageBreakBefore w:val="0"/>
        <w:kinsoku/>
        <w:wordWrap/>
        <w:topLinePunct w:val="0"/>
        <w:bidi w:val="0"/>
        <w:adjustRightInd/>
        <w:snapToGrid/>
        <w:ind w:left="0" w:leftChars="0"/>
        <w:rPr>
          <w:rFonts w:hint="default"/>
          <w:color w:val="auto"/>
          <w:lang w:val="zh-CN" w:eastAsia="zh-CN"/>
        </w:rPr>
      </w:pPr>
      <w:r>
        <w:rPr>
          <w:rFonts w:hint="default"/>
          <w:color w:val="auto"/>
          <w:lang w:val="zh-CN" w:eastAsia="zh-CN"/>
        </w:rPr>
        <w:t>②污水处理站污泥</w:t>
      </w:r>
    </w:p>
    <w:p w14:paraId="3EE12835">
      <w:pPr>
        <w:pageBreakBefore w:val="0"/>
        <w:kinsoku/>
        <w:wordWrap/>
        <w:topLinePunct w:val="0"/>
        <w:bidi w:val="0"/>
        <w:adjustRightInd/>
        <w:snapToGrid/>
        <w:ind w:left="0" w:leftChars="0"/>
        <w:rPr>
          <w:rFonts w:hint="eastAsia"/>
          <w:color w:val="auto"/>
        </w:rPr>
      </w:pPr>
      <w:r>
        <w:rPr>
          <w:rFonts w:hint="eastAsia"/>
          <w:color w:val="auto"/>
          <w:lang w:val="en-US" w:eastAsia="zh-CN"/>
        </w:rPr>
        <w:t>污水中悬浮物质、溶解性污染物含量越多，污水处理效率越高，污泥的产量就越大。由于进水水质和污水处理效率在不断变化，因此污泥的产生量难以精确计算，本次污泥产生参考《排污许可证申请与核发技术规范 水处理（试行）》（HJ978-2018）推荐的污泥核算公式。</w:t>
      </w:r>
    </w:p>
    <w:p w14:paraId="25D35B75">
      <w:pPr>
        <w:pageBreakBefore w:val="0"/>
        <w:kinsoku/>
        <w:wordWrap/>
        <w:topLinePunct w:val="0"/>
        <w:bidi w:val="0"/>
        <w:adjustRightInd/>
        <w:snapToGrid/>
        <w:ind w:left="0" w:leftChars="0"/>
        <w:rPr>
          <w:rFonts w:hint="eastAsia"/>
          <w:color w:val="auto"/>
        </w:rPr>
      </w:pPr>
      <w:r>
        <w:rPr>
          <w:rFonts w:hint="eastAsia"/>
          <w:color w:val="auto"/>
        </w:rPr>
        <w:t>E</w:t>
      </w:r>
      <w:r>
        <w:rPr>
          <w:rFonts w:hint="eastAsia"/>
          <w:color w:val="auto"/>
          <w:vertAlign w:val="subscript"/>
        </w:rPr>
        <w:t>产生量</w:t>
      </w:r>
      <w:r>
        <w:rPr>
          <w:rFonts w:hint="eastAsia"/>
          <w:color w:val="auto"/>
        </w:rPr>
        <w:t>=1.7×Q×W</w:t>
      </w:r>
      <w:r>
        <w:rPr>
          <w:rFonts w:hint="eastAsia"/>
          <w:color w:val="auto"/>
          <w:vertAlign w:val="subscript"/>
        </w:rPr>
        <w:t>深</w:t>
      </w:r>
      <w:r>
        <w:rPr>
          <w:rFonts w:hint="eastAsia"/>
          <w:color w:val="auto"/>
        </w:rPr>
        <w:t>×10</w:t>
      </w:r>
      <w:r>
        <w:rPr>
          <w:rFonts w:hint="eastAsia"/>
          <w:color w:val="auto"/>
          <w:vertAlign w:val="superscript"/>
        </w:rPr>
        <w:t>-4</w:t>
      </w:r>
    </w:p>
    <w:p w14:paraId="105D2604">
      <w:pPr>
        <w:pageBreakBefore w:val="0"/>
        <w:kinsoku/>
        <w:wordWrap/>
        <w:topLinePunct w:val="0"/>
        <w:bidi w:val="0"/>
        <w:adjustRightInd/>
        <w:snapToGrid/>
        <w:ind w:left="0" w:leftChars="0"/>
        <w:rPr>
          <w:rFonts w:hint="eastAsia"/>
          <w:color w:val="auto"/>
          <w:lang w:val="en-US" w:eastAsia="zh-CN"/>
        </w:rPr>
      </w:pPr>
      <w:r>
        <w:rPr>
          <w:rFonts w:hint="eastAsia"/>
          <w:color w:val="auto"/>
          <w:lang w:val="en-US" w:eastAsia="zh-CN"/>
        </w:rPr>
        <w:t>E</w:t>
      </w:r>
      <w:r>
        <w:rPr>
          <w:rFonts w:hint="eastAsia"/>
          <w:color w:val="auto"/>
          <w:vertAlign w:val="subscript"/>
          <w:lang w:val="en-US" w:eastAsia="zh-CN"/>
        </w:rPr>
        <w:t>产生量</w:t>
      </w:r>
      <w:r>
        <w:rPr>
          <w:rFonts w:hint="eastAsia"/>
          <w:color w:val="auto"/>
          <w:lang w:val="en-US" w:eastAsia="zh-CN"/>
        </w:rPr>
        <w:t>-污水处理过程中产生的污泥量，以干泥计；</w:t>
      </w:r>
    </w:p>
    <w:p w14:paraId="67D4E998">
      <w:pPr>
        <w:pageBreakBefore w:val="0"/>
        <w:kinsoku/>
        <w:wordWrap/>
        <w:topLinePunct w:val="0"/>
        <w:bidi w:val="0"/>
        <w:adjustRightInd/>
        <w:snapToGrid/>
        <w:ind w:left="0" w:leftChars="0"/>
        <w:rPr>
          <w:rFonts w:hint="eastAsia"/>
          <w:color w:val="auto"/>
          <w:lang w:val="en-US" w:eastAsia="zh-CN"/>
        </w:rPr>
      </w:pPr>
      <w:r>
        <w:rPr>
          <w:rFonts w:hint="eastAsia"/>
          <w:color w:val="auto"/>
          <w:lang w:val="en-US" w:eastAsia="zh-CN"/>
        </w:rPr>
        <w:t>Q：核算时段内排污单位废水排放量，m</w:t>
      </w:r>
      <w:r>
        <w:rPr>
          <w:rFonts w:hint="eastAsia"/>
          <w:color w:val="auto"/>
          <w:vertAlign w:val="superscript"/>
          <w:lang w:val="en-US" w:eastAsia="zh-CN"/>
        </w:rPr>
        <w:t>3</w:t>
      </w:r>
      <w:r>
        <w:rPr>
          <w:rFonts w:hint="eastAsia"/>
          <w:color w:val="auto"/>
          <w:lang w:val="en-US" w:eastAsia="zh-CN"/>
        </w:rPr>
        <w:t>；</w:t>
      </w:r>
    </w:p>
    <w:p w14:paraId="660999D3">
      <w:pPr>
        <w:pageBreakBefore w:val="0"/>
        <w:kinsoku/>
        <w:wordWrap/>
        <w:topLinePunct w:val="0"/>
        <w:bidi w:val="0"/>
        <w:adjustRightInd/>
        <w:snapToGrid/>
        <w:ind w:left="0" w:leftChars="0"/>
        <w:rPr>
          <w:rFonts w:hint="eastAsia"/>
          <w:color w:val="auto"/>
          <w:lang w:val="en-US" w:eastAsia="zh-CN"/>
        </w:rPr>
      </w:pPr>
      <w:r>
        <w:rPr>
          <w:rFonts w:hint="eastAsia"/>
          <w:color w:val="auto"/>
          <w:lang w:val="en-US" w:eastAsia="zh-CN"/>
        </w:rPr>
        <w:t>W</w:t>
      </w:r>
      <w:r>
        <w:rPr>
          <w:rFonts w:hint="eastAsia"/>
          <w:color w:val="auto"/>
          <w:vertAlign w:val="subscript"/>
          <w:lang w:val="en-US" w:eastAsia="zh-CN"/>
        </w:rPr>
        <w:t>深</w:t>
      </w:r>
      <w:r>
        <w:rPr>
          <w:rFonts w:hint="eastAsia"/>
          <w:color w:val="auto"/>
          <w:lang w:val="en-US" w:eastAsia="zh-CN"/>
        </w:rPr>
        <w:t>：有深度处理工艺（添加化学药剂）时按2计，无深度处理时按1，量纲一，本项目W</w:t>
      </w:r>
      <w:r>
        <w:rPr>
          <w:rFonts w:hint="eastAsia"/>
          <w:color w:val="auto"/>
          <w:vertAlign w:val="subscript"/>
          <w:lang w:val="en-US" w:eastAsia="zh-CN"/>
        </w:rPr>
        <w:t>深</w:t>
      </w:r>
      <w:r>
        <w:rPr>
          <w:rFonts w:hint="eastAsia"/>
          <w:color w:val="auto"/>
          <w:lang w:val="en-US" w:eastAsia="zh-CN"/>
        </w:rPr>
        <w:t>取1。</w:t>
      </w:r>
    </w:p>
    <w:p w14:paraId="28897701">
      <w:pPr>
        <w:pageBreakBefore w:val="0"/>
        <w:kinsoku/>
        <w:wordWrap/>
        <w:topLinePunct w:val="0"/>
        <w:bidi w:val="0"/>
        <w:adjustRightInd/>
        <w:snapToGrid/>
        <w:ind w:left="0" w:leftChars="0"/>
        <w:rPr>
          <w:rFonts w:hint="default"/>
          <w:color w:val="000000" w:themeColor="text1"/>
          <w:lang w:val="en-US" w:eastAsia="zh-CN"/>
          <w14:textFill>
            <w14:solidFill>
              <w14:schemeClr w14:val="tx1"/>
            </w14:solidFill>
          </w14:textFill>
        </w:rPr>
      </w:pPr>
      <w:r>
        <w:rPr>
          <w:rFonts w:hint="eastAsia"/>
          <w:color w:val="auto"/>
          <w:lang w:val="en-US" w:eastAsia="zh-CN"/>
        </w:rPr>
        <w:t>本项目污水处理站废水处理量为18407.88m</w:t>
      </w:r>
      <w:r>
        <w:rPr>
          <w:rFonts w:hint="eastAsia"/>
          <w:color w:val="auto"/>
          <w:vertAlign w:val="superscript"/>
          <w:lang w:val="en-US" w:eastAsia="zh-CN"/>
        </w:rPr>
        <w:t>3</w:t>
      </w:r>
      <w:r>
        <w:rPr>
          <w:rFonts w:hint="eastAsia"/>
          <w:color w:val="auto"/>
          <w:lang w:val="en-US" w:eastAsia="zh-CN"/>
        </w:rPr>
        <w:t>/a，干污泥产生量为3.13t/a，脱水后污泥含水量约为80%，则含水量80%的污泥产生量约15.65t/a。产生的污泥定期用离心脱水机</w:t>
      </w:r>
      <w:r>
        <w:rPr>
          <w:rFonts w:hint="eastAsia"/>
          <w:color w:val="000000" w:themeColor="text1"/>
          <w:lang w:val="en-US" w:eastAsia="zh-CN"/>
          <w14:textFill>
            <w14:solidFill>
              <w14:schemeClr w14:val="tx1"/>
            </w14:solidFill>
          </w14:textFill>
        </w:rPr>
        <w:t>进行脱水，脱水污泥拉运至</w:t>
      </w:r>
      <w:r>
        <w:rPr>
          <w:rFonts w:hint="default"/>
          <w:color w:val="000000" w:themeColor="text1"/>
          <w:lang w:val="zh-CN" w:eastAsia="zh-CN"/>
          <w14:textFill>
            <w14:solidFill>
              <w14:schemeClr w14:val="tx1"/>
            </w14:solidFill>
          </w14:textFill>
        </w:rPr>
        <w:t>固原富田有机肥有限公司生产</w:t>
      </w:r>
      <w:r>
        <w:rPr>
          <w:rFonts w:hint="eastAsia"/>
          <w:color w:val="000000" w:themeColor="text1"/>
          <w:lang w:val="en-US" w:eastAsia="zh-CN"/>
          <w14:textFill>
            <w14:solidFill>
              <w14:schemeClr w14:val="tx1"/>
            </w14:solidFill>
          </w14:textFill>
        </w:rPr>
        <w:t>肥料。</w:t>
      </w:r>
    </w:p>
    <w:p w14:paraId="123E79D8">
      <w:pPr>
        <w:pageBreakBefore w:val="0"/>
        <w:kinsoku/>
        <w:wordWrap/>
        <w:topLinePunct w:val="0"/>
        <w:bidi w:val="0"/>
        <w:adjustRightInd/>
        <w:snapToGrid/>
        <w:ind w:left="0" w:leftChars="0"/>
        <w:rPr>
          <w:rFonts w:hint="eastAsia"/>
          <w:color w:val="auto"/>
          <w:lang w:val="en-US" w:eastAsia="zh-CN"/>
        </w:rPr>
      </w:pPr>
      <w:r>
        <w:rPr>
          <w:rFonts w:hint="default"/>
          <w:color w:val="auto"/>
          <w:lang w:val="en-US" w:eastAsia="zh-CN"/>
        </w:rPr>
        <w:t>③</w:t>
      </w:r>
      <w:r>
        <w:rPr>
          <w:rFonts w:hint="eastAsia"/>
          <w:color w:val="auto"/>
          <w:lang w:val="en-US" w:eastAsia="zh-CN"/>
        </w:rPr>
        <w:t>废活性炭</w:t>
      </w:r>
    </w:p>
    <w:p w14:paraId="3BF65016">
      <w:pPr>
        <w:pageBreakBefore w:val="0"/>
        <w:kinsoku/>
        <w:wordWrap/>
        <w:topLinePunct w:val="0"/>
        <w:bidi w:val="0"/>
        <w:adjustRightInd/>
        <w:snapToGrid/>
        <w:ind w:left="0" w:leftChars="0"/>
        <w:rPr>
          <w:rFonts w:hint="default"/>
          <w:color w:val="auto"/>
          <w:lang w:val="en-US" w:eastAsia="zh-CN"/>
        </w:rPr>
      </w:pPr>
      <w:r>
        <w:rPr>
          <w:rFonts w:hint="eastAsia"/>
          <w:color w:val="auto"/>
          <w:lang w:val="en-US" w:eastAsia="zh-CN"/>
        </w:rPr>
        <w:t>本项目共设置2套活性炭吸附装置用于恶臭气体的末端处理，活性炭对氨的平均吸附量为0.3gNH</w:t>
      </w:r>
      <w:r>
        <w:rPr>
          <w:rFonts w:hint="eastAsia"/>
          <w:color w:val="auto"/>
          <w:vertAlign w:val="subscript"/>
          <w:lang w:val="en-US" w:eastAsia="zh-CN"/>
        </w:rPr>
        <w:t>3</w:t>
      </w:r>
      <w:r>
        <w:rPr>
          <w:rFonts w:hint="eastAsia"/>
          <w:color w:val="auto"/>
          <w:lang w:val="en-US" w:eastAsia="zh-CN"/>
        </w:rPr>
        <w:t>/g活性炭，对硫化氢的平均吸附量为0.5gH</w:t>
      </w:r>
      <w:r>
        <w:rPr>
          <w:rFonts w:hint="eastAsia"/>
          <w:color w:val="auto"/>
          <w:vertAlign w:val="subscript"/>
          <w:lang w:val="en-US" w:eastAsia="zh-CN"/>
        </w:rPr>
        <w:t>2</w:t>
      </w:r>
      <w:r>
        <w:rPr>
          <w:rFonts w:hint="eastAsia"/>
          <w:color w:val="auto"/>
          <w:lang w:val="en-US" w:eastAsia="zh-CN"/>
        </w:rPr>
        <w:t>S/g活性炭，活性炭吸附饱和容量按照85%计算。待宰圈进入活性炭吸附装置处理的氨约为0.142t/a，硫化氢约为0.0098t/a；污水处理站进入活性炭吸附装置处理的氨约为0.0424t/a，硫化氢约为0.00168t/a；则废活性炭产生量约为0.75t/a。活性炭吸附装置运行期间，三个月更换一次。</w:t>
      </w:r>
    </w:p>
    <w:p w14:paraId="0E7CB06C">
      <w:pPr>
        <w:pageBreakBefore w:val="0"/>
        <w:kinsoku/>
        <w:wordWrap/>
        <w:topLinePunct w:val="0"/>
        <w:bidi w:val="0"/>
        <w:adjustRightInd/>
        <w:snapToGrid/>
        <w:ind w:left="0" w:leftChars="0"/>
        <w:rPr>
          <w:rFonts w:hint="eastAsia"/>
          <w:color w:val="auto"/>
          <w:lang w:val="en-US" w:eastAsia="zh-CN"/>
        </w:rPr>
      </w:pPr>
      <w:r>
        <w:rPr>
          <w:rFonts w:hint="eastAsia"/>
          <w:color w:val="auto"/>
          <w:lang w:val="en-US" w:eastAsia="zh-CN"/>
        </w:rPr>
        <w:t>废活性炭属于《国家危险废物名录》（2025年版）中HW49其他废物“非特定行业”，废物代码“900-039-49”，危险特性为毒性。废活性炭更换后立即交有资质的单位处置，不在厂区暂存。</w:t>
      </w:r>
    </w:p>
    <w:p w14:paraId="229BCF3B">
      <w:pPr>
        <w:pageBreakBefore w:val="0"/>
        <w:kinsoku/>
        <w:wordWrap/>
        <w:topLinePunct w:val="0"/>
        <w:bidi w:val="0"/>
        <w:adjustRightInd/>
        <w:snapToGrid/>
        <w:ind w:left="0" w:leftChars="0"/>
        <w:rPr>
          <w:rFonts w:hint="default"/>
          <w:color w:val="auto"/>
          <w:lang w:val="en-US" w:eastAsia="zh-CN"/>
        </w:rPr>
      </w:pPr>
      <w:r>
        <w:rPr>
          <w:rFonts w:hint="default"/>
          <w:color w:val="auto"/>
          <w:lang w:val="en-US" w:eastAsia="zh-CN"/>
        </w:rPr>
        <w:t>④</w:t>
      </w:r>
      <w:r>
        <w:rPr>
          <w:rFonts w:hint="eastAsia"/>
          <w:color w:val="auto"/>
          <w:lang w:val="en-US" w:eastAsia="zh-CN"/>
        </w:rPr>
        <w:t>废机油、废机油桶</w:t>
      </w:r>
    </w:p>
    <w:p w14:paraId="30EC8E74">
      <w:pPr>
        <w:pageBreakBefore w:val="0"/>
        <w:kinsoku/>
        <w:wordWrap/>
        <w:topLinePunct w:val="0"/>
        <w:bidi w:val="0"/>
        <w:adjustRightInd/>
        <w:snapToGrid/>
        <w:ind w:left="0" w:leftChars="0"/>
        <w:rPr>
          <w:rFonts w:hint="eastAsia"/>
          <w:color w:val="auto"/>
          <w:lang w:val="en-US" w:eastAsia="zh-CN"/>
        </w:rPr>
      </w:pPr>
      <w:r>
        <w:rPr>
          <w:rFonts w:hint="eastAsia"/>
          <w:color w:val="auto"/>
          <w:lang w:val="en-US" w:eastAsia="zh-CN"/>
        </w:rPr>
        <w:t>建设单位每半年对设备进行一次维护，每次维护使用2桶润滑油，每桶润滑油净重200kg，每个空桶重约0.5kg，废机油产生量（按使用量的80%计）约为0.64t/a，废机油桶产生量为0.002t/a，该部分固体废物为危险废物，危险废物类别为HW08废矿物油与含矿物油废物（900-214-08），废机油产生后暂存于危废贮存库，定期交有资质的单位处置。</w:t>
      </w:r>
    </w:p>
    <w:p w14:paraId="622EAC6E">
      <w:pPr>
        <w:pageBreakBefore w:val="0"/>
        <w:kinsoku/>
        <w:wordWrap/>
        <w:topLinePunct w:val="0"/>
        <w:bidi w:val="0"/>
        <w:adjustRightInd/>
        <w:snapToGrid/>
        <w:ind w:left="0" w:leftChars="0"/>
        <w:rPr>
          <w:rFonts w:hint="default"/>
          <w:color w:val="auto"/>
          <w:lang w:val="en-US" w:eastAsia="zh-CN"/>
        </w:rPr>
      </w:pPr>
      <w:r>
        <w:rPr>
          <w:rFonts w:hint="default"/>
          <w:color w:val="auto"/>
          <w:lang w:val="en-US" w:eastAsia="zh-CN"/>
        </w:rPr>
        <w:t>⑤检疫废物</w:t>
      </w:r>
    </w:p>
    <w:p w14:paraId="1D9332B6">
      <w:pPr>
        <w:pageBreakBefore w:val="0"/>
        <w:kinsoku/>
        <w:wordWrap/>
        <w:topLinePunct w:val="0"/>
        <w:bidi w:val="0"/>
        <w:adjustRightInd/>
        <w:snapToGrid/>
        <w:ind w:left="0" w:leftChars="0"/>
        <w:rPr>
          <w:rFonts w:hint="eastAsia"/>
          <w:color w:val="auto"/>
          <w:lang w:val="en-US" w:eastAsia="zh-CN"/>
        </w:rPr>
      </w:pPr>
      <w:r>
        <w:rPr>
          <w:rFonts w:hint="default"/>
          <w:color w:val="auto"/>
          <w:lang w:val="en-US" w:eastAsia="zh-CN"/>
        </w:rPr>
        <w:t>项目设置检疫室，用于宰前及屠宰过程中的检疫，在检疫过程中会产生少量的检疫废物</w:t>
      </w:r>
      <w:r>
        <w:rPr>
          <w:rFonts w:hint="eastAsia"/>
          <w:color w:val="auto"/>
          <w:lang w:val="en-US" w:eastAsia="zh-CN"/>
        </w:rPr>
        <w:t>，主要为检疫试剂瓶、针头等</w:t>
      </w:r>
      <w:r>
        <w:rPr>
          <w:rFonts w:hint="default"/>
          <w:color w:val="auto"/>
          <w:lang w:val="en-US" w:eastAsia="zh-CN"/>
        </w:rPr>
        <w:t>，产生量约为0.</w:t>
      </w:r>
      <w:r>
        <w:rPr>
          <w:rFonts w:hint="eastAsia"/>
          <w:color w:val="auto"/>
          <w:lang w:val="en-US" w:eastAsia="zh-CN"/>
        </w:rPr>
        <w:t>5</w:t>
      </w:r>
      <w:r>
        <w:rPr>
          <w:rFonts w:hint="default"/>
          <w:color w:val="auto"/>
          <w:lang w:val="en-US" w:eastAsia="zh-CN"/>
        </w:rPr>
        <w:t>t/a，</w:t>
      </w:r>
      <w:r>
        <w:rPr>
          <w:rFonts w:hint="eastAsia"/>
          <w:color w:val="auto"/>
          <w:lang w:val="en-US" w:eastAsia="zh-CN"/>
        </w:rPr>
        <w:t>检疫废物</w:t>
      </w:r>
      <w:r>
        <w:rPr>
          <w:rFonts w:hint="default"/>
          <w:color w:val="auto"/>
          <w:lang w:val="en-US" w:eastAsia="zh-CN"/>
        </w:rPr>
        <w:t>属于《国家危险废物名录》（202</w:t>
      </w:r>
      <w:r>
        <w:rPr>
          <w:rFonts w:hint="eastAsia"/>
          <w:color w:val="auto"/>
          <w:lang w:val="en-US" w:eastAsia="zh-CN"/>
        </w:rPr>
        <w:t>5</w:t>
      </w:r>
      <w:r>
        <w:rPr>
          <w:rFonts w:hint="default"/>
          <w:color w:val="auto"/>
          <w:lang w:val="en-US" w:eastAsia="zh-CN"/>
        </w:rPr>
        <w:t>年版）中</w:t>
      </w:r>
      <w:r>
        <w:rPr>
          <w:rFonts w:hint="eastAsia"/>
          <w:color w:val="auto"/>
          <w:lang w:val="en-US" w:eastAsia="zh-CN"/>
        </w:rPr>
        <w:t>“</w:t>
      </w:r>
      <w:r>
        <w:rPr>
          <w:rFonts w:hint="default"/>
          <w:color w:val="auto"/>
          <w:lang w:val="en-US" w:eastAsia="zh-CN"/>
        </w:rPr>
        <w:t>HW</w:t>
      </w:r>
      <w:r>
        <w:rPr>
          <w:rFonts w:hint="eastAsia"/>
          <w:color w:val="auto"/>
          <w:lang w:val="en-US" w:eastAsia="zh-CN"/>
        </w:rPr>
        <w:t>01医疗废物 感染性废物”</w:t>
      </w:r>
      <w:r>
        <w:rPr>
          <w:rFonts w:hint="default"/>
          <w:color w:val="auto"/>
          <w:lang w:val="en-US" w:eastAsia="zh-CN"/>
        </w:rPr>
        <w:t>，废物代码</w:t>
      </w:r>
      <w:r>
        <w:rPr>
          <w:rFonts w:hint="eastAsia"/>
          <w:color w:val="auto"/>
          <w:lang w:val="en-US" w:eastAsia="zh-CN"/>
        </w:rPr>
        <w:t>“841</w:t>
      </w:r>
      <w:r>
        <w:rPr>
          <w:rFonts w:hint="default"/>
          <w:color w:val="auto"/>
          <w:lang w:val="en-US" w:eastAsia="zh-CN"/>
        </w:rPr>
        <w:t>-</w:t>
      </w:r>
      <w:r>
        <w:rPr>
          <w:rFonts w:hint="eastAsia"/>
          <w:color w:val="auto"/>
          <w:lang w:val="en-US" w:eastAsia="zh-CN"/>
        </w:rPr>
        <w:t>002</w:t>
      </w:r>
      <w:r>
        <w:rPr>
          <w:rFonts w:hint="default"/>
          <w:color w:val="auto"/>
          <w:lang w:val="en-US" w:eastAsia="zh-CN"/>
        </w:rPr>
        <w:t>-0</w:t>
      </w:r>
      <w:r>
        <w:rPr>
          <w:rFonts w:hint="eastAsia"/>
          <w:color w:val="auto"/>
          <w:lang w:val="en-US" w:eastAsia="zh-CN"/>
        </w:rPr>
        <w:t>1”</w:t>
      </w:r>
      <w:r>
        <w:rPr>
          <w:rFonts w:hint="default"/>
          <w:color w:val="auto"/>
          <w:lang w:val="en-US" w:eastAsia="zh-CN"/>
        </w:rPr>
        <w:t>，收集后暂存于</w:t>
      </w:r>
      <w:r>
        <w:rPr>
          <w:rFonts w:hint="eastAsia"/>
          <w:color w:val="auto"/>
          <w:lang w:val="en-US" w:eastAsia="zh-CN"/>
        </w:rPr>
        <w:t>危废贮存库</w:t>
      </w:r>
      <w:r>
        <w:rPr>
          <w:rFonts w:hint="default"/>
          <w:color w:val="auto"/>
          <w:lang w:val="en-US" w:eastAsia="zh-CN"/>
        </w:rPr>
        <w:t>，定期交有资质单位处置</w:t>
      </w:r>
      <w:r>
        <w:rPr>
          <w:rFonts w:hint="eastAsia"/>
          <w:color w:val="auto"/>
          <w:lang w:val="en-US" w:eastAsia="zh-CN"/>
        </w:rPr>
        <w:t>。</w:t>
      </w:r>
    </w:p>
    <w:p w14:paraId="6A193EA7">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val="en-US" w:eastAsia="zh-CN"/>
        </w:rPr>
        <w:t>本项目固体废物产生及处理情况见表2.2-13。</w:t>
      </w:r>
    </w:p>
    <w:p w14:paraId="2A7152AA">
      <w:pPr>
        <w:pStyle w:val="6"/>
        <w:pageBreakBefore w:val="0"/>
        <w:kinsoku/>
        <w:wordWrap/>
        <w:topLinePunct w:val="0"/>
        <w:bidi w:val="0"/>
        <w:adjustRightInd/>
        <w:snapToGrid/>
        <w:spacing w:line="240" w:lineRule="auto"/>
        <w:ind w:left="0" w:leftChars="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snapToGrid w:val="0"/>
          <w:color w:val="auto"/>
          <w:kern w:val="0"/>
          <w:sz w:val="21"/>
          <w:szCs w:val="21"/>
          <w:highlight w:val="none"/>
          <w:lang w:val="en-US" w:eastAsia="zh-CN" w:bidi="ar-SA"/>
        </w:rPr>
        <w:t>2.2-1</w:t>
      </w:r>
      <w:r>
        <w:rPr>
          <w:rFonts w:hint="eastAsia" w:eastAsia="宋体" w:cs="Times New Roman"/>
          <w:snapToGrid w:val="0"/>
          <w:color w:val="auto"/>
          <w:kern w:val="0"/>
          <w:sz w:val="21"/>
          <w:szCs w:val="21"/>
          <w:highlight w:val="none"/>
          <w:lang w:val="en-US" w:eastAsia="zh-CN" w:bidi="ar-SA"/>
        </w:rPr>
        <w:t>3</w:t>
      </w:r>
      <w:r>
        <w:rPr>
          <w:rFonts w:hint="default"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b/>
          <w:bCs/>
          <w:color w:val="auto"/>
          <w:sz w:val="24"/>
          <w:highlight w:val="none"/>
        </w:rPr>
        <w:t>固体废物主要</w:t>
      </w:r>
      <w:r>
        <w:rPr>
          <w:rFonts w:hint="eastAsia" w:eastAsia="宋体" w:cs="Times New Roman"/>
          <w:b/>
          <w:bCs/>
          <w:color w:val="auto"/>
          <w:sz w:val="24"/>
          <w:highlight w:val="none"/>
          <w:lang w:val="en-US" w:eastAsia="zh-CN"/>
        </w:rPr>
        <w:t>产排污情况</w:t>
      </w:r>
      <w:r>
        <w:rPr>
          <w:rFonts w:hint="default" w:ascii="Times New Roman" w:hAnsi="Times New Roman" w:eastAsia="宋体" w:cs="Times New Roman"/>
          <w:b/>
          <w:bCs/>
          <w:color w:val="auto"/>
          <w:sz w:val="24"/>
          <w:highlight w:val="none"/>
        </w:rPr>
        <w:t>一览表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85"/>
        <w:gridCol w:w="96"/>
        <w:gridCol w:w="675"/>
        <w:gridCol w:w="131"/>
        <w:gridCol w:w="1146"/>
        <w:gridCol w:w="91"/>
        <w:gridCol w:w="630"/>
        <w:gridCol w:w="91"/>
        <w:gridCol w:w="1189"/>
        <w:gridCol w:w="1819"/>
        <w:gridCol w:w="250"/>
        <w:gridCol w:w="603"/>
        <w:gridCol w:w="189"/>
        <w:gridCol w:w="711"/>
        <w:gridCol w:w="91"/>
        <w:gridCol w:w="751"/>
      </w:tblGrid>
      <w:tr w14:paraId="52E47C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05EAA8C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编号</w:t>
            </w:r>
          </w:p>
        </w:tc>
        <w:tc>
          <w:tcPr>
            <w:tcW w:w="771" w:type="dxa"/>
            <w:gridSpan w:val="2"/>
            <w:noWrap w:val="0"/>
            <w:vAlign w:val="center"/>
          </w:tcPr>
          <w:p w14:paraId="532A0CB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产污</w:t>
            </w:r>
          </w:p>
          <w:p w14:paraId="56A096F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环节</w:t>
            </w:r>
          </w:p>
        </w:tc>
        <w:tc>
          <w:tcPr>
            <w:tcW w:w="1277" w:type="dxa"/>
            <w:gridSpan w:val="2"/>
            <w:noWrap w:val="0"/>
            <w:vAlign w:val="center"/>
          </w:tcPr>
          <w:p w14:paraId="662716F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固废</w:t>
            </w:r>
          </w:p>
          <w:p w14:paraId="3DAF7B2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721" w:type="dxa"/>
            <w:gridSpan w:val="2"/>
            <w:noWrap w:val="0"/>
            <w:vAlign w:val="center"/>
          </w:tcPr>
          <w:p w14:paraId="451CCA4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固废</w:t>
            </w:r>
          </w:p>
          <w:p w14:paraId="4B3776D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成分</w:t>
            </w:r>
          </w:p>
        </w:tc>
        <w:tc>
          <w:tcPr>
            <w:tcW w:w="1280" w:type="dxa"/>
            <w:gridSpan w:val="2"/>
            <w:noWrap w:val="0"/>
            <w:vAlign w:val="center"/>
          </w:tcPr>
          <w:p w14:paraId="6D2D511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性质</w:t>
            </w:r>
          </w:p>
        </w:tc>
        <w:tc>
          <w:tcPr>
            <w:tcW w:w="1819" w:type="dxa"/>
            <w:noWrap w:val="0"/>
            <w:vAlign w:val="center"/>
          </w:tcPr>
          <w:p w14:paraId="0CAB287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处理措施</w:t>
            </w:r>
          </w:p>
        </w:tc>
        <w:tc>
          <w:tcPr>
            <w:tcW w:w="853" w:type="dxa"/>
            <w:gridSpan w:val="2"/>
            <w:noWrap w:val="0"/>
            <w:vAlign w:val="center"/>
          </w:tcPr>
          <w:p w14:paraId="0B4B690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900" w:type="dxa"/>
            <w:gridSpan w:val="2"/>
            <w:noWrap w:val="0"/>
            <w:vAlign w:val="center"/>
          </w:tcPr>
          <w:p w14:paraId="1404F4E8">
            <w:pPr>
              <w:pStyle w:val="4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处置率</w:t>
            </w:r>
          </w:p>
          <w:p w14:paraId="112CC976">
            <w:pPr>
              <w:pStyle w:val="4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w:t>
            </w:r>
          </w:p>
        </w:tc>
        <w:tc>
          <w:tcPr>
            <w:tcW w:w="842" w:type="dxa"/>
            <w:gridSpan w:val="2"/>
            <w:noWrap w:val="0"/>
            <w:vAlign w:val="center"/>
          </w:tcPr>
          <w:p w14:paraId="6CE301C6">
            <w:pPr>
              <w:pStyle w:val="4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r>
      <w:tr w14:paraId="76647D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48" w:type="dxa"/>
            <w:gridSpan w:val="16"/>
            <w:noWrap w:val="0"/>
            <w:vAlign w:val="center"/>
          </w:tcPr>
          <w:p w14:paraId="62E6D1E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牛屠宰工艺固废</w:t>
            </w:r>
          </w:p>
        </w:tc>
      </w:tr>
      <w:tr w14:paraId="17FEE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458769A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771" w:type="dxa"/>
            <w:gridSpan w:val="2"/>
            <w:noWrap w:val="0"/>
            <w:vAlign w:val="center"/>
          </w:tcPr>
          <w:p w14:paraId="130F29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待宰圈</w:t>
            </w:r>
          </w:p>
        </w:tc>
        <w:tc>
          <w:tcPr>
            <w:tcW w:w="1277" w:type="dxa"/>
            <w:gridSpan w:val="2"/>
            <w:noWrap w:val="0"/>
            <w:vAlign w:val="center"/>
          </w:tcPr>
          <w:p w14:paraId="1612EDC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牛粪便（含牛尿）</w:t>
            </w:r>
          </w:p>
        </w:tc>
        <w:tc>
          <w:tcPr>
            <w:tcW w:w="721" w:type="dxa"/>
            <w:gridSpan w:val="2"/>
            <w:vMerge w:val="restart"/>
            <w:noWrap w:val="0"/>
            <w:vAlign w:val="center"/>
          </w:tcPr>
          <w:p w14:paraId="07E8D3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有机质</w:t>
            </w:r>
          </w:p>
        </w:tc>
        <w:tc>
          <w:tcPr>
            <w:tcW w:w="1280" w:type="dxa"/>
            <w:gridSpan w:val="2"/>
            <w:noWrap w:val="0"/>
            <w:vAlign w:val="center"/>
          </w:tcPr>
          <w:p w14:paraId="471B710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1819" w:type="dxa"/>
            <w:vMerge w:val="restart"/>
            <w:noWrap w:val="0"/>
            <w:vAlign w:val="center"/>
          </w:tcPr>
          <w:p w14:paraId="67013AE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拉运至固原富田有机肥有限公司生产</w:t>
            </w:r>
            <w:r>
              <w:rPr>
                <w:rFonts w:hint="eastAsia" w:eastAsia="宋体" w:cs="Times New Roman"/>
                <w:b w:val="0"/>
                <w:bCs/>
                <w:color w:val="auto"/>
                <w:sz w:val="21"/>
                <w:szCs w:val="21"/>
                <w:highlight w:val="none"/>
                <w:lang w:val="en-US" w:eastAsia="zh-CN"/>
              </w:rPr>
              <w:t>肥料</w:t>
            </w:r>
          </w:p>
        </w:tc>
        <w:tc>
          <w:tcPr>
            <w:tcW w:w="853" w:type="dxa"/>
            <w:gridSpan w:val="2"/>
            <w:noWrap w:val="0"/>
            <w:vAlign w:val="center"/>
          </w:tcPr>
          <w:p w14:paraId="64A7A1C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108.8</w:t>
            </w:r>
          </w:p>
        </w:tc>
        <w:tc>
          <w:tcPr>
            <w:tcW w:w="900" w:type="dxa"/>
            <w:gridSpan w:val="2"/>
            <w:noWrap w:val="0"/>
            <w:vAlign w:val="center"/>
          </w:tcPr>
          <w:p w14:paraId="240053C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6045D83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13DAA4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1FDBFE3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p>
        </w:tc>
        <w:tc>
          <w:tcPr>
            <w:tcW w:w="771" w:type="dxa"/>
            <w:gridSpan w:val="2"/>
            <w:vMerge w:val="restart"/>
            <w:noWrap w:val="0"/>
            <w:vAlign w:val="center"/>
          </w:tcPr>
          <w:p w14:paraId="6A04BBF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屠宰</w:t>
            </w:r>
            <w:r>
              <w:rPr>
                <w:rFonts w:hint="eastAsia" w:ascii="Times New Roman" w:hAnsi="Times New Roman" w:eastAsia="宋体" w:cs="Times New Roman"/>
                <w:b w:val="0"/>
                <w:bCs/>
                <w:color w:val="auto"/>
                <w:sz w:val="21"/>
                <w:szCs w:val="21"/>
                <w:highlight w:val="none"/>
                <w:lang w:val="en-US" w:eastAsia="zh-CN"/>
              </w:rPr>
              <w:t>加工车间</w:t>
            </w:r>
          </w:p>
        </w:tc>
        <w:tc>
          <w:tcPr>
            <w:tcW w:w="1277" w:type="dxa"/>
            <w:gridSpan w:val="2"/>
            <w:noWrap w:val="0"/>
            <w:vAlign w:val="center"/>
          </w:tcPr>
          <w:p w14:paraId="1E68A14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胃内容物</w:t>
            </w:r>
          </w:p>
        </w:tc>
        <w:tc>
          <w:tcPr>
            <w:tcW w:w="721" w:type="dxa"/>
            <w:gridSpan w:val="2"/>
            <w:vMerge w:val="continue"/>
            <w:noWrap w:val="0"/>
            <w:vAlign w:val="center"/>
          </w:tcPr>
          <w:p w14:paraId="3382E1D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80" w:type="dxa"/>
            <w:gridSpan w:val="2"/>
            <w:noWrap w:val="0"/>
            <w:vAlign w:val="center"/>
          </w:tcPr>
          <w:p w14:paraId="5D3CE8E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1819" w:type="dxa"/>
            <w:vMerge w:val="continue"/>
            <w:noWrap w:val="0"/>
            <w:vAlign w:val="center"/>
          </w:tcPr>
          <w:p w14:paraId="084F35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restart"/>
            <w:noWrap w:val="0"/>
            <w:vAlign w:val="center"/>
          </w:tcPr>
          <w:p w14:paraId="2A83A64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lang w:val="en-US" w:eastAsia="zh-CN"/>
              </w:rPr>
              <w:t>50</w:t>
            </w:r>
          </w:p>
        </w:tc>
        <w:tc>
          <w:tcPr>
            <w:tcW w:w="900" w:type="dxa"/>
            <w:gridSpan w:val="2"/>
            <w:noWrap w:val="0"/>
            <w:vAlign w:val="center"/>
          </w:tcPr>
          <w:p w14:paraId="11F8FF6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5BDEBDF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55366B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4449280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771" w:type="dxa"/>
            <w:gridSpan w:val="2"/>
            <w:vMerge w:val="continue"/>
            <w:noWrap w:val="0"/>
            <w:vAlign w:val="center"/>
          </w:tcPr>
          <w:p w14:paraId="1631A2E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77" w:type="dxa"/>
            <w:gridSpan w:val="2"/>
            <w:noWrap w:val="0"/>
            <w:vAlign w:val="center"/>
          </w:tcPr>
          <w:p w14:paraId="6776927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分割边角料</w:t>
            </w:r>
          </w:p>
        </w:tc>
        <w:tc>
          <w:tcPr>
            <w:tcW w:w="721" w:type="dxa"/>
            <w:gridSpan w:val="2"/>
            <w:noWrap w:val="0"/>
            <w:vAlign w:val="center"/>
          </w:tcPr>
          <w:p w14:paraId="2912CDA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20ACD82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组织</w:t>
            </w:r>
          </w:p>
        </w:tc>
        <w:tc>
          <w:tcPr>
            <w:tcW w:w="1280" w:type="dxa"/>
            <w:gridSpan w:val="2"/>
            <w:noWrap w:val="0"/>
            <w:vAlign w:val="center"/>
          </w:tcPr>
          <w:p w14:paraId="7BA9D46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一般固废</w:t>
            </w:r>
          </w:p>
        </w:tc>
        <w:tc>
          <w:tcPr>
            <w:tcW w:w="1819" w:type="dxa"/>
            <w:vMerge w:val="continue"/>
            <w:noWrap w:val="0"/>
            <w:vAlign w:val="center"/>
          </w:tcPr>
          <w:p w14:paraId="4DFAA0B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continue"/>
            <w:noWrap w:val="0"/>
            <w:vAlign w:val="center"/>
          </w:tcPr>
          <w:p w14:paraId="25D1C20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szCs w:val="21"/>
                <w:highlight w:val="none"/>
                <w:lang w:val="en-US" w:eastAsia="zh-CN"/>
              </w:rPr>
            </w:pPr>
          </w:p>
        </w:tc>
        <w:tc>
          <w:tcPr>
            <w:tcW w:w="900" w:type="dxa"/>
            <w:gridSpan w:val="2"/>
            <w:noWrap w:val="0"/>
            <w:vAlign w:val="center"/>
          </w:tcPr>
          <w:p w14:paraId="5469608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5DF188B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r w14:paraId="7FC051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009F45B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771" w:type="dxa"/>
            <w:gridSpan w:val="2"/>
            <w:vMerge w:val="restart"/>
            <w:noWrap w:val="0"/>
            <w:vAlign w:val="center"/>
          </w:tcPr>
          <w:p w14:paraId="3F7C768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屠宰</w:t>
            </w:r>
            <w:r>
              <w:rPr>
                <w:rFonts w:hint="eastAsia" w:ascii="Times New Roman" w:hAnsi="Times New Roman" w:eastAsia="宋体" w:cs="Times New Roman"/>
                <w:b w:val="0"/>
                <w:bCs/>
                <w:color w:val="auto"/>
                <w:sz w:val="21"/>
                <w:szCs w:val="21"/>
                <w:highlight w:val="none"/>
                <w:lang w:val="en-US" w:eastAsia="zh-CN"/>
              </w:rPr>
              <w:t>加工车间</w:t>
            </w:r>
          </w:p>
        </w:tc>
        <w:tc>
          <w:tcPr>
            <w:tcW w:w="1277" w:type="dxa"/>
            <w:gridSpan w:val="2"/>
            <w:noWrap w:val="0"/>
            <w:vAlign w:val="center"/>
          </w:tcPr>
          <w:p w14:paraId="7DFABAD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病变</w:t>
            </w:r>
            <w:r>
              <w:rPr>
                <w:rFonts w:hint="default" w:ascii="Times New Roman" w:hAnsi="Times New Roman" w:eastAsia="宋体" w:cs="Times New Roman"/>
                <w:b w:val="0"/>
                <w:bCs/>
                <w:color w:val="auto"/>
                <w:sz w:val="21"/>
                <w:szCs w:val="21"/>
                <w:highlight w:val="none"/>
              </w:rPr>
              <w:t>内脏</w:t>
            </w:r>
          </w:p>
        </w:tc>
        <w:tc>
          <w:tcPr>
            <w:tcW w:w="721" w:type="dxa"/>
            <w:gridSpan w:val="2"/>
            <w:vMerge w:val="restart"/>
            <w:noWrap w:val="0"/>
            <w:vAlign w:val="center"/>
          </w:tcPr>
          <w:p w14:paraId="75BCE3F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01F7A16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组织</w:t>
            </w:r>
          </w:p>
        </w:tc>
        <w:tc>
          <w:tcPr>
            <w:tcW w:w="1280" w:type="dxa"/>
            <w:gridSpan w:val="2"/>
            <w:noWrap w:val="0"/>
            <w:vAlign w:val="center"/>
          </w:tcPr>
          <w:p w14:paraId="541B2B3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HW01-841-003-01</w:t>
            </w:r>
          </w:p>
        </w:tc>
        <w:tc>
          <w:tcPr>
            <w:tcW w:w="1819" w:type="dxa"/>
            <w:vMerge w:val="restart"/>
            <w:noWrap w:val="0"/>
            <w:vAlign w:val="center"/>
          </w:tcPr>
          <w:p w14:paraId="405B3C1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暂存于危废贮存库冷柜中，定期拉运至原州区动物疾病预防控制中心（动物卫生监督）指定地点进行无害化处置</w:t>
            </w:r>
          </w:p>
        </w:tc>
        <w:tc>
          <w:tcPr>
            <w:tcW w:w="853" w:type="dxa"/>
            <w:gridSpan w:val="2"/>
            <w:vMerge w:val="restart"/>
            <w:noWrap w:val="0"/>
            <w:vAlign w:val="center"/>
          </w:tcPr>
          <w:p w14:paraId="1B5F5E6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141.2</w:t>
            </w:r>
          </w:p>
        </w:tc>
        <w:tc>
          <w:tcPr>
            <w:tcW w:w="900" w:type="dxa"/>
            <w:gridSpan w:val="2"/>
            <w:noWrap w:val="0"/>
            <w:vAlign w:val="center"/>
          </w:tcPr>
          <w:p w14:paraId="0EA07EF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5BD330A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58758E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70FB74C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5</w:t>
            </w:r>
          </w:p>
        </w:tc>
        <w:tc>
          <w:tcPr>
            <w:tcW w:w="771" w:type="dxa"/>
            <w:gridSpan w:val="2"/>
            <w:vMerge w:val="continue"/>
            <w:noWrap w:val="0"/>
            <w:vAlign w:val="center"/>
          </w:tcPr>
          <w:p w14:paraId="77FE4C0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77" w:type="dxa"/>
            <w:gridSpan w:val="2"/>
            <w:noWrap w:val="0"/>
            <w:vAlign w:val="center"/>
          </w:tcPr>
          <w:p w14:paraId="04946FD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不合格胴体</w:t>
            </w:r>
          </w:p>
        </w:tc>
        <w:tc>
          <w:tcPr>
            <w:tcW w:w="721" w:type="dxa"/>
            <w:gridSpan w:val="2"/>
            <w:vMerge w:val="continue"/>
            <w:noWrap w:val="0"/>
            <w:vAlign w:val="center"/>
          </w:tcPr>
          <w:p w14:paraId="4CE6272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80" w:type="dxa"/>
            <w:gridSpan w:val="2"/>
            <w:noWrap w:val="0"/>
            <w:vAlign w:val="center"/>
          </w:tcPr>
          <w:p w14:paraId="573ACC2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030-003-S82</w:t>
            </w:r>
          </w:p>
        </w:tc>
        <w:tc>
          <w:tcPr>
            <w:tcW w:w="1819" w:type="dxa"/>
            <w:vMerge w:val="continue"/>
            <w:noWrap w:val="0"/>
            <w:vAlign w:val="center"/>
          </w:tcPr>
          <w:p w14:paraId="3E4B272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continue"/>
            <w:noWrap w:val="0"/>
            <w:vAlign w:val="center"/>
          </w:tcPr>
          <w:p w14:paraId="2C801E5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00" w:type="dxa"/>
            <w:gridSpan w:val="2"/>
            <w:noWrap w:val="0"/>
            <w:vAlign w:val="center"/>
          </w:tcPr>
          <w:p w14:paraId="60F41F4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4964C58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61EB68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114DE53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6</w:t>
            </w:r>
          </w:p>
        </w:tc>
        <w:tc>
          <w:tcPr>
            <w:tcW w:w="771" w:type="dxa"/>
            <w:gridSpan w:val="2"/>
            <w:vMerge w:val="continue"/>
            <w:noWrap w:val="0"/>
            <w:vAlign w:val="center"/>
          </w:tcPr>
          <w:p w14:paraId="6D1E883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77" w:type="dxa"/>
            <w:gridSpan w:val="2"/>
            <w:noWrap w:val="0"/>
            <w:vAlign w:val="center"/>
          </w:tcPr>
          <w:p w14:paraId="4ADE68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病死</w:t>
            </w:r>
            <w:r>
              <w:rPr>
                <w:rFonts w:hint="eastAsia" w:ascii="Times New Roman" w:hAnsi="Times New Roman" w:eastAsia="宋体" w:cs="Times New Roman"/>
                <w:b w:val="0"/>
                <w:bCs/>
                <w:color w:val="auto"/>
                <w:sz w:val="21"/>
                <w:szCs w:val="21"/>
                <w:highlight w:val="none"/>
                <w:lang w:val="en-US" w:eastAsia="zh-CN"/>
              </w:rPr>
              <w:t>牛</w:t>
            </w:r>
          </w:p>
        </w:tc>
        <w:tc>
          <w:tcPr>
            <w:tcW w:w="721" w:type="dxa"/>
            <w:gridSpan w:val="2"/>
            <w:vMerge w:val="continue"/>
            <w:noWrap w:val="0"/>
            <w:vAlign w:val="center"/>
          </w:tcPr>
          <w:p w14:paraId="51A3ABF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80" w:type="dxa"/>
            <w:gridSpan w:val="2"/>
            <w:noWrap w:val="0"/>
            <w:vAlign w:val="center"/>
          </w:tcPr>
          <w:p w14:paraId="6D59CF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HW01</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841-00</w:t>
            </w:r>
            <w:r>
              <w:rPr>
                <w:rFonts w:hint="eastAsia"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-01</w:t>
            </w:r>
          </w:p>
        </w:tc>
        <w:tc>
          <w:tcPr>
            <w:tcW w:w="1819" w:type="dxa"/>
            <w:vMerge w:val="continue"/>
            <w:noWrap w:val="0"/>
            <w:vAlign w:val="center"/>
          </w:tcPr>
          <w:p w14:paraId="755684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continue"/>
            <w:noWrap w:val="0"/>
            <w:vAlign w:val="center"/>
          </w:tcPr>
          <w:p w14:paraId="3B834A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00" w:type="dxa"/>
            <w:gridSpan w:val="2"/>
            <w:noWrap w:val="0"/>
            <w:vAlign w:val="center"/>
          </w:tcPr>
          <w:p w14:paraId="1CEF30F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632D601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2B03D6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48" w:type="dxa"/>
            <w:gridSpan w:val="16"/>
            <w:noWrap w:val="0"/>
            <w:vAlign w:val="center"/>
          </w:tcPr>
          <w:p w14:paraId="231DCFC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羊</w:t>
            </w:r>
            <w:r>
              <w:rPr>
                <w:rFonts w:hint="default" w:ascii="Times New Roman" w:hAnsi="Times New Roman" w:eastAsia="宋体" w:cs="Times New Roman"/>
                <w:b w:val="0"/>
                <w:bCs/>
                <w:color w:val="auto"/>
                <w:sz w:val="21"/>
                <w:szCs w:val="21"/>
                <w:highlight w:val="none"/>
              </w:rPr>
              <w:t>屠宰工艺固废</w:t>
            </w:r>
          </w:p>
        </w:tc>
      </w:tr>
      <w:tr w14:paraId="41F78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487622C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w:t>
            </w:r>
          </w:p>
        </w:tc>
        <w:tc>
          <w:tcPr>
            <w:tcW w:w="806" w:type="dxa"/>
            <w:gridSpan w:val="2"/>
            <w:shd w:val="clear" w:color="auto" w:fill="auto"/>
            <w:noWrap w:val="0"/>
            <w:vAlign w:val="center"/>
          </w:tcPr>
          <w:p w14:paraId="7E3018A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待宰圈</w:t>
            </w:r>
          </w:p>
        </w:tc>
        <w:tc>
          <w:tcPr>
            <w:tcW w:w="1237" w:type="dxa"/>
            <w:gridSpan w:val="2"/>
            <w:shd w:val="clear" w:color="auto" w:fill="auto"/>
            <w:noWrap w:val="0"/>
            <w:vAlign w:val="center"/>
          </w:tcPr>
          <w:p w14:paraId="6E35459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羊</w:t>
            </w:r>
            <w:r>
              <w:rPr>
                <w:rFonts w:hint="default" w:ascii="Times New Roman" w:hAnsi="Times New Roman" w:eastAsia="宋体" w:cs="Times New Roman"/>
                <w:b w:val="0"/>
                <w:bCs/>
                <w:color w:val="auto"/>
                <w:sz w:val="21"/>
                <w:szCs w:val="21"/>
                <w:highlight w:val="none"/>
              </w:rPr>
              <w:t>粪便（含</w:t>
            </w:r>
            <w:r>
              <w:rPr>
                <w:rFonts w:hint="eastAsia" w:ascii="Times New Roman" w:hAnsi="Times New Roman" w:eastAsia="宋体" w:cs="Times New Roman"/>
                <w:b w:val="0"/>
                <w:bCs/>
                <w:color w:val="auto"/>
                <w:sz w:val="21"/>
                <w:szCs w:val="21"/>
                <w:highlight w:val="none"/>
                <w:lang w:val="en-US" w:eastAsia="zh-CN"/>
              </w:rPr>
              <w:t>羊</w:t>
            </w:r>
            <w:r>
              <w:rPr>
                <w:rFonts w:hint="default" w:ascii="Times New Roman" w:hAnsi="Times New Roman" w:eastAsia="宋体" w:cs="Times New Roman"/>
                <w:b w:val="0"/>
                <w:bCs/>
                <w:color w:val="auto"/>
                <w:sz w:val="21"/>
                <w:szCs w:val="21"/>
                <w:highlight w:val="none"/>
              </w:rPr>
              <w:t>尿）</w:t>
            </w:r>
          </w:p>
        </w:tc>
        <w:tc>
          <w:tcPr>
            <w:tcW w:w="721" w:type="dxa"/>
            <w:gridSpan w:val="2"/>
            <w:vMerge w:val="restart"/>
            <w:shd w:val="clear" w:color="auto" w:fill="auto"/>
            <w:noWrap w:val="0"/>
            <w:vAlign w:val="center"/>
          </w:tcPr>
          <w:p w14:paraId="1D6FDAB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有机质</w:t>
            </w:r>
          </w:p>
        </w:tc>
        <w:tc>
          <w:tcPr>
            <w:tcW w:w="1189" w:type="dxa"/>
            <w:shd w:val="clear" w:color="auto" w:fill="auto"/>
            <w:noWrap w:val="0"/>
            <w:vAlign w:val="center"/>
          </w:tcPr>
          <w:p w14:paraId="3AA2481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2069" w:type="dxa"/>
            <w:gridSpan w:val="2"/>
            <w:vMerge w:val="restart"/>
            <w:shd w:val="clear" w:color="auto" w:fill="auto"/>
            <w:noWrap w:val="0"/>
            <w:vAlign w:val="center"/>
          </w:tcPr>
          <w:p w14:paraId="69EC1D2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拉运至固原富田有机肥有限公司生产肥料</w:t>
            </w:r>
          </w:p>
        </w:tc>
        <w:tc>
          <w:tcPr>
            <w:tcW w:w="792" w:type="dxa"/>
            <w:gridSpan w:val="2"/>
            <w:noWrap w:val="0"/>
            <w:vAlign w:val="center"/>
          </w:tcPr>
          <w:p w14:paraId="1460455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62</w:t>
            </w:r>
          </w:p>
        </w:tc>
        <w:tc>
          <w:tcPr>
            <w:tcW w:w="802" w:type="dxa"/>
            <w:gridSpan w:val="2"/>
            <w:shd w:val="clear" w:color="auto" w:fill="auto"/>
            <w:noWrap w:val="0"/>
            <w:vAlign w:val="center"/>
          </w:tcPr>
          <w:p w14:paraId="2C7E8B3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20CAF56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0B368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7E41F7F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2</w:t>
            </w:r>
          </w:p>
        </w:tc>
        <w:tc>
          <w:tcPr>
            <w:tcW w:w="806" w:type="dxa"/>
            <w:gridSpan w:val="2"/>
            <w:vMerge w:val="restart"/>
            <w:shd w:val="clear" w:color="auto" w:fill="auto"/>
            <w:noWrap w:val="0"/>
            <w:vAlign w:val="center"/>
          </w:tcPr>
          <w:p w14:paraId="0A9FC76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屠宰</w:t>
            </w:r>
            <w:r>
              <w:rPr>
                <w:rFonts w:hint="eastAsia" w:ascii="Times New Roman" w:hAnsi="Times New Roman" w:eastAsia="宋体" w:cs="Times New Roman"/>
                <w:b w:val="0"/>
                <w:bCs/>
                <w:color w:val="auto"/>
                <w:sz w:val="21"/>
                <w:szCs w:val="21"/>
                <w:highlight w:val="none"/>
                <w:lang w:val="en-US" w:eastAsia="zh-CN"/>
              </w:rPr>
              <w:t>加工车间</w:t>
            </w:r>
          </w:p>
        </w:tc>
        <w:tc>
          <w:tcPr>
            <w:tcW w:w="1237" w:type="dxa"/>
            <w:gridSpan w:val="2"/>
            <w:shd w:val="clear" w:color="auto" w:fill="auto"/>
            <w:noWrap w:val="0"/>
            <w:vAlign w:val="center"/>
          </w:tcPr>
          <w:p w14:paraId="23B40AE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胃内容物</w:t>
            </w:r>
          </w:p>
        </w:tc>
        <w:tc>
          <w:tcPr>
            <w:tcW w:w="721" w:type="dxa"/>
            <w:gridSpan w:val="2"/>
            <w:vMerge w:val="continue"/>
            <w:noWrap w:val="0"/>
            <w:vAlign w:val="center"/>
          </w:tcPr>
          <w:p w14:paraId="69CDBB5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89" w:type="dxa"/>
            <w:shd w:val="clear" w:color="auto" w:fill="auto"/>
            <w:noWrap w:val="0"/>
            <w:vAlign w:val="center"/>
          </w:tcPr>
          <w:p w14:paraId="081ABD0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2069" w:type="dxa"/>
            <w:gridSpan w:val="2"/>
            <w:vMerge w:val="continue"/>
            <w:noWrap w:val="0"/>
            <w:vAlign w:val="center"/>
          </w:tcPr>
          <w:p w14:paraId="455DB45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792" w:type="dxa"/>
            <w:gridSpan w:val="2"/>
            <w:vMerge w:val="restart"/>
            <w:noWrap w:val="0"/>
            <w:vAlign w:val="center"/>
          </w:tcPr>
          <w:p w14:paraId="237BF0E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270</w:t>
            </w:r>
          </w:p>
        </w:tc>
        <w:tc>
          <w:tcPr>
            <w:tcW w:w="802" w:type="dxa"/>
            <w:gridSpan w:val="2"/>
            <w:shd w:val="clear" w:color="auto" w:fill="auto"/>
            <w:noWrap w:val="0"/>
            <w:vAlign w:val="center"/>
          </w:tcPr>
          <w:p w14:paraId="37D9A42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24553F1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1D091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18ECC8D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806" w:type="dxa"/>
            <w:gridSpan w:val="2"/>
            <w:vMerge w:val="continue"/>
            <w:shd w:val="clear" w:color="auto" w:fill="auto"/>
            <w:noWrap w:val="0"/>
            <w:vAlign w:val="center"/>
          </w:tcPr>
          <w:p w14:paraId="20F607F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4E62F41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分割边角料</w:t>
            </w:r>
          </w:p>
        </w:tc>
        <w:tc>
          <w:tcPr>
            <w:tcW w:w="721" w:type="dxa"/>
            <w:gridSpan w:val="2"/>
            <w:noWrap w:val="0"/>
            <w:vAlign w:val="center"/>
          </w:tcPr>
          <w:p w14:paraId="188EA60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33D6C20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组织</w:t>
            </w:r>
          </w:p>
        </w:tc>
        <w:tc>
          <w:tcPr>
            <w:tcW w:w="1189" w:type="dxa"/>
            <w:shd w:val="clear" w:color="auto" w:fill="auto"/>
            <w:noWrap w:val="0"/>
            <w:vAlign w:val="center"/>
          </w:tcPr>
          <w:p w14:paraId="3FF0316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030-003-S82</w:t>
            </w:r>
          </w:p>
        </w:tc>
        <w:tc>
          <w:tcPr>
            <w:tcW w:w="2069" w:type="dxa"/>
            <w:gridSpan w:val="2"/>
            <w:vMerge w:val="continue"/>
            <w:noWrap w:val="0"/>
            <w:vAlign w:val="center"/>
          </w:tcPr>
          <w:p w14:paraId="1FA1DE4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792" w:type="dxa"/>
            <w:gridSpan w:val="2"/>
            <w:vMerge w:val="continue"/>
            <w:noWrap w:val="0"/>
            <w:vAlign w:val="center"/>
          </w:tcPr>
          <w:p w14:paraId="741CFFD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szCs w:val="21"/>
                <w:highlight w:val="none"/>
                <w:lang w:val="en-US" w:eastAsia="zh-CN"/>
              </w:rPr>
            </w:pPr>
          </w:p>
        </w:tc>
        <w:tc>
          <w:tcPr>
            <w:tcW w:w="802" w:type="dxa"/>
            <w:gridSpan w:val="2"/>
            <w:shd w:val="clear" w:color="auto" w:fill="auto"/>
            <w:noWrap w:val="0"/>
            <w:vAlign w:val="center"/>
          </w:tcPr>
          <w:p w14:paraId="5CC27DC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6107392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r w14:paraId="0E8B2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0A437C4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4</w:t>
            </w:r>
          </w:p>
        </w:tc>
        <w:tc>
          <w:tcPr>
            <w:tcW w:w="806" w:type="dxa"/>
            <w:gridSpan w:val="2"/>
            <w:vMerge w:val="continue"/>
            <w:noWrap w:val="0"/>
            <w:vAlign w:val="center"/>
          </w:tcPr>
          <w:p w14:paraId="382BD5D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7DBACCE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病变</w:t>
            </w:r>
            <w:r>
              <w:rPr>
                <w:rFonts w:hint="eastAsia" w:ascii="Times New Roman" w:hAnsi="Times New Roman" w:eastAsia="宋体" w:cs="Times New Roman"/>
                <w:b w:val="0"/>
                <w:bCs/>
                <w:color w:val="auto"/>
                <w:kern w:val="2"/>
                <w:sz w:val="21"/>
                <w:szCs w:val="21"/>
                <w:highlight w:val="none"/>
                <w:lang w:val="en-US" w:eastAsia="zh-CN" w:bidi="ar-SA"/>
              </w:rPr>
              <w:t>内脏</w:t>
            </w:r>
          </w:p>
        </w:tc>
        <w:tc>
          <w:tcPr>
            <w:tcW w:w="721" w:type="dxa"/>
            <w:gridSpan w:val="2"/>
            <w:vMerge w:val="restart"/>
            <w:shd w:val="clear" w:color="auto" w:fill="auto"/>
            <w:noWrap w:val="0"/>
            <w:vAlign w:val="center"/>
          </w:tcPr>
          <w:p w14:paraId="7E2FC59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272632D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组织</w:t>
            </w:r>
          </w:p>
        </w:tc>
        <w:tc>
          <w:tcPr>
            <w:tcW w:w="1189" w:type="dxa"/>
            <w:shd w:val="clear" w:color="auto" w:fill="auto"/>
            <w:noWrap w:val="0"/>
            <w:vAlign w:val="center"/>
          </w:tcPr>
          <w:p w14:paraId="62FB37B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HW01-841-003-01</w:t>
            </w:r>
          </w:p>
        </w:tc>
        <w:tc>
          <w:tcPr>
            <w:tcW w:w="2069" w:type="dxa"/>
            <w:gridSpan w:val="2"/>
            <w:vMerge w:val="restart"/>
            <w:noWrap w:val="0"/>
            <w:vAlign w:val="center"/>
          </w:tcPr>
          <w:p w14:paraId="4679739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暂存于危废贮存库冷柜中，定期</w:t>
            </w:r>
            <w:r>
              <w:rPr>
                <w:rFonts w:hint="default" w:ascii="Times New Roman" w:hAnsi="Times New Roman" w:eastAsia="宋体" w:cs="Times New Roman"/>
                <w:b w:val="0"/>
                <w:bCs/>
                <w:color w:val="auto"/>
                <w:sz w:val="21"/>
                <w:szCs w:val="21"/>
                <w:highlight w:val="none"/>
              </w:rPr>
              <w:t>拉运至原州区动物疾病预防控制中心（动物卫生监督）</w:t>
            </w:r>
            <w:r>
              <w:rPr>
                <w:rFonts w:hint="eastAsia" w:eastAsia="宋体" w:cs="Times New Roman"/>
                <w:b w:val="0"/>
                <w:bCs/>
                <w:color w:val="auto"/>
                <w:sz w:val="21"/>
                <w:szCs w:val="21"/>
                <w:highlight w:val="none"/>
                <w:lang w:val="en-US" w:eastAsia="zh-CN"/>
              </w:rPr>
              <w:t>指定地点进行</w:t>
            </w:r>
            <w:r>
              <w:rPr>
                <w:rFonts w:hint="default" w:ascii="Times New Roman" w:hAnsi="Times New Roman" w:eastAsia="宋体" w:cs="Times New Roman"/>
                <w:b w:val="0"/>
                <w:bCs/>
                <w:color w:val="auto"/>
                <w:sz w:val="21"/>
                <w:szCs w:val="21"/>
                <w:highlight w:val="none"/>
              </w:rPr>
              <w:t>无害化处置</w:t>
            </w:r>
          </w:p>
        </w:tc>
        <w:tc>
          <w:tcPr>
            <w:tcW w:w="792" w:type="dxa"/>
            <w:gridSpan w:val="2"/>
            <w:vMerge w:val="restart"/>
            <w:noWrap w:val="0"/>
            <w:vAlign w:val="center"/>
          </w:tcPr>
          <w:p w14:paraId="48279C9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118</w:t>
            </w:r>
          </w:p>
        </w:tc>
        <w:tc>
          <w:tcPr>
            <w:tcW w:w="802" w:type="dxa"/>
            <w:gridSpan w:val="2"/>
            <w:shd w:val="clear" w:color="auto" w:fill="auto"/>
            <w:noWrap w:val="0"/>
            <w:vAlign w:val="center"/>
          </w:tcPr>
          <w:p w14:paraId="6441D12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142430E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10F564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0AECEA6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5</w:t>
            </w:r>
          </w:p>
        </w:tc>
        <w:tc>
          <w:tcPr>
            <w:tcW w:w="806" w:type="dxa"/>
            <w:gridSpan w:val="2"/>
            <w:vMerge w:val="continue"/>
            <w:noWrap w:val="0"/>
            <w:vAlign w:val="center"/>
          </w:tcPr>
          <w:p w14:paraId="7F52CBB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5096825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不合格</w:t>
            </w:r>
          </w:p>
          <w:p w14:paraId="2665AEF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胴体</w:t>
            </w:r>
          </w:p>
        </w:tc>
        <w:tc>
          <w:tcPr>
            <w:tcW w:w="721" w:type="dxa"/>
            <w:gridSpan w:val="2"/>
            <w:vMerge w:val="continue"/>
            <w:noWrap w:val="0"/>
            <w:vAlign w:val="center"/>
          </w:tcPr>
          <w:p w14:paraId="65C06EC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89" w:type="dxa"/>
            <w:shd w:val="clear" w:color="auto" w:fill="auto"/>
            <w:noWrap w:val="0"/>
            <w:vAlign w:val="center"/>
          </w:tcPr>
          <w:p w14:paraId="496D826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030-003-S82</w:t>
            </w:r>
          </w:p>
        </w:tc>
        <w:tc>
          <w:tcPr>
            <w:tcW w:w="2069" w:type="dxa"/>
            <w:gridSpan w:val="2"/>
            <w:vMerge w:val="continue"/>
            <w:noWrap w:val="0"/>
            <w:vAlign w:val="center"/>
          </w:tcPr>
          <w:p w14:paraId="2BC6A4F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792" w:type="dxa"/>
            <w:gridSpan w:val="2"/>
            <w:vMerge w:val="continue"/>
            <w:noWrap w:val="0"/>
            <w:vAlign w:val="center"/>
          </w:tcPr>
          <w:p w14:paraId="03AD048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02" w:type="dxa"/>
            <w:gridSpan w:val="2"/>
            <w:shd w:val="clear" w:color="auto" w:fill="auto"/>
            <w:noWrap w:val="0"/>
            <w:vAlign w:val="center"/>
          </w:tcPr>
          <w:p w14:paraId="5271E70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51134D9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251EF9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7D36EBA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6</w:t>
            </w:r>
          </w:p>
        </w:tc>
        <w:tc>
          <w:tcPr>
            <w:tcW w:w="806" w:type="dxa"/>
            <w:gridSpan w:val="2"/>
            <w:vMerge w:val="continue"/>
            <w:noWrap w:val="0"/>
            <w:vAlign w:val="center"/>
          </w:tcPr>
          <w:p w14:paraId="36FC8D7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7657935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病死</w:t>
            </w:r>
            <w:r>
              <w:rPr>
                <w:rFonts w:hint="eastAsia" w:ascii="Times New Roman" w:hAnsi="Times New Roman" w:eastAsia="宋体" w:cs="Times New Roman"/>
                <w:b w:val="0"/>
                <w:bCs/>
                <w:color w:val="auto"/>
                <w:sz w:val="21"/>
                <w:szCs w:val="21"/>
                <w:highlight w:val="none"/>
                <w:lang w:val="en-US" w:eastAsia="zh-CN"/>
              </w:rPr>
              <w:t>羊</w:t>
            </w:r>
          </w:p>
        </w:tc>
        <w:tc>
          <w:tcPr>
            <w:tcW w:w="721" w:type="dxa"/>
            <w:gridSpan w:val="2"/>
            <w:vMerge w:val="continue"/>
            <w:noWrap w:val="0"/>
            <w:vAlign w:val="center"/>
          </w:tcPr>
          <w:p w14:paraId="7D32AAA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89" w:type="dxa"/>
            <w:shd w:val="clear" w:color="auto" w:fill="auto"/>
            <w:noWrap w:val="0"/>
            <w:vAlign w:val="center"/>
          </w:tcPr>
          <w:p w14:paraId="52E3772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HW01</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841-00</w:t>
            </w:r>
            <w:r>
              <w:rPr>
                <w:rFonts w:hint="eastAsia"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-01</w:t>
            </w:r>
          </w:p>
        </w:tc>
        <w:tc>
          <w:tcPr>
            <w:tcW w:w="2069" w:type="dxa"/>
            <w:gridSpan w:val="2"/>
            <w:vMerge w:val="continue"/>
            <w:shd w:val="clear" w:color="auto" w:fill="auto"/>
            <w:noWrap w:val="0"/>
            <w:vAlign w:val="center"/>
          </w:tcPr>
          <w:p w14:paraId="1F1B449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792" w:type="dxa"/>
            <w:gridSpan w:val="2"/>
            <w:vMerge w:val="continue"/>
            <w:noWrap w:val="0"/>
            <w:vAlign w:val="center"/>
          </w:tcPr>
          <w:p w14:paraId="5F5DA66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02" w:type="dxa"/>
            <w:gridSpan w:val="2"/>
            <w:shd w:val="clear" w:color="auto" w:fill="auto"/>
            <w:noWrap w:val="0"/>
            <w:vAlign w:val="center"/>
          </w:tcPr>
          <w:p w14:paraId="7F5EC5D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3E2243A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050A11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48" w:type="dxa"/>
            <w:gridSpan w:val="16"/>
            <w:noWrap w:val="0"/>
            <w:vAlign w:val="center"/>
          </w:tcPr>
          <w:p w14:paraId="5A568C9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其他固废</w:t>
            </w:r>
          </w:p>
        </w:tc>
      </w:tr>
      <w:tr w14:paraId="42DA43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21F3E65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8</w:t>
            </w:r>
          </w:p>
        </w:tc>
        <w:tc>
          <w:tcPr>
            <w:tcW w:w="806" w:type="dxa"/>
            <w:gridSpan w:val="2"/>
            <w:noWrap w:val="0"/>
            <w:vAlign w:val="center"/>
          </w:tcPr>
          <w:p w14:paraId="460105A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员工</w:t>
            </w:r>
          </w:p>
          <w:p w14:paraId="3F8820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w:t>
            </w:r>
          </w:p>
        </w:tc>
        <w:tc>
          <w:tcPr>
            <w:tcW w:w="1237" w:type="dxa"/>
            <w:gridSpan w:val="2"/>
            <w:noWrap w:val="0"/>
            <w:vAlign w:val="center"/>
          </w:tcPr>
          <w:p w14:paraId="026ABDC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w:t>
            </w:r>
          </w:p>
        </w:tc>
        <w:tc>
          <w:tcPr>
            <w:tcW w:w="721" w:type="dxa"/>
            <w:gridSpan w:val="2"/>
            <w:noWrap w:val="0"/>
            <w:vAlign w:val="center"/>
          </w:tcPr>
          <w:p w14:paraId="55B3946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89" w:type="dxa"/>
            <w:noWrap w:val="0"/>
            <w:vAlign w:val="center"/>
          </w:tcPr>
          <w:p w14:paraId="3C1B8F3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SW64-</w:t>
            </w:r>
            <w:r>
              <w:rPr>
                <w:rFonts w:hint="default" w:ascii="Times New Roman" w:hAnsi="Times New Roman" w:eastAsia="宋体" w:cs="Times New Roman"/>
                <w:b w:val="0"/>
                <w:bCs/>
                <w:color w:val="auto"/>
                <w:sz w:val="21"/>
                <w:szCs w:val="21"/>
                <w:highlight w:val="none"/>
              </w:rPr>
              <w:t>900-099-S64</w:t>
            </w:r>
          </w:p>
        </w:tc>
        <w:tc>
          <w:tcPr>
            <w:tcW w:w="2069" w:type="dxa"/>
            <w:gridSpan w:val="2"/>
            <w:noWrap w:val="0"/>
            <w:vAlign w:val="center"/>
          </w:tcPr>
          <w:p w14:paraId="647769E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生活垃圾由环卫部门统一处置</w:t>
            </w:r>
          </w:p>
        </w:tc>
        <w:tc>
          <w:tcPr>
            <w:tcW w:w="792" w:type="dxa"/>
            <w:gridSpan w:val="2"/>
            <w:noWrap w:val="0"/>
            <w:vAlign w:val="center"/>
          </w:tcPr>
          <w:p w14:paraId="43DC868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4.29</w:t>
            </w:r>
          </w:p>
        </w:tc>
        <w:tc>
          <w:tcPr>
            <w:tcW w:w="802" w:type="dxa"/>
            <w:gridSpan w:val="2"/>
            <w:noWrap w:val="0"/>
            <w:vAlign w:val="center"/>
          </w:tcPr>
          <w:p w14:paraId="0CD5F3A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751" w:type="dxa"/>
            <w:noWrap w:val="0"/>
            <w:vAlign w:val="center"/>
          </w:tcPr>
          <w:p w14:paraId="1D3D7ED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2B22FA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440CEC4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w:t>
            </w:r>
          </w:p>
        </w:tc>
        <w:tc>
          <w:tcPr>
            <w:tcW w:w="806" w:type="dxa"/>
            <w:gridSpan w:val="2"/>
            <w:noWrap w:val="0"/>
            <w:vAlign w:val="center"/>
          </w:tcPr>
          <w:p w14:paraId="5FCF00E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环保设施</w:t>
            </w:r>
          </w:p>
        </w:tc>
        <w:tc>
          <w:tcPr>
            <w:tcW w:w="1237" w:type="dxa"/>
            <w:gridSpan w:val="2"/>
            <w:noWrap w:val="0"/>
            <w:vAlign w:val="center"/>
          </w:tcPr>
          <w:p w14:paraId="7193CA9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废活性炭</w:t>
            </w:r>
          </w:p>
        </w:tc>
        <w:tc>
          <w:tcPr>
            <w:tcW w:w="721" w:type="dxa"/>
            <w:gridSpan w:val="2"/>
            <w:noWrap w:val="0"/>
            <w:vAlign w:val="center"/>
          </w:tcPr>
          <w:p w14:paraId="2685694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1189" w:type="dxa"/>
            <w:noWrap w:val="0"/>
            <w:vAlign w:val="center"/>
          </w:tcPr>
          <w:p w14:paraId="772DB04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val="en-US" w:eastAsia="zh-CN"/>
              </w:rPr>
              <w:t>HW49</w:t>
            </w:r>
            <w:r>
              <w:rPr>
                <w:rFonts w:hint="eastAsia" w:ascii="Times New Roman" w:hAnsi="Times New Roman" w:eastAsia="宋体" w:cs="Times New Roman"/>
                <w:b w:val="0"/>
                <w:bCs/>
                <w:color w:val="auto"/>
                <w:sz w:val="21"/>
                <w:szCs w:val="21"/>
                <w:highlight w:val="none"/>
                <w:lang w:val="en-US" w:eastAsia="zh-CN"/>
              </w:rPr>
              <w:t>-900-039-49</w:t>
            </w:r>
          </w:p>
        </w:tc>
        <w:tc>
          <w:tcPr>
            <w:tcW w:w="2069" w:type="dxa"/>
            <w:gridSpan w:val="2"/>
            <w:noWrap w:val="0"/>
            <w:vAlign w:val="center"/>
          </w:tcPr>
          <w:p w14:paraId="3ACDCC5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更换后</w:t>
            </w:r>
            <w:r>
              <w:rPr>
                <w:rFonts w:hint="default" w:ascii="Times New Roman" w:hAnsi="Times New Roman" w:eastAsia="宋体" w:cs="Times New Roman"/>
                <w:b w:val="0"/>
                <w:bCs/>
                <w:color w:val="auto"/>
                <w:sz w:val="21"/>
                <w:szCs w:val="21"/>
                <w:highlight w:val="none"/>
              </w:rPr>
              <w:t>交有资质的单位处置</w:t>
            </w:r>
          </w:p>
        </w:tc>
        <w:tc>
          <w:tcPr>
            <w:tcW w:w="792" w:type="dxa"/>
            <w:gridSpan w:val="2"/>
            <w:noWrap w:val="0"/>
            <w:vAlign w:val="center"/>
          </w:tcPr>
          <w:p w14:paraId="38000CD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0.75</w:t>
            </w:r>
          </w:p>
        </w:tc>
        <w:tc>
          <w:tcPr>
            <w:tcW w:w="802" w:type="dxa"/>
            <w:gridSpan w:val="2"/>
            <w:noWrap w:val="0"/>
            <w:vAlign w:val="center"/>
          </w:tcPr>
          <w:p w14:paraId="5079141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100</w:t>
            </w:r>
          </w:p>
        </w:tc>
        <w:tc>
          <w:tcPr>
            <w:tcW w:w="751" w:type="dxa"/>
            <w:noWrap w:val="0"/>
            <w:vAlign w:val="center"/>
          </w:tcPr>
          <w:p w14:paraId="12D13AC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r>
      <w:tr w14:paraId="3DE9C0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7E8D3A4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c>
          <w:tcPr>
            <w:tcW w:w="806" w:type="dxa"/>
            <w:gridSpan w:val="2"/>
            <w:noWrap w:val="0"/>
            <w:vAlign w:val="center"/>
          </w:tcPr>
          <w:p w14:paraId="1622403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污水处理站</w:t>
            </w:r>
          </w:p>
        </w:tc>
        <w:tc>
          <w:tcPr>
            <w:tcW w:w="1237" w:type="dxa"/>
            <w:gridSpan w:val="2"/>
            <w:noWrap w:val="0"/>
            <w:vAlign w:val="center"/>
          </w:tcPr>
          <w:p w14:paraId="6F6C732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污泥</w:t>
            </w:r>
          </w:p>
        </w:tc>
        <w:tc>
          <w:tcPr>
            <w:tcW w:w="721" w:type="dxa"/>
            <w:gridSpan w:val="2"/>
            <w:noWrap w:val="0"/>
            <w:vAlign w:val="center"/>
          </w:tcPr>
          <w:p w14:paraId="2CA44DC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89" w:type="dxa"/>
            <w:noWrap w:val="0"/>
            <w:vAlign w:val="center"/>
          </w:tcPr>
          <w:p w14:paraId="124E09D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SW07-</w:t>
            </w:r>
            <w:r>
              <w:rPr>
                <w:rFonts w:hint="default" w:ascii="Times New Roman" w:hAnsi="Times New Roman" w:eastAsia="宋体" w:cs="Times New Roman"/>
                <w:b w:val="0"/>
                <w:bCs/>
                <w:color w:val="auto"/>
                <w:sz w:val="21"/>
                <w:szCs w:val="21"/>
                <w:highlight w:val="none"/>
              </w:rPr>
              <w:t>135-001-S07</w:t>
            </w:r>
          </w:p>
        </w:tc>
        <w:tc>
          <w:tcPr>
            <w:tcW w:w="2069" w:type="dxa"/>
            <w:gridSpan w:val="2"/>
            <w:noWrap w:val="0"/>
            <w:vAlign w:val="center"/>
          </w:tcPr>
          <w:p w14:paraId="598D2D0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拉运至固原富田有机肥有限公司生产肥料</w:t>
            </w:r>
          </w:p>
        </w:tc>
        <w:tc>
          <w:tcPr>
            <w:tcW w:w="792" w:type="dxa"/>
            <w:gridSpan w:val="2"/>
            <w:noWrap w:val="0"/>
            <w:vAlign w:val="center"/>
          </w:tcPr>
          <w:p w14:paraId="64756E9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15.65</w:t>
            </w:r>
          </w:p>
        </w:tc>
        <w:tc>
          <w:tcPr>
            <w:tcW w:w="802" w:type="dxa"/>
            <w:gridSpan w:val="2"/>
            <w:noWrap w:val="0"/>
            <w:vAlign w:val="center"/>
          </w:tcPr>
          <w:p w14:paraId="62A4A13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751" w:type="dxa"/>
            <w:noWrap w:val="0"/>
            <w:vAlign w:val="center"/>
          </w:tcPr>
          <w:p w14:paraId="3295EA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2AA713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01FCA39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11</w:t>
            </w:r>
          </w:p>
        </w:tc>
        <w:tc>
          <w:tcPr>
            <w:tcW w:w="806" w:type="dxa"/>
            <w:gridSpan w:val="2"/>
            <w:noWrap w:val="0"/>
            <w:vAlign w:val="center"/>
          </w:tcPr>
          <w:p w14:paraId="0CE47B5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设备检修</w:t>
            </w:r>
          </w:p>
        </w:tc>
        <w:tc>
          <w:tcPr>
            <w:tcW w:w="1237" w:type="dxa"/>
            <w:gridSpan w:val="2"/>
            <w:noWrap w:val="0"/>
            <w:vAlign w:val="center"/>
          </w:tcPr>
          <w:p w14:paraId="64C8163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废机油、废机油桶</w:t>
            </w:r>
          </w:p>
        </w:tc>
        <w:tc>
          <w:tcPr>
            <w:tcW w:w="721" w:type="dxa"/>
            <w:gridSpan w:val="2"/>
            <w:noWrap w:val="0"/>
            <w:vAlign w:val="center"/>
          </w:tcPr>
          <w:p w14:paraId="420B002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1189" w:type="dxa"/>
            <w:noWrap w:val="0"/>
            <w:vAlign w:val="center"/>
          </w:tcPr>
          <w:p w14:paraId="600DE20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HW08-</w:t>
            </w:r>
            <w:r>
              <w:rPr>
                <w:rFonts w:hint="default" w:ascii="Times New Roman" w:hAnsi="Times New Roman" w:eastAsia="宋体" w:cs="Times New Roman"/>
                <w:b w:val="0"/>
                <w:bCs/>
                <w:color w:val="auto"/>
                <w:sz w:val="21"/>
                <w:szCs w:val="21"/>
                <w:highlight w:val="none"/>
              </w:rPr>
              <w:t>900-214-08</w:t>
            </w:r>
          </w:p>
        </w:tc>
        <w:tc>
          <w:tcPr>
            <w:tcW w:w="2069" w:type="dxa"/>
            <w:gridSpan w:val="2"/>
            <w:vMerge w:val="restart"/>
            <w:noWrap w:val="0"/>
            <w:vAlign w:val="center"/>
          </w:tcPr>
          <w:p w14:paraId="7F39673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暂存于危废贮存库，定期</w:t>
            </w:r>
            <w:r>
              <w:rPr>
                <w:rFonts w:hint="default" w:ascii="Times New Roman" w:hAnsi="Times New Roman" w:eastAsia="宋体" w:cs="Times New Roman"/>
                <w:b w:val="0"/>
                <w:bCs/>
                <w:color w:val="auto"/>
                <w:sz w:val="21"/>
                <w:szCs w:val="21"/>
                <w:highlight w:val="none"/>
              </w:rPr>
              <w:t>交有资质的单位处置</w:t>
            </w:r>
          </w:p>
        </w:tc>
        <w:tc>
          <w:tcPr>
            <w:tcW w:w="792" w:type="dxa"/>
            <w:gridSpan w:val="2"/>
            <w:noWrap w:val="0"/>
            <w:vAlign w:val="center"/>
          </w:tcPr>
          <w:p w14:paraId="2107CCA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0.642</w:t>
            </w:r>
          </w:p>
        </w:tc>
        <w:tc>
          <w:tcPr>
            <w:tcW w:w="802" w:type="dxa"/>
            <w:gridSpan w:val="2"/>
            <w:noWrap w:val="0"/>
            <w:vAlign w:val="center"/>
          </w:tcPr>
          <w:p w14:paraId="197120A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100</w:t>
            </w:r>
          </w:p>
        </w:tc>
        <w:tc>
          <w:tcPr>
            <w:tcW w:w="751" w:type="dxa"/>
            <w:noWrap w:val="0"/>
            <w:vAlign w:val="center"/>
          </w:tcPr>
          <w:p w14:paraId="4CC139F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r w14:paraId="4812AF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62C2DBC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12</w:t>
            </w:r>
          </w:p>
        </w:tc>
        <w:tc>
          <w:tcPr>
            <w:tcW w:w="806" w:type="dxa"/>
            <w:gridSpan w:val="2"/>
            <w:noWrap w:val="0"/>
            <w:vAlign w:val="center"/>
          </w:tcPr>
          <w:p w14:paraId="00EDA0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检疫</w:t>
            </w:r>
          </w:p>
        </w:tc>
        <w:tc>
          <w:tcPr>
            <w:tcW w:w="1237" w:type="dxa"/>
            <w:gridSpan w:val="2"/>
            <w:noWrap w:val="0"/>
            <w:vAlign w:val="center"/>
          </w:tcPr>
          <w:p w14:paraId="1BEC024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检疫废物</w:t>
            </w:r>
          </w:p>
        </w:tc>
        <w:tc>
          <w:tcPr>
            <w:tcW w:w="721" w:type="dxa"/>
            <w:gridSpan w:val="2"/>
            <w:noWrap w:val="0"/>
            <w:vAlign w:val="center"/>
          </w:tcPr>
          <w:p w14:paraId="1C84C55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1189" w:type="dxa"/>
            <w:noWrap w:val="0"/>
            <w:vAlign w:val="center"/>
          </w:tcPr>
          <w:p w14:paraId="5806F5D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HW</w:t>
            </w:r>
            <w:r>
              <w:rPr>
                <w:rFonts w:hint="eastAsia" w:ascii="Times New Roman" w:hAnsi="Times New Roman" w:eastAsia="宋体" w:cs="Times New Roman"/>
                <w:color w:val="auto"/>
                <w:sz w:val="21"/>
                <w:szCs w:val="21"/>
                <w:lang w:val="en-US" w:eastAsia="zh-CN"/>
              </w:rPr>
              <w:t>01-841-002-01</w:t>
            </w:r>
          </w:p>
        </w:tc>
        <w:tc>
          <w:tcPr>
            <w:tcW w:w="2069" w:type="dxa"/>
            <w:gridSpan w:val="2"/>
            <w:vMerge w:val="continue"/>
            <w:noWrap w:val="0"/>
            <w:vAlign w:val="center"/>
          </w:tcPr>
          <w:p w14:paraId="594ED0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792" w:type="dxa"/>
            <w:gridSpan w:val="2"/>
            <w:noWrap w:val="0"/>
            <w:vAlign w:val="center"/>
          </w:tcPr>
          <w:p w14:paraId="621684B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0.5</w:t>
            </w:r>
          </w:p>
        </w:tc>
        <w:tc>
          <w:tcPr>
            <w:tcW w:w="802" w:type="dxa"/>
            <w:gridSpan w:val="2"/>
            <w:noWrap w:val="0"/>
            <w:vAlign w:val="center"/>
          </w:tcPr>
          <w:p w14:paraId="068D0C3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100</w:t>
            </w:r>
          </w:p>
        </w:tc>
        <w:tc>
          <w:tcPr>
            <w:tcW w:w="751" w:type="dxa"/>
            <w:noWrap w:val="0"/>
            <w:vAlign w:val="center"/>
          </w:tcPr>
          <w:p w14:paraId="46210C6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bl>
    <w:p w14:paraId="0A8E2D0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311" w:name="_Toc30215"/>
      <w:bookmarkStart w:id="312" w:name="_Toc13061"/>
      <w:bookmarkStart w:id="313" w:name="_Toc22716"/>
      <w:r>
        <w:rPr>
          <w:rFonts w:hint="default" w:ascii="Times New Roman" w:hAnsi="Times New Roman" w:eastAsia="黑体" w:cs="Times New Roman"/>
          <w:b/>
          <w:color w:val="auto"/>
          <w:sz w:val="28"/>
          <w:szCs w:val="28"/>
          <w:highlight w:val="none"/>
          <w:lang w:val="en-US" w:eastAsia="zh-CN"/>
        </w:rPr>
        <w:t>2.</w:t>
      </w:r>
      <w:r>
        <w:rPr>
          <w:rFonts w:hint="eastAsia" w:ascii="Times New Roman" w:hAnsi="Times New Roman" w:eastAsia="黑体" w:cs="Times New Roman"/>
          <w:b/>
          <w:color w:val="auto"/>
          <w:sz w:val="28"/>
          <w:szCs w:val="28"/>
          <w:highlight w:val="none"/>
          <w:lang w:val="en-US" w:eastAsia="zh-CN"/>
        </w:rPr>
        <w:t>3</w:t>
      </w:r>
      <w:r>
        <w:rPr>
          <w:rFonts w:hint="default" w:ascii="Times New Roman" w:hAnsi="Times New Roman" w:eastAsia="黑体" w:cs="Times New Roman"/>
          <w:b/>
          <w:color w:val="auto"/>
          <w:sz w:val="28"/>
          <w:szCs w:val="28"/>
          <w:highlight w:val="none"/>
        </w:rPr>
        <w:t>非正常工况分析</w:t>
      </w:r>
      <w:bookmarkEnd w:id="311"/>
      <w:bookmarkEnd w:id="312"/>
      <w:bookmarkEnd w:id="313"/>
    </w:p>
    <w:p w14:paraId="2F95A820">
      <w:pPr>
        <w:pageBreakBefore w:val="0"/>
        <w:kinsoku/>
        <w:wordWrap/>
        <w:topLinePunct w:val="0"/>
        <w:bidi w:val="0"/>
        <w:adjustRightInd/>
        <w:snapToGrid/>
        <w:ind w:left="0"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根据本项目的情况，</w:t>
      </w:r>
      <w:r>
        <w:rPr>
          <w:rFonts w:hint="eastAsia" w:cs="Times New Roman"/>
          <w:color w:val="auto"/>
          <w:lang w:val="en-US" w:eastAsia="zh-CN"/>
        </w:rPr>
        <w:t>非正常工况主要为</w:t>
      </w:r>
      <w:r>
        <w:rPr>
          <w:rFonts w:hint="eastAsia" w:ascii="Times New Roman" w:hAnsi="Times New Roman" w:cs="Times New Roman"/>
          <w:color w:val="auto"/>
          <w:lang w:val="en-US" w:eastAsia="zh-CN"/>
        </w:rPr>
        <w:t>二级活性炭吸附装置</w:t>
      </w:r>
      <w:r>
        <w:rPr>
          <w:rFonts w:hint="eastAsia" w:cs="Times New Roman"/>
          <w:color w:val="auto"/>
          <w:lang w:val="en-US" w:eastAsia="zh-CN"/>
        </w:rPr>
        <w:t>未及时更换活性炭，满负荷运行，造成大气污染物排放量增加；污水处理站发生事故时无法及时处理生产废水外排，造成水环境污染。</w:t>
      </w:r>
    </w:p>
    <w:p w14:paraId="73E1224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2.</w:t>
      </w:r>
      <w:r>
        <w:rPr>
          <w:rFonts w:hint="eastAsia" w:ascii="Times New Roman" w:hAnsi="Times New Roman" w:eastAsia="黑体" w:cs="Times New Roman"/>
          <w:b/>
          <w:bCs w:val="0"/>
          <w:color w:val="auto"/>
          <w:sz w:val="28"/>
          <w:szCs w:val="28"/>
          <w:lang w:val="en-US" w:eastAsia="zh-CN"/>
        </w:rPr>
        <w:t>3</w:t>
      </w:r>
      <w:r>
        <w:rPr>
          <w:rFonts w:hint="default" w:ascii="Times New Roman" w:hAnsi="Times New Roman" w:eastAsia="黑体" w:cs="Times New Roman"/>
          <w:b/>
          <w:bCs w:val="0"/>
          <w:color w:val="auto"/>
          <w:sz w:val="28"/>
          <w:szCs w:val="28"/>
          <w:lang w:val="en-US" w:eastAsia="zh-CN"/>
        </w:rPr>
        <w:t>.1大气污染物非正常工况分析</w:t>
      </w:r>
    </w:p>
    <w:p w14:paraId="65087DBE">
      <w:pPr>
        <w:pageBreakBefore w:val="0"/>
        <w:kinsoku/>
        <w:wordWrap/>
        <w:topLinePunct w:val="0"/>
        <w:bidi w:val="0"/>
        <w:adjustRightInd/>
        <w:snapToGrid/>
        <w:ind w:left="0" w:left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本项目大气污染物非正常工况主要为屠宰加工车间及污水处理站设置的二级活性炭吸附装置</w:t>
      </w:r>
      <w:r>
        <w:rPr>
          <w:rFonts w:hint="eastAsia" w:cs="Times New Roman"/>
          <w:color w:val="auto"/>
          <w:lang w:val="en-US" w:eastAsia="zh-CN"/>
        </w:rPr>
        <w:t>未及时更换活性炭，</w:t>
      </w:r>
      <w:r>
        <w:rPr>
          <w:rFonts w:hint="eastAsia" w:ascii="Times New Roman" w:hAnsi="Times New Roman" w:cs="Times New Roman"/>
          <w:color w:val="auto"/>
          <w:lang w:val="en-US" w:eastAsia="zh-CN"/>
        </w:rPr>
        <w:t>活性炭吸附效率从80%降低至</w:t>
      </w:r>
      <w:r>
        <w:rPr>
          <w:rFonts w:hint="eastAsia" w:cs="Times New Roman"/>
          <w:color w:val="auto"/>
          <w:lang w:val="en-US" w:eastAsia="zh-CN"/>
        </w:rPr>
        <w:t>50</w:t>
      </w:r>
      <w:r>
        <w:rPr>
          <w:rFonts w:hint="eastAsia" w:ascii="Times New Roman" w:hAnsi="Times New Roman" w:cs="Times New Roman"/>
          <w:color w:val="auto"/>
          <w:lang w:val="en-US" w:eastAsia="zh-CN"/>
        </w:rPr>
        <w:t>%。</w:t>
      </w:r>
    </w:p>
    <w:p w14:paraId="79B36D76">
      <w:pPr>
        <w:pageBreakBefore w:val="0"/>
        <w:kinsoku/>
        <w:wordWrap/>
        <w:topLinePunct w:val="0"/>
        <w:bidi w:val="0"/>
        <w:adjustRightInd/>
        <w:snapToGrid/>
        <w:ind w:left="0"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具体非正常工况大气污染物排放情况详见表2.3-1。</w:t>
      </w:r>
    </w:p>
    <w:p w14:paraId="63CA0E67">
      <w:pPr>
        <w:pageBreakBefore w:val="0"/>
        <w:kinsoku/>
        <w:wordWrap/>
        <w:topLinePunct w:val="0"/>
        <w:bidi w:val="0"/>
        <w:adjustRightInd/>
        <w:snapToGrid/>
        <w:spacing w:line="240" w:lineRule="auto"/>
        <w:ind w:left="0" w:leftChars="0" w:firstLine="42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b/>
          <w:bCs/>
          <w:color w:val="auto"/>
          <w:sz w:val="24"/>
          <w:szCs w:val="24"/>
          <w:highlight w:val="none"/>
        </w:rPr>
        <w:t>非正常工况大气污染物源强核算表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98"/>
        <w:gridCol w:w="1296"/>
        <w:gridCol w:w="1552"/>
        <w:gridCol w:w="1051"/>
        <w:gridCol w:w="1078"/>
        <w:gridCol w:w="675"/>
        <w:gridCol w:w="1078"/>
        <w:gridCol w:w="920"/>
      </w:tblGrid>
      <w:tr w14:paraId="31AFC5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725" w:type="pct"/>
            <w:noWrap w:val="0"/>
            <w:vAlign w:val="center"/>
          </w:tcPr>
          <w:p w14:paraId="332D170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排放源</w:t>
            </w:r>
          </w:p>
        </w:tc>
        <w:tc>
          <w:tcPr>
            <w:tcW w:w="724" w:type="pct"/>
            <w:noWrap w:val="0"/>
            <w:vAlign w:val="center"/>
          </w:tcPr>
          <w:p w14:paraId="496509F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名称</w:t>
            </w:r>
          </w:p>
        </w:tc>
        <w:tc>
          <w:tcPr>
            <w:tcW w:w="867" w:type="pct"/>
            <w:noWrap w:val="0"/>
            <w:vAlign w:val="center"/>
          </w:tcPr>
          <w:p w14:paraId="4BC1CA0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非正常工况</w:t>
            </w:r>
          </w:p>
        </w:tc>
        <w:tc>
          <w:tcPr>
            <w:tcW w:w="587" w:type="pct"/>
            <w:noWrap w:val="0"/>
            <w:vAlign w:val="center"/>
          </w:tcPr>
          <w:p w14:paraId="61873DD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排气筒高度（m）</w:t>
            </w:r>
          </w:p>
        </w:tc>
        <w:tc>
          <w:tcPr>
            <w:tcW w:w="602" w:type="pct"/>
            <w:noWrap w:val="0"/>
            <w:vAlign w:val="center"/>
          </w:tcPr>
          <w:p w14:paraId="70B78B1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废气排放量m</w:t>
            </w:r>
            <w:r>
              <w:rPr>
                <w:rFonts w:hint="default" w:ascii="Times New Roman" w:hAnsi="Times New Roman" w:eastAsia="宋体" w:cs="Times New Roman"/>
                <w:b/>
                <w:bCs/>
                <w:snapToGrid w:val="0"/>
                <w:color w:val="auto"/>
                <w:kern w:val="0"/>
                <w:sz w:val="21"/>
                <w:szCs w:val="21"/>
                <w:highlight w:val="none"/>
                <w:vertAlign w:val="superscript"/>
              </w:rPr>
              <w:t>3</w:t>
            </w:r>
            <w:r>
              <w:rPr>
                <w:rFonts w:hint="default" w:ascii="Times New Roman" w:hAnsi="Times New Roman" w:eastAsia="宋体" w:cs="Times New Roman"/>
                <w:b/>
                <w:bCs/>
                <w:snapToGrid w:val="0"/>
                <w:color w:val="auto"/>
                <w:kern w:val="0"/>
                <w:sz w:val="21"/>
                <w:szCs w:val="21"/>
                <w:highlight w:val="none"/>
              </w:rPr>
              <w:t>/h</w:t>
            </w:r>
          </w:p>
        </w:tc>
        <w:tc>
          <w:tcPr>
            <w:tcW w:w="377" w:type="pct"/>
            <w:noWrap w:val="0"/>
            <w:vAlign w:val="center"/>
          </w:tcPr>
          <w:p w14:paraId="16C017B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排放时间</w:t>
            </w:r>
          </w:p>
        </w:tc>
        <w:tc>
          <w:tcPr>
            <w:tcW w:w="602" w:type="pct"/>
            <w:noWrap w:val="0"/>
            <w:vAlign w:val="center"/>
          </w:tcPr>
          <w:p w14:paraId="443FB26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排放浓度</w:t>
            </w:r>
          </w:p>
          <w:p w14:paraId="74BB45D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mg/m</w:t>
            </w:r>
            <w:r>
              <w:rPr>
                <w:rFonts w:hint="default" w:ascii="Times New Roman" w:hAnsi="Times New Roman" w:eastAsia="宋体" w:cs="Times New Roman"/>
                <w:b/>
                <w:bCs/>
                <w:snapToGrid w:val="0"/>
                <w:color w:val="auto"/>
                <w:kern w:val="0"/>
                <w:sz w:val="21"/>
                <w:szCs w:val="21"/>
                <w:highlight w:val="none"/>
                <w:vertAlign w:val="superscript"/>
              </w:rPr>
              <w:t>3</w:t>
            </w:r>
          </w:p>
        </w:tc>
        <w:tc>
          <w:tcPr>
            <w:tcW w:w="514" w:type="pct"/>
            <w:noWrap w:val="0"/>
            <w:vAlign w:val="center"/>
          </w:tcPr>
          <w:p w14:paraId="5186C83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排放速</w:t>
            </w:r>
          </w:p>
          <w:p w14:paraId="60CDB7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率kg/h</w:t>
            </w:r>
          </w:p>
        </w:tc>
      </w:tr>
      <w:tr w14:paraId="6E313C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pct"/>
            <w:vMerge w:val="restart"/>
            <w:noWrap w:val="0"/>
            <w:vAlign w:val="center"/>
          </w:tcPr>
          <w:p w14:paraId="78F5EC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污水处理站</w:t>
            </w:r>
          </w:p>
        </w:tc>
        <w:tc>
          <w:tcPr>
            <w:tcW w:w="724" w:type="pct"/>
            <w:noWrap w:val="0"/>
            <w:vAlign w:val="center"/>
          </w:tcPr>
          <w:p w14:paraId="0D6D8B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NH</w:t>
            </w:r>
            <w:r>
              <w:rPr>
                <w:rFonts w:hint="default" w:ascii="Times New Roman" w:hAnsi="Times New Roman" w:eastAsia="宋体" w:cs="Times New Roman"/>
                <w:color w:val="auto"/>
                <w:kern w:val="0"/>
                <w:sz w:val="21"/>
                <w:szCs w:val="21"/>
                <w:highlight w:val="none"/>
                <w:vertAlign w:val="subscript"/>
                <w:lang w:bidi="ar"/>
              </w:rPr>
              <w:t>3</w:t>
            </w:r>
          </w:p>
        </w:tc>
        <w:tc>
          <w:tcPr>
            <w:tcW w:w="867" w:type="pct"/>
            <w:vMerge w:val="restart"/>
            <w:noWrap w:val="0"/>
            <w:vAlign w:val="center"/>
          </w:tcPr>
          <w:p w14:paraId="143CEB6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效率降为</w:t>
            </w:r>
            <w:r>
              <w:rPr>
                <w:rFonts w:hint="eastAsia" w:eastAsia="宋体" w:cs="Times New Roman"/>
                <w:snapToGrid w:val="0"/>
                <w:color w:val="auto"/>
                <w:kern w:val="0"/>
                <w:sz w:val="21"/>
                <w:szCs w:val="21"/>
                <w:highlight w:val="none"/>
                <w:lang w:val="en-US" w:eastAsia="zh-CN"/>
              </w:rPr>
              <w:t>50</w:t>
            </w:r>
            <w:r>
              <w:rPr>
                <w:rFonts w:hint="default" w:ascii="Times New Roman" w:hAnsi="Times New Roman" w:eastAsia="宋体" w:cs="Times New Roman"/>
                <w:snapToGrid w:val="0"/>
                <w:color w:val="auto"/>
                <w:kern w:val="0"/>
                <w:sz w:val="21"/>
                <w:szCs w:val="21"/>
                <w:highlight w:val="none"/>
                <w:lang w:val="en-US" w:eastAsia="zh-CN"/>
              </w:rPr>
              <w:t>%</w:t>
            </w:r>
          </w:p>
        </w:tc>
        <w:tc>
          <w:tcPr>
            <w:tcW w:w="587" w:type="pct"/>
            <w:vMerge w:val="restart"/>
            <w:noWrap w:val="0"/>
            <w:vAlign w:val="center"/>
          </w:tcPr>
          <w:p w14:paraId="15F7BD4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20</w:t>
            </w:r>
          </w:p>
        </w:tc>
        <w:tc>
          <w:tcPr>
            <w:tcW w:w="602" w:type="pct"/>
            <w:vMerge w:val="restart"/>
            <w:noWrap w:val="0"/>
            <w:vAlign w:val="center"/>
          </w:tcPr>
          <w:p w14:paraId="24B72E4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rPr>
              <w:t>000</w:t>
            </w:r>
          </w:p>
        </w:tc>
        <w:tc>
          <w:tcPr>
            <w:tcW w:w="377" w:type="pct"/>
            <w:vMerge w:val="restart"/>
            <w:noWrap w:val="0"/>
            <w:vAlign w:val="center"/>
          </w:tcPr>
          <w:p w14:paraId="0F8C473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1h</w:t>
            </w:r>
          </w:p>
        </w:tc>
        <w:tc>
          <w:tcPr>
            <w:tcW w:w="602" w:type="pct"/>
            <w:shd w:val="clear" w:color="auto" w:fill="auto"/>
            <w:noWrap w:val="0"/>
            <w:vAlign w:val="center"/>
          </w:tcPr>
          <w:p w14:paraId="5774630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0.785</w:t>
            </w:r>
          </w:p>
        </w:tc>
        <w:tc>
          <w:tcPr>
            <w:tcW w:w="514" w:type="pct"/>
            <w:shd w:val="clear" w:color="auto" w:fill="auto"/>
            <w:noWrap w:val="0"/>
            <w:vAlign w:val="center"/>
          </w:tcPr>
          <w:p w14:paraId="75454F3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0.011</w:t>
            </w:r>
          </w:p>
        </w:tc>
      </w:tr>
      <w:tr w14:paraId="26EC3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pct"/>
            <w:vMerge w:val="continue"/>
            <w:noWrap w:val="0"/>
            <w:vAlign w:val="center"/>
          </w:tcPr>
          <w:p w14:paraId="738E273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724" w:type="pct"/>
            <w:noWrap w:val="0"/>
            <w:vAlign w:val="center"/>
          </w:tcPr>
          <w:p w14:paraId="466C90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H</w:t>
            </w:r>
            <w:r>
              <w:rPr>
                <w:rFonts w:hint="default" w:ascii="Times New Roman" w:hAnsi="Times New Roman" w:eastAsia="宋体" w:cs="Times New Roman"/>
                <w:color w:val="auto"/>
                <w:kern w:val="0"/>
                <w:sz w:val="21"/>
                <w:szCs w:val="21"/>
                <w:highlight w:val="none"/>
                <w:vertAlign w:val="subscript"/>
                <w:lang w:bidi="ar"/>
              </w:rPr>
              <w:t>2</w:t>
            </w:r>
            <w:r>
              <w:rPr>
                <w:rFonts w:hint="default" w:ascii="Times New Roman" w:hAnsi="Times New Roman" w:eastAsia="宋体" w:cs="Times New Roman"/>
                <w:color w:val="auto"/>
                <w:kern w:val="0"/>
                <w:sz w:val="21"/>
                <w:szCs w:val="21"/>
                <w:highlight w:val="none"/>
                <w:lang w:bidi="ar"/>
              </w:rPr>
              <w:t>S</w:t>
            </w:r>
          </w:p>
        </w:tc>
        <w:tc>
          <w:tcPr>
            <w:tcW w:w="867" w:type="pct"/>
            <w:vMerge w:val="continue"/>
            <w:noWrap w:val="0"/>
            <w:vAlign w:val="center"/>
          </w:tcPr>
          <w:p w14:paraId="42C70B4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587" w:type="pct"/>
            <w:vMerge w:val="continue"/>
            <w:noWrap w:val="0"/>
            <w:vAlign w:val="center"/>
          </w:tcPr>
          <w:p w14:paraId="09E343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602" w:type="pct"/>
            <w:vMerge w:val="continue"/>
            <w:noWrap w:val="0"/>
            <w:vAlign w:val="center"/>
          </w:tcPr>
          <w:p w14:paraId="11FF84E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377" w:type="pct"/>
            <w:vMerge w:val="continue"/>
            <w:noWrap w:val="0"/>
            <w:vAlign w:val="center"/>
          </w:tcPr>
          <w:p w14:paraId="2015F6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602" w:type="pct"/>
            <w:shd w:val="clear" w:color="auto" w:fill="auto"/>
            <w:noWrap w:val="0"/>
            <w:vAlign w:val="center"/>
          </w:tcPr>
          <w:p w14:paraId="5FDD6AF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0.0535</w:t>
            </w:r>
          </w:p>
        </w:tc>
        <w:tc>
          <w:tcPr>
            <w:tcW w:w="514" w:type="pct"/>
            <w:shd w:val="clear" w:color="auto" w:fill="auto"/>
            <w:noWrap w:val="0"/>
            <w:vAlign w:val="center"/>
          </w:tcPr>
          <w:p w14:paraId="3324BE8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0.00075</w:t>
            </w:r>
          </w:p>
        </w:tc>
      </w:tr>
      <w:tr w14:paraId="303ABD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pct"/>
            <w:vMerge w:val="restart"/>
            <w:noWrap w:val="0"/>
            <w:vAlign w:val="center"/>
          </w:tcPr>
          <w:p w14:paraId="336074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r>
              <w:rPr>
                <w:rFonts w:hint="eastAsia" w:eastAsia="宋体" w:cs="Times New Roman"/>
                <w:snapToGrid w:val="0"/>
                <w:color w:val="auto"/>
                <w:kern w:val="0"/>
                <w:sz w:val="21"/>
                <w:szCs w:val="21"/>
                <w:highlight w:val="none"/>
                <w:lang w:val="en-US" w:eastAsia="zh-CN"/>
              </w:rPr>
              <w:t>待宰圈</w:t>
            </w:r>
          </w:p>
        </w:tc>
        <w:tc>
          <w:tcPr>
            <w:tcW w:w="724" w:type="pct"/>
            <w:shd w:val="clear" w:color="auto" w:fill="auto"/>
            <w:noWrap w:val="0"/>
            <w:vAlign w:val="center"/>
          </w:tcPr>
          <w:p w14:paraId="71AB1D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NH</w:t>
            </w:r>
            <w:r>
              <w:rPr>
                <w:rFonts w:hint="default" w:ascii="Times New Roman" w:hAnsi="Times New Roman" w:eastAsia="宋体" w:cs="Times New Roman"/>
                <w:color w:val="auto"/>
                <w:kern w:val="0"/>
                <w:sz w:val="21"/>
                <w:szCs w:val="21"/>
                <w:highlight w:val="none"/>
                <w:vertAlign w:val="subscript"/>
                <w:lang w:bidi="ar"/>
              </w:rPr>
              <w:t>3</w:t>
            </w:r>
          </w:p>
        </w:tc>
        <w:tc>
          <w:tcPr>
            <w:tcW w:w="867" w:type="pct"/>
            <w:vMerge w:val="restart"/>
            <w:noWrap w:val="0"/>
            <w:vAlign w:val="center"/>
          </w:tcPr>
          <w:p w14:paraId="0EE5846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效率降为</w:t>
            </w:r>
            <w:r>
              <w:rPr>
                <w:rFonts w:hint="eastAsia" w:eastAsia="宋体" w:cs="Times New Roman"/>
                <w:snapToGrid w:val="0"/>
                <w:color w:val="auto"/>
                <w:kern w:val="0"/>
                <w:sz w:val="21"/>
                <w:szCs w:val="21"/>
                <w:highlight w:val="none"/>
                <w:lang w:val="en-US" w:eastAsia="zh-CN"/>
              </w:rPr>
              <w:t>50</w:t>
            </w:r>
            <w:r>
              <w:rPr>
                <w:rFonts w:hint="default" w:ascii="Times New Roman" w:hAnsi="Times New Roman" w:eastAsia="宋体" w:cs="Times New Roman"/>
                <w:snapToGrid w:val="0"/>
                <w:color w:val="auto"/>
                <w:kern w:val="0"/>
                <w:sz w:val="21"/>
                <w:szCs w:val="21"/>
                <w:highlight w:val="none"/>
                <w:lang w:val="en-US" w:eastAsia="zh-CN"/>
              </w:rPr>
              <w:t>%</w:t>
            </w:r>
          </w:p>
        </w:tc>
        <w:tc>
          <w:tcPr>
            <w:tcW w:w="587" w:type="pct"/>
            <w:vMerge w:val="restart"/>
            <w:noWrap w:val="0"/>
            <w:vAlign w:val="center"/>
          </w:tcPr>
          <w:p w14:paraId="7E3C2FA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20</w:t>
            </w:r>
          </w:p>
        </w:tc>
        <w:tc>
          <w:tcPr>
            <w:tcW w:w="602" w:type="pct"/>
            <w:vMerge w:val="restart"/>
            <w:noWrap w:val="0"/>
            <w:vAlign w:val="center"/>
          </w:tcPr>
          <w:p w14:paraId="12F56DF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14</w:t>
            </w:r>
            <w:r>
              <w:rPr>
                <w:rFonts w:hint="eastAsia" w:ascii="Times New Roman" w:hAnsi="Times New Roman" w:eastAsia="宋体" w:cs="Times New Roman"/>
                <w:snapToGrid w:val="0"/>
                <w:color w:val="auto"/>
                <w:kern w:val="0"/>
                <w:sz w:val="21"/>
                <w:szCs w:val="21"/>
                <w:highlight w:val="none"/>
                <w:lang w:val="en-US" w:eastAsia="zh-CN"/>
              </w:rPr>
              <w:t>000</w:t>
            </w:r>
          </w:p>
        </w:tc>
        <w:tc>
          <w:tcPr>
            <w:tcW w:w="377" w:type="pct"/>
            <w:vMerge w:val="restart"/>
            <w:noWrap w:val="0"/>
            <w:vAlign w:val="center"/>
          </w:tcPr>
          <w:p w14:paraId="63DB941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1h</w:t>
            </w:r>
          </w:p>
        </w:tc>
        <w:tc>
          <w:tcPr>
            <w:tcW w:w="602" w:type="pct"/>
            <w:shd w:val="clear" w:color="auto" w:fill="auto"/>
            <w:noWrap w:val="0"/>
            <w:vAlign w:val="center"/>
          </w:tcPr>
          <w:p w14:paraId="4CCCEE3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3.35</w:t>
            </w:r>
          </w:p>
        </w:tc>
        <w:tc>
          <w:tcPr>
            <w:tcW w:w="514" w:type="pct"/>
            <w:shd w:val="clear" w:color="auto" w:fill="auto"/>
            <w:noWrap w:val="0"/>
            <w:vAlign w:val="center"/>
          </w:tcPr>
          <w:p w14:paraId="510D02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0.0034</w:t>
            </w:r>
          </w:p>
        </w:tc>
      </w:tr>
      <w:tr w14:paraId="133084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pct"/>
            <w:vMerge w:val="continue"/>
            <w:noWrap w:val="0"/>
            <w:vAlign w:val="center"/>
          </w:tcPr>
          <w:p w14:paraId="3573C8E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724" w:type="pct"/>
            <w:shd w:val="clear" w:color="auto" w:fill="auto"/>
            <w:noWrap w:val="0"/>
            <w:vAlign w:val="center"/>
          </w:tcPr>
          <w:p w14:paraId="66BC0D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H</w:t>
            </w:r>
            <w:r>
              <w:rPr>
                <w:rFonts w:hint="default" w:ascii="Times New Roman" w:hAnsi="Times New Roman" w:eastAsia="宋体" w:cs="Times New Roman"/>
                <w:color w:val="auto"/>
                <w:kern w:val="0"/>
                <w:sz w:val="21"/>
                <w:szCs w:val="21"/>
                <w:highlight w:val="none"/>
                <w:vertAlign w:val="subscript"/>
                <w:lang w:bidi="ar"/>
              </w:rPr>
              <w:t>2</w:t>
            </w:r>
            <w:r>
              <w:rPr>
                <w:rFonts w:hint="default" w:ascii="Times New Roman" w:hAnsi="Times New Roman" w:eastAsia="宋体" w:cs="Times New Roman"/>
                <w:color w:val="auto"/>
                <w:kern w:val="0"/>
                <w:sz w:val="21"/>
                <w:szCs w:val="21"/>
                <w:highlight w:val="none"/>
                <w:lang w:bidi="ar"/>
              </w:rPr>
              <w:t>S</w:t>
            </w:r>
          </w:p>
        </w:tc>
        <w:tc>
          <w:tcPr>
            <w:tcW w:w="867" w:type="pct"/>
            <w:vMerge w:val="continue"/>
            <w:noWrap w:val="0"/>
            <w:vAlign w:val="center"/>
          </w:tcPr>
          <w:p w14:paraId="7507678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587" w:type="pct"/>
            <w:vMerge w:val="continue"/>
            <w:noWrap w:val="0"/>
            <w:vAlign w:val="center"/>
          </w:tcPr>
          <w:p w14:paraId="650FA76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602" w:type="pct"/>
            <w:vMerge w:val="continue"/>
            <w:noWrap w:val="0"/>
            <w:vAlign w:val="center"/>
          </w:tcPr>
          <w:p w14:paraId="780C8CC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377" w:type="pct"/>
            <w:vMerge w:val="continue"/>
            <w:noWrap w:val="0"/>
            <w:vAlign w:val="center"/>
          </w:tcPr>
          <w:p w14:paraId="15E5FCD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p>
        </w:tc>
        <w:tc>
          <w:tcPr>
            <w:tcW w:w="602" w:type="pct"/>
            <w:shd w:val="clear" w:color="auto" w:fill="auto"/>
            <w:noWrap w:val="0"/>
            <w:vAlign w:val="center"/>
          </w:tcPr>
          <w:p w14:paraId="66834F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0.15</w:t>
            </w:r>
          </w:p>
        </w:tc>
        <w:tc>
          <w:tcPr>
            <w:tcW w:w="514" w:type="pct"/>
            <w:shd w:val="clear" w:color="auto" w:fill="auto"/>
            <w:noWrap w:val="0"/>
            <w:vAlign w:val="center"/>
          </w:tcPr>
          <w:p w14:paraId="41048A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0.00015</w:t>
            </w:r>
          </w:p>
        </w:tc>
      </w:tr>
    </w:tbl>
    <w:p w14:paraId="479C3CA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lang w:val="en-US" w:eastAsia="zh-CN"/>
        </w:rPr>
      </w:pPr>
      <w:bookmarkStart w:id="314" w:name="_Toc19956"/>
      <w:bookmarkStart w:id="315" w:name="_Toc7009"/>
      <w:r>
        <w:rPr>
          <w:rFonts w:hint="default" w:ascii="Times New Roman" w:hAnsi="Times New Roman" w:cs="Times New Roman"/>
          <w:color w:val="auto"/>
          <w:lang w:val="en-US" w:eastAsia="zh-CN"/>
        </w:rPr>
        <w:t>非正常工况防范措施</w:t>
      </w:r>
      <w:r>
        <w:rPr>
          <w:rFonts w:hint="eastAsia" w:ascii="Times New Roman" w:hAnsi="Times New Roman" w:cs="Times New Roman"/>
          <w:color w:val="auto"/>
          <w:lang w:val="en-US" w:eastAsia="zh-CN"/>
        </w:rPr>
        <w:t>：</w:t>
      </w:r>
    </w:p>
    <w:p w14:paraId="54581FA1">
      <w:pPr>
        <w:rPr>
          <w:rFonts w:hint="eastAsia" w:eastAsia="仿宋_GB2312"/>
          <w:lang w:eastAsia="zh-CN"/>
        </w:rPr>
      </w:pPr>
      <w:r>
        <w:rPr>
          <w:rFonts w:hint="eastAsia" w:ascii="Times New Roman" w:hAnsi="Times New Roman" w:cs="Times New Roman"/>
          <w:color w:val="auto"/>
          <w:lang w:val="en-US" w:eastAsia="zh-CN"/>
        </w:rPr>
        <w:t>（1）加强废气处理装置管理，定期更换活性炭，避免因活性炭饱和运行导致非正常排放；</w:t>
      </w:r>
    </w:p>
    <w:p w14:paraId="20687F2B">
      <w:pPr>
        <w:rPr>
          <w:rFonts w:hint="eastAsia" w:eastAsia="仿宋_GB2312"/>
          <w:lang w:eastAsia="zh-CN"/>
        </w:rPr>
      </w:pPr>
      <w:r>
        <w:rPr>
          <w:rFonts w:hint="eastAsia" w:ascii="Times New Roman" w:hAnsi="Times New Roman" w:cs="Times New Roman"/>
          <w:color w:val="auto"/>
          <w:lang w:val="en-US" w:eastAsia="zh-CN"/>
        </w:rPr>
        <w:t>（2）强化生产监督与管理，针对可能出现的非正常排放情况制定应急预案，一旦发生非正常排放立即妥善处置；</w:t>
      </w:r>
    </w:p>
    <w:p w14:paraId="7F4FFA30">
      <w:pPr>
        <w:rPr>
          <w:rFonts w:hint="eastAsia" w:eastAsia="仿宋_GB2312"/>
          <w:lang w:eastAsia="zh-CN"/>
        </w:rPr>
      </w:pPr>
      <w:r>
        <w:rPr>
          <w:rFonts w:hint="eastAsia" w:ascii="Times New Roman" w:hAnsi="Times New Roman" w:cs="Times New Roman"/>
          <w:color w:val="auto"/>
          <w:lang w:val="en-US" w:eastAsia="zh-CN"/>
        </w:rPr>
        <w:t>（3）生产启动时，应先开启废气处理装置，再启动生产装置；</w:t>
      </w:r>
    </w:p>
    <w:p w14:paraId="24893F12">
      <w:pPr>
        <w:rPr>
          <w:rFonts w:hint="eastAsia" w:eastAsia="仿宋_GB2312"/>
          <w:lang w:eastAsia="zh-CN"/>
        </w:rPr>
      </w:pPr>
      <w:r>
        <w:rPr>
          <w:rFonts w:hint="eastAsia" w:ascii="Times New Roman" w:hAnsi="Times New Roman" w:cs="Times New Roman"/>
          <w:color w:val="auto"/>
          <w:lang w:val="en-US" w:eastAsia="zh-CN"/>
        </w:rPr>
        <w:t>（4）生产停止时，应先关停生产装置，待确认废气已得到有效处理后，再停止废气处理装置运行；</w:t>
      </w:r>
    </w:p>
    <w:p w14:paraId="4EC55728">
      <w:pPr>
        <w:rPr>
          <w:rFonts w:hint="eastAsia" w:eastAsia="仿宋_GB2312"/>
          <w:lang w:eastAsia="zh-CN"/>
        </w:rPr>
      </w:pPr>
      <w:r>
        <w:rPr>
          <w:rFonts w:hint="eastAsia" w:ascii="Times New Roman" w:hAnsi="Times New Roman" w:cs="Times New Roman"/>
          <w:color w:val="auto"/>
          <w:lang w:val="en-US" w:eastAsia="zh-CN"/>
        </w:rPr>
        <w:t>（5）设备检修时，需遵循与生产停止相同的操作规程：先关停生产装置，确保废气经处理后通过排气筒排放，再停止废气处理装置。</w:t>
      </w:r>
    </w:p>
    <w:p w14:paraId="5398F562">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2.</w:t>
      </w:r>
      <w:r>
        <w:rPr>
          <w:rFonts w:hint="eastAsia" w:ascii="Times New Roman" w:hAnsi="Times New Roman" w:eastAsia="黑体" w:cs="Times New Roman"/>
          <w:b/>
          <w:bCs w:val="0"/>
          <w:color w:val="auto"/>
          <w:sz w:val="28"/>
          <w:szCs w:val="28"/>
          <w:lang w:val="en-US" w:eastAsia="zh-CN"/>
        </w:rPr>
        <w:t>3</w:t>
      </w:r>
      <w:r>
        <w:rPr>
          <w:rFonts w:hint="default" w:ascii="Times New Roman" w:hAnsi="Times New Roman" w:eastAsia="黑体" w:cs="Times New Roman"/>
          <w:b/>
          <w:bCs w:val="0"/>
          <w:color w:val="auto"/>
          <w:sz w:val="28"/>
          <w:szCs w:val="28"/>
          <w:lang w:val="en-US" w:eastAsia="zh-CN"/>
        </w:rPr>
        <w:t>.2水污染物非正常工况分析</w:t>
      </w:r>
      <w:bookmarkEnd w:id="314"/>
      <w:bookmarkEnd w:id="315"/>
    </w:p>
    <w:p w14:paraId="1887047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ascii="Times New Roman" w:hAnsi="Times New Roman" w:cs="Times New Roman"/>
          <w:color w:val="auto"/>
          <w:lang w:val="en-US" w:eastAsia="zh-CN"/>
        </w:rPr>
        <w:t>本项目非正常工况废水主要为污水处理站发生事故时无法及时处理的废水。污水处理系统发生事故主要为动力设备故障或停电而造成，当污水处理站发生事故时，将事故期间污水处理站内的废水全部引至</w:t>
      </w:r>
      <w:r>
        <w:rPr>
          <w:rFonts w:hint="eastAsia" w:cs="Times New Roman"/>
          <w:color w:val="auto"/>
          <w:lang w:val="en-US" w:eastAsia="zh-CN"/>
        </w:rPr>
        <w:t>调节池收集</w:t>
      </w:r>
      <w:r>
        <w:rPr>
          <w:rFonts w:hint="eastAsia" w:ascii="Times New Roman" w:hAnsi="Times New Roman" w:cs="Times New Roman"/>
          <w:color w:val="auto"/>
          <w:lang w:val="en-US" w:eastAsia="zh-CN"/>
        </w:rPr>
        <w:t>，以做到非正常工况下事故废水不外排。</w:t>
      </w:r>
    </w:p>
    <w:p w14:paraId="4FD75683">
      <w:pPr>
        <w:rPr>
          <w:rFonts w:hint="eastAsia" w:ascii="Times New Roman" w:hAnsi="Times New Roman"/>
          <w:color w:val="auto"/>
        </w:rPr>
      </w:pPr>
      <w:r>
        <w:rPr>
          <w:rFonts w:hint="eastAsia" w:ascii="Times New Roman" w:hAnsi="Times New Roman"/>
          <w:color w:val="auto"/>
        </w:rPr>
        <w:br w:type="page"/>
      </w:r>
    </w:p>
    <w:p w14:paraId="116C67C8">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0"/>
        <w:rPr>
          <w:rFonts w:hint="default" w:ascii="Times New Roman" w:hAnsi="Times New Roman" w:eastAsia="黑体" w:cs="Times New Roman"/>
          <w:b/>
          <w:bCs/>
          <w:color w:val="auto"/>
          <w:kern w:val="0"/>
          <w:sz w:val="28"/>
          <w:szCs w:val="28"/>
          <w:highlight w:val="none"/>
        </w:rPr>
      </w:pPr>
      <w:bookmarkStart w:id="316" w:name="_Toc20431"/>
      <w:bookmarkStart w:id="317" w:name="_Toc3042"/>
      <w:bookmarkStart w:id="318" w:name="_Toc17319"/>
      <w:bookmarkStart w:id="319" w:name="_Toc21498"/>
      <w:bookmarkStart w:id="320" w:name="_Toc17236"/>
      <w:bookmarkStart w:id="321" w:name="_Toc15093"/>
      <w:bookmarkStart w:id="322" w:name="_Toc12690"/>
      <w:bookmarkStart w:id="323" w:name="_Toc7117"/>
      <w:bookmarkStart w:id="324" w:name="_Toc9039"/>
      <w:bookmarkStart w:id="325" w:name="_Toc6092"/>
      <w:r>
        <w:rPr>
          <w:rFonts w:hint="default" w:ascii="Times New Roman" w:hAnsi="Times New Roman" w:eastAsia="黑体" w:cs="Times New Roman"/>
          <w:b/>
          <w:bCs/>
          <w:color w:val="auto"/>
          <w:kern w:val="0"/>
          <w:sz w:val="28"/>
          <w:szCs w:val="28"/>
          <w:highlight w:val="none"/>
        </w:rPr>
        <w:t>3区域环境概况及环境质量现状评价</w:t>
      </w:r>
      <w:bookmarkEnd w:id="316"/>
      <w:bookmarkEnd w:id="317"/>
      <w:bookmarkEnd w:id="318"/>
      <w:bookmarkEnd w:id="319"/>
      <w:bookmarkEnd w:id="320"/>
      <w:bookmarkEnd w:id="321"/>
      <w:bookmarkEnd w:id="322"/>
      <w:bookmarkEnd w:id="323"/>
      <w:bookmarkEnd w:id="324"/>
      <w:bookmarkEnd w:id="325"/>
    </w:p>
    <w:p w14:paraId="3B4CAA2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326" w:name="_Toc24324"/>
      <w:bookmarkStart w:id="327" w:name="_Toc3076"/>
      <w:bookmarkStart w:id="328" w:name="_Toc32198"/>
      <w:bookmarkStart w:id="329" w:name="_Toc20115"/>
      <w:bookmarkStart w:id="330" w:name="_Toc15472"/>
      <w:bookmarkStart w:id="331" w:name="_Toc5769"/>
      <w:bookmarkStart w:id="332" w:name="_Toc27389"/>
      <w:bookmarkStart w:id="333" w:name="_Toc17970"/>
      <w:bookmarkStart w:id="334" w:name="_Toc2418"/>
      <w:bookmarkStart w:id="335" w:name="_Toc25149"/>
      <w:bookmarkStart w:id="336" w:name="_Toc15358"/>
      <w:r>
        <w:rPr>
          <w:rFonts w:hint="default" w:ascii="Times New Roman" w:hAnsi="Times New Roman" w:eastAsia="黑体" w:cs="Times New Roman"/>
          <w:b/>
          <w:color w:val="auto"/>
          <w:sz w:val="28"/>
          <w:szCs w:val="28"/>
          <w:highlight w:val="none"/>
          <w:lang w:val="en-US" w:eastAsia="zh-CN"/>
        </w:rPr>
        <w:t>3.1区域环境概况</w:t>
      </w:r>
      <w:bookmarkEnd w:id="326"/>
      <w:bookmarkEnd w:id="327"/>
      <w:bookmarkEnd w:id="328"/>
      <w:bookmarkEnd w:id="329"/>
      <w:bookmarkEnd w:id="330"/>
      <w:bookmarkEnd w:id="331"/>
      <w:bookmarkEnd w:id="332"/>
      <w:bookmarkEnd w:id="333"/>
      <w:bookmarkEnd w:id="334"/>
      <w:bookmarkEnd w:id="335"/>
      <w:bookmarkEnd w:id="336"/>
    </w:p>
    <w:p w14:paraId="3F3125A8">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bookmarkStart w:id="337" w:name="_Toc30649"/>
      <w:r>
        <w:rPr>
          <w:rFonts w:hint="default" w:ascii="Times New Roman" w:hAnsi="Times New Roman" w:eastAsia="黑体" w:cs="Times New Roman"/>
          <w:b/>
          <w:bCs w:val="0"/>
          <w:color w:val="auto"/>
          <w:sz w:val="28"/>
          <w:szCs w:val="28"/>
          <w:lang w:val="en-US" w:eastAsia="zh-CN"/>
        </w:rPr>
        <w:t>3.1.1地理位置</w:t>
      </w:r>
      <w:bookmarkEnd w:id="337"/>
    </w:p>
    <w:p w14:paraId="55DCBA58">
      <w:pPr>
        <w:bidi w:val="0"/>
        <w:rPr>
          <w:rFonts w:hint="eastAsia"/>
          <w:color w:val="auto"/>
          <w:lang w:eastAsia="zh-CN"/>
        </w:rPr>
      </w:pPr>
      <w:r>
        <w:rPr>
          <w:rFonts w:hint="eastAsia"/>
          <w:color w:val="auto"/>
          <w:lang w:eastAsia="zh-CN"/>
        </w:rPr>
        <w:t>固原市位于黄土高原中西部，宁夏回族自治区南部，六盘山东北麓。东与甘肃庆阳市、平凉市为邻，南与平凉市相连，西与白银市分界，北与宁夏中卫市、吴忠市接壤。市域总面积11286.4km</w:t>
      </w:r>
      <w:r>
        <w:rPr>
          <w:rFonts w:hint="eastAsia"/>
          <w:color w:val="auto"/>
          <w:vertAlign w:val="superscript"/>
          <w:lang w:eastAsia="zh-CN"/>
        </w:rPr>
        <w:t>2</w:t>
      </w:r>
      <w:r>
        <w:rPr>
          <w:rFonts w:hint="eastAsia"/>
          <w:color w:val="auto"/>
          <w:lang w:eastAsia="zh-CN"/>
        </w:rPr>
        <w:t>，地域范围在北纬35°15＇～36°38＇，东经105°20＇～106°58＇之间，市区面积45km。</w:t>
      </w:r>
    </w:p>
    <w:p w14:paraId="1435D1C9">
      <w:pPr>
        <w:rPr>
          <w:rFonts w:hint="eastAsia" w:ascii="Times New Roman" w:hAnsi="Times New Roman"/>
          <w:color w:val="auto"/>
        </w:rPr>
      </w:pPr>
      <w:r>
        <w:rPr>
          <w:rFonts w:hint="eastAsia"/>
          <w:color w:val="auto"/>
          <w:lang w:val="en-US" w:eastAsia="zh-CN"/>
        </w:rPr>
        <w:t>项目位于固原市</w:t>
      </w:r>
      <w:r>
        <w:rPr>
          <w:rFonts w:hint="eastAsia" w:ascii="Times New Roman" w:hAnsi="Times New Roman"/>
          <w:color w:val="auto"/>
        </w:rPr>
        <w:t>固原经济开发区轻工产业园</w:t>
      </w:r>
      <w:r>
        <w:rPr>
          <w:rFonts w:hint="eastAsia" w:cs="Times New Roman"/>
          <w:color w:val="auto"/>
          <w:kern w:val="2"/>
          <w:sz w:val="24"/>
          <w:szCs w:val="24"/>
          <w:lang w:val="en-US" w:eastAsia="zh-CN" w:bidi="ar-SA"/>
        </w:rPr>
        <w:t>（中河乡）</w:t>
      </w:r>
      <w:r>
        <w:rPr>
          <w:rFonts w:hint="eastAsia" w:ascii="Times New Roman" w:hAnsi="Times New Roman"/>
          <w:color w:val="auto"/>
        </w:rPr>
        <w:t>。项目北侧、西侧、东侧均为空地，南侧为</w:t>
      </w:r>
      <w:r>
        <w:rPr>
          <w:rFonts w:hint="eastAsia"/>
          <w:color w:val="auto"/>
        </w:rPr>
        <w:t>宁夏伊鑫瑞肉制品销售有限公司</w:t>
      </w:r>
      <w:r>
        <w:rPr>
          <w:rFonts w:hint="eastAsia" w:ascii="Times New Roman" w:hAnsi="Times New Roman"/>
          <w:color w:val="auto"/>
        </w:rPr>
        <w:t>。</w:t>
      </w:r>
    </w:p>
    <w:p w14:paraId="4C519076">
      <w:pPr>
        <w:bidi w:val="0"/>
        <w:rPr>
          <w:rFonts w:hint="eastAsia" w:eastAsia="仿宋_GB2312"/>
          <w:color w:val="auto"/>
          <w:lang w:val="en-US" w:eastAsia="zh-CN"/>
        </w:rPr>
      </w:pPr>
      <w:r>
        <w:rPr>
          <w:rFonts w:hint="eastAsia" w:ascii="Times New Roman" w:hAnsi="Times New Roman"/>
          <w:color w:val="auto"/>
        </w:rPr>
        <w:t>项目厂区中心地理坐标为：北纬</w:t>
      </w:r>
      <w:r>
        <w:rPr>
          <w:rFonts w:hint="default" w:ascii="Times New Roman" w:hAnsi="Times New Roman" w:cs="Times New Roman"/>
          <w:color w:val="auto"/>
        </w:rPr>
        <w:t>36°0′16.708″、东经106°11′12.140″</w:t>
      </w:r>
      <w:r>
        <w:rPr>
          <w:rFonts w:hint="eastAsia" w:ascii="Times New Roman" w:hAnsi="Times New Roman"/>
          <w:color w:val="auto"/>
          <w:lang w:eastAsia="zh-CN"/>
        </w:rPr>
        <w:t>，项目在固原的地理位置详见图</w:t>
      </w:r>
      <w:r>
        <w:rPr>
          <w:rFonts w:hint="eastAsia" w:ascii="Times New Roman" w:hAnsi="Times New Roman"/>
          <w:color w:val="auto"/>
          <w:lang w:val="en-US" w:eastAsia="zh-CN"/>
        </w:rPr>
        <w:t>2.1</w:t>
      </w:r>
      <w:r>
        <w:rPr>
          <w:rFonts w:hint="eastAsia" w:ascii="Times New Roman" w:hAnsi="Times New Roman"/>
          <w:color w:val="auto"/>
          <w:lang w:eastAsia="zh-CN"/>
        </w:rPr>
        <w:t>-1。</w:t>
      </w:r>
    </w:p>
    <w:p w14:paraId="51DBC3B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3.1.2地形地貌</w:t>
      </w:r>
    </w:p>
    <w:p w14:paraId="067BFA97">
      <w:pPr>
        <w:bidi w:val="0"/>
        <w:rPr>
          <w:rFonts w:hint="eastAsia" w:ascii="Times New Roman" w:hAnsi="Times New Roman"/>
          <w:color w:val="auto"/>
          <w:lang w:eastAsia="zh-CN"/>
        </w:rPr>
      </w:pPr>
      <w:r>
        <w:rPr>
          <w:rFonts w:hint="eastAsia"/>
          <w:color w:val="auto"/>
          <w:lang w:val="en-US" w:eastAsia="zh-CN"/>
        </w:rPr>
        <w:t>本项目厂地</w:t>
      </w:r>
      <w:r>
        <w:rPr>
          <w:rFonts w:hint="eastAsia" w:ascii="Times New Roman" w:hAnsi="Times New Roman"/>
          <w:color w:val="auto"/>
          <w:lang w:val="en-US" w:eastAsia="zh-CN"/>
        </w:rPr>
        <w:t>位于清水河河谷平原，该平原属冲积挤压型断陷平原，其位于宁夏中南部，南起六盘山，北接卫宁平原，沿清水河两岸带状分布；李旺村以南走向近南北，以北走向北北西，长约</w:t>
      </w:r>
      <w:r>
        <w:rPr>
          <w:rFonts w:hint="default" w:ascii="Times New Roman" w:hAnsi="Times New Roman"/>
          <w:color w:val="auto"/>
          <w:lang w:val="en-US" w:eastAsia="zh-CN"/>
        </w:rPr>
        <w:t>180km</w:t>
      </w:r>
      <w:r>
        <w:rPr>
          <w:rFonts w:hint="eastAsia" w:ascii="Times New Roman" w:hAnsi="Times New Roman"/>
          <w:color w:val="auto"/>
          <w:lang w:val="en-US" w:eastAsia="zh-CN"/>
        </w:rPr>
        <w:t>，宽</w:t>
      </w:r>
      <w:r>
        <w:rPr>
          <w:rFonts w:hint="default" w:ascii="Times New Roman" w:hAnsi="Times New Roman"/>
          <w:color w:val="auto"/>
          <w:lang w:val="en-US" w:eastAsia="zh-CN"/>
        </w:rPr>
        <w:t>5</w:t>
      </w:r>
      <w:r>
        <w:rPr>
          <w:rFonts w:hint="eastAsia"/>
          <w:color w:val="auto"/>
          <w:lang w:val="en-US" w:eastAsia="zh-CN"/>
        </w:rPr>
        <w:t>～</w:t>
      </w:r>
      <w:r>
        <w:rPr>
          <w:rFonts w:hint="default" w:ascii="Times New Roman" w:hAnsi="Times New Roman"/>
          <w:color w:val="auto"/>
          <w:lang w:val="en-US" w:eastAsia="zh-CN"/>
        </w:rPr>
        <w:t>13km</w:t>
      </w:r>
      <w:r>
        <w:rPr>
          <w:rFonts w:hint="eastAsia" w:ascii="Times New Roman" w:hAnsi="Times New Roman"/>
          <w:color w:val="auto"/>
          <w:lang w:val="en-US" w:eastAsia="zh-CN"/>
        </w:rPr>
        <w:t>，面积约</w:t>
      </w:r>
      <w:r>
        <w:rPr>
          <w:rFonts w:hint="default" w:ascii="Times New Roman" w:hAnsi="Times New Roman"/>
          <w:color w:val="auto"/>
          <w:lang w:val="en-US" w:eastAsia="zh-CN"/>
        </w:rPr>
        <w:t>2043km</w:t>
      </w:r>
      <w:r>
        <w:rPr>
          <w:rFonts w:hint="default" w:ascii="Times New Roman" w:hAnsi="Times New Roman"/>
          <w:color w:val="auto"/>
          <w:vertAlign w:val="superscript"/>
          <w:lang w:val="en-US" w:eastAsia="zh-CN"/>
        </w:rPr>
        <w:t>2</w:t>
      </w:r>
      <w:r>
        <w:rPr>
          <w:rFonts w:hint="eastAsia" w:ascii="Times New Roman" w:hAnsi="Times New Roman"/>
          <w:color w:val="auto"/>
          <w:lang w:val="en-US" w:eastAsia="zh-CN"/>
        </w:rPr>
        <w:t>。海拔</w:t>
      </w:r>
      <w:r>
        <w:rPr>
          <w:rFonts w:hint="default" w:ascii="Times New Roman" w:hAnsi="Times New Roman"/>
          <w:color w:val="auto"/>
          <w:lang w:val="en-US" w:eastAsia="zh-CN"/>
        </w:rPr>
        <w:t>1260</w:t>
      </w:r>
      <w:r>
        <w:rPr>
          <w:rFonts w:hint="eastAsia"/>
          <w:color w:val="auto"/>
          <w:lang w:val="en-US" w:eastAsia="zh-CN"/>
        </w:rPr>
        <w:t>～</w:t>
      </w:r>
      <w:r>
        <w:rPr>
          <w:rFonts w:hint="default" w:ascii="Times New Roman" w:hAnsi="Times New Roman"/>
          <w:color w:val="auto"/>
          <w:lang w:val="en-US" w:eastAsia="zh-CN"/>
        </w:rPr>
        <w:t>1400m</w:t>
      </w:r>
      <w:r>
        <w:rPr>
          <w:rFonts w:hint="eastAsia" w:ascii="Times New Roman" w:hAnsi="Times New Roman"/>
          <w:color w:val="auto"/>
          <w:lang w:val="en-US" w:eastAsia="zh-CN"/>
        </w:rPr>
        <w:t>。由四级阶地组成，</w:t>
      </w:r>
      <w:r>
        <w:rPr>
          <w:rFonts w:hint="default" w:ascii="Times New Roman" w:hAnsi="Times New Roman"/>
          <w:color w:val="auto"/>
          <w:lang w:val="en-US" w:eastAsia="zh-CN"/>
        </w:rPr>
        <w:t>Ⅰ</w:t>
      </w:r>
      <w:r>
        <w:rPr>
          <w:rFonts w:hint="eastAsia" w:ascii="Times New Roman" w:hAnsi="Times New Roman"/>
          <w:color w:val="auto"/>
          <w:lang w:val="en-US" w:eastAsia="zh-CN"/>
        </w:rPr>
        <w:t>、</w:t>
      </w:r>
      <w:r>
        <w:rPr>
          <w:rFonts w:hint="default" w:ascii="Times New Roman" w:hAnsi="Times New Roman"/>
          <w:color w:val="auto"/>
          <w:lang w:val="en-US" w:eastAsia="zh-CN"/>
        </w:rPr>
        <w:t>Ⅱ</w:t>
      </w:r>
      <w:r>
        <w:rPr>
          <w:rFonts w:hint="eastAsia" w:ascii="Times New Roman" w:hAnsi="Times New Roman"/>
          <w:color w:val="auto"/>
          <w:lang w:val="en-US" w:eastAsia="zh-CN"/>
        </w:rPr>
        <w:t>级阶地零星分布；</w:t>
      </w:r>
      <w:r>
        <w:rPr>
          <w:rFonts w:hint="default" w:ascii="Times New Roman" w:hAnsi="Times New Roman"/>
          <w:color w:val="auto"/>
          <w:lang w:val="en-US" w:eastAsia="zh-CN"/>
        </w:rPr>
        <w:t>Ⅲ</w:t>
      </w:r>
      <w:r>
        <w:rPr>
          <w:rFonts w:hint="eastAsia" w:ascii="Times New Roman" w:hAnsi="Times New Roman"/>
          <w:color w:val="auto"/>
          <w:lang w:val="en-US" w:eastAsia="zh-CN"/>
        </w:rPr>
        <w:t>级阶地为上叠阶地，分布连续完整，为平原主体，堆积物主要为黄土状</w:t>
      </w:r>
      <w:r>
        <w:rPr>
          <w:rFonts w:hint="eastAsia"/>
          <w:color w:val="auto"/>
          <w:lang w:val="en-US" w:eastAsia="zh-CN"/>
        </w:rPr>
        <w:t>粘</w:t>
      </w:r>
      <w:r>
        <w:rPr>
          <w:rFonts w:hint="eastAsia" w:ascii="Times New Roman" w:hAnsi="Times New Roman"/>
          <w:color w:val="auto"/>
          <w:lang w:val="en-US" w:eastAsia="zh-CN"/>
        </w:rPr>
        <w:t>砂土和砂</w:t>
      </w:r>
      <w:r>
        <w:rPr>
          <w:rFonts w:hint="eastAsia"/>
          <w:color w:val="auto"/>
          <w:lang w:val="en-US" w:eastAsia="zh-CN"/>
        </w:rPr>
        <w:t>粘土</w:t>
      </w:r>
      <w:r>
        <w:rPr>
          <w:rFonts w:hint="eastAsia" w:ascii="Times New Roman" w:hAnsi="Times New Roman"/>
          <w:color w:val="auto"/>
          <w:lang w:val="en-US" w:eastAsia="zh-CN"/>
        </w:rPr>
        <w:t>，土层深厚。</w:t>
      </w:r>
      <w:r>
        <w:rPr>
          <w:rFonts w:hint="default" w:ascii="Times New Roman" w:hAnsi="Times New Roman"/>
          <w:color w:val="auto"/>
          <w:lang w:val="en-US" w:eastAsia="zh-CN"/>
        </w:rPr>
        <w:t>Ⅳ</w:t>
      </w:r>
      <w:r>
        <w:rPr>
          <w:rFonts w:hint="eastAsia" w:ascii="Times New Roman" w:hAnsi="Times New Roman"/>
          <w:color w:val="auto"/>
          <w:lang w:val="en-US" w:eastAsia="zh-CN"/>
        </w:rPr>
        <w:t>级阶地主要分布在李旺</w:t>
      </w:r>
      <w:r>
        <w:rPr>
          <w:rFonts w:hint="default" w:ascii="Times New Roman" w:hAnsi="Times New Roman"/>
          <w:color w:val="auto"/>
          <w:lang w:val="en-US" w:eastAsia="zh-CN"/>
        </w:rPr>
        <w:t>—</w:t>
      </w:r>
      <w:r>
        <w:rPr>
          <w:rFonts w:hint="eastAsia" w:ascii="Times New Roman" w:hAnsi="Times New Roman"/>
          <w:color w:val="auto"/>
          <w:lang w:val="en-US" w:eastAsia="zh-CN"/>
        </w:rPr>
        <w:t>同心一带的清水河西岸，北上更新统马兰黄土覆盖。</w:t>
      </w:r>
    </w:p>
    <w:p w14:paraId="38C31DAB">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3.1.3工程地质</w:t>
      </w:r>
    </w:p>
    <w:p w14:paraId="08A8A83D">
      <w:pPr>
        <w:bidi w:val="0"/>
        <w:rPr>
          <w:rFonts w:hint="eastAsia"/>
          <w:color w:val="auto"/>
          <w:lang w:eastAsia="zh-CN"/>
        </w:rPr>
      </w:pPr>
      <w:r>
        <w:rPr>
          <w:rFonts w:hint="eastAsia"/>
          <w:color w:val="auto"/>
          <w:lang w:val="en-US" w:eastAsia="zh-CN"/>
        </w:rPr>
        <w:t>本项目厂区</w:t>
      </w:r>
      <w:r>
        <w:rPr>
          <w:rFonts w:hint="eastAsia"/>
          <w:color w:val="auto"/>
          <w:lang w:eastAsia="zh-CN"/>
        </w:rPr>
        <w:t>其大地构造时代为燕山期-喜马拉雅期，大地构造单元划分为柴达木-华北板块（Ⅰ级）—阿拉善微陆块（Ⅱ级）—腾格里早古生代增生楔（Ⅲ级）—卫宁北山—香山晚古生代前陆—上叠盆地（宁南弧形构造带）（Ⅳ级）—烟筒山—窑山冲断带（Ⅴ级）—烟筒山逆冲推覆岩席（Ⅵ级）。</w:t>
      </w:r>
    </w:p>
    <w:p w14:paraId="4D570216">
      <w:pPr>
        <w:bidi w:val="0"/>
        <w:rPr>
          <w:rFonts w:hint="eastAsia"/>
          <w:color w:val="auto"/>
          <w:lang w:eastAsia="zh-CN"/>
        </w:rPr>
      </w:pPr>
      <w:r>
        <w:rPr>
          <w:rFonts w:hint="eastAsia"/>
          <w:color w:val="auto"/>
          <w:lang w:eastAsia="zh-CN"/>
        </w:rPr>
        <w:t>烟筒山—窑山冲断带展布于烟筒山—黑鹰湾山—窑山—炭山—小关山及清水河流域一带，南西以天景山北麓—尖山墩东麓断裂为界，北东以烟筒山—窑山—小关山东北麓断裂为界。北西抵卫宁北山褶断带，南延至固原市以南。北西—北北西弧形展布，走向延伸大约240km，宽20～30km，出露地层主要为奥陶系、志留系、泥盆系及石炭系—二叠系，山麓地带及山前盆地沉积了大量白垩纪—第四纪地层。加里东运动、燕山运动及喜马拉雅运动在该带内表现突出，致使内部构造变形强烈，发育一系列线状褶皱及2～3条次级叠瓦状逆冲断裂，构造线方向主要为北西向，并呈向北东凸起之弧形，伴随逆冲断裂，形成中卫—同心新生代坳陷盆地。自南西而北东可进一步分为如下三个带或岩席：中卫—同心新生代后缘坳陷带、野猪沟—黑鹰湾山逆冲推覆岩席、烟筒山逆冲推覆岩席。</w:t>
      </w:r>
    </w:p>
    <w:p w14:paraId="038A3D22">
      <w:pPr>
        <w:bidi w:val="0"/>
        <w:rPr>
          <w:rFonts w:hint="eastAsia"/>
          <w:color w:val="auto"/>
          <w:lang w:eastAsia="zh-CN"/>
        </w:rPr>
      </w:pPr>
      <w:r>
        <w:rPr>
          <w:rFonts w:hint="eastAsia"/>
          <w:color w:val="auto"/>
          <w:lang w:eastAsia="zh-CN"/>
        </w:rPr>
        <w:t>本场地位于烟筒山—窑山冲断带之烟筒山逆冲推覆岩席，其主要展布于烟筒山—骡子沟—线驮石—新断头一带。前缘主边界断裂为烟筒山—窑山—小关山东麓断裂，延伸大于280km，北西向展布，呈向北东凸出之弧形，弧顶位于烟筒山东北麓詹家大坡—好汉疙瘩，航片上线性影像清晰，地貌特征明显，北东侧为红寺堡新生代盆地，南西侧多为山体，两侧高差达200～300m。主边界断裂南段的小关山东麓断裂（前人称固原断裂，并认为小关山东麓断裂北延应接烟筒山—窑山东北麓断裂），沿炭山—固原东—后湾沟—三关口—土窑—秋千架—沙南一带展布，北北西向纵贯宁夏南部，沿断裂带零星出露寒武纪—奥陶纪地层，在三关口红砂石梁附近，断层破碎带宽30～50m，带内岩石呈碎裂状，次级不同方向断裂在寒武纪—奥陶纪地层及白垩纪地层中密集分布，形成三种断层组合形式：①叠瓦状前缘逆冲断层加后冲断层及前缘对冲断层组合；②叠瓦状逆冲断层加后缘反冲断裂、前缘对冲断层组合；③前缘逆冲断层与对冲断层加后缘反冲断层、滑覆正断层组合。据该断裂在红砂石梁东、庙儿沟、尚家沟门一带次级断裂、次，级褶皱轴与主断裂构成的“入字型”构造分析，除向北东方向逆冲推覆外，右行走滑特征也较明显，在沙南峡该断裂右行错断北东向断层近百米。</w:t>
      </w:r>
    </w:p>
    <w:tbl>
      <w:tblPr>
        <w:tblStyle w:val="28"/>
        <w:tblW w:w="4917" w:type="pct"/>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799"/>
      </w:tblGrid>
      <w:tr w14:paraId="4D3CFAD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3957" w:hRule="atLeast"/>
          <w:jc w:val="center"/>
        </w:trPr>
        <w:tc>
          <w:tcPr>
            <w:tcW w:w="8800" w:type="dxa"/>
            <w:tcBorders>
              <w:tl2br w:val="nil"/>
              <w:tr2bl w:val="nil"/>
            </w:tcBorders>
            <w:vAlign w:val="center"/>
          </w:tcPr>
          <w:p w14:paraId="5862B21B">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lang w:val="en-US" w:eastAsia="zh-CN"/>
              </w:rPr>
            </w:pPr>
            <w:r>
              <w:rPr>
                <w:color w:val="auto"/>
              </w:rPr>
              <w:drawing>
                <wp:inline distT="0" distB="0" distL="114300" distR="114300">
                  <wp:extent cx="5098415" cy="2344420"/>
                  <wp:effectExtent l="0" t="0" r="6985" b="1778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65"/>
                          <a:stretch>
                            <a:fillRect/>
                          </a:stretch>
                        </pic:blipFill>
                        <pic:spPr>
                          <a:xfrm>
                            <a:off x="0" y="0"/>
                            <a:ext cx="5098415" cy="2344420"/>
                          </a:xfrm>
                          <a:prstGeom prst="rect">
                            <a:avLst/>
                          </a:prstGeom>
                          <a:noFill/>
                          <a:ln>
                            <a:noFill/>
                          </a:ln>
                        </pic:spPr>
                      </pic:pic>
                    </a:graphicData>
                  </a:graphic>
                </wp:inline>
              </w:drawing>
            </w:r>
          </w:p>
        </w:tc>
      </w:tr>
    </w:tbl>
    <w:p w14:paraId="16BD4BCB">
      <w:pPr>
        <w:bidi w:val="0"/>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图3.1-1   项目区域地质构造</w:t>
      </w:r>
    </w:p>
    <w:p w14:paraId="76D1C46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3.1.</w:t>
      </w:r>
      <w:r>
        <w:rPr>
          <w:rFonts w:hint="eastAsia" w:ascii="Times New Roman" w:hAnsi="Times New Roman" w:eastAsia="黑体" w:cs="Times New Roman"/>
          <w:b/>
          <w:bCs w:val="0"/>
          <w:color w:val="auto"/>
          <w:sz w:val="28"/>
          <w:szCs w:val="28"/>
          <w:lang w:val="en-US" w:eastAsia="zh-CN"/>
        </w:rPr>
        <w:t>4</w:t>
      </w:r>
      <w:r>
        <w:rPr>
          <w:rFonts w:hint="default" w:ascii="Times New Roman" w:hAnsi="Times New Roman" w:eastAsia="黑体" w:cs="Times New Roman"/>
          <w:b/>
          <w:bCs w:val="0"/>
          <w:color w:val="auto"/>
          <w:sz w:val="28"/>
          <w:szCs w:val="28"/>
          <w:lang w:val="en-US" w:eastAsia="zh-CN"/>
        </w:rPr>
        <w:t>气象、气候</w:t>
      </w:r>
    </w:p>
    <w:p w14:paraId="1DB888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eastAsia"/>
          <w:color w:val="auto"/>
          <w:lang w:val="en-US" w:eastAsia="zh-CN"/>
        </w:rPr>
        <w:t>固原市</w:t>
      </w:r>
      <w:r>
        <w:rPr>
          <w:rFonts w:hint="eastAsia"/>
          <w:color w:val="auto"/>
          <w:lang w:eastAsia="zh-CN"/>
        </w:rPr>
        <w:t>地处温带半干旱区，为典型的大陆性季风气候；冬寒长，夏热短，光照充足，春夏连旱，秋季多雨，雨热不同季，昼夜温差大。固原气象站200</w:t>
      </w:r>
      <w:r>
        <w:rPr>
          <w:rFonts w:hint="eastAsia"/>
          <w:color w:val="auto"/>
          <w:lang w:val="en-US" w:eastAsia="zh-CN"/>
        </w:rPr>
        <w:t>4</w:t>
      </w:r>
      <w:r>
        <w:rPr>
          <w:rFonts w:hint="eastAsia"/>
          <w:color w:val="auto"/>
          <w:lang w:eastAsia="zh-CN"/>
        </w:rPr>
        <w:t>-202</w:t>
      </w:r>
      <w:r>
        <w:rPr>
          <w:rFonts w:hint="eastAsia"/>
          <w:color w:val="auto"/>
          <w:lang w:val="en-US" w:eastAsia="zh-CN"/>
        </w:rPr>
        <w:t>3</w:t>
      </w:r>
      <w:r>
        <w:rPr>
          <w:rFonts w:hint="eastAsia"/>
          <w:color w:val="auto"/>
          <w:lang w:eastAsia="zh-CN"/>
        </w:rPr>
        <w:t>年的气象统计数据如下：</w:t>
      </w:r>
    </w:p>
    <w:p w14:paraId="4135CD7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表3.1-1</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lang w:val="en-US" w:eastAsia="zh-CN"/>
        </w:rPr>
        <w:t>固原气象站近200</w:t>
      </w:r>
      <w:r>
        <w:rPr>
          <w:rFonts w:hint="eastAsia" w:eastAsia="宋体" w:cs="Times New Roman"/>
          <w:b/>
          <w:bCs/>
          <w:color w:val="auto"/>
          <w:lang w:val="en-US" w:eastAsia="zh-CN"/>
        </w:rPr>
        <w:t>4</w:t>
      </w:r>
      <w:r>
        <w:rPr>
          <w:rFonts w:hint="default" w:ascii="Times New Roman" w:hAnsi="Times New Roman" w:eastAsia="宋体" w:cs="Times New Roman"/>
          <w:b/>
          <w:bCs/>
          <w:color w:val="auto"/>
          <w:lang w:val="en-US" w:eastAsia="zh-CN"/>
        </w:rPr>
        <w:t>-202</w:t>
      </w:r>
      <w:r>
        <w:rPr>
          <w:rFonts w:hint="eastAsia" w:eastAsia="宋体" w:cs="Times New Roman"/>
          <w:b/>
          <w:bCs/>
          <w:color w:val="auto"/>
          <w:lang w:val="en-US" w:eastAsia="zh-CN"/>
        </w:rPr>
        <w:t>3</w:t>
      </w:r>
      <w:r>
        <w:rPr>
          <w:rFonts w:hint="default" w:ascii="Times New Roman" w:hAnsi="Times New Roman" w:eastAsia="宋体" w:cs="Times New Roman"/>
          <w:b/>
          <w:bCs/>
          <w:color w:val="auto"/>
          <w:lang w:val="en-US" w:eastAsia="zh-CN"/>
        </w:rPr>
        <w:t>年的气象要素统计表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27"/>
        <w:gridCol w:w="1638"/>
        <w:gridCol w:w="1056"/>
        <w:gridCol w:w="1967"/>
        <w:gridCol w:w="1503"/>
      </w:tblGrid>
      <w:tr w14:paraId="5B00A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442233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序号</w:t>
            </w:r>
          </w:p>
        </w:tc>
        <w:tc>
          <w:tcPr>
            <w:tcW w:w="1927" w:type="dxa"/>
            <w:tcBorders>
              <w:tl2br w:val="nil"/>
              <w:tr2bl w:val="nil"/>
            </w:tcBorders>
            <w:vAlign w:val="center"/>
          </w:tcPr>
          <w:p w14:paraId="54C58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项目</w:t>
            </w:r>
          </w:p>
        </w:tc>
        <w:tc>
          <w:tcPr>
            <w:tcW w:w="1638" w:type="dxa"/>
            <w:tcBorders>
              <w:tl2br w:val="nil"/>
              <w:tr2bl w:val="nil"/>
            </w:tcBorders>
            <w:vAlign w:val="center"/>
          </w:tcPr>
          <w:p w14:paraId="3E437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数值</w:t>
            </w:r>
          </w:p>
        </w:tc>
        <w:tc>
          <w:tcPr>
            <w:tcW w:w="1056" w:type="dxa"/>
            <w:tcBorders>
              <w:tl2br w:val="nil"/>
              <w:tr2bl w:val="nil"/>
            </w:tcBorders>
            <w:shd w:val="clear" w:color="auto" w:fill="auto"/>
            <w:vAlign w:val="center"/>
          </w:tcPr>
          <w:p w14:paraId="35E74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eastAsia="宋体" w:cs="Times New Roman"/>
                <w:b/>
                <w:bCs/>
                <w:color w:val="auto"/>
                <w:sz w:val="21"/>
                <w:szCs w:val="21"/>
                <w:vertAlign w:val="baseline"/>
                <w:lang w:val="en-US" w:eastAsia="zh-CN"/>
              </w:rPr>
              <w:t>序号</w:t>
            </w:r>
          </w:p>
        </w:tc>
        <w:tc>
          <w:tcPr>
            <w:tcW w:w="1967" w:type="dxa"/>
            <w:tcBorders>
              <w:tl2br w:val="nil"/>
              <w:tr2bl w:val="nil"/>
            </w:tcBorders>
            <w:shd w:val="clear" w:color="auto" w:fill="auto"/>
            <w:vAlign w:val="center"/>
          </w:tcPr>
          <w:p w14:paraId="21C6C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eastAsia="宋体" w:cs="Times New Roman"/>
                <w:b/>
                <w:bCs/>
                <w:color w:val="auto"/>
                <w:sz w:val="21"/>
                <w:szCs w:val="21"/>
                <w:vertAlign w:val="baseline"/>
                <w:lang w:val="en-US" w:eastAsia="zh-CN"/>
              </w:rPr>
              <w:t>项目</w:t>
            </w:r>
          </w:p>
        </w:tc>
        <w:tc>
          <w:tcPr>
            <w:tcW w:w="1503" w:type="dxa"/>
            <w:tcBorders>
              <w:tl2br w:val="nil"/>
              <w:tr2bl w:val="nil"/>
            </w:tcBorders>
            <w:shd w:val="clear" w:color="auto" w:fill="auto"/>
            <w:vAlign w:val="center"/>
          </w:tcPr>
          <w:p w14:paraId="0B57F6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eastAsia="宋体" w:cs="Times New Roman"/>
                <w:b/>
                <w:bCs/>
                <w:color w:val="auto"/>
                <w:sz w:val="21"/>
                <w:szCs w:val="21"/>
                <w:vertAlign w:val="baseline"/>
                <w:lang w:val="en-US" w:eastAsia="zh-CN"/>
              </w:rPr>
              <w:t>数值</w:t>
            </w:r>
          </w:p>
        </w:tc>
      </w:tr>
      <w:tr w14:paraId="1BF59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536BF9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w:t>
            </w:r>
          </w:p>
        </w:tc>
        <w:tc>
          <w:tcPr>
            <w:tcW w:w="1927" w:type="dxa"/>
            <w:tcBorders>
              <w:tl2br w:val="nil"/>
              <w:tr2bl w:val="nil"/>
            </w:tcBorders>
            <w:vAlign w:val="center"/>
          </w:tcPr>
          <w:p w14:paraId="363CD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年平均气压</w:t>
            </w:r>
          </w:p>
        </w:tc>
        <w:tc>
          <w:tcPr>
            <w:tcW w:w="1638" w:type="dxa"/>
            <w:tcBorders>
              <w:tl2br w:val="nil"/>
              <w:tr2bl w:val="nil"/>
            </w:tcBorders>
            <w:vAlign w:val="center"/>
          </w:tcPr>
          <w:p w14:paraId="2B594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823.35hPa</w:t>
            </w:r>
          </w:p>
        </w:tc>
        <w:tc>
          <w:tcPr>
            <w:tcW w:w="1056" w:type="dxa"/>
            <w:tcBorders>
              <w:tl2br w:val="nil"/>
              <w:tr2bl w:val="nil"/>
            </w:tcBorders>
            <w:vAlign w:val="center"/>
          </w:tcPr>
          <w:p w14:paraId="3E6DB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w:t>
            </w:r>
          </w:p>
        </w:tc>
        <w:tc>
          <w:tcPr>
            <w:tcW w:w="1967" w:type="dxa"/>
            <w:tcBorders>
              <w:tl2br w:val="nil"/>
              <w:tr2bl w:val="nil"/>
            </w:tcBorders>
            <w:vAlign w:val="center"/>
          </w:tcPr>
          <w:p w14:paraId="5CFEA4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年平均降水量</w:t>
            </w:r>
          </w:p>
        </w:tc>
        <w:tc>
          <w:tcPr>
            <w:tcW w:w="1503" w:type="dxa"/>
            <w:tcBorders>
              <w:tl2br w:val="nil"/>
              <w:tr2bl w:val="nil"/>
            </w:tcBorders>
            <w:vAlign w:val="center"/>
          </w:tcPr>
          <w:p w14:paraId="016472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480.51mm</w:t>
            </w:r>
          </w:p>
        </w:tc>
      </w:tr>
      <w:tr w14:paraId="3FE42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579F2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w:t>
            </w:r>
          </w:p>
        </w:tc>
        <w:tc>
          <w:tcPr>
            <w:tcW w:w="1927" w:type="dxa"/>
            <w:tcBorders>
              <w:tl2br w:val="nil"/>
              <w:tr2bl w:val="nil"/>
            </w:tcBorders>
            <w:vAlign w:val="center"/>
          </w:tcPr>
          <w:p w14:paraId="68AB4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年平均气温</w:t>
            </w:r>
          </w:p>
        </w:tc>
        <w:tc>
          <w:tcPr>
            <w:tcW w:w="1638" w:type="dxa"/>
            <w:tcBorders>
              <w:tl2br w:val="nil"/>
              <w:tr2bl w:val="nil"/>
            </w:tcBorders>
            <w:vAlign w:val="center"/>
          </w:tcPr>
          <w:p w14:paraId="013782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7.91℃</w:t>
            </w:r>
          </w:p>
        </w:tc>
        <w:tc>
          <w:tcPr>
            <w:tcW w:w="1056" w:type="dxa"/>
            <w:tcBorders>
              <w:tl2br w:val="nil"/>
              <w:tr2bl w:val="nil"/>
            </w:tcBorders>
            <w:vAlign w:val="center"/>
          </w:tcPr>
          <w:p w14:paraId="5043B2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w:t>
            </w:r>
          </w:p>
        </w:tc>
        <w:tc>
          <w:tcPr>
            <w:tcW w:w="1967" w:type="dxa"/>
            <w:tcBorders>
              <w:tl2br w:val="nil"/>
              <w:tr2bl w:val="nil"/>
            </w:tcBorders>
            <w:vAlign w:val="center"/>
          </w:tcPr>
          <w:p w14:paraId="652A05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最大日降水量</w:t>
            </w:r>
          </w:p>
        </w:tc>
        <w:tc>
          <w:tcPr>
            <w:tcW w:w="1503" w:type="dxa"/>
            <w:tcBorders>
              <w:tl2br w:val="nil"/>
              <w:tr2bl w:val="nil"/>
            </w:tcBorders>
            <w:vAlign w:val="center"/>
          </w:tcPr>
          <w:p w14:paraId="47FCD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81.22mm</w:t>
            </w:r>
          </w:p>
        </w:tc>
      </w:tr>
      <w:tr w14:paraId="2F520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03DB70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w:t>
            </w:r>
          </w:p>
        </w:tc>
        <w:tc>
          <w:tcPr>
            <w:tcW w:w="1927" w:type="dxa"/>
            <w:tcBorders>
              <w:tl2br w:val="nil"/>
              <w:tr2bl w:val="nil"/>
            </w:tcBorders>
            <w:vAlign w:val="center"/>
          </w:tcPr>
          <w:p w14:paraId="1C4EA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极端最高气温</w:t>
            </w:r>
          </w:p>
        </w:tc>
        <w:tc>
          <w:tcPr>
            <w:tcW w:w="1638" w:type="dxa"/>
            <w:tcBorders>
              <w:tl2br w:val="nil"/>
              <w:tr2bl w:val="nil"/>
            </w:tcBorders>
            <w:vAlign w:val="center"/>
          </w:tcPr>
          <w:p w14:paraId="40412C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34.4℃</w:t>
            </w:r>
          </w:p>
        </w:tc>
        <w:tc>
          <w:tcPr>
            <w:tcW w:w="1056" w:type="dxa"/>
            <w:tcBorders>
              <w:tl2br w:val="nil"/>
              <w:tr2bl w:val="nil"/>
            </w:tcBorders>
            <w:vAlign w:val="center"/>
          </w:tcPr>
          <w:p w14:paraId="791C53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w:t>
            </w:r>
          </w:p>
        </w:tc>
        <w:tc>
          <w:tcPr>
            <w:tcW w:w="1967" w:type="dxa"/>
            <w:tcBorders>
              <w:tl2br w:val="nil"/>
              <w:tr2bl w:val="nil"/>
            </w:tcBorders>
            <w:vAlign w:val="center"/>
          </w:tcPr>
          <w:p w14:paraId="6AB260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年蒸发量</w:t>
            </w:r>
          </w:p>
        </w:tc>
        <w:tc>
          <w:tcPr>
            <w:tcW w:w="1503" w:type="dxa"/>
            <w:tcBorders>
              <w:tl2br w:val="nil"/>
              <w:tr2bl w:val="nil"/>
            </w:tcBorders>
            <w:vAlign w:val="center"/>
          </w:tcPr>
          <w:p w14:paraId="6AA24B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1428.6mm</w:t>
            </w:r>
          </w:p>
        </w:tc>
      </w:tr>
      <w:tr w14:paraId="58CA5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1E5B6B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w:t>
            </w:r>
          </w:p>
        </w:tc>
        <w:tc>
          <w:tcPr>
            <w:tcW w:w="1927" w:type="dxa"/>
            <w:tcBorders>
              <w:tl2br w:val="nil"/>
              <w:tr2bl w:val="nil"/>
            </w:tcBorders>
            <w:vAlign w:val="center"/>
          </w:tcPr>
          <w:p w14:paraId="492D4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极端最低气温</w:t>
            </w:r>
          </w:p>
        </w:tc>
        <w:tc>
          <w:tcPr>
            <w:tcW w:w="1638" w:type="dxa"/>
            <w:tcBorders>
              <w:tl2br w:val="nil"/>
              <w:tr2bl w:val="nil"/>
            </w:tcBorders>
            <w:vAlign w:val="center"/>
          </w:tcPr>
          <w:p w14:paraId="580776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-24.1℃</w:t>
            </w:r>
          </w:p>
        </w:tc>
        <w:tc>
          <w:tcPr>
            <w:tcW w:w="1056" w:type="dxa"/>
            <w:tcBorders>
              <w:tl2br w:val="nil"/>
              <w:tr2bl w:val="nil"/>
            </w:tcBorders>
            <w:vAlign w:val="center"/>
          </w:tcPr>
          <w:p w14:paraId="79F349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14</w:t>
            </w:r>
          </w:p>
        </w:tc>
        <w:tc>
          <w:tcPr>
            <w:tcW w:w="1967" w:type="dxa"/>
            <w:tcBorders>
              <w:tl2br w:val="nil"/>
              <w:tr2bl w:val="nil"/>
            </w:tcBorders>
            <w:vAlign w:val="center"/>
          </w:tcPr>
          <w:p w14:paraId="3E3EB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最大积雪深度</w:t>
            </w:r>
          </w:p>
        </w:tc>
        <w:tc>
          <w:tcPr>
            <w:tcW w:w="1503" w:type="dxa"/>
            <w:tcBorders>
              <w:tl2br w:val="nil"/>
              <w:tr2bl w:val="nil"/>
            </w:tcBorders>
            <w:vAlign w:val="center"/>
          </w:tcPr>
          <w:p w14:paraId="11303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15cm</w:t>
            </w:r>
          </w:p>
        </w:tc>
      </w:tr>
      <w:tr w14:paraId="1FE66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0F1A82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w:t>
            </w:r>
          </w:p>
        </w:tc>
        <w:tc>
          <w:tcPr>
            <w:tcW w:w="1927" w:type="dxa"/>
            <w:tcBorders>
              <w:tl2br w:val="nil"/>
              <w:tr2bl w:val="nil"/>
            </w:tcBorders>
            <w:vAlign w:val="center"/>
          </w:tcPr>
          <w:p w14:paraId="2CF9FB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年平均风速</w:t>
            </w:r>
          </w:p>
        </w:tc>
        <w:tc>
          <w:tcPr>
            <w:tcW w:w="1638" w:type="dxa"/>
            <w:tcBorders>
              <w:tl2br w:val="nil"/>
              <w:tr2bl w:val="nil"/>
            </w:tcBorders>
            <w:vAlign w:val="center"/>
          </w:tcPr>
          <w:p w14:paraId="5F235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3.03</w:t>
            </w:r>
            <w:r>
              <w:rPr>
                <w:rFonts w:hint="default" w:ascii="Times New Roman" w:hAnsi="Times New Roman" w:eastAsia="宋体" w:cs="Times New Roman"/>
                <w:color w:val="auto"/>
                <w:sz w:val="21"/>
                <w:szCs w:val="21"/>
                <w:vertAlign w:val="baseline"/>
                <w:lang w:val="en-US" w:eastAsia="zh-CN"/>
              </w:rPr>
              <w:t>m/s</w:t>
            </w:r>
          </w:p>
        </w:tc>
        <w:tc>
          <w:tcPr>
            <w:tcW w:w="1056" w:type="dxa"/>
            <w:tcBorders>
              <w:tl2br w:val="nil"/>
              <w:tr2bl w:val="nil"/>
            </w:tcBorders>
            <w:vAlign w:val="center"/>
          </w:tcPr>
          <w:p w14:paraId="61A1A9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15</w:t>
            </w:r>
          </w:p>
        </w:tc>
        <w:tc>
          <w:tcPr>
            <w:tcW w:w="1967" w:type="dxa"/>
            <w:tcBorders>
              <w:tl2br w:val="nil"/>
              <w:tr2bl w:val="nil"/>
            </w:tcBorders>
            <w:vAlign w:val="center"/>
          </w:tcPr>
          <w:p w14:paraId="465D7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最大冻土深度</w:t>
            </w:r>
          </w:p>
        </w:tc>
        <w:tc>
          <w:tcPr>
            <w:tcW w:w="1503" w:type="dxa"/>
            <w:tcBorders>
              <w:tl2br w:val="nil"/>
              <w:tr2bl w:val="nil"/>
            </w:tcBorders>
            <w:vAlign w:val="center"/>
          </w:tcPr>
          <w:p w14:paraId="34209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113cm</w:t>
            </w:r>
          </w:p>
        </w:tc>
      </w:tr>
      <w:tr w14:paraId="44CD7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7CE05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w:t>
            </w:r>
          </w:p>
        </w:tc>
        <w:tc>
          <w:tcPr>
            <w:tcW w:w="1927" w:type="dxa"/>
            <w:tcBorders>
              <w:tl2br w:val="nil"/>
              <w:tr2bl w:val="nil"/>
            </w:tcBorders>
            <w:vAlign w:val="center"/>
          </w:tcPr>
          <w:p w14:paraId="25FFB5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年最大风速</w:t>
            </w:r>
          </w:p>
        </w:tc>
        <w:tc>
          <w:tcPr>
            <w:tcW w:w="1638" w:type="dxa"/>
            <w:tcBorders>
              <w:tl2br w:val="nil"/>
              <w:tr2bl w:val="nil"/>
            </w:tcBorders>
            <w:vAlign w:val="center"/>
          </w:tcPr>
          <w:p w14:paraId="581085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19.47m/s</w:t>
            </w:r>
          </w:p>
        </w:tc>
        <w:tc>
          <w:tcPr>
            <w:tcW w:w="1056" w:type="dxa"/>
            <w:tcBorders>
              <w:tl2br w:val="nil"/>
              <w:tr2bl w:val="nil"/>
            </w:tcBorders>
            <w:vAlign w:val="center"/>
          </w:tcPr>
          <w:p w14:paraId="2037DA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16</w:t>
            </w:r>
          </w:p>
        </w:tc>
        <w:tc>
          <w:tcPr>
            <w:tcW w:w="1967" w:type="dxa"/>
            <w:tcBorders>
              <w:tl2br w:val="nil"/>
              <w:tr2bl w:val="nil"/>
            </w:tcBorders>
            <w:vAlign w:val="center"/>
          </w:tcPr>
          <w:p w14:paraId="25ADC7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日照时数</w:t>
            </w:r>
          </w:p>
        </w:tc>
        <w:tc>
          <w:tcPr>
            <w:tcW w:w="1503" w:type="dxa"/>
            <w:tcBorders>
              <w:tl2br w:val="nil"/>
              <w:tr2bl w:val="nil"/>
            </w:tcBorders>
            <w:vAlign w:val="center"/>
          </w:tcPr>
          <w:p w14:paraId="018C81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2358.3h</w:t>
            </w:r>
          </w:p>
        </w:tc>
      </w:tr>
      <w:tr w14:paraId="28267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6A8A34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w:t>
            </w:r>
          </w:p>
        </w:tc>
        <w:tc>
          <w:tcPr>
            <w:tcW w:w="1927" w:type="dxa"/>
            <w:tcBorders>
              <w:tl2br w:val="nil"/>
              <w:tr2bl w:val="nil"/>
            </w:tcBorders>
            <w:vAlign w:val="center"/>
          </w:tcPr>
          <w:p w14:paraId="42FF5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年</w:t>
            </w:r>
            <w:r>
              <w:rPr>
                <w:rFonts w:hint="eastAsia" w:eastAsia="宋体" w:cs="Times New Roman"/>
                <w:color w:val="auto"/>
                <w:sz w:val="21"/>
                <w:szCs w:val="21"/>
                <w:vertAlign w:val="baseline"/>
                <w:lang w:val="en-US" w:eastAsia="zh-CN"/>
              </w:rPr>
              <w:t>主导</w:t>
            </w:r>
            <w:r>
              <w:rPr>
                <w:rFonts w:hint="default" w:ascii="Times New Roman" w:hAnsi="Times New Roman" w:eastAsia="宋体" w:cs="Times New Roman"/>
                <w:color w:val="auto"/>
                <w:sz w:val="21"/>
                <w:szCs w:val="21"/>
                <w:vertAlign w:val="baseline"/>
                <w:lang w:eastAsia="zh-CN"/>
              </w:rPr>
              <w:t>风向</w:t>
            </w:r>
          </w:p>
        </w:tc>
        <w:tc>
          <w:tcPr>
            <w:tcW w:w="1638" w:type="dxa"/>
            <w:tcBorders>
              <w:tl2br w:val="nil"/>
              <w:tr2bl w:val="nil"/>
            </w:tcBorders>
            <w:vAlign w:val="center"/>
          </w:tcPr>
          <w:p w14:paraId="1CF4E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SE</w:t>
            </w:r>
          </w:p>
        </w:tc>
        <w:tc>
          <w:tcPr>
            <w:tcW w:w="1056" w:type="dxa"/>
            <w:tcBorders>
              <w:tl2br w:val="nil"/>
              <w:tr2bl w:val="nil"/>
            </w:tcBorders>
            <w:vAlign w:val="center"/>
          </w:tcPr>
          <w:p w14:paraId="3CEBD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17</w:t>
            </w:r>
          </w:p>
        </w:tc>
        <w:tc>
          <w:tcPr>
            <w:tcW w:w="1967" w:type="dxa"/>
            <w:tcBorders>
              <w:tl2br w:val="nil"/>
              <w:tr2bl w:val="nil"/>
            </w:tcBorders>
            <w:vAlign w:val="center"/>
          </w:tcPr>
          <w:p w14:paraId="0EC79F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雷暴日数</w:t>
            </w:r>
          </w:p>
        </w:tc>
        <w:tc>
          <w:tcPr>
            <w:tcW w:w="1503" w:type="dxa"/>
            <w:tcBorders>
              <w:tl2br w:val="nil"/>
              <w:tr2bl w:val="nil"/>
            </w:tcBorders>
            <w:vAlign w:val="center"/>
          </w:tcPr>
          <w:p w14:paraId="19F979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18.4d</w:t>
            </w:r>
          </w:p>
        </w:tc>
      </w:tr>
      <w:tr w14:paraId="36DCC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02BE96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w:t>
            </w:r>
          </w:p>
        </w:tc>
        <w:tc>
          <w:tcPr>
            <w:tcW w:w="1927" w:type="dxa"/>
            <w:tcBorders>
              <w:tl2br w:val="nil"/>
              <w:tr2bl w:val="nil"/>
            </w:tcBorders>
            <w:vAlign w:val="center"/>
          </w:tcPr>
          <w:p w14:paraId="0D27B6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主导风向频率</w:t>
            </w:r>
          </w:p>
        </w:tc>
        <w:tc>
          <w:tcPr>
            <w:tcW w:w="1638" w:type="dxa"/>
            <w:tcBorders>
              <w:tl2br w:val="nil"/>
              <w:tr2bl w:val="nil"/>
            </w:tcBorders>
            <w:vAlign w:val="center"/>
          </w:tcPr>
          <w:p w14:paraId="6D5DC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11.6%</w:t>
            </w:r>
          </w:p>
        </w:tc>
        <w:tc>
          <w:tcPr>
            <w:tcW w:w="1056" w:type="dxa"/>
            <w:tcBorders>
              <w:tl2br w:val="nil"/>
              <w:tr2bl w:val="nil"/>
            </w:tcBorders>
            <w:vAlign w:val="center"/>
          </w:tcPr>
          <w:p w14:paraId="365D0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18</w:t>
            </w:r>
          </w:p>
        </w:tc>
        <w:tc>
          <w:tcPr>
            <w:tcW w:w="1967" w:type="dxa"/>
            <w:tcBorders>
              <w:tl2br w:val="nil"/>
              <w:tr2bl w:val="nil"/>
            </w:tcBorders>
            <w:vAlign w:val="center"/>
          </w:tcPr>
          <w:p w14:paraId="2B990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大风日数</w:t>
            </w:r>
          </w:p>
        </w:tc>
        <w:tc>
          <w:tcPr>
            <w:tcW w:w="1503" w:type="dxa"/>
            <w:tcBorders>
              <w:tl2br w:val="nil"/>
              <w:tr2bl w:val="nil"/>
            </w:tcBorders>
            <w:vAlign w:val="center"/>
          </w:tcPr>
          <w:p w14:paraId="0C999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4.8d</w:t>
            </w:r>
          </w:p>
        </w:tc>
      </w:tr>
      <w:tr w14:paraId="1CB5D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1D3735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w:t>
            </w:r>
          </w:p>
        </w:tc>
        <w:tc>
          <w:tcPr>
            <w:tcW w:w="1927" w:type="dxa"/>
            <w:tcBorders>
              <w:tl2br w:val="nil"/>
              <w:tr2bl w:val="nil"/>
            </w:tcBorders>
            <w:vAlign w:val="center"/>
          </w:tcPr>
          <w:p w14:paraId="01F11C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静风频率</w:t>
            </w:r>
          </w:p>
        </w:tc>
        <w:tc>
          <w:tcPr>
            <w:tcW w:w="1638" w:type="dxa"/>
            <w:tcBorders>
              <w:tl2br w:val="nil"/>
              <w:tr2bl w:val="nil"/>
            </w:tcBorders>
            <w:vAlign w:val="center"/>
          </w:tcPr>
          <w:p w14:paraId="2CEFF9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2.96%</w:t>
            </w:r>
          </w:p>
        </w:tc>
        <w:tc>
          <w:tcPr>
            <w:tcW w:w="1056" w:type="dxa"/>
            <w:tcBorders>
              <w:tl2br w:val="nil"/>
              <w:tr2bl w:val="nil"/>
            </w:tcBorders>
            <w:vAlign w:val="center"/>
          </w:tcPr>
          <w:p w14:paraId="4F3182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19</w:t>
            </w:r>
          </w:p>
        </w:tc>
        <w:tc>
          <w:tcPr>
            <w:tcW w:w="1967" w:type="dxa"/>
            <w:tcBorders>
              <w:tl2br w:val="nil"/>
              <w:tr2bl w:val="nil"/>
            </w:tcBorders>
            <w:vAlign w:val="center"/>
          </w:tcPr>
          <w:p w14:paraId="3F2069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沙尘暴日数</w:t>
            </w:r>
          </w:p>
        </w:tc>
        <w:tc>
          <w:tcPr>
            <w:tcW w:w="1503" w:type="dxa"/>
            <w:tcBorders>
              <w:tl2br w:val="nil"/>
              <w:tr2bl w:val="nil"/>
            </w:tcBorders>
            <w:vAlign w:val="center"/>
          </w:tcPr>
          <w:p w14:paraId="323CD3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1d</w:t>
            </w:r>
          </w:p>
        </w:tc>
      </w:tr>
      <w:tr w14:paraId="4F0CB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7" w:type="dxa"/>
            <w:tcBorders>
              <w:tl2br w:val="nil"/>
              <w:tr2bl w:val="nil"/>
            </w:tcBorders>
            <w:vAlign w:val="center"/>
          </w:tcPr>
          <w:p w14:paraId="381A8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w:t>
            </w:r>
          </w:p>
        </w:tc>
        <w:tc>
          <w:tcPr>
            <w:tcW w:w="1927" w:type="dxa"/>
            <w:tcBorders>
              <w:tl2br w:val="nil"/>
              <w:tr2bl w:val="nil"/>
            </w:tcBorders>
            <w:vAlign w:val="center"/>
          </w:tcPr>
          <w:p w14:paraId="25A77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年平均相对湿度</w:t>
            </w:r>
          </w:p>
        </w:tc>
        <w:tc>
          <w:tcPr>
            <w:tcW w:w="1638" w:type="dxa"/>
            <w:tcBorders>
              <w:tl2br w:val="nil"/>
              <w:tr2bl w:val="nil"/>
            </w:tcBorders>
            <w:vAlign w:val="center"/>
          </w:tcPr>
          <w:p w14:paraId="4E6463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57.93%</w:t>
            </w:r>
          </w:p>
        </w:tc>
        <w:tc>
          <w:tcPr>
            <w:tcW w:w="1056" w:type="dxa"/>
            <w:tcBorders>
              <w:tl2br w:val="nil"/>
              <w:tr2bl w:val="nil"/>
            </w:tcBorders>
            <w:vAlign w:val="center"/>
          </w:tcPr>
          <w:p w14:paraId="0DDC1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20</w:t>
            </w:r>
          </w:p>
        </w:tc>
        <w:tc>
          <w:tcPr>
            <w:tcW w:w="1967" w:type="dxa"/>
            <w:tcBorders>
              <w:tl2br w:val="nil"/>
              <w:tr2bl w:val="nil"/>
            </w:tcBorders>
            <w:vAlign w:val="center"/>
          </w:tcPr>
          <w:p w14:paraId="14BEB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w:t>
            </w:r>
          </w:p>
        </w:tc>
        <w:tc>
          <w:tcPr>
            <w:tcW w:w="1503" w:type="dxa"/>
            <w:tcBorders>
              <w:tl2br w:val="nil"/>
              <w:tr2bl w:val="nil"/>
            </w:tcBorders>
            <w:vAlign w:val="center"/>
          </w:tcPr>
          <w:p w14:paraId="6207E2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w:t>
            </w:r>
          </w:p>
        </w:tc>
      </w:tr>
    </w:tbl>
    <w:p w14:paraId="193A4CE1">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3.1.</w:t>
      </w:r>
      <w:r>
        <w:rPr>
          <w:rFonts w:hint="eastAsia" w:ascii="Times New Roman" w:hAnsi="Times New Roman" w:eastAsia="黑体" w:cs="Times New Roman"/>
          <w:b/>
          <w:bCs w:val="0"/>
          <w:color w:val="auto"/>
          <w:sz w:val="28"/>
          <w:szCs w:val="28"/>
          <w:lang w:val="en-US" w:eastAsia="zh-CN"/>
        </w:rPr>
        <w:t>5区域水文</w:t>
      </w:r>
      <w:r>
        <w:rPr>
          <w:rFonts w:hint="eastAsia" w:eastAsia="黑体" w:cs="Times New Roman"/>
          <w:b/>
          <w:bCs w:val="0"/>
          <w:color w:val="auto"/>
          <w:sz w:val="28"/>
          <w:szCs w:val="28"/>
          <w:lang w:val="en-US" w:eastAsia="zh-CN"/>
        </w:rPr>
        <w:t>地质</w:t>
      </w:r>
    </w:p>
    <w:p w14:paraId="6283D9EF">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3.1.5.1水文条件</w:t>
      </w:r>
    </w:p>
    <w:p w14:paraId="2649B0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eastAsia"/>
          <w:color w:val="auto"/>
          <w:lang w:eastAsia="zh-CN"/>
        </w:rPr>
        <w:t>固原市原州区是一个水资源严重短缺的地区，多年平均地表水资源量9203万m</w:t>
      </w:r>
      <w:r>
        <w:rPr>
          <w:rFonts w:hint="eastAsia"/>
          <w:color w:val="auto"/>
          <w:vertAlign w:val="superscript"/>
          <w:lang w:eastAsia="zh-CN"/>
        </w:rPr>
        <w:t>3</w:t>
      </w:r>
      <w:r>
        <w:rPr>
          <w:rFonts w:hint="eastAsia"/>
          <w:color w:val="auto"/>
          <w:lang w:eastAsia="zh-CN"/>
        </w:rPr>
        <w:t>，地下水资源量6599万m</w:t>
      </w:r>
      <w:r>
        <w:rPr>
          <w:rFonts w:hint="eastAsia"/>
          <w:color w:val="auto"/>
          <w:vertAlign w:val="superscript"/>
          <w:lang w:eastAsia="zh-CN"/>
        </w:rPr>
        <w:t>3</w:t>
      </w:r>
      <w:r>
        <w:rPr>
          <w:rFonts w:hint="eastAsia"/>
          <w:color w:val="auto"/>
          <w:lang w:eastAsia="zh-CN"/>
        </w:rPr>
        <w:t>，可利用水资源量3600万m</w:t>
      </w:r>
      <w:r>
        <w:rPr>
          <w:rFonts w:hint="eastAsia"/>
          <w:color w:val="auto"/>
          <w:vertAlign w:val="superscript"/>
          <w:lang w:eastAsia="zh-CN"/>
        </w:rPr>
        <w:t>3</w:t>
      </w:r>
      <w:r>
        <w:rPr>
          <w:rFonts w:hint="eastAsia"/>
          <w:color w:val="auto"/>
          <w:lang w:eastAsia="zh-CN"/>
        </w:rPr>
        <w:t>。原州区境内河流主要为暴雨补给型，河川径流丰枯悬殊。原州区水资源可利用量少，水质差，境内径流由降雨补给，缺乏地下水或其他水源的补给或调节。将区域内地表水资源、地下水资源分述如下：</w:t>
      </w:r>
    </w:p>
    <w:p w14:paraId="219B92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default" w:ascii="Times New Roman" w:hAnsi="Times New Roman" w:cs="Times New Roman"/>
          <w:color w:val="auto"/>
          <w:lang w:eastAsia="zh-CN"/>
        </w:rPr>
        <w:t>①</w:t>
      </w:r>
      <w:r>
        <w:rPr>
          <w:rFonts w:hint="eastAsia"/>
          <w:color w:val="auto"/>
          <w:lang w:eastAsia="zh-CN"/>
        </w:rPr>
        <w:t>地表水资源：地表水系主要为清水河、葫芦河、茹河，其中，清水河流域面积2036.1km</w:t>
      </w:r>
      <w:r>
        <w:rPr>
          <w:rFonts w:hint="eastAsia"/>
          <w:color w:val="auto"/>
          <w:vertAlign w:val="superscript"/>
          <w:lang w:eastAsia="zh-CN"/>
        </w:rPr>
        <w:t>2</w:t>
      </w:r>
      <w:r>
        <w:rPr>
          <w:rFonts w:hint="eastAsia"/>
          <w:color w:val="auto"/>
          <w:lang w:eastAsia="zh-CN"/>
        </w:rPr>
        <w:t>，地表水资源总量为0.6115亿m</w:t>
      </w:r>
      <w:r>
        <w:rPr>
          <w:rFonts w:hint="eastAsia"/>
          <w:color w:val="auto"/>
          <w:vertAlign w:val="superscript"/>
          <w:lang w:eastAsia="zh-CN"/>
        </w:rPr>
        <w:t>3</w:t>
      </w:r>
      <w:r>
        <w:rPr>
          <w:rFonts w:hint="eastAsia"/>
          <w:color w:val="auto"/>
          <w:lang w:eastAsia="zh-CN"/>
        </w:rPr>
        <w:t>，扣除矿化度大于2.0g/L及氟严重超标的地表水、泥沙0.087亿m</w:t>
      </w:r>
      <w:r>
        <w:rPr>
          <w:rFonts w:hint="eastAsia"/>
          <w:color w:val="auto"/>
          <w:vertAlign w:val="superscript"/>
          <w:lang w:eastAsia="zh-CN"/>
        </w:rPr>
        <w:t>3</w:t>
      </w:r>
      <w:r>
        <w:rPr>
          <w:rFonts w:hint="eastAsia"/>
          <w:color w:val="auto"/>
          <w:lang w:eastAsia="zh-CN"/>
        </w:rPr>
        <w:t>后，可利用量为0.5245亿m</w:t>
      </w:r>
      <w:r>
        <w:rPr>
          <w:rFonts w:hint="eastAsia"/>
          <w:color w:val="auto"/>
          <w:vertAlign w:val="superscript"/>
          <w:lang w:eastAsia="zh-CN"/>
        </w:rPr>
        <w:t>3</w:t>
      </w:r>
      <w:r>
        <w:rPr>
          <w:rFonts w:hint="eastAsia"/>
          <w:color w:val="auto"/>
          <w:lang w:eastAsia="zh-CN"/>
        </w:rPr>
        <w:t>；葫芦河流域面积205.2km</w:t>
      </w:r>
      <w:r>
        <w:rPr>
          <w:rFonts w:hint="eastAsia"/>
          <w:color w:val="auto"/>
          <w:vertAlign w:val="superscript"/>
          <w:lang w:eastAsia="zh-CN"/>
        </w:rPr>
        <w:t>2</w:t>
      </w:r>
      <w:r>
        <w:rPr>
          <w:rFonts w:hint="eastAsia"/>
          <w:color w:val="auto"/>
          <w:lang w:eastAsia="zh-CN"/>
        </w:rPr>
        <w:t>，地表水资源总量为0.153亿m</w:t>
      </w:r>
      <w:r>
        <w:rPr>
          <w:rFonts w:hint="eastAsia"/>
          <w:color w:val="auto"/>
          <w:vertAlign w:val="superscript"/>
          <w:lang w:eastAsia="zh-CN"/>
        </w:rPr>
        <w:t>3</w:t>
      </w:r>
      <w:r>
        <w:rPr>
          <w:rFonts w:hint="eastAsia"/>
          <w:color w:val="auto"/>
          <w:lang w:eastAsia="zh-CN"/>
        </w:rPr>
        <w:t>，水质矿化度小于2.0g/L并扣除泥沙10%后，可利用量为0.1367亿m</w:t>
      </w:r>
      <w:r>
        <w:rPr>
          <w:rFonts w:hint="eastAsia"/>
          <w:color w:val="auto"/>
          <w:vertAlign w:val="superscript"/>
          <w:lang w:eastAsia="zh-CN"/>
        </w:rPr>
        <w:t>3</w:t>
      </w:r>
      <w:r>
        <w:rPr>
          <w:rFonts w:hint="eastAsia"/>
          <w:color w:val="auto"/>
          <w:lang w:eastAsia="zh-CN"/>
        </w:rPr>
        <w:t>；茹河流域面积507km</w:t>
      </w:r>
      <w:r>
        <w:rPr>
          <w:rFonts w:hint="eastAsia"/>
          <w:color w:val="auto"/>
          <w:vertAlign w:val="superscript"/>
          <w:lang w:eastAsia="zh-CN"/>
        </w:rPr>
        <w:t>2</w:t>
      </w:r>
      <w:r>
        <w:rPr>
          <w:rFonts w:hint="eastAsia"/>
          <w:color w:val="auto"/>
          <w:lang w:eastAsia="zh-CN"/>
        </w:rPr>
        <w:t>，地表水资源总量为0.132亿m</w:t>
      </w:r>
      <w:r>
        <w:rPr>
          <w:rFonts w:hint="eastAsia"/>
          <w:color w:val="auto"/>
          <w:vertAlign w:val="superscript"/>
          <w:lang w:eastAsia="zh-CN"/>
        </w:rPr>
        <w:t>3</w:t>
      </w:r>
      <w:r>
        <w:rPr>
          <w:rFonts w:hint="eastAsia"/>
          <w:color w:val="auto"/>
          <w:lang w:eastAsia="zh-CN"/>
        </w:rPr>
        <w:t>，水质矿化度小于2.0g/L并扣除泥沙10%后，可利用量为0.1188亿m</w:t>
      </w:r>
      <w:r>
        <w:rPr>
          <w:rFonts w:hint="eastAsia"/>
          <w:color w:val="auto"/>
          <w:vertAlign w:val="superscript"/>
          <w:lang w:eastAsia="zh-CN"/>
        </w:rPr>
        <w:t>3</w:t>
      </w:r>
      <w:r>
        <w:rPr>
          <w:rFonts w:hint="eastAsia"/>
          <w:color w:val="auto"/>
          <w:lang w:eastAsia="zh-CN"/>
        </w:rPr>
        <w:t>。据资料，根据径流深变差系数Cv等值线图，查算受水区年径流量变差系数Cv在0.40~0.44，偏态系数Cs＝2.0Cv。原州区多年平均地表水资源量9203万m</w:t>
      </w:r>
      <w:r>
        <w:rPr>
          <w:rFonts w:hint="eastAsia"/>
          <w:color w:val="auto"/>
          <w:vertAlign w:val="superscript"/>
          <w:lang w:eastAsia="zh-CN"/>
        </w:rPr>
        <w:t>3</w:t>
      </w:r>
      <w:r>
        <w:rPr>
          <w:rFonts w:hint="eastAsia"/>
          <w:color w:val="auto"/>
          <w:lang w:eastAsia="zh-CN"/>
        </w:rPr>
        <w:t>，保证率75%、95%的地表水资源量分别为5211万m</w:t>
      </w:r>
      <w:r>
        <w:rPr>
          <w:rFonts w:hint="eastAsia"/>
          <w:color w:val="auto"/>
          <w:vertAlign w:val="superscript"/>
          <w:lang w:eastAsia="zh-CN"/>
        </w:rPr>
        <w:t>3</w:t>
      </w:r>
      <w:r>
        <w:rPr>
          <w:rFonts w:hint="eastAsia"/>
          <w:color w:val="auto"/>
          <w:lang w:eastAsia="zh-CN"/>
        </w:rPr>
        <w:t>、3170万m</w:t>
      </w:r>
      <w:r>
        <w:rPr>
          <w:rFonts w:hint="eastAsia"/>
          <w:color w:val="auto"/>
          <w:vertAlign w:val="superscript"/>
          <w:lang w:eastAsia="zh-CN"/>
        </w:rPr>
        <w:t>3</w:t>
      </w:r>
      <w:r>
        <w:rPr>
          <w:rFonts w:hint="eastAsia"/>
          <w:color w:val="auto"/>
          <w:lang w:eastAsia="zh-CN"/>
        </w:rPr>
        <w:t>。</w:t>
      </w:r>
    </w:p>
    <w:p w14:paraId="3648B4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default" w:ascii="Times New Roman" w:hAnsi="Times New Roman" w:cs="Times New Roman"/>
          <w:color w:val="auto"/>
          <w:lang w:eastAsia="zh-CN"/>
        </w:rPr>
        <w:t>②</w:t>
      </w:r>
      <w:r>
        <w:rPr>
          <w:rFonts w:hint="eastAsia"/>
          <w:color w:val="auto"/>
          <w:lang w:eastAsia="zh-CN"/>
        </w:rPr>
        <w:t>地下水资源：地下水主要分布在清水河谷平原及南部山区，东北丘陵地下水贫乏，埋藏深。南部水质好，北部水质差。区内地下水类型主要为第四系松散岩类孔隙水，根据含水层岩性可将其细分为黄土类土孔隙水和砂砾石孔隙水两个亚类。黄土类土孔隙水主要分布在黄土丘陵的梁间洼地、沟脑掌形地、沟侧黄土坪、黄土梁的鞍部等地势低洼的地带及黄土塬区，潜水水位大多在15～20m，含水层中一般单泉流量1~5m</w:t>
      </w:r>
      <w:r>
        <w:rPr>
          <w:rFonts w:hint="eastAsia"/>
          <w:color w:val="auto"/>
          <w:vertAlign w:val="superscript"/>
          <w:lang w:eastAsia="zh-CN"/>
        </w:rPr>
        <w:t>3</w:t>
      </w:r>
      <w:r>
        <w:rPr>
          <w:rFonts w:hint="eastAsia"/>
          <w:color w:val="auto"/>
          <w:lang w:eastAsia="zh-CN"/>
        </w:rPr>
        <w:t>/d，在个别汇水条件好的地段，单泉流量可达10~20m</w:t>
      </w:r>
      <w:r>
        <w:rPr>
          <w:rFonts w:hint="eastAsia"/>
          <w:color w:val="auto"/>
          <w:vertAlign w:val="superscript"/>
          <w:lang w:eastAsia="zh-CN"/>
        </w:rPr>
        <w:t>3</w:t>
      </w:r>
      <w:r>
        <w:rPr>
          <w:rFonts w:hint="eastAsia"/>
          <w:color w:val="auto"/>
          <w:lang w:eastAsia="zh-CN"/>
        </w:rPr>
        <w:t>/d，其主要接受来自黄土丘陵区的地下水和当地大气降水的入渗补给。砾砂石孔隙水主要分布在清水河平原区及沟谷川台地中，以接受大气降水补给和地表洪流为主，其流动多受基底形态和现代沟谷的制约，多以下降泉的形式在沟谷或洼地溢出，自沟谷上游向下游运动，最终汇入河床转化为地表径流。</w:t>
      </w:r>
    </w:p>
    <w:p w14:paraId="5CB0DF6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3.1.5.2地质条件</w:t>
      </w:r>
    </w:p>
    <w:p w14:paraId="1ABFC417">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仿宋_GB2312" w:cstheme="minorBidi"/>
          <w:color w:val="auto"/>
          <w:kern w:val="2"/>
          <w:sz w:val="24"/>
          <w:szCs w:val="24"/>
          <w:lang w:val="en-US" w:eastAsia="zh-CN" w:bidi="ar-SA"/>
        </w:rPr>
      </w:pPr>
      <w:r>
        <w:rPr>
          <w:rFonts w:hint="eastAsia" w:cstheme="minorBidi"/>
          <w:color w:val="auto"/>
          <w:kern w:val="2"/>
          <w:sz w:val="24"/>
          <w:szCs w:val="24"/>
          <w:lang w:val="en-US" w:eastAsia="zh-CN" w:bidi="ar-SA"/>
        </w:rPr>
        <w:t>固原市</w:t>
      </w:r>
      <w:r>
        <w:rPr>
          <w:rFonts w:hint="eastAsia" w:ascii="Times New Roman" w:hAnsi="Times New Roman" w:eastAsia="仿宋_GB2312" w:cstheme="minorBidi"/>
          <w:color w:val="auto"/>
          <w:kern w:val="2"/>
          <w:sz w:val="24"/>
          <w:szCs w:val="24"/>
          <w:lang w:val="en-US" w:eastAsia="zh-CN" w:bidi="ar-SA"/>
        </w:rPr>
        <w:t>境内陆跨中朝准地台和昆仑秦岭地槽褶皱区。远在加里东运动期，纵贯境内南北的古陆梁随同地槽褶皱断裂上升，并在梁脊两侧产生大断裂。自中生代以来，经过多次隆起、沉积，尤其新生代第三纪末喜马拉雅运动，六盘山褶皱拔地而起，形成境内陆体框架。</w:t>
      </w:r>
    </w:p>
    <w:p w14:paraId="480F3E3E">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仿宋_GB2312" w:cstheme="minorBidi"/>
          <w:color w:val="auto"/>
          <w:kern w:val="2"/>
          <w:sz w:val="24"/>
          <w:szCs w:val="24"/>
          <w:lang w:val="en-US" w:eastAsia="zh-CN" w:bidi="ar-SA"/>
        </w:rPr>
      </w:pPr>
      <w:r>
        <w:rPr>
          <w:rFonts w:hint="eastAsia" w:ascii="Times New Roman" w:hAnsi="Times New Roman" w:eastAsia="仿宋_GB2312" w:cstheme="minorBidi"/>
          <w:color w:val="auto"/>
          <w:kern w:val="2"/>
          <w:sz w:val="24"/>
          <w:szCs w:val="24"/>
          <w:lang w:val="en-US" w:eastAsia="zh-CN" w:bidi="ar-SA"/>
        </w:rPr>
        <w:t>境内陆层除缺失志留系、泥盆系、石炭系、二叠系以外，其他各时期地层均有出露如:震旦长城系、震旦蓟县系、寒武系、奥陶系、侏罗系、下白垩系、第三系和第四系</w:t>
      </w:r>
      <w:r>
        <w:rPr>
          <w:rFonts w:hint="eastAsia" w:cstheme="minorBidi"/>
          <w:color w:val="auto"/>
          <w:kern w:val="2"/>
          <w:sz w:val="24"/>
          <w:szCs w:val="24"/>
          <w:lang w:val="en-US" w:eastAsia="zh-CN" w:bidi="ar-SA"/>
        </w:rPr>
        <w:t>，</w:t>
      </w:r>
      <w:r>
        <w:rPr>
          <w:rFonts w:hint="eastAsia" w:ascii="Times New Roman" w:hAnsi="Times New Roman" w:eastAsia="仿宋_GB2312" w:cstheme="minorBidi"/>
          <w:color w:val="auto"/>
          <w:kern w:val="2"/>
          <w:sz w:val="24"/>
          <w:szCs w:val="24"/>
          <w:lang w:val="en-US" w:eastAsia="zh-CN" w:bidi="ar-SA"/>
        </w:rPr>
        <w:t>尤其第四系发育很广，约占总面积的90%。</w:t>
      </w:r>
    </w:p>
    <w:p w14:paraId="3E4939D3">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仿宋_GB2312" w:cstheme="minorBidi"/>
          <w:color w:val="auto"/>
          <w:kern w:val="2"/>
          <w:sz w:val="24"/>
          <w:szCs w:val="24"/>
          <w:lang w:val="en-US" w:eastAsia="zh-CN" w:bidi="ar-SA"/>
        </w:rPr>
      </w:pPr>
      <w:r>
        <w:rPr>
          <w:rFonts w:hint="eastAsia" w:ascii="Times New Roman" w:hAnsi="Times New Roman" w:eastAsia="仿宋_GB2312" w:cstheme="minorBidi"/>
          <w:color w:val="auto"/>
          <w:kern w:val="2"/>
          <w:sz w:val="24"/>
          <w:szCs w:val="24"/>
          <w:lang w:val="en-US" w:eastAsia="zh-CN" w:bidi="ar-SA"/>
        </w:rPr>
        <w:t>岩石主要为沉积岩和变质岩，岩浆岩仅有零星出露。如侵入辉绿岩、侵入云煌岩</w:t>
      </w:r>
      <w:r>
        <w:rPr>
          <w:rFonts w:hint="eastAsia" w:cstheme="minorBidi"/>
          <w:color w:val="auto"/>
          <w:kern w:val="2"/>
          <w:sz w:val="24"/>
          <w:szCs w:val="24"/>
          <w:lang w:val="en-US" w:eastAsia="zh-CN" w:bidi="ar-SA"/>
        </w:rPr>
        <w:t>。</w:t>
      </w:r>
      <w:r>
        <w:rPr>
          <w:rFonts w:hint="eastAsia" w:ascii="Times New Roman" w:hAnsi="Times New Roman" w:eastAsia="仿宋_GB2312" w:cstheme="minorBidi"/>
          <w:color w:val="auto"/>
          <w:kern w:val="2"/>
          <w:sz w:val="24"/>
          <w:szCs w:val="24"/>
          <w:lang w:val="en-US" w:eastAsia="zh-CN" w:bidi="ar-SA"/>
        </w:rPr>
        <w:t>原州区地跨地台和地槽两个构造单元。以石景河至店大断裂为界，以西属祁连山褶皱系走廊过渡带，以东属中朝准地台鄂尔多斯台坳。经晋宁期、加里东期和喜马拉雅期构造运动，结束了本区地槽历史。特别是燕山和喜马拉雅运动，导致新的构造强烈。</w:t>
      </w:r>
    </w:p>
    <w:p w14:paraId="1022B79A">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3.1.</w:t>
      </w:r>
      <w:r>
        <w:rPr>
          <w:rFonts w:hint="eastAsia" w:ascii="Times New Roman" w:hAnsi="Times New Roman" w:eastAsia="黑体" w:cs="Times New Roman"/>
          <w:b/>
          <w:bCs w:val="0"/>
          <w:color w:val="auto"/>
          <w:sz w:val="28"/>
          <w:szCs w:val="28"/>
          <w:lang w:val="en-US" w:eastAsia="zh-CN"/>
        </w:rPr>
        <w:t>6</w:t>
      </w:r>
      <w:r>
        <w:rPr>
          <w:rFonts w:hint="default" w:ascii="Times New Roman" w:hAnsi="Times New Roman" w:eastAsia="黑体" w:cs="Times New Roman"/>
          <w:b/>
          <w:bCs w:val="0"/>
          <w:color w:val="auto"/>
          <w:sz w:val="28"/>
          <w:szCs w:val="28"/>
          <w:lang w:val="en-US" w:eastAsia="zh-CN"/>
        </w:rPr>
        <w:t>土壤植被</w:t>
      </w:r>
    </w:p>
    <w:p w14:paraId="28D478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eastAsia"/>
          <w:color w:val="auto"/>
          <w:lang w:eastAsia="zh-CN"/>
        </w:rPr>
        <w:t>项目所在区域以黑垆土类及黄绵土类为主，黑垆土土壤结构好，厚度大于30cm，微团聚体7%～10%；黄绵土的颗粒组成以细沙粒和粉粒为主，土壤有机质含量较低。</w:t>
      </w:r>
    </w:p>
    <w:p w14:paraId="1C231B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eastAsia"/>
          <w:color w:val="auto"/>
          <w:lang w:eastAsia="zh-CN"/>
        </w:rPr>
        <w:t>项目所在区域植被主要为人工种植粮食及油料作物，如春小麦、糜谷、胡麻、马铃薯、豆类等。</w:t>
      </w:r>
    </w:p>
    <w:p w14:paraId="0C9A9899">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3.1.</w:t>
      </w:r>
      <w:r>
        <w:rPr>
          <w:rFonts w:hint="eastAsia" w:ascii="Times New Roman" w:hAnsi="Times New Roman" w:eastAsia="黑体" w:cs="Times New Roman"/>
          <w:b/>
          <w:bCs w:val="0"/>
          <w:color w:val="auto"/>
          <w:sz w:val="28"/>
          <w:szCs w:val="28"/>
          <w:lang w:val="en-US" w:eastAsia="zh-CN"/>
        </w:rPr>
        <w:t>7</w:t>
      </w:r>
      <w:r>
        <w:rPr>
          <w:rFonts w:hint="default" w:ascii="Times New Roman" w:hAnsi="Times New Roman" w:eastAsia="黑体" w:cs="Times New Roman"/>
          <w:b/>
          <w:bCs w:val="0"/>
          <w:color w:val="auto"/>
          <w:sz w:val="28"/>
          <w:szCs w:val="28"/>
          <w:lang w:val="en-US" w:eastAsia="zh-CN"/>
        </w:rPr>
        <w:t>地震</w:t>
      </w:r>
    </w:p>
    <w:p w14:paraId="42181F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eastAsia"/>
          <w:color w:val="auto"/>
          <w:lang w:eastAsia="zh-CN"/>
        </w:rPr>
        <w:t>项目建设地址位于宁夏回族自治区固原市原州区境内。根据《建筑抗震设计规范》（GB50011-2010）（2016年版）附录A《我国主要城镇抗震设防烈度、设计基本地震速度和设计地震分组》《中国地震动参数区划图》（GB18306-2015）、《宁夏回族自治区地震安全性评价管理办法》（2022年1月18日），场地抗震设防烈度为7度，设计基本地震加速度值为0.15g，设计地震分组属第三组。</w:t>
      </w:r>
    </w:p>
    <w:p w14:paraId="00B36E5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338" w:name="_Toc9664"/>
      <w:bookmarkStart w:id="339" w:name="_Toc14553"/>
      <w:bookmarkStart w:id="340" w:name="_Toc10812"/>
      <w:bookmarkStart w:id="341" w:name="_Toc29328"/>
      <w:bookmarkStart w:id="342" w:name="_Toc20128"/>
      <w:r>
        <w:rPr>
          <w:rFonts w:hint="default" w:ascii="Times New Roman" w:hAnsi="Times New Roman" w:eastAsia="黑体" w:cs="Times New Roman"/>
          <w:b/>
          <w:color w:val="auto"/>
          <w:sz w:val="28"/>
          <w:szCs w:val="28"/>
          <w:highlight w:val="none"/>
          <w:lang w:val="en-US" w:eastAsia="zh-CN"/>
        </w:rPr>
        <w:t>3.2环境质量现状监测与评价</w:t>
      </w:r>
      <w:bookmarkEnd w:id="338"/>
      <w:bookmarkEnd w:id="339"/>
      <w:bookmarkEnd w:id="340"/>
      <w:bookmarkEnd w:id="341"/>
      <w:bookmarkEnd w:id="342"/>
    </w:p>
    <w:p w14:paraId="294188BC">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bookmarkStart w:id="343" w:name="_Toc337"/>
      <w:r>
        <w:rPr>
          <w:rFonts w:hint="default" w:ascii="Times New Roman" w:hAnsi="Times New Roman" w:eastAsia="黑体" w:cs="Times New Roman"/>
          <w:b/>
          <w:bCs w:val="0"/>
          <w:color w:val="auto"/>
          <w:sz w:val="28"/>
          <w:szCs w:val="28"/>
          <w:lang w:val="en-US" w:eastAsia="zh-CN"/>
        </w:rPr>
        <w:t>3.2.1环境空气质量现状监测与评价</w:t>
      </w:r>
      <w:bookmarkEnd w:id="343"/>
    </w:p>
    <w:p w14:paraId="6002D7F2">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3.2.1.1区域环境质量达标情况</w:t>
      </w:r>
    </w:p>
    <w:p w14:paraId="27313C11">
      <w:pPr>
        <w:bidi w:val="0"/>
        <w:rPr>
          <w:rFonts w:hint="eastAsia"/>
          <w:color w:val="auto"/>
          <w:lang w:eastAsia="zh-CN"/>
        </w:rPr>
      </w:pPr>
      <w:r>
        <w:rPr>
          <w:rFonts w:hint="eastAsia"/>
          <w:color w:val="auto"/>
          <w:lang w:eastAsia="zh-CN"/>
        </w:rPr>
        <w:t>本项目建设地点位于</w:t>
      </w:r>
      <w:r>
        <w:rPr>
          <w:rFonts w:hint="eastAsia"/>
          <w:color w:val="auto"/>
          <w:lang w:val="en-US" w:eastAsia="zh-CN"/>
        </w:rPr>
        <w:t>固原市</w:t>
      </w:r>
      <w:r>
        <w:rPr>
          <w:rFonts w:hint="eastAsia" w:ascii="Times New Roman" w:hAnsi="Times New Roman"/>
          <w:color w:val="auto"/>
        </w:rPr>
        <w:t>固原经济开发区轻工产业园（中河乡）</w:t>
      </w:r>
      <w:r>
        <w:rPr>
          <w:rFonts w:hint="eastAsia"/>
          <w:color w:val="auto"/>
          <w:lang w:eastAsia="zh-CN"/>
        </w:rPr>
        <w:t>，项目区域环境空气质量现状引用《固原市生态环境质量报告书（2024年）》中公布的原州区的监测数据对项目达标区判定。项目所在区域公布的环境空气质量现状评价具体见表3</w:t>
      </w:r>
      <w:r>
        <w:rPr>
          <w:rFonts w:hint="eastAsia"/>
          <w:color w:val="auto"/>
          <w:lang w:val="en-US" w:eastAsia="zh-CN"/>
        </w:rPr>
        <w:t>.2</w:t>
      </w:r>
      <w:r>
        <w:rPr>
          <w:rFonts w:hint="eastAsia"/>
          <w:color w:val="auto"/>
          <w:lang w:eastAsia="zh-CN"/>
        </w:rPr>
        <w:t>-1。</w:t>
      </w:r>
    </w:p>
    <w:p w14:paraId="63AEBE0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b/>
          <w:color w:val="auto"/>
          <w:sz w:val="24"/>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3.2-1</w:t>
      </w:r>
      <w:r>
        <w:rPr>
          <w:rFonts w:hint="default" w:ascii="Times New Roman" w:hAnsi="Times New Roman" w:eastAsia="黑体" w:cs="Times New Roman"/>
          <w:b/>
          <w:color w:val="auto"/>
          <w:sz w:val="24"/>
          <w:highlight w:val="none"/>
        </w:rPr>
        <w:t xml:space="preserve">  </w:t>
      </w:r>
      <w:r>
        <w:rPr>
          <w:rFonts w:hint="default" w:ascii="Times New Roman" w:hAnsi="Times New Roman" w:eastAsia="宋体" w:cs="Times New Roman"/>
          <w:b/>
          <w:color w:val="auto"/>
          <w:sz w:val="24"/>
          <w:highlight w:val="none"/>
          <w:lang w:eastAsia="zh-CN"/>
        </w:rPr>
        <w:t>项目所在</w:t>
      </w:r>
      <w:r>
        <w:rPr>
          <w:rFonts w:hint="default" w:ascii="Times New Roman" w:hAnsi="Times New Roman" w:eastAsia="宋体" w:cs="Times New Roman"/>
          <w:b/>
          <w:color w:val="auto"/>
          <w:sz w:val="24"/>
          <w:highlight w:val="none"/>
        </w:rPr>
        <w:t>区域环境</w:t>
      </w:r>
      <w:r>
        <w:rPr>
          <w:rFonts w:hint="default" w:ascii="Times New Roman" w:hAnsi="Times New Roman" w:eastAsia="宋体" w:cs="Times New Roman"/>
          <w:b/>
          <w:color w:val="auto"/>
          <w:sz w:val="24"/>
          <w:highlight w:val="none"/>
          <w:lang w:eastAsia="zh-CN"/>
        </w:rPr>
        <w:t>现状监测数据统计</w:t>
      </w:r>
      <w:r>
        <w:rPr>
          <w:rFonts w:hint="default"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lang w:eastAsia="zh-CN"/>
        </w:rPr>
        <w:t>剔除沙尘天气</w:t>
      </w:r>
      <w:r>
        <w:rPr>
          <w:rFonts w:hint="default" w:ascii="Times New Roman" w:hAnsi="Times New Roman" w:eastAsia="宋体" w:cs="Times New Roman"/>
          <w:b/>
          <w:color w:val="auto"/>
          <w:sz w:val="24"/>
          <w:highlight w:val="none"/>
        </w:rPr>
        <w:t>）</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7"/>
        <w:gridCol w:w="2776"/>
        <w:gridCol w:w="1422"/>
        <w:gridCol w:w="1339"/>
        <w:gridCol w:w="1361"/>
        <w:gridCol w:w="1163"/>
      </w:tblGrid>
      <w:tr w14:paraId="389E3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70" w:type="dxa"/>
            <w:noWrap w:val="0"/>
            <w:vAlign w:val="center"/>
          </w:tcPr>
          <w:p w14:paraId="4E0C1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2723" w:type="dxa"/>
            <w:noWrap w:val="0"/>
            <w:vAlign w:val="center"/>
          </w:tcPr>
          <w:p w14:paraId="6C6F5F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年评价指标</w:t>
            </w:r>
          </w:p>
        </w:tc>
        <w:tc>
          <w:tcPr>
            <w:tcW w:w="1395" w:type="dxa"/>
            <w:noWrap w:val="0"/>
            <w:vAlign w:val="center"/>
          </w:tcPr>
          <w:p w14:paraId="5102B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现状浓度</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rPr>
              <w:t>3</w:t>
            </w:r>
            <w:r>
              <w:rPr>
                <w:rFonts w:hint="eastAsia" w:ascii="Times New Roman" w:hAnsi="Times New Roman" w:eastAsia="宋体" w:cs="Times New Roman"/>
                <w:b/>
                <w:bCs/>
                <w:color w:val="auto"/>
                <w:sz w:val="21"/>
                <w:szCs w:val="21"/>
                <w:highlight w:val="none"/>
                <w:lang w:eastAsia="zh-CN"/>
              </w:rPr>
              <w:t>）</w:t>
            </w:r>
          </w:p>
        </w:tc>
        <w:tc>
          <w:tcPr>
            <w:tcW w:w="1313" w:type="dxa"/>
            <w:noWrap w:val="0"/>
            <w:vAlign w:val="center"/>
          </w:tcPr>
          <w:p w14:paraId="7A91D1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标准值</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rPr>
              <w:t>3</w:t>
            </w:r>
            <w:r>
              <w:rPr>
                <w:rFonts w:hint="eastAsia" w:ascii="Times New Roman" w:hAnsi="Times New Roman" w:eastAsia="宋体" w:cs="Times New Roman"/>
                <w:b/>
                <w:bCs/>
                <w:color w:val="auto"/>
                <w:sz w:val="21"/>
                <w:szCs w:val="21"/>
                <w:highlight w:val="none"/>
                <w:lang w:eastAsia="zh-CN"/>
              </w:rPr>
              <w:t>）</w:t>
            </w:r>
          </w:p>
        </w:tc>
        <w:tc>
          <w:tcPr>
            <w:tcW w:w="1335" w:type="dxa"/>
            <w:noWrap w:val="0"/>
            <w:vAlign w:val="center"/>
          </w:tcPr>
          <w:p w14:paraId="591F3F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1141" w:type="dxa"/>
            <w:noWrap w:val="0"/>
            <w:vAlign w:val="center"/>
          </w:tcPr>
          <w:p w14:paraId="2DD5D4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6259C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70" w:type="dxa"/>
            <w:noWrap w:val="0"/>
            <w:vAlign w:val="center"/>
          </w:tcPr>
          <w:p w14:paraId="0AE6E6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p>
        </w:tc>
        <w:tc>
          <w:tcPr>
            <w:tcW w:w="2723" w:type="dxa"/>
            <w:noWrap w:val="0"/>
            <w:vAlign w:val="center"/>
          </w:tcPr>
          <w:p w14:paraId="569335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395" w:type="dxa"/>
            <w:noWrap w:val="0"/>
            <w:vAlign w:val="center"/>
          </w:tcPr>
          <w:p w14:paraId="298E94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43</w:t>
            </w:r>
          </w:p>
        </w:tc>
        <w:tc>
          <w:tcPr>
            <w:tcW w:w="1313" w:type="dxa"/>
            <w:noWrap w:val="0"/>
            <w:vAlign w:val="center"/>
          </w:tcPr>
          <w:p w14:paraId="14CB32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335" w:type="dxa"/>
            <w:noWrap w:val="0"/>
            <w:vAlign w:val="center"/>
          </w:tcPr>
          <w:p w14:paraId="123828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61.4</w:t>
            </w:r>
          </w:p>
        </w:tc>
        <w:tc>
          <w:tcPr>
            <w:tcW w:w="1141" w:type="dxa"/>
            <w:noWrap w:val="0"/>
            <w:vAlign w:val="center"/>
          </w:tcPr>
          <w:p w14:paraId="6A279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达标</w:t>
            </w:r>
          </w:p>
        </w:tc>
      </w:tr>
      <w:tr w14:paraId="5C17C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70" w:type="dxa"/>
            <w:noWrap w:val="0"/>
            <w:vAlign w:val="center"/>
          </w:tcPr>
          <w:p w14:paraId="23D23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2.5</w:t>
            </w:r>
          </w:p>
        </w:tc>
        <w:tc>
          <w:tcPr>
            <w:tcW w:w="2723" w:type="dxa"/>
            <w:noWrap w:val="0"/>
            <w:vAlign w:val="center"/>
          </w:tcPr>
          <w:p w14:paraId="3EED9D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395" w:type="dxa"/>
            <w:noWrap w:val="0"/>
            <w:vAlign w:val="center"/>
          </w:tcPr>
          <w:p w14:paraId="77733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22</w:t>
            </w:r>
          </w:p>
        </w:tc>
        <w:tc>
          <w:tcPr>
            <w:tcW w:w="1313" w:type="dxa"/>
            <w:noWrap w:val="0"/>
            <w:vAlign w:val="center"/>
          </w:tcPr>
          <w:p w14:paraId="5E5D91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1335" w:type="dxa"/>
            <w:noWrap w:val="0"/>
            <w:vAlign w:val="center"/>
          </w:tcPr>
          <w:p w14:paraId="6B663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62.9</w:t>
            </w:r>
          </w:p>
        </w:tc>
        <w:tc>
          <w:tcPr>
            <w:tcW w:w="1141" w:type="dxa"/>
            <w:noWrap w:val="0"/>
            <w:vAlign w:val="center"/>
          </w:tcPr>
          <w:p w14:paraId="2D147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达标</w:t>
            </w:r>
          </w:p>
        </w:tc>
      </w:tr>
      <w:tr w14:paraId="76C5C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70" w:type="dxa"/>
            <w:noWrap w:val="0"/>
            <w:vAlign w:val="center"/>
          </w:tcPr>
          <w:p w14:paraId="40833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tc>
        <w:tc>
          <w:tcPr>
            <w:tcW w:w="2723" w:type="dxa"/>
            <w:tcBorders>
              <w:bottom w:val="single" w:color="auto" w:sz="4" w:space="0"/>
            </w:tcBorders>
            <w:noWrap w:val="0"/>
            <w:vAlign w:val="center"/>
          </w:tcPr>
          <w:p w14:paraId="3490A5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395" w:type="dxa"/>
            <w:tcBorders>
              <w:bottom w:val="single" w:color="auto" w:sz="4" w:space="0"/>
            </w:tcBorders>
            <w:noWrap w:val="0"/>
            <w:vAlign w:val="center"/>
          </w:tcPr>
          <w:p w14:paraId="338F4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w:t>
            </w:r>
          </w:p>
        </w:tc>
        <w:tc>
          <w:tcPr>
            <w:tcW w:w="1313" w:type="dxa"/>
            <w:tcBorders>
              <w:bottom w:val="single" w:color="auto" w:sz="4" w:space="0"/>
            </w:tcBorders>
            <w:noWrap w:val="0"/>
            <w:vAlign w:val="center"/>
          </w:tcPr>
          <w:p w14:paraId="70143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1335" w:type="dxa"/>
            <w:tcBorders>
              <w:bottom w:val="single" w:color="auto" w:sz="4" w:space="0"/>
            </w:tcBorders>
            <w:noWrap w:val="0"/>
            <w:vAlign w:val="center"/>
          </w:tcPr>
          <w:p w14:paraId="4AFCB2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10.0</w:t>
            </w:r>
          </w:p>
        </w:tc>
        <w:tc>
          <w:tcPr>
            <w:tcW w:w="1141" w:type="dxa"/>
            <w:tcBorders>
              <w:bottom w:val="single" w:color="auto" w:sz="4" w:space="0"/>
            </w:tcBorders>
            <w:noWrap w:val="0"/>
            <w:vAlign w:val="center"/>
          </w:tcPr>
          <w:p w14:paraId="42BCB6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达标</w:t>
            </w:r>
          </w:p>
        </w:tc>
      </w:tr>
      <w:tr w14:paraId="69FF8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70" w:type="dxa"/>
            <w:noWrap w:val="0"/>
            <w:vAlign w:val="center"/>
          </w:tcPr>
          <w:p w14:paraId="01F252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p>
        </w:tc>
        <w:tc>
          <w:tcPr>
            <w:tcW w:w="2723" w:type="dxa"/>
            <w:tcBorders>
              <w:bottom w:val="single" w:color="auto" w:sz="4" w:space="0"/>
            </w:tcBorders>
            <w:noWrap w:val="0"/>
            <w:vAlign w:val="center"/>
          </w:tcPr>
          <w:p w14:paraId="05DD0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395" w:type="dxa"/>
            <w:tcBorders>
              <w:bottom w:val="single" w:color="auto" w:sz="4" w:space="0"/>
            </w:tcBorders>
            <w:noWrap w:val="0"/>
            <w:vAlign w:val="center"/>
          </w:tcPr>
          <w:p w14:paraId="16BC86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17</w:t>
            </w:r>
          </w:p>
        </w:tc>
        <w:tc>
          <w:tcPr>
            <w:tcW w:w="1313" w:type="dxa"/>
            <w:tcBorders>
              <w:bottom w:val="single" w:color="auto" w:sz="4" w:space="0"/>
            </w:tcBorders>
            <w:noWrap w:val="0"/>
            <w:vAlign w:val="center"/>
          </w:tcPr>
          <w:p w14:paraId="067D0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1335" w:type="dxa"/>
            <w:tcBorders>
              <w:bottom w:val="single" w:color="auto" w:sz="4" w:space="0"/>
            </w:tcBorders>
            <w:noWrap w:val="0"/>
            <w:vAlign w:val="center"/>
          </w:tcPr>
          <w:p w14:paraId="6D0CC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42.5</w:t>
            </w:r>
          </w:p>
        </w:tc>
        <w:tc>
          <w:tcPr>
            <w:tcW w:w="1141" w:type="dxa"/>
            <w:tcBorders>
              <w:bottom w:val="single" w:color="auto" w:sz="4" w:space="0"/>
            </w:tcBorders>
            <w:noWrap w:val="0"/>
            <w:vAlign w:val="center"/>
          </w:tcPr>
          <w:p w14:paraId="13B0DA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达标</w:t>
            </w:r>
          </w:p>
        </w:tc>
      </w:tr>
      <w:tr w14:paraId="391B2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70" w:type="dxa"/>
            <w:noWrap w:val="0"/>
            <w:vAlign w:val="center"/>
          </w:tcPr>
          <w:p w14:paraId="283944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w:t>
            </w:r>
          </w:p>
        </w:tc>
        <w:tc>
          <w:tcPr>
            <w:tcW w:w="2723" w:type="dxa"/>
            <w:noWrap w:val="0"/>
            <w:vAlign w:val="center"/>
          </w:tcPr>
          <w:p w14:paraId="42872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24小时平均第95百分数</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lang w:eastAsia="zh-CN"/>
              </w:rPr>
              <w:t>）</w:t>
            </w:r>
          </w:p>
        </w:tc>
        <w:tc>
          <w:tcPr>
            <w:tcW w:w="1395" w:type="dxa"/>
            <w:noWrap w:val="0"/>
            <w:vAlign w:val="center"/>
          </w:tcPr>
          <w:p w14:paraId="39D78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w:t>
            </w:r>
          </w:p>
        </w:tc>
        <w:tc>
          <w:tcPr>
            <w:tcW w:w="1313" w:type="dxa"/>
            <w:noWrap w:val="0"/>
            <w:vAlign w:val="center"/>
          </w:tcPr>
          <w:p w14:paraId="77DEA6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335" w:type="dxa"/>
            <w:noWrap w:val="0"/>
            <w:vAlign w:val="center"/>
          </w:tcPr>
          <w:p w14:paraId="02E8D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25.0</w:t>
            </w:r>
          </w:p>
        </w:tc>
        <w:tc>
          <w:tcPr>
            <w:tcW w:w="1141" w:type="dxa"/>
            <w:noWrap w:val="0"/>
            <w:vAlign w:val="center"/>
          </w:tcPr>
          <w:p w14:paraId="05A0C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达标</w:t>
            </w:r>
          </w:p>
        </w:tc>
      </w:tr>
      <w:tr w14:paraId="11FAC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70" w:type="dxa"/>
            <w:noWrap w:val="0"/>
            <w:vAlign w:val="center"/>
          </w:tcPr>
          <w:p w14:paraId="50D12E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O</w:t>
            </w:r>
            <w:r>
              <w:rPr>
                <w:rFonts w:hint="default" w:ascii="Times New Roman" w:hAnsi="Times New Roman" w:eastAsia="宋体" w:cs="Times New Roman"/>
                <w:b/>
                <w:bCs/>
                <w:color w:val="auto"/>
                <w:sz w:val="21"/>
                <w:szCs w:val="21"/>
                <w:highlight w:val="none"/>
                <w:vertAlign w:val="subscript"/>
              </w:rPr>
              <w:t>3</w:t>
            </w:r>
          </w:p>
        </w:tc>
        <w:tc>
          <w:tcPr>
            <w:tcW w:w="2723" w:type="dxa"/>
            <w:noWrap w:val="0"/>
            <w:vAlign w:val="center"/>
          </w:tcPr>
          <w:p w14:paraId="629E6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日最大8小时滑动平均值的第90百分数</w:t>
            </w:r>
          </w:p>
        </w:tc>
        <w:tc>
          <w:tcPr>
            <w:tcW w:w="1395" w:type="dxa"/>
            <w:noWrap w:val="0"/>
            <w:vAlign w:val="center"/>
          </w:tcPr>
          <w:p w14:paraId="60E9B2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136</w:t>
            </w:r>
          </w:p>
        </w:tc>
        <w:tc>
          <w:tcPr>
            <w:tcW w:w="1313" w:type="dxa"/>
            <w:noWrap w:val="0"/>
            <w:vAlign w:val="center"/>
          </w:tcPr>
          <w:p w14:paraId="49495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160</w:t>
            </w:r>
          </w:p>
        </w:tc>
        <w:tc>
          <w:tcPr>
            <w:tcW w:w="1335" w:type="dxa"/>
            <w:noWrap w:val="0"/>
            <w:vAlign w:val="center"/>
          </w:tcPr>
          <w:p w14:paraId="29C9E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85.0</w:t>
            </w:r>
          </w:p>
        </w:tc>
        <w:tc>
          <w:tcPr>
            <w:tcW w:w="1141" w:type="dxa"/>
            <w:noWrap w:val="0"/>
            <w:vAlign w:val="center"/>
          </w:tcPr>
          <w:p w14:paraId="26C263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达标</w:t>
            </w:r>
          </w:p>
        </w:tc>
      </w:tr>
    </w:tbl>
    <w:p w14:paraId="3F6CC4F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eastAsia="zh-CN"/>
        </w:rPr>
        <w:t>由上表可知，202</w:t>
      </w:r>
      <w:r>
        <w:rPr>
          <w:rFonts w:hint="eastAsia"/>
          <w:color w:val="auto"/>
          <w:lang w:val="en-US" w:eastAsia="zh-CN"/>
        </w:rPr>
        <w:t>4</w:t>
      </w:r>
      <w:r>
        <w:rPr>
          <w:rFonts w:hint="eastAsia"/>
          <w:color w:val="auto"/>
          <w:lang w:eastAsia="zh-CN"/>
        </w:rPr>
        <w:t>年原州区大气环境中PM</w:t>
      </w:r>
      <w:r>
        <w:rPr>
          <w:rFonts w:hint="eastAsia"/>
          <w:color w:val="auto"/>
          <w:vertAlign w:val="subscript"/>
          <w:lang w:eastAsia="zh-CN"/>
        </w:rPr>
        <w:t>10</w:t>
      </w:r>
      <w:r>
        <w:rPr>
          <w:rFonts w:hint="eastAsia"/>
          <w:color w:val="auto"/>
          <w:lang w:eastAsia="zh-CN"/>
        </w:rPr>
        <w:t>、PM</w:t>
      </w:r>
      <w:r>
        <w:rPr>
          <w:rFonts w:hint="eastAsia"/>
          <w:color w:val="auto"/>
          <w:vertAlign w:val="subscript"/>
          <w:lang w:eastAsia="zh-CN"/>
        </w:rPr>
        <w:t>2.5</w:t>
      </w:r>
      <w:r>
        <w:rPr>
          <w:rFonts w:hint="eastAsia"/>
          <w:color w:val="auto"/>
          <w:lang w:eastAsia="zh-CN"/>
        </w:rPr>
        <w:t>、SO</w:t>
      </w:r>
      <w:r>
        <w:rPr>
          <w:rFonts w:hint="eastAsia"/>
          <w:color w:val="auto"/>
          <w:vertAlign w:val="subscript"/>
          <w:lang w:eastAsia="zh-CN"/>
        </w:rPr>
        <w:t>2</w:t>
      </w:r>
      <w:r>
        <w:rPr>
          <w:rFonts w:hint="eastAsia"/>
          <w:color w:val="auto"/>
          <w:lang w:eastAsia="zh-CN"/>
        </w:rPr>
        <w:t>、NO</w:t>
      </w:r>
      <w:r>
        <w:rPr>
          <w:rFonts w:hint="eastAsia"/>
          <w:color w:val="auto"/>
          <w:vertAlign w:val="subscript"/>
          <w:lang w:eastAsia="zh-CN"/>
        </w:rPr>
        <w:t>2</w:t>
      </w:r>
      <w:r>
        <w:rPr>
          <w:rFonts w:hint="eastAsia"/>
          <w:color w:val="auto"/>
          <w:lang w:eastAsia="zh-CN"/>
        </w:rPr>
        <w:t>、CO、O</w:t>
      </w:r>
      <w:r>
        <w:rPr>
          <w:rFonts w:hint="eastAsia"/>
          <w:color w:val="auto"/>
          <w:vertAlign w:val="subscript"/>
          <w:lang w:eastAsia="zh-CN"/>
        </w:rPr>
        <w:t>3</w:t>
      </w:r>
      <w:r>
        <w:rPr>
          <w:rFonts w:hint="eastAsia"/>
          <w:color w:val="auto"/>
          <w:lang w:eastAsia="zh-CN"/>
        </w:rPr>
        <w:t>环境监测数据均符合《环境空气质量标准》（GB3095-2012及修改单）表1中二级标准限值要求，</w:t>
      </w:r>
      <w:r>
        <w:rPr>
          <w:rFonts w:hint="eastAsia"/>
          <w:color w:val="auto"/>
          <w:lang w:val="en-US" w:eastAsia="zh-CN"/>
        </w:rPr>
        <w:t>项目所在区域为达标区。</w:t>
      </w:r>
    </w:p>
    <w:p w14:paraId="663683F2">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3.2.1.</w:t>
      </w:r>
      <w:r>
        <w:rPr>
          <w:rFonts w:hint="eastAsia" w:ascii="Times New Roman" w:hAnsi="Times New Roman" w:eastAsia="黑体" w:cs="Times New Roman"/>
          <w:b/>
          <w:bCs w:val="0"/>
          <w:color w:val="auto"/>
          <w:sz w:val="24"/>
          <w:szCs w:val="24"/>
          <w:lang w:val="en-US" w:eastAsia="zh-CN"/>
        </w:rPr>
        <w:t>2</w:t>
      </w:r>
      <w:r>
        <w:rPr>
          <w:rFonts w:hint="default" w:ascii="Times New Roman" w:hAnsi="Times New Roman" w:eastAsia="黑体" w:cs="Times New Roman"/>
          <w:b/>
          <w:bCs w:val="0"/>
          <w:color w:val="auto"/>
          <w:sz w:val="24"/>
          <w:szCs w:val="24"/>
          <w:lang w:val="en-US" w:eastAsia="zh-CN"/>
        </w:rPr>
        <w:t>补充监测因子环境质量现状</w:t>
      </w:r>
    </w:p>
    <w:p w14:paraId="1E3C18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eastAsia"/>
          <w:color w:val="auto"/>
          <w:lang w:eastAsia="zh-CN"/>
        </w:rPr>
        <w:t>按照《环境影响评价技术导则 大气环境》（HJ2.2-2018）要求，根据项目污染物产排特征，本次评价</w:t>
      </w:r>
      <w:r>
        <w:rPr>
          <w:rFonts w:hint="eastAsia"/>
          <w:color w:val="auto"/>
          <w:lang w:val="en-US" w:eastAsia="zh-CN"/>
        </w:rPr>
        <w:t>引用</w:t>
      </w:r>
      <w:r>
        <w:rPr>
          <w:rFonts w:hint="eastAsia"/>
          <w:color w:val="auto"/>
          <w:lang w:eastAsia="zh-CN"/>
        </w:rPr>
        <w:t>宁夏华鼎环保科技有限公司于202</w:t>
      </w:r>
      <w:r>
        <w:rPr>
          <w:rFonts w:hint="eastAsia"/>
          <w:color w:val="auto"/>
          <w:lang w:val="en-US" w:eastAsia="zh-CN"/>
        </w:rPr>
        <w:t>5</w:t>
      </w:r>
      <w:r>
        <w:rPr>
          <w:rFonts w:hint="eastAsia"/>
          <w:color w:val="auto"/>
          <w:lang w:eastAsia="zh-CN"/>
        </w:rPr>
        <w:t>年</w:t>
      </w:r>
      <w:r>
        <w:rPr>
          <w:rFonts w:hint="eastAsia"/>
          <w:color w:val="auto"/>
          <w:lang w:val="en-US" w:eastAsia="zh-CN"/>
        </w:rPr>
        <w:t>2</w:t>
      </w:r>
      <w:r>
        <w:rPr>
          <w:rFonts w:hint="eastAsia"/>
          <w:color w:val="auto"/>
          <w:lang w:eastAsia="zh-CN"/>
        </w:rPr>
        <w:t>月2</w:t>
      </w:r>
      <w:r>
        <w:rPr>
          <w:rFonts w:hint="eastAsia"/>
          <w:color w:val="auto"/>
          <w:lang w:val="en-US" w:eastAsia="zh-CN"/>
        </w:rPr>
        <w:t>7</w:t>
      </w:r>
      <w:r>
        <w:rPr>
          <w:rFonts w:hint="eastAsia"/>
          <w:color w:val="auto"/>
          <w:lang w:eastAsia="zh-CN"/>
        </w:rPr>
        <w:t>日</w:t>
      </w:r>
      <w:r>
        <w:rPr>
          <w:rFonts w:hint="eastAsia"/>
          <w:color w:val="auto"/>
          <w:lang w:val="en-US" w:eastAsia="zh-CN"/>
        </w:rPr>
        <w:t>-3</w:t>
      </w:r>
      <w:r>
        <w:rPr>
          <w:rFonts w:hint="eastAsia"/>
          <w:color w:val="auto"/>
          <w:lang w:eastAsia="zh-CN"/>
        </w:rPr>
        <w:t>月</w:t>
      </w:r>
      <w:r>
        <w:rPr>
          <w:rFonts w:hint="eastAsia"/>
          <w:color w:val="auto"/>
          <w:lang w:val="en-US" w:eastAsia="zh-CN"/>
        </w:rPr>
        <w:t>5</w:t>
      </w:r>
      <w:r>
        <w:rPr>
          <w:rFonts w:hint="eastAsia"/>
          <w:color w:val="auto"/>
          <w:lang w:eastAsia="zh-CN"/>
        </w:rPr>
        <w:t>日对项目厂址</w:t>
      </w:r>
      <w:r>
        <w:rPr>
          <w:rFonts w:hint="eastAsia"/>
          <w:color w:val="auto"/>
          <w:lang w:val="en-US" w:eastAsia="zh-CN"/>
        </w:rPr>
        <w:t>南侧30m处</w:t>
      </w:r>
      <w:r>
        <w:rPr>
          <w:rFonts w:hint="eastAsia"/>
          <w:color w:val="auto"/>
          <w:lang w:eastAsia="zh-CN"/>
        </w:rPr>
        <w:t>的环境现状监测数据进行评价，监测点位和监测因子可满足本次评价需要。具体监测点位布设见图</w:t>
      </w:r>
      <w:r>
        <w:rPr>
          <w:rFonts w:hint="eastAsia"/>
          <w:color w:val="auto"/>
          <w:lang w:val="en-US" w:eastAsia="zh-CN"/>
        </w:rPr>
        <w:t>3.2</w:t>
      </w:r>
      <w:r>
        <w:rPr>
          <w:rFonts w:hint="eastAsia"/>
          <w:color w:val="auto"/>
          <w:lang w:eastAsia="zh-CN"/>
        </w:rPr>
        <w:t>-1。</w:t>
      </w:r>
    </w:p>
    <w:p w14:paraId="65E17893">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监测因子及监测点位</w:t>
      </w:r>
    </w:p>
    <w:p w14:paraId="6C8122A3">
      <w:pPr>
        <w:adjustRightInd w:val="0"/>
        <w:snapToGrid w:val="0"/>
        <w:spacing w:line="240" w:lineRule="auto"/>
        <w:ind w:firstLine="420" w:firstLineChars="200"/>
        <w:jc w:val="both"/>
        <w:rPr>
          <w:rFonts w:hint="default" w:ascii="Times New Roman" w:hAnsi="Times New Roman" w:eastAsia="宋体" w:cs="Times New Roman"/>
          <w:b/>
          <w:color w:val="auto"/>
          <w:sz w:val="24"/>
          <w:szCs w:val="24"/>
        </w:rPr>
      </w:pPr>
      <w:r>
        <w:rPr>
          <w:rFonts w:hint="default" w:ascii="Times New Roman" w:hAnsi="Times New Roman" w:eastAsia="宋体" w:cs="Times New Roman"/>
          <w:b w:val="0"/>
          <w:bCs w:val="0"/>
          <w:color w:val="auto"/>
          <w:kern w:val="0"/>
          <w:sz w:val="21"/>
          <w:szCs w:val="21"/>
          <w:lang w:val="en-US" w:eastAsia="zh-CN" w:bidi="ar-SA"/>
        </w:rPr>
        <w:t>表</w:t>
      </w:r>
      <w:r>
        <w:rPr>
          <w:rFonts w:hint="eastAsia" w:ascii="Times New Roman" w:hAnsi="Times New Roman" w:eastAsia="宋体" w:cs="Times New Roman"/>
          <w:b w:val="0"/>
          <w:bCs w:val="0"/>
          <w:color w:val="auto"/>
          <w:kern w:val="0"/>
          <w:sz w:val="21"/>
          <w:szCs w:val="21"/>
          <w:lang w:val="en-US" w:eastAsia="zh-CN" w:bidi="ar-SA"/>
        </w:rPr>
        <w:t>3.2-2</w:t>
      </w:r>
      <w:r>
        <w:rPr>
          <w:rFonts w:hint="default" w:ascii="Times New Roman" w:hAnsi="Times New Roman" w:eastAsia="宋体" w:cs="Times New Roman"/>
          <w:b/>
          <w:bCs/>
          <w:color w:val="auto"/>
          <w:sz w:val="24"/>
          <w:szCs w:val="24"/>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环境</w:t>
      </w:r>
      <w:r>
        <w:rPr>
          <w:rFonts w:hint="default" w:ascii="Times New Roman" w:hAnsi="Times New Roman" w:eastAsia="宋体" w:cs="Times New Roman"/>
          <w:b/>
          <w:color w:val="auto"/>
          <w:sz w:val="24"/>
          <w:szCs w:val="24"/>
        </w:rPr>
        <w:t>空气质量现状</w:t>
      </w:r>
      <w:r>
        <w:rPr>
          <w:rFonts w:hint="eastAsia" w:ascii="Times New Roman" w:hAnsi="Times New Roman" w:eastAsia="宋体" w:cs="Times New Roman"/>
          <w:b/>
          <w:color w:val="auto"/>
          <w:sz w:val="24"/>
          <w:szCs w:val="24"/>
          <w:lang w:eastAsia="zh-CN"/>
        </w:rPr>
        <w:t>监测</w:t>
      </w:r>
      <w:r>
        <w:rPr>
          <w:rFonts w:hint="default" w:ascii="Times New Roman" w:hAnsi="Times New Roman" w:eastAsia="宋体" w:cs="Times New Roman"/>
          <w:b/>
          <w:color w:val="auto"/>
          <w:sz w:val="24"/>
          <w:szCs w:val="24"/>
        </w:rPr>
        <w:t>点位情况表</w:t>
      </w:r>
    </w:p>
    <w:tbl>
      <w:tblPr>
        <w:tblStyle w:val="27"/>
        <w:tblW w:w="49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770"/>
        <w:gridCol w:w="2568"/>
        <w:gridCol w:w="1410"/>
        <w:gridCol w:w="2789"/>
        <w:gridCol w:w="1109"/>
      </w:tblGrid>
      <w:tr w14:paraId="4057E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698" w:hRule="atLeast"/>
          <w:jc w:val="center"/>
        </w:trPr>
        <w:tc>
          <w:tcPr>
            <w:tcW w:w="445" w:type="pct"/>
            <w:tcBorders>
              <w:tl2br w:val="nil"/>
              <w:tr2bl w:val="nil"/>
            </w:tcBorders>
            <w:shd w:val="clear" w:color="auto" w:fill="auto"/>
            <w:vAlign w:val="center"/>
          </w:tcPr>
          <w:p w14:paraId="36F16A90">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编号</w:t>
            </w:r>
          </w:p>
        </w:tc>
        <w:tc>
          <w:tcPr>
            <w:tcW w:w="1484" w:type="pct"/>
            <w:tcBorders>
              <w:tl2br w:val="nil"/>
              <w:tr2bl w:val="nil"/>
            </w:tcBorders>
            <w:shd w:val="clear" w:color="auto" w:fill="auto"/>
            <w:vAlign w:val="center"/>
          </w:tcPr>
          <w:p w14:paraId="4F4C72E8">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监测点名称</w:t>
            </w:r>
          </w:p>
        </w:tc>
        <w:tc>
          <w:tcPr>
            <w:tcW w:w="815" w:type="pct"/>
            <w:tcBorders>
              <w:tl2br w:val="nil"/>
              <w:tr2bl w:val="nil"/>
            </w:tcBorders>
            <w:shd w:val="clear" w:color="auto" w:fill="auto"/>
            <w:vAlign w:val="center"/>
          </w:tcPr>
          <w:p w14:paraId="1DDA2C37">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lang w:val="en-US" w:eastAsia="zh-CN"/>
              </w:rPr>
            </w:pPr>
            <w:r>
              <w:rPr>
                <w:rFonts w:hint="eastAsia" w:ascii="Times New Roman" w:hAnsi="Times New Roman" w:eastAsia="宋体" w:cs="Times New Roman"/>
                <w:b/>
                <w:bCs/>
                <w:color w:val="auto"/>
                <w:spacing w:val="0"/>
                <w:w w:val="100"/>
                <w:position w:val="0"/>
                <w:sz w:val="21"/>
                <w:szCs w:val="21"/>
                <w:lang w:val="en-US" w:eastAsia="zh-CN"/>
              </w:rPr>
              <w:t>监测因子</w:t>
            </w:r>
          </w:p>
        </w:tc>
        <w:tc>
          <w:tcPr>
            <w:tcW w:w="1612" w:type="pct"/>
            <w:tcBorders>
              <w:tl2br w:val="nil"/>
              <w:tr2bl w:val="nil"/>
            </w:tcBorders>
            <w:shd w:val="clear" w:color="auto" w:fill="auto"/>
            <w:vAlign w:val="center"/>
          </w:tcPr>
          <w:p w14:paraId="64E2C1D7">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坐标</w:t>
            </w:r>
          </w:p>
        </w:tc>
        <w:tc>
          <w:tcPr>
            <w:tcW w:w="641" w:type="pct"/>
            <w:tcBorders>
              <w:tl2br w:val="nil"/>
              <w:tr2bl w:val="nil"/>
            </w:tcBorders>
            <w:shd w:val="clear" w:color="auto" w:fill="auto"/>
            <w:vAlign w:val="center"/>
          </w:tcPr>
          <w:p w14:paraId="3F61F626">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lang w:val="en-US" w:eastAsia="zh-CN"/>
              </w:rPr>
            </w:pPr>
            <w:r>
              <w:rPr>
                <w:rFonts w:hint="default" w:ascii="Times New Roman" w:hAnsi="Times New Roman" w:eastAsia="宋体" w:cs="Times New Roman"/>
                <w:b/>
                <w:bCs/>
                <w:color w:val="auto"/>
                <w:spacing w:val="0"/>
                <w:w w:val="100"/>
                <w:position w:val="0"/>
                <w:sz w:val="21"/>
                <w:szCs w:val="21"/>
              </w:rPr>
              <w:t>方位</w:t>
            </w:r>
            <w:r>
              <w:rPr>
                <w:rFonts w:hint="eastAsia" w:ascii="Times New Roman" w:hAnsi="Times New Roman" w:cs="Times New Roman"/>
                <w:b/>
                <w:bCs/>
                <w:color w:val="auto"/>
                <w:spacing w:val="0"/>
                <w:w w:val="100"/>
                <w:position w:val="0"/>
                <w:sz w:val="21"/>
                <w:szCs w:val="21"/>
                <w:lang w:val="en-US" w:eastAsia="zh-CN"/>
              </w:rPr>
              <w:t>/距离</w:t>
            </w:r>
          </w:p>
        </w:tc>
      </w:tr>
      <w:tr w14:paraId="1D8AF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723" w:hRule="atLeast"/>
          <w:jc w:val="center"/>
        </w:trPr>
        <w:tc>
          <w:tcPr>
            <w:tcW w:w="445" w:type="pct"/>
            <w:tcBorders>
              <w:tl2br w:val="nil"/>
              <w:tr2bl w:val="nil"/>
            </w:tcBorders>
            <w:shd w:val="clear" w:color="auto" w:fill="auto"/>
            <w:vAlign w:val="center"/>
          </w:tcPr>
          <w:p w14:paraId="0497A7FF">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1#</w:t>
            </w:r>
          </w:p>
        </w:tc>
        <w:tc>
          <w:tcPr>
            <w:tcW w:w="1484" w:type="pct"/>
            <w:tcBorders>
              <w:tl2br w:val="nil"/>
              <w:tr2bl w:val="nil"/>
            </w:tcBorders>
            <w:shd w:val="clear" w:color="auto" w:fill="auto"/>
            <w:vAlign w:val="center"/>
          </w:tcPr>
          <w:p w14:paraId="1DAC3CD2">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大气监测点1#</w:t>
            </w:r>
          </w:p>
        </w:tc>
        <w:tc>
          <w:tcPr>
            <w:tcW w:w="815" w:type="pct"/>
            <w:tcBorders>
              <w:tl2br w:val="nil"/>
              <w:tr2bl w:val="nil"/>
            </w:tcBorders>
            <w:shd w:val="clear" w:color="auto" w:fill="auto"/>
            <w:vAlign w:val="center"/>
          </w:tcPr>
          <w:p w14:paraId="78BD8B0D">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氨、硫化氢</w:t>
            </w:r>
          </w:p>
        </w:tc>
        <w:tc>
          <w:tcPr>
            <w:tcW w:w="1612" w:type="pct"/>
            <w:tcBorders>
              <w:tl2br w:val="nil"/>
              <w:tr2bl w:val="nil"/>
            </w:tcBorders>
            <w:shd w:val="clear" w:color="auto" w:fill="auto"/>
            <w:vAlign w:val="center"/>
          </w:tcPr>
          <w:p w14:paraId="3AA68608">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en-US"/>
              </w:rPr>
            </w:pPr>
            <w:r>
              <w:rPr>
                <w:rFonts w:hint="default" w:ascii="Times New Roman" w:hAnsi="Times New Roman" w:eastAsia="宋体" w:cs="Times New Roman"/>
                <w:color w:val="auto"/>
                <w:spacing w:val="0"/>
                <w:w w:val="100"/>
                <w:position w:val="0"/>
                <w:sz w:val="21"/>
                <w:szCs w:val="21"/>
                <w:lang w:val="en-US" w:eastAsia="en-US"/>
              </w:rPr>
              <w:t>106°11′9.381″</w:t>
            </w:r>
            <w:r>
              <w:rPr>
                <w:rFonts w:hint="default" w:ascii="Times New Roman" w:hAnsi="Times New Roman" w:eastAsia="宋体" w:cs="Times New Roman"/>
                <w:color w:val="auto"/>
                <w:spacing w:val="0"/>
                <w:w w:val="100"/>
                <w:position w:val="0"/>
                <w:sz w:val="21"/>
                <w:szCs w:val="21"/>
                <w:lang w:val="en-US" w:eastAsia="zh-CN"/>
              </w:rPr>
              <w:t>，</w:t>
            </w:r>
            <w:r>
              <w:rPr>
                <w:rFonts w:hint="default" w:ascii="Times New Roman" w:hAnsi="Times New Roman" w:eastAsia="宋体" w:cs="Times New Roman"/>
                <w:color w:val="auto"/>
                <w:spacing w:val="0"/>
                <w:w w:val="100"/>
                <w:position w:val="0"/>
                <w:sz w:val="21"/>
                <w:szCs w:val="21"/>
                <w:lang w:val="en-US" w:eastAsia="en-US"/>
              </w:rPr>
              <w:t>36°0′15.860″</w:t>
            </w:r>
          </w:p>
        </w:tc>
        <w:tc>
          <w:tcPr>
            <w:tcW w:w="641" w:type="pct"/>
            <w:tcBorders>
              <w:tl2br w:val="nil"/>
              <w:tr2bl w:val="nil"/>
            </w:tcBorders>
            <w:shd w:val="clear" w:color="auto" w:fill="auto"/>
            <w:vAlign w:val="center"/>
          </w:tcPr>
          <w:p w14:paraId="47287517">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S，30m</w:t>
            </w:r>
          </w:p>
        </w:tc>
      </w:tr>
    </w:tbl>
    <w:p w14:paraId="56EAC144">
      <w:pPr>
        <w:pStyle w:val="34"/>
        <w:widowControl w:val="0"/>
        <w:numPr>
          <w:ilvl w:val="0"/>
          <w:numId w:val="0"/>
        </w:numPr>
        <w:autoSpaceDE w:val="0"/>
        <w:autoSpaceDN w:val="0"/>
        <w:adjustRightInd w:val="0"/>
        <w:rPr>
          <w:rFonts w:hint="default"/>
          <w:color w:val="auto"/>
          <w:lang w:val="en-US" w:eastAsia="zh-CN"/>
        </w:rPr>
      </w:pPr>
    </w:p>
    <w:tbl>
      <w:tblPr>
        <w:tblStyle w:val="28"/>
        <w:tblW w:w="4900" w:type="pct"/>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769"/>
      </w:tblGrid>
      <w:tr w14:paraId="35FC075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23" w:hRule="atLeast"/>
          <w:jc w:val="center"/>
        </w:trPr>
        <w:tc>
          <w:tcPr>
            <w:tcW w:w="8882" w:type="dxa"/>
            <w:tcBorders>
              <w:tl2br w:val="nil"/>
              <w:tr2bl w:val="nil"/>
            </w:tcBorders>
            <w:vAlign w:val="top"/>
          </w:tcPr>
          <w:p w14:paraId="202ABA9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val="0"/>
                <w:color w:val="auto"/>
                <w:kern w:val="0"/>
                <w:sz w:val="24"/>
                <w:vertAlign w:val="baseline"/>
                <w:lang w:val="en-US" w:eastAsia="zh-CN"/>
              </w:rPr>
            </w:pPr>
            <w:r>
              <w:rPr>
                <w:sz w:val="24"/>
              </w:rPr>
              <mc:AlternateContent>
                <mc:Choice Requires="wps">
                  <w:drawing>
                    <wp:anchor distT="0" distB="0" distL="114300" distR="114300" simplePos="0" relativeHeight="251687936" behindDoc="0" locked="0" layoutInCell="1" allowOverlap="1">
                      <wp:simplePos x="0" y="0"/>
                      <wp:positionH relativeFrom="column">
                        <wp:posOffset>4920615</wp:posOffset>
                      </wp:positionH>
                      <wp:positionV relativeFrom="paragraph">
                        <wp:posOffset>4680585</wp:posOffset>
                      </wp:positionV>
                      <wp:extent cx="383540" cy="76200"/>
                      <wp:effectExtent l="0" t="0" r="16510" b="0"/>
                      <wp:wrapNone/>
                      <wp:docPr id="5" name="矩形 5"/>
                      <wp:cNvGraphicFramePr/>
                      <a:graphic xmlns:a="http://schemas.openxmlformats.org/drawingml/2006/main">
                        <a:graphicData uri="http://schemas.microsoft.com/office/word/2010/wordprocessingShape">
                          <wps:wsp>
                            <wps:cNvSpPr/>
                            <wps:spPr>
                              <a:xfrm>
                                <a:off x="0" y="0"/>
                                <a:ext cx="383540" cy="76200"/>
                              </a:xfrm>
                              <a:prstGeom prst="rect">
                                <a:avLst/>
                              </a:prstGeom>
                              <a:blipFill rotWithShape="1">
                                <a:blip r:embed="rId66"/>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7.45pt;margin-top:368.55pt;height:6pt;width:30.2pt;z-index:251687936;v-text-anchor:middle;mso-width-relative:page;mso-height-relative:page;" filled="t" stroked="f" coordsize="21600,21600" o:gfxdata="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">
                      <v:fill type="frame" on="t" focussize="0,0" recolor="t" rotate="t" r:id="rId66"/>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5080</wp:posOffset>
                      </wp:positionH>
                      <wp:positionV relativeFrom="paragraph">
                        <wp:posOffset>4030980</wp:posOffset>
                      </wp:positionV>
                      <wp:extent cx="1211580" cy="883920"/>
                      <wp:effectExtent l="0" t="0" r="7620" b="11430"/>
                      <wp:wrapNone/>
                      <wp:docPr id="34" name="矩形 34"/>
                      <wp:cNvGraphicFramePr/>
                      <a:graphic xmlns:a="http://schemas.openxmlformats.org/drawingml/2006/main">
                        <a:graphicData uri="http://schemas.microsoft.com/office/word/2010/wordprocessingShape">
                          <wps:wsp>
                            <wps:cNvSpPr/>
                            <wps:spPr>
                              <a:xfrm>
                                <a:off x="1069340" y="5130165"/>
                                <a:ext cx="1211580" cy="883920"/>
                              </a:xfrm>
                              <a:prstGeom prst="rect">
                                <a:avLst/>
                              </a:prstGeom>
                              <a:blipFill rotWithShape="1">
                                <a:blip r:embed="rId67"/>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317.4pt;height:69.6pt;width:95.4pt;z-index:251686912;v-text-anchor:middle;mso-width-relative:page;mso-height-relative:page;" filled="t" stroked="f" coordsize="21600,21600" o:gfxdata="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">
                      <v:fill type="frame" on="t" focussize="0,0" recolor="t" rotate="t" r:id="rId67"/>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3010535</wp:posOffset>
                      </wp:positionH>
                      <wp:positionV relativeFrom="paragraph">
                        <wp:posOffset>1758950</wp:posOffset>
                      </wp:positionV>
                      <wp:extent cx="428625" cy="318770"/>
                      <wp:effectExtent l="0" t="0" r="0" b="0"/>
                      <wp:wrapNone/>
                      <wp:docPr id="33" name="矩形 33"/>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9654460">
                                  <w:pPr>
                                    <w:spacing w:line="240" w:lineRule="auto"/>
                                    <w:ind w:left="0" w:leftChars="0" w:firstLine="0" w:firstLineChars="0"/>
                                    <w:jc w:val="center"/>
                                    <w:rPr>
                                      <w:rFonts w:hint="default" w:eastAsia="仿宋_GB2312"/>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N4#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05pt;margin-top:138.5pt;height:25.1pt;width:33.75pt;z-index:251685888;v-text-anchor:middle;mso-width-relative:page;mso-height-relative:page;" filled="f" stroked="f" coordsize="21600,21600" o:gfxdata="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HHKj2gAAAAsBAAAPAAAAAAAAAAEAIAAAACIAAABkcnMvZG93bnJldi54bWxQSwECFAAU&#10;AAAACACHTuJATjJN+2ECAACuBAAADgAAAAAAAAABACAAAAApAQAAZHJzL2Uyb0RvYy54bWxQSwUG&#10;AAAAAAYABgBZAQAA/AUAAAAA&#10;">
                      <v:fill on="f" focussize="0,0"/>
                      <v:stroke on="f" weight="1pt" miterlimit="8" joinstyle="miter"/>
                      <v:imagedata o:title=""/>
                      <o:lock v:ext="edit" aspectratio="f"/>
                      <v:textbox>
                        <w:txbxContent>
                          <w:p w14:paraId="79654460">
                            <w:pPr>
                              <w:spacing w:line="240" w:lineRule="auto"/>
                              <w:ind w:left="0" w:leftChars="0" w:firstLine="0" w:firstLineChars="0"/>
                              <w:jc w:val="center"/>
                              <w:rPr>
                                <w:rFonts w:hint="default" w:eastAsia="仿宋_GB2312"/>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N4#</w:t>
                            </w:r>
                          </w:p>
                        </w:txbxContent>
                      </v:textbox>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1928495</wp:posOffset>
                      </wp:positionH>
                      <wp:positionV relativeFrom="paragraph">
                        <wp:posOffset>1847215</wp:posOffset>
                      </wp:positionV>
                      <wp:extent cx="428625" cy="318770"/>
                      <wp:effectExtent l="0" t="0" r="0" b="0"/>
                      <wp:wrapNone/>
                      <wp:docPr id="32" name="矩形 32"/>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E596FF4">
                                  <w:pPr>
                                    <w:spacing w:line="240" w:lineRule="auto"/>
                                    <w:ind w:left="0" w:leftChars="0" w:firstLine="0" w:firstLineChars="0"/>
                                    <w:jc w:val="center"/>
                                    <w:rPr>
                                      <w:rFonts w:hint="default" w:eastAsia="仿宋_GB2312"/>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N3#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85pt;margin-top:145.45pt;height:25.1pt;width:33.75pt;z-index:251684864;v-text-anchor:middle;mso-width-relative:page;mso-height-relative:page;" filled="f" stroked="f" coordsize="21600,21600" o:gfxdata="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GgK43ZAAAACwEAAA8AAAAAAAAAAQAgAAAAIgAAAGRycy9kb3ducmV2LnhtbFBLAQIUABQA&#10;AAAIAIdO4kDU6g+NYQIAAK4EAAAOAAAAAAAAAAEAIAAAACgBAABkcnMvZTJvRG9jLnhtbFBLBQYA&#10;AAAABgAGAFkBAAD7BQAAAAA=&#10;">
                      <v:fill on="f" focussize="0,0"/>
                      <v:stroke on="f" weight="1pt" miterlimit="8" joinstyle="miter"/>
                      <v:imagedata o:title=""/>
                      <o:lock v:ext="edit" aspectratio="f"/>
                      <v:textbox>
                        <w:txbxContent>
                          <w:p w14:paraId="1E596FF4">
                            <w:pPr>
                              <w:spacing w:line="240" w:lineRule="auto"/>
                              <w:ind w:left="0" w:leftChars="0" w:firstLine="0" w:firstLineChars="0"/>
                              <w:jc w:val="center"/>
                              <w:rPr>
                                <w:rFonts w:hint="default" w:eastAsia="仿宋_GB2312"/>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N3#</w:t>
                            </w:r>
                          </w:p>
                        </w:txbxContent>
                      </v:textbox>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2296160</wp:posOffset>
                      </wp:positionH>
                      <wp:positionV relativeFrom="paragraph">
                        <wp:posOffset>2806065</wp:posOffset>
                      </wp:positionV>
                      <wp:extent cx="428625" cy="318770"/>
                      <wp:effectExtent l="0" t="0" r="0" b="0"/>
                      <wp:wrapNone/>
                      <wp:docPr id="31" name="矩形 31"/>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B8125A9">
                                  <w:pPr>
                                    <w:spacing w:line="240" w:lineRule="auto"/>
                                    <w:ind w:left="0" w:leftChars="0" w:firstLine="0" w:firstLineChars="0"/>
                                    <w:jc w:val="center"/>
                                    <w:rPr>
                                      <w:rFonts w:hint="default" w:eastAsia="仿宋_GB2312"/>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N2#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8pt;margin-top:220.95pt;height:25.1pt;width:33.75pt;z-index:251683840;v-text-anchor:middle;mso-width-relative:page;mso-height-relative:page;" filled="f" stroked="f" coordsize="21600,21600" o:gfxdata="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ZltejZAAAACwEAAA8AAAAAAAAAAQAgAAAAIgAAAGRycy9kb3ducmV2LnhtbFBLAQIUABQA&#10;AAAIAIdO4kB6g8gXYQIAAK4EAAAOAAAAAAAAAAEAIAAAACgBAABkcnMvZTJvRG9jLnhtbFBLBQYA&#10;AAAABgAGAFkBAAD7BQAAAAA=&#10;">
                      <v:fill on="f" focussize="0,0"/>
                      <v:stroke on="f" weight="1pt" miterlimit="8" joinstyle="miter"/>
                      <v:imagedata o:title=""/>
                      <o:lock v:ext="edit" aspectratio="f"/>
                      <v:textbox>
                        <w:txbxContent>
                          <w:p w14:paraId="2B8125A9">
                            <w:pPr>
                              <w:spacing w:line="240" w:lineRule="auto"/>
                              <w:ind w:left="0" w:leftChars="0" w:firstLine="0" w:firstLineChars="0"/>
                              <w:jc w:val="center"/>
                              <w:rPr>
                                <w:rFonts w:hint="default" w:eastAsia="仿宋_GB2312"/>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N2#</w:t>
                            </w:r>
                          </w:p>
                        </w:txbxContent>
                      </v:textbox>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3211830</wp:posOffset>
                      </wp:positionH>
                      <wp:positionV relativeFrom="paragraph">
                        <wp:posOffset>2620010</wp:posOffset>
                      </wp:positionV>
                      <wp:extent cx="428625" cy="318770"/>
                      <wp:effectExtent l="0" t="0" r="0" b="0"/>
                      <wp:wrapNone/>
                      <wp:docPr id="30" name="矩形 30"/>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0AD0CBC">
                                  <w:pPr>
                                    <w:spacing w:line="240" w:lineRule="auto"/>
                                    <w:ind w:left="0" w:leftChars="0" w:firstLine="0" w:firstLineChars="0"/>
                                    <w:jc w:val="center"/>
                                    <w:rPr>
                                      <w:rFonts w:hint="default" w:eastAsia="仿宋_GB2312"/>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N1#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9pt;margin-top:206.3pt;height:25.1pt;width:33.75pt;z-index:251682816;v-text-anchor:middle;mso-width-relative:page;mso-height-relative:page;" filled="f" stroked="f" coordsize="21600,21600" o:gfxdata="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K6li3ZAAAACwEAAA8AAAAAAAAAAQAgAAAAIgAAAGRycy9kb3ducmV2LnhtbFBLAQIUABQA&#10;AAAIAIdO4kDgW4phYQIAAK4EAAAOAAAAAAAAAAEAIAAAACgBAABkcnMvZTJvRG9jLnhtbFBLBQYA&#10;AAAABgAGAFkBAAD7BQAAAAA=&#10;">
                      <v:fill on="f" focussize="0,0"/>
                      <v:stroke on="f" weight="1pt" miterlimit="8" joinstyle="miter"/>
                      <v:imagedata o:title=""/>
                      <o:lock v:ext="edit" aspectratio="f"/>
                      <v:textbox>
                        <w:txbxContent>
                          <w:p w14:paraId="70AD0CBC">
                            <w:pPr>
                              <w:spacing w:line="240" w:lineRule="auto"/>
                              <w:ind w:left="0" w:leftChars="0" w:firstLine="0" w:firstLineChars="0"/>
                              <w:jc w:val="center"/>
                              <w:rPr>
                                <w:rFonts w:hint="default" w:eastAsia="仿宋_GB2312"/>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N1#</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3015615</wp:posOffset>
                      </wp:positionH>
                      <wp:positionV relativeFrom="paragraph">
                        <wp:posOffset>1840865</wp:posOffset>
                      </wp:positionV>
                      <wp:extent cx="90170" cy="96520"/>
                      <wp:effectExtent l="10160" t="15240" r="13970" b="21590"/>
                      <wp:wrapNone/>
                      <wp:docPr id="29" name="等腰三角形 29"/>
                      <wp:cNvGraphicFramePr/>
                      <a:graphic xmlns:a="http://schemas.openxmlformats.org/drawingml/2006/main">
                        <a:graphicData uri="http://schemas.microsoft.com/office/word/2010/wordprocessingShape">
                          <wps:wsp>
                            <wps:cNvSpPr/>
                            <wps:spPr>
                              <a:xfrm>
                                <a:off x="0" y="0"/>
                                <a:ext cx="90170" cy="96520"/>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37.45pt;margin-top:144.95pt;height:7.6pt;width:7.1pt;z-index:251681792;v-text-anchor:middle;mso-width-relative:page;mso-height-relative:page;" fillcolor="#000000 [3213]" filled="t" stroked="t" coordsize="21600,21600" o:gfxdata="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QSad3AAAAAsBAAAPAAAAAAAAAAEA&#10;IAAAACIAAABkcnMvZG93bnJldi54bWxQSwECFAAUAAAACACHTuJAcIqDR30CAAAABQAADgAAAAAA&#10;AAABACAAAAArAQAAZHJzL2Uyb0RvYy54bWxQSwUGAAAAAAYABgBZAQAAGgY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3164840</wp:posOffset>
                      </wp:positionH>
                      <wp:positionV relativeFrom="paragraph">
                        <wp:posOffset>2705100</wp:posOffset>
                      </wp:positionV>
                      <wp:extent cx="90170" cy="96520"/>
                      <wp:effectExtent l="10160" t="15240" r="13970" b="21590"/>
                      <wp:wrapNone/>
                      <wp:docPr id="28" name="等腰三角形 28"/>
                      <wp:cNvGraphicFramePr/>
                      <a:graphic xmlns:a="http://schemas.openxmlformats.org/drawingml/2006/main">
                        <a:graphicData uri="http://schemas.microsoft.com/office/word/2010/wordprocessingShape">
                          <wps:wsp>
                            <wps:cNvSpPr/>
                            <wps:spPr>
                              <a:xfrm>
                                <a:off x="0" y="0"/>
                                <a:ext cx="90170" cy="96520"/>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9.2pt;margin-top:213pt;height:7.6pt;width:7.1pt;z-index:251680768;v-text-anchor:middle;mso-width-relative:page;mso-height-relative:page;" fillcolor="#000000 [3213]" filled="t" stroked="t" coordsize="21600,21600" o:gfxdata="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iXmwXZAAAACwEAAA8AAAAAAAAAAQAgAAAA&#10;IgAAAGRycy9kb3ducmV2LnhtbFBLAQIUABQAAAAIAIdO4kC3maEbfAIAAAAFAAAOAAAAAAAAAAEA&#10;IAAAACgBAABkcnMvZTJvRG9jLnhtbFBLBQYAAAAABgAGAFkBAAAWBg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2341880</wp:posOffset>
                      </wp:positionH>
                      <wp:positionV relativeFrom="paragraph">
                        <wp:posOffset>2759710</wp:posOffset>
                      </wp:positionV>
                      <wp:extent cx="90170" cy="96520"/>
                      <wp:effectExtent l="10160" t="15240" r="13970" b="21590"/>
                      <wp:wrapNone/>
                      <wp:docPr id="27" name="等腰三角形 27"/>
                      <wp:cNvGraphicFramePr/>
                      <a:graphic xmlns:a="http://schemas.openxmlformats.org/drawingml/2006/main">
                        <a:graphicData uri="http://schemas.microsoft.com/office/word/2010/wordprocessingShape">
                          <wps:wsp>
                            <wps:cNvSpPr/>
                            <wps:spPr>
                              <a:xfrm>
                                <a:off x="0" y="0"/>
                                <a:ext cx="90170" cy="96520"/>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4.4pt;margin-top:217.3pt;height:7.6pt;width:7.1pt;z-index:251679744;v-text-anchor:middle;mso-width-relative:page;mso-height-relative:page;" fillcolor="#000000 [3213]" filled="t" stroked="t" coordsize="21600,21600" o:gfxdata="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hX7a9oAAAALAQAADwAAAAAAAAABACAA&#10;AAAiAAAAZHJzL2Rvd25yZXYueG1sUEsBAhQAFAAAAAgAh07iQFhwvdh9AgAAAAUAAA4AAAAAAAAA&#10;AQAgAAAAKQEAAGRycy9lMm9Eb2MueG1sUEsFBgAAAAAGAAYAWQEAABgGA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2244090</wp:posOffset>
                      </wp:positionH>
                      <wp:positionV relativeFrom="paragraph">
                        <wp:posOffset>1974215</wp:posOffset>
                      </wp:positionV>
                      <wp:extent cx="90170" cy="96520"/>
                      <wp:effectExtent l="10160" t="15240" r="13970" b="21590"/>
                      <wp:wrapNone/>
                      <wp:docPr id="11" name="等腰三角形 11"/>
                      <wp:cNvGraphicFramePr/>
                      <a:graphic xmlns:a="http://schemas.openxmlformats.org/drawingml/2006/main">
                        <a:graphicData uri="http://schemas.microsoft.com/office/word/2010/wordprocessingShape">
                          <wps:wsp>
                            <wps:cNvSpPr/>
                            <wps:spPr>
                              <a:xfrm>
                                <a:off x="0" y="0"/>
                                <a:ext cx="90170" cy="96520"/>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76.7pt;margin-top:155.45pt;height:7.6pt;width:7.1pt;z-index:251678720;v-text-anchor:middle;mso-width-relative:page;mso-height-relative:page;" fillcolor="#000000 [3213]" filled="t" stroked="t" coordsize="21600,21600" o:gfxdata="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PhpAHaAAAACwEAAA8AAAAAAAAAAQAgAAAA&#10;IgAAAGRycy9kb3ducmV2LnhtbFBLAQIUABQAAAAIAIdO4kCLgeTEewIAAAAFAAAOAAAAAAAAAAEA&#10;IAAAACkBAABkcnMvZTJvRG9jLnhtbFBLBQYAAAAABgAGAFkBAAAWBg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1338580</wp:posOffset>
                      </wp:positionH>
                      <wp:positionV relativeFrom="paragraph">
                        <wp:posOffset>3331210</wp:posOffset>
                      </wp:positionV>
                      <wp:extent cx="428625" cy="318770"/>
                      <wp:effectExtent l="0" t="0" r="0" b="0"/>
                      <wp:wrapNone/>
                      <wp:docPr id="24" name="矩形 24"/>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906FE7C">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4pt;margin-top:262.3pt;height:25.1pt;width:33.75pt;z-index:251675648;v-text-anchor:middle;mso-width-relative:page;mso-height-relative:page;" filled="f" stroked="f" coordsize="21600,21600" o:gfxdata="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V3HNXZAAAACwEAAA8AAAAAAAAAAQAgAAAAIgAAAGRycy9kb3ducmV2LnhtbFBLAQIUABQA&#10;AAAIAIdO4kBLB1xzYQIAAK4EAAAOAAAAAAAAAAEAIAAAACgBAABkcnMvZTJvRG9jLnhtbFBLBQYA&#10;AAAABgAGAFkBAAD7BQAAAAA=&#10;">
                      <v:fill on="f" focussize="0,0"/>
                      <v:stroke on="f" weight="1pt" miterlimit="8" joinstyle="miter"/>
                      <v:imagedata o:title=""/>
                      <o:lock v:ext="edit" aspectratio="f"/>
                      <v:textbox>
                        <w:txbxContent>
                          <w:p w14:paraId="7906FE7C">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D4#</w:t>
                            </w:r>
                          </w:p>
                        </w:txbxContent>
                      </v:textbox>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1556385</wp:posOffset>
                      </wp:positionH>
                      <wp:positionV relativeFrom="paragraph">
                        <wp:posOffset>2922905</wp:posOffset>
                      </wp:positionV>
                      <wp:extent cx="428625" cy="318770"/>
                      <wp:effectExtent l="0" t="0" r="0" b="0"/>
                      <wp:wrapNone/>
                      <wp:docPr id="22" name="矩形 22"/>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FD621F0">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55pt;margin-top:230.15pt;height:25.1pt;width:33.75pt;z-index:251674624;v-text-anchor:middle;mso-width-relative:page;mso-height-relative:page;" filled="f" stroked="f" coordsize="21600,21600" o:gfxdata="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vnDKLZAAAACwEAAA8AAAAAAAAAAQAgAAAAIgAAAGRycy9kb3ducmV2LnhtbFBLAQIUABQA&#10;AAAIAIdO4kBW0qOdYQIAAK4EAAAOAAAAAAAAAAEAIAAAACgBAABkcnMvZTJvRG9jLnhtbFBLBQYA&#10;AAAABgAGAFkBAAD7BQAAAAA=&#10;">
                      <v:fill on="f" focussize="0,0"/>
                      <v:stroke on="f" weight="1pt" miterlimit="8" joinstyle="miter"/>
                      <v:imagedata o:title=""/>
                      <o:lock v:ext="edit" aspectratio="f"/>
                      <v:textbox>
                        <w:txbxContent>
                          <w:p w14:paraId="3FD621F0">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D5#</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1794510</wp:posOffset>
                      </wp:positionH>
                      <wp:positionV relativeFrom="paragraph">
                        <wp:posOffset>2582545</wp:posOffset>
                      </wp:positionV>
                      <wp:extent cx="428625" cy="318770"/>
                      <wp:effectExtent l="0" t="0" r="0" b="0"/>
                      <wp:wrapNone/>
                      <wp:docPr id="21" name="矩形 21"/>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798786F">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3pt;margin-top:203.35pt;height:25.1pt;width:33.75pt;z-index:251673600;v-text-anchor:middle;mso-width-relative:page;mso-height-relative:page;" filled="f" stroked="f" coordsize="21600,21600" o:gfxdata="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I9c2NkAAAALAQAADwAAAAAAAAABACAAAAAiAAAAZHJzL2Rvd25yZXYueG1sUEsBAhQAFAAA&#10;AAgAh07iQPi7ZAdgAgAArgQAAA4AAAAAAAAAAQAgAAAAKAEAAGRycy9lMm9Eb2MueG1sUEsFBgAA&#10;AAAGAAYAWQEAAPoFAAAAAA==&#10;">
                      <v:fill on="f" focussize="0,0"/>
                      <v:stroke on="f" weight="1pt" miterlimit="8" joinstyle="miter"/>
                      <v:imagedata o:title=""/>
                      <o:lock v:ext="edit" aspectratio="f"/>
                      <v:textbox>
                        <w:txbxContent>
                          <w:p w14:paraId="3798786F">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D6#</w:t>
                            </w:r>
                          </w:p>
                        </w:txbxContent>
                      </v:textbox>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1402080</wp:posOffset>
                      </wp:positionH>
                      <wp:positionV relativeFrom="paragraph">
                        <wp:posOffset>2455545</wp:posOffset>
                      </wp:positionV>
                      <wp:extent cx="428625" cy="318770"/>
                      <wp:effectExtent l="0" t="0" r="0" b="0"/>
                      <wp:wrapNone/>
                      <wp:docPr id="26" name="矩形 26"/>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8F792FD">
                                  <w:pPr>
                                    <w:spacing w:line="240" w:lineRule="auto"/>
                                    <w:ind w:left="0" w:leftChars="0" w:firstLine="0" w:firstLineChars="0"/>
                                    <w:jc w:val="center"/>
                                    <w:rPr>
                                      <w:rFonts w:hint="default" w:eastAsia="仿宋_GB2312"/>
                                      <w:color w:val="00B050"/>
                                      <w:sz w:val="20"/>
                                      <w:szCs w:val="20"/>
                                      <w:lang w:val="en-US" w:eastAsia="zh-CN"/>
                                    </w:rPr>
                                  </w:pPr>
                                  <w:r>
                                    <w:rPr>
                                      <w:rFonts w:hint="eastAsia"/>
                                      <w:color w:val="00B050"/>
                                      <w:sz w:val="20"/>
                                      <w:szCs w:val="20"/>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4pt;margin-top:193.35pt;height:25.1pt;width:33.75pt;z-index:251677696;v-text-anchor:middle;mso-width-relative:page;mso-height-relative:page;" filled="f" stroked="f" coordsize="21600,21600" o:gfxdata="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KhHl9gAAAALAQAADwAAAAAAAAABACAAAAAiAAAAZHJzL2Rvd25yZXYueG1sUEsBAhQAFAAA&#10;AAgAh07iQH+22Z9hAgAArgQAAA4AAAAAAAAAAQAgAAAAJwEAAGRycy9lMm9Eb2MueG1sUEsFBgAA&#10;AAAGAAYAWQEAAPoFAAAAAA==&#10;">
                      <v:fill on="f" focussize="0,0"/>
                      <v:stroke on="f" weight="1pt" miterlimit="8" joinstyle="miter"/>
                      <v:imagedata o:title=""/>
                      <o:lock v:ext="edit" aspectratio="f"/>
                      <v:textbox>
                        <w:txbxContent>
                          <w:p w14:paraId="48F792FD">
                            <w:pPr>
                              <w:spacing w:line="240" w:lineRule="auto"/>
                              <w:ind w:left="0" w:leftChars="0" w:firstLine="0" w:firstLineChars="0"/>
                              <w:jc w:val="center"/>
                              <w:rPr>
                                <w:rFonts w:hint="default" w:eastAsia="仿宋_GB2312"/>
                                <w:color w:val="00B050"/>
                                <w:sz w:val="20"/>
                                <w:szCs w:val="20"/>
                                <w:lang w:val="en-US" w:eastAsia="zh-CN"/>
                              </w:rPr>
                            </w:pPr>
                            <w:r>
                              <w:rPr>
                                <w:rFonts w:hint="eastAsia"/>
                                <w:color w:val="00B050"/>
                                <w:sz w:val="20"/>
                                <w:szCs w:val="20"/>
                                <w:lang w:val="en-US" w:eastAsia="zh-CN"/>
                              </w:rPr>
                              <w:t>1#</w:t>
                            </w:r>
                          </w:p>
                        </w:txbxContent>
                      </v:textbox>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1720215</wp:posOffset>
                      </wp:positionH>
                      <wp:positionV relativeFrom="paragraph">
                        <wp:posOffset>2602230</wp:posOffset>
                      </wp:positionV>
                      <wp:extent cx="89535" cy="96520"/>
                      <wp:effectExtent l="6350" t="6350" r="18415" b="11430"/>
                      <wp:wrapNone/>
                      <wp:docPr id="25" name="矩形 25"/>
                      <wp:cNvGraphicFramePr/>
                      <a:graphic xmlns:a="http://schemas.openxmlformats.org/drawingml/2006/main">
                        <a:graphicData uri="http://schemas.microsoft.com/office/word/2010/wordprocessingShape">
                          <wps:wsp>
                            <wps:cNvSpPr/>
                            <wps:spPr>
                              <a:xfrm>
                                <a:off x="0" y="0"/>
                                <a:ext cx="89535" cy="96520"/>
                              </a:xfrm>
                              <a:prstGeom prst="rect">
                                <a:avLst/>
                              </a:prstGeom>
                              <a:solidFill>
                                <a:srgbClr val="00B050"/>
                              </a:solid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76ABA57">
                                  <w:pPr>
                                    <w:jc w:val="center"/>
                                    <w:rPr>
                                      <w:rFonts w:hint="default" w:eastAsia="宋体"/>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45pt;margin-top:204.9pt;height:7.6pt;width:7.05pt;z-index:251676672;v-text-anchor:middle;mso-width-relative:page;mso-height-relative:page;" fillcolor="#00B050" filled="t" stroked="t" coordsize="21600,21600" o:gfxdata="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diR6LZAAAACwEAAA8AAAAAAAAAAQAgAAAAIgAAAGRycy9k&#10;b3ducmV2LnhtbFBLAQIUABQAAAAIAIdO4kCPcGKvcwIAAP4EAAAOAAAAAAAAAAEAIAAAACgBAABk&#10;cnMvZTJvRG9jLnhtbFBLBQYAAAAABgAGAFkBAAANBgAAAAA=&#10;">
                      <v:fill on="t" focussize="0,0"/>
                      <v:stroke weight="1pt" color="#00B050 [2404]" miterlimit="8" joinstyle="miter"/>
                      <v:imagedata o:title=""/>
                      <o:lock v:ext="edit" aspectratio="f"/>
                      <v:textbox>
                        <w:txbxContent>
                          <w:p w14:paraId="276ABA57">
                            <w:pPr>
                              <w:jc w:val="center"/>
                              <w:rPr>
                                <w:rFonts w:hint="default" w:eastAsia="宋体"/>
                                <w:lang w:val="en-US" w:eastAsia="zh-CN"/>
                              </w:rPr>
                            </w:pPr>
                            <w:r>
                              <w:rPr>
                                <w:rFonts w:hint="eastAsia"/>
                                <w:lang w:val="en-US" w:eastAsia="zh-CN"/>
                              </w:rPr>
                              <w:t xml:space="preserve">    </w:t>
                            </w:r>
                          </w:p>
                        </w:txbxContent>
                      </v:textbox>
                    </v:rect>
                  </w:pict>
                </mc:Fallback>
              </mc:AlternateContent>
            </w:r>
            <w:r>
              <w:rPr>
                <w:color w:val="auto"/>
                <w:sz w:val="24"/>
              </w:rPr>
              <w:drawing>
                <wp:inline distT="0" distB="0" distL="114300" distR="114300">
                  <wp:extent cx="5426710" cy="4937760"/>
                  <wp:effectExtent l="0" t="0" r="2540" b="15240"/>
                  <wp:docPr id="9" name="图片 9" descr="5668777cec12a51e9c43920eff3c1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668777cec12a51e9c43920eff3c1e94"/>
                          <pic:cNvPicPr>
                            <a:picLocks noChangeAspect="1"/>
                          </pic:cNvPicPr>
                        </pic:nvPicPr>
                        <pic:blipFill>
                          <a:blip r:embed="rId68"/>
                          <a:stretch>
                            <a:fillRect/>
                          </a:stretch>
                        </pic:blipFill>
                        <pic:spPr>
                          <a:xfrm>
                            <a:off x="0" y="0"/>
                            <a:ext cx="5426710" cy="4937760"/>
                          </a:xfrm>
                          <a:prstGeom prst="rect">
                            <a:avLst/>
                          </a:prstGeom>
                        </pic:spPr>
                      </pic:pic>
                    </a:graphicData>
                  </a:graphic>
                </wp:inline>
              </w:drawing>
            </w:r>
            <w:r>
              <w:rPr>
                <w:sz w:val="21"/>
              </w:rPr>
              <mc:AlternateContent>
                <mc:Choice Requires="wps">
                  <w:drawing>
                    <wp:anchor distT="0" distB="0" distL="114300" distR="114300" simplePos="0" relativeHeight="251672576" behindDoc="0" locked="0" layoutInCell="1" allowOverlap="1">
                      <wp:simplePos x="0" y="0"/>
                      <wp:positionH relativeFrom="column">
                        <wp:posOffset>2508885</wp:posOffset>
                      </wp:positionH>
                      <wp:positionV relativeFrom="paragraph">
                        <wp:posOffset>1834515</wp:posOffset>
                      </wp:positionV>
                      <wp:extent cx="428625" cy="318770"/>
                      <wp:effectExtent l="0" t="0" r="0" b="0"/>
                      <wp:wrapNone/>
                      <wp:docPr id="20" name="矩形 20"/>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D6B033F">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55pt;margin-top:144.45pt;height:25.1pt;width:33.75pt;z-index:251672576;v-text-anchor:middle;mso-width-relative:page;mso-height-relative:page;" filled="f" stroked="f" coordsize="21600,21600" o:gfxdata="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2gkbS9kAAAALAQAADwAAAAAAAAABACAAAAAiAAAAZHJzL2Rvd25yZXYueG1sUEsBAhQAFAAA&#10;AAgAh07iQGJjJnFgAgAArgQAAA4AAAAAAAAAAQAgAAAAKAEAAGRycy9lMm9Eb2MueG1sUEsFBgAA&#10;AAAGAAYAWQEAAPoFAAAAAA==&#10;">
                      <v:fill on="f" focussize="0,0"/>
                      <v:stroke on="f" weight="1pt" miterlimit="8" joinstyle="miter"/>
                      <v:imagedata o:title=""/>
                      <o:lock v:ext="edit" aspectratio="f"/>
                      <v:textbox>
                        <w:txbxContent>
                          <w:p w14:paraId="2D6B033F">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D3#</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2937510</wp:posOffset>
                      </wp:positionH>
                      <wp:positionV relativeFrom="paragraph">
                        <wp:posOffset>2208530</wp:posOffset>
                      </wp:positionV>
                      <wp:extent cx="428625" cy="318770"/>
                      <wp:effectExtent l="0" t="0" r="0" b="0"/>
                      <wp:wrapNone/>
                      <wp:docPr id="19" name="矩形 19"/>
                      <wp:cNvGraphicFramePr/>
                      <a:graphic xmlns:a="http://schemas.openxmlformats.org/drawingml/2006/main">
                        <a:graphicData uri="http://schemas.microsoft.com/office/word/2010/wordprocessingShape">
                          <wps:wsp>
                            <wps:cNvSpPr/>
                            <wps:spPr>
                              <a:xfrm>
                                <a:off x="0" y="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C6C5A2A">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3pt;margin-top:173.9pt;height:25.1pt;width:33.75pt;z-index:251671552;v-text-anchor:middle;mso-width-relative:page;mso-height-relative:page;" filled="f" stroked="f" coordsize="21600,21600" o:gfxdata="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1UO7LZAAAACwEAAA8AAAAAAAAAAQAgAAAAIgAAAGRycy9kb3ducmV2LnhtbFBLAQIUABQA&#10;AAAIAIdO4kAsOmQyYQIAAK4EAAAOAAAAAAAAAAEAIAAAACgBAABkcnMvZTJvRG9jLnhtbFBLBQYA&#10;AAAABgAGAFkBAAD7BQAAAAA=&#10;">
                      <v:fill on="f" focussize="0,0"/>
                      <v:stroke on="f" weight="1pt" miterlimit="8" joinstyle="miter"/>
                      <v:imagedata o:title=""/>
                      <o:lock v:ext="edit" aspectratio="f"/>
                      <v:textbox>
                        <w:txbxContent>
                          <w:p w14:paraId="6C6C5A2A">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D2</w:t>
                            </w:r>
                          </w:p>
                        </w:txbxContent>
                      </v:textbox>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2649220</wp:posOffset>
                      </wp:positionH>
                      <wp:positionV relativeFrom="paragraph">
                        <wp:posOffset>2627630</wp:posOffset>
                      </wp:positionV>
                      <wp:extent cx="428625" cy="318770"/>
                      <wp:effectExtent l="0" t="0" r="0" b="0"/>
                      <wp:wrapNone/>
                      <wp:docPr id="18" name="矩形 18"/>
                      <wp:cNvGraphicFramePr/>
                      <a:graphic xmlns:a="http://schemas.openxmlformats.org/drawingml/2006/main">
                        <a:graphicData uri="http://schemas.microsoft.com/office/word/2010/wordprocessingShape">
                          <wps:wsp>
                            <wps:cNvSpPr/>
                            <wps:spPr>
                              <a:xfrm>
                                <a:off x="2372995" y="2929890"/>
                                <a:ext cx="428625" cy="3187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AE5FC34">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6pt;margin-top:206.9pt;height:25.1pt;width:33.75pt;z-index:251670528;v-text-anchor:middle;mso-width-relative:page;mso-height-relative:page;" filled="f" stroked="f" coordsize="21600,21600" o:gfxdata="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aE3OXYAAAACwEAAA8AAAAAAAAAAQAgAAAAIgAAAGRycy9kb3ducmV2Lnht&#10;bFBLAQIUABQAAAAIAIdO4kB58MjPawIAALoEAAAOAAAAAAAAAAEAIAAAACcBAABkcnMvZTJvRG9j&#10;LnhtbFBLBQYAAAAABgAGAFkBAAAEBgAAAAA=&#10;">
                      <v:fill on="f" focussize="0,0"/>
                      <v:stroke on="f" weight="1pt" miterlimit="8" joinstyle="miter"/>
                      <v:imagedata o:title=""/>
                      <o:lock v:ext="edit" aspectratio="f"/>
                      <v:textbox>
                        <w:txbxContent>
                          <w:p w14:paraId="2AE5FC34">
                            <w:pPr>
                              <w:spacing w:line="240" w:lineRule="auto"/>
                              <w:ind w:left="0" w:leftChars="0" w:firstLine="0" w:firstLineChars="0"/>
                              <w:jc w:val="center"/>
                              <w:rPr>
                                <w:rFonts w:hint="default" w:eastAsia="仿宋_GB2312"/>
                                <w:color w:val="00B0F0"/>
                                <w:sz w:val="20"/>
                                <w:szCs w:val="20"/>
                                <w:lang w:val="en-US" w:eastAsia="zh-CN"/>
                              </w:rPr>
                            </w:pPr>
                            <w:r>
                              <w:rPr>
                                <w:rFonts w:hint="eastAsia"/>
                                <w:color w:val="00B0F0"/>
                                <w:sz w:val="20"/>
                                <w:szCs w:val="20"/>
                                <w:lang w:val="en-US" w:eastAsia="zh-CN"/>
                              </w:rPr>
                              <w:t>D1#</w:t>
                            </w:r>
                          </w:p>
                        </w:txbxContent>
                      </v:textbox>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1424305</wp:posOffset>
                      </wp:positionH>
                      <wp:positionV relativeFrom="paragraph">
                        <wp:posOffset>3329940</wp:posOffset>
                      </wp:positionV>
                      <wp:extent cx="76200" cy="76200"/>
                      <wp:effectExtent l="6350" t="6350" r="12700" b="12700"/>
                      <wp:wrapNone/>
                      <wp:docPr id="17" name="椭圆 17"/>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B0F0"/>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2.15pt;margin-top:262.2pt;height:6pt;width:6pt;z-index:251669504;v-text-anchor:middle;mso-width-relative:page;mso-height-relative:page;" fillcolor="#00B0F0" filled="t" stroked="t" coordsize="21600,21600" o:gfxdata="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8XWfbAAAACwEAAA8AAAAAAAAAAQAgAAAAIgAAAGRycy9kb3ducmV2&#10;LnhtbFBLAQIUABQAAAAIAIdO4kDrEgdjawIAAPYEAAAOAAAAAAAAAAEAIAAAACoBAABkcnMvZTJv&#10;RG9jLnhtbFBLBQYAAAAABgAGAFkBAAAHBgAAAAA=&#10;">
                      <v:fill on="t" focussize="0,0"/>
                      <v:stroke weight="1pt" color="#00B0F0 [2404]" miterlimit="8" joinstyle="miter"/>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1696720</wp:posOffset>
                      </wp:positionH>
                      <wp:positionV relativeFrom="paragraph">
                        <wp:posOffset>2928620</wp:posOffset>
                      </wp:positionV>
                      <wp:extent cx="76200" cy="76200"/>
                      <wp:effectExtent l="6350" t="6350" r="12700" b="12700"/>
                      <wp:wrapNone/>
                      <wp:docPr id="16" name="椭圆 16"/>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B0F0"/>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3.6pt;margin-top:230.6pt;height:6pt;width:6pt;z-index:251668480;v-text-anchor:middle;mso-width-relative:page;mso-height-relative:page;" fillcolor="#00B0F0" filled="t" stroked="t" coordsize="21600,21600" o:gfxdata="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Qs4ZtsAAAALAQAADwAAAAAAAAABACAAAAAiAAAAZHJzL2Rvd25yZXYu&#10;eG1sUEsBAhQAFAAAAAgAh07iQBvkYFtqAgAA9gQAAA4AAAAAAAAAAQAgAAAAKgEAAGRycy9lMm9E&#10;b2MueG1sUEsFBgAAAAAGAAYAWQEAAAYGAAAAAA==&#10;">
                      <v:fill on="t" focussize="0,0"/>
                      <v:stroke weight="1pt" color="#00B0F0 [2404]" miterlimit="8" joinstyle="miter"/>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1988820</wp:posOffset>
                      </wp:positionH>
                      <wp:positionV relativeFrom="paragraph">
                        <wp:posOffset>2534285</wp:posOffset>
                      </wp:positionV>
                      <wp:extent cx="76200" cy="76200"/>
                      <wp:effectExtent l="6350" t="6350" r="12700" b="12700"/>
                      <wp:wrapNone/>
                      <wp:docPr id="15" name="椭圆 15"/>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B0F0"/>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6.6pt;margin-top:199.55pt;height:6pt;width:6pt;z-index:251667456;v-text-anchor:middle;mso-width-relative:page;mso-height-relative:page;" fillcolor="#00B0F0" filled="t" stroked="t" coordsize="21600,21600" o:gfxdata="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Cdu+2wAAAAsBAAAPAAAAAAAAAAEAIAAAACIAAABkcnMvZG93bnJldi54&#10;bWxQSwECFAAUAAAACACHTuJAC//IE2kCAAD2BAAADgAAAAAAAAABACAAAAAqAQAAZHJzL2Uyb0Rv&#10;Yy54bWxQSwUGAAAAAAYABgBZAQAABQYAAAAA&#10;">
                      <v:fill on="t" focussize="0,0"/>
                      <v:stroke weight="1pt" color="#00B0F0 [2404]" miterlimit="8" joinstyle="miter"/>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2832735</wp:posOffset>
                      </wp:positionH>
                      <wp:positionV relativeFrom="paragraph">
                        <wp:posOffset>2928620</wp:posOffset>
                      </wp:positionV>
                      <wp:extent cx="76200" cy="76200"/>
                      <wp:effectExtent l="6350" t="6350" r="12700" b="12700"/>
                      <wp:wrapNone/>
                      <wp:docPr id="14" name="椭圆 14"/>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B0F0"/>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3.05pt;margin-top:230.6pt;height:6pt;width:6pt;z-index:251666432;v-text-anchor:middle;mso-width-relative:page;mso-height-relative:page;" fillcolor="#00B0F0" filled="t" stroked="t" coordsize="21600,21600" o:gfxdata="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Y8QJe3AAAAAsBAAAPAAAAAAAAAAEAIAAAACIAAABkcnMvZG93bnJl&#10;di54bWxQSwECFAAUAAAACACHTuJA+wmvK2sCAAD2BAAADgAAAAAAAAABACAAAAArAQAAZHJzL2Uy&#10;b0RvYy54bWxQSwUGAAAAAAYABgBZAQAACAYAAAAA&#10;">
                      <v:fill on="t" focussize="0,0"/>
                      <v:stroke weight="1pt" color="#00B0F0 [2404]" miterlimit="8" joinstyle="miter"/>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3268345</wp:posOffset>
                      </wp:positionH>
                      <wp:positionV relativeFrom="paragraph">
                        <wp:posOffset>2364105</wp:posOffset>
                      </wp:positionV>
                      <wp:extent cx="76200" cy="76200"/>
                      <wp:effectExtent l="6350" t="6350" r="12700" b="12700"/>
                      <wp:wrapNone/>
                      <wp:docPr id="12" name="椭圆 12"/>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B0F0"/>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7.35pt;margin-top:186.15pt;height:6pt;width:6pt;z-index:251665408;v-text-anchor:middle;mso-width-relative:page;mso-height-relative:page;" fillcolor="#00B0F0" filled="t" stroked="t" coordsize="21600,21600" o:gfxdata="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eoY9NwAAAALAQAADwAAAAAAAAABACAAAAAiAAAAZHJzL2Rvd25yZXYu&#10;eG1sUEsBAhQAFAAAAAgAh07iQNs//7ppAgAA9gQAAA4AAAAAAAAAAQAgAAAAKwEAAGRycy9lMm9E&#10;b2MueG1sUEsFBgAAAAAGAAYAWQEAAAYGAAAAAA==&#10;">
                      <v:fill on="t" focussize="0,0"/>
                      <v:stroke weight="1pt" color="#00B0F0 [2404]" miterlimit="8" joinstyle="miter"/>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2653030</wp:posOffset>
                      </wp:positionH>
                      <wp:positionV relativeFrom="paragraph">
                        <wp:posOffset>1803400</wp:posOffset>
                      </wp:positionV>
                      <wp:extent cx="76200" cy="76200"/>
                      <wp:effectExtent l="6350" t="6350" r="12700" b="12700"/>
                      <wp:wrapNone/>
                      <wp:docPr id="10" name="椭圆 10"/>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B0F0"/>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8.9pt;margin-top:142pt;height:6pt;width:6pt;z-index:251664384;v-text-anchor:middle;mso-width-relative:page;mso-height-relative:page;" fillcolor="#00B0F0" filled="t" stroked="t" coordsize="21600,21600" o:gfxdata="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1SoZ09wAAAALAQAADwAAAAAAAAABACAAAAAiAAAAZHJzL2Rvd25yZXYu&#10;eG1sUEsBAhQAFAAAAAgAh07iQDvSMMppAgAA9gQAAA4AAAAAAAAAAQAgAAAAKwEAAGRycy9lMm9E&#10;b2MueG1sUEsFBgAAAAAGAAYAWQEAAAYGAAAAAA==&#10;">
                      <v:fill on="t" focussize="0,0"/>
                      <v:stroke weight="1pt" color="#00B0F0 [24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4528185</wp:posOffset>
                      </wp:positionH>
                      <wp:positionV relativeFrom="paragraph">
                        <wp:posOffset>17780</wp:posOffset>
                      </wp:positionV>
                      <wp:extent cx="896620" cy="960755"/>
                      <wp:effectExtent l="0" t="0" r="17780" b="10795"/>
                      <wp:wrapNone/>
                      <wp:docPr id="13" name="矩形 13"/>
                      <wp:cNvGraphicFramePr/>
                      <a:graphic xmlns:a="http://schemas.openxmlformats.org/drawingml/2006/main">
                        <a:graphicData uri="http://schemas.microsoft.com/office/word/2010/wordprocessingShape">
                          <wps:wsp>
                            <wps:cNvSpPr/>
                            <wps:spPr>
                              <a:xfrm>
                                <a:off x="0" y="0"/>
                                <a:ext cx="896620" cy="960755"/>
                              </a:xfrm>
                              <a:prstGeom prst="rect">
                                <a:avLst/>
                              </a:prstGeom>
                              <a:blipFill rotWithShape="1">
                                <a:blip r:embed="rId69"/>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55pt;margin-top:1.4pt;height:75.65pt;width:70.6pt;z-index:251663360;v-text-anchor:middle;mso-width-relative:page;mso-height-relative:page;" filled="t" stroked="f" coordsize="21600,21600" o:gfxdata="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2Q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">
                      <v:fill type="frame" on="t" focussize="0,0" recolor="t" rotate="t" r:id="rId69"/>
                      <v:stroke on="f" weight="1pt" miterlimit="8" joinstyle="miter"/>
                      <v:imagedata o:title=""/>
                      <o:lock v:ext="edit" aspectratio="f"/>
                    </v:rect>
                  </w:pict>
                </mc:Fallback>
              </mc:AlternateContent>
            </w:r>
          </w:p>
        </w:tc>
      </w:tr>
    </w:tbl>
    <w:p w14:paraId="694269E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val="0"/>
          <w:color w:val="auto"/>
          <w:kern w:val="0"/>
          <w:sz w:val="24"/>
          <w:lang w:val="en-US" w:eastAsia="zh-CN"/>
        </w:rPr>
      </w:pPr>
      <w:r>
        <w:rPr>
          <w:rFonts w:hint="eastAsia" w:ascii="Times New Roman" w:hAnsi="Times New Roman" w:eastAsia="宋体" w:cs="Times New Roman"/>
          <w:b/>
          <w:bCs w:val="0"/>
          <w:color w:val="auto"/>
          <w:kern w:val="0"/>
          <w:sz w:val="24"/>
          <w:lang w:val="en-US" w:eastAsia="zh-CN"/>
        </w:rPr>
        <w:t>图3.2-1   项目监测点位示意图</w:t>
      </w:r>
    </w:p>
    <w:p w14:paraId="76A1DA7C">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）监测项目、时间及频率</w:t>
      </w:r>
    </w:p>
    <w:p w14:paraId="4124EA1A">
      <w:pPr>
        <w:pStyle w:val="6"/>
        <w:keepNext w:val="0"/>
        <w:keepLines w:val="0"/>
        <w:pageBreakBefore w:val="0"/>
        <w:widowControl w:val="0"/>
        <w:kinsoku/>
        <w:wordWrap/>
        <w:overflowPunct/>
        <w:topLinePunct w:val="0"/>
        <w:bidi w:val="0"/>
        <w:adjustRightInd/>
        <w:snapToGrid/>
        <w:spacing w:line="240" w:lineRule="auto"/>
        <w:ind w:left="0" w:leftChars="0" w:firstLine="420" w:firstLineChars="200"/>
        <w:jc w:val="both"/>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val="0"/>
          <w:bCs w:val="0"/>
          <w:color w:val="auto"/>
          <w:kern w:val="0"/>
          <w:sz w:val="21"/>
          <w:szCs w:val="21"/>
        </w:rPr>
        <w:t>表</w:t>
      </w:r>
      <w:r>
        <w:rPr>
          <w:rFonts w:hint="eastAsia" w:ascii="Times New Roman" w:hAnsi="Times New Roman" w:cs="Times New Roman"/>
          <w:b w:val="0"/>
          <w:bCs w:val="0"/>
          <w:color w:val="auto"/>
          <w:kern w:val="0"/>
          <w:sz w:val="21"/>
          <w:szCs w:val="21"/>
          <w:lang w:val="en-US" w:eastAsia="zh-CN"/>
        </w:rPr>
        <w:t>3.2-3</w:t>
      </w:r>
      <w:r>
        <w:rPr>
          <w:rFonts w:hint="eastAsia" w:ascii="Times New Roman" w:hAnsi="Times New Roman"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监测频率、内容及要求</w:t>
      </w:r>
    </w:p>
    <w:tbl>
      <w:tblPr>
        <w:tblStyle w:val="27"/>
        <w:tblW w:w="500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1167"/>
        <w:gridCol w:w="2045"/>
        <w:gridCol w:w="4094"/>
        <w:gridCol w:w="1465"/>
      </w:tblGrid>
      <w:tr w14:paraId="0A903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23" w:hRule="atLeast"/>
          <w:jc w:val="center"/>
        </w:trPr>
        <w:tc>
          <w:tcPr>
            <w:tcW w:w="665" w:type="pct"/>
            <w:tcBorders>
              <w:tl2br w:val="nil"/>
              <w:tr2bl w:val="nil"/>
            </w:tcBorders>
            <w:shd w:val="clear" w:color="auto" w:fill="auto"/>
            <w:vAlign w:val="center"/>
          </w:tcPr>
          <w:p w14:paraId="433513F1">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0"/>
                <w:w w:val="100"/>
                <w:position w:val="0"/>
                <w:sz w:val="21"/>
                <w:szCs w:val="21"/>
              </w:rPr>
              <w:t>检测项目</w:t>
            </w:r>
          </w:p>
        </w:tc>
        <w:tc>
          <w:tcPr>
            <w:tcW w:w="1165" w:type="pct"/>
            <w:tcBorders>
              <w:tl2br w:val="nil"/>
              <w:tr2bl w:val="nil"/>
            </w:tcBorders>
            <w:shd w:val="clear" w:color="auto" w:fill="auto"/>
            <w:vAlign w:val="center"/>
          </w:tcPr>
          <w:p w14:paraId="065BBA30">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0"/>
                <w:w w:val="100"/>
                <w:position w:val="0"/>
                <w:sz w:val="21"/>
                <w:szCs w:val="21"/>
              </w:rPr>
              <w:t>监测时段</w:t>
            </w:r>
          </w:p>
        </w:tc>
        <w:tc>
          <w:tcPr>
            <w:tcW w:w="2333" w:type="pct"/>
            <w:tcBorders>
              <w:tl2br w:val="nil"/>
              <w:tr2bl w:val="nil"/>
            </w:tcBorders>
            <w:shd w:val="clear" w:color="auto" w:fill="auto"/>
            <w:vAlign w:val="center"/>
          </w:tcPr>
          <w:p w14:paraId="6AAA9374">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0"/>
                <w:w w:val="100"/>
                <w:position w:val="0"/>
                <w:sz w:val="21"/>
                <w:szCs w:val="21"/>
              </w:rPr>
              <w:t>检测频次</w:t>
            </w:r>
          </w:p>
        </w:tc>
        <w:tc>
          <w:tcPr>
            <w:tcW w:w="835" w:type="pct"/>
            <w:tcBorders>
              <w:tl2br w:val="nil"/>
              <w:tr2bl w:val="nil"/>
            </w:tcBorders>
            <w:shd w:val="clear" w:color="auto" w:fill="auto"/>
            <w:vAlign w:val="center"/>
          </w:tcPr>
          <w:p w14:paraId="6378C25D">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0"/>
                <w:w w:val="100"/>
                <w:position w:val="0"/>
                <w:sz w:val="21"/>
                <w:szCs w:val="21"/>
              </w:rPr>
              <w:t>采样时间</w:t>
            </w:r>
          </w:p>
        </w:tc>
      </w:tr>
      <w:tr w14:paraId="772C7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23" w:hRule="atLeast"/>
          <w:jc w:val="center"/>
        </w:trPr>
        <w:tc>
          <w:tcPr>
            <w:tcW w:w="665" w:type="pct"/>
            <w:tcBorders>
              <w:tl2br w:val="nil"/>
              <w:tr2bl w:val="nil"/>
            </w:tcBorders>
            <w:shd w:val="clear" w:color="auto" w:fill="auto"/>
            <w:vAlign w:val="center"/>
          </w:tcPr>
          <w:p w14:paraId="1C66A7D2">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0"/>
                <w:sz w:val="21"/>
                <w:szCs w:val="21"/>
                <w:lang w:val="en-US" w:eastAsia="en-US" w:bidi="en-US"/>
              </w:rPr>
              <w:t>NH</w:t>
            </w:r>
            <w:r>
              <w:rPr>
                <w:rFonts w:hint="default" w:ascii="Times New Roman" w:hAnsi="Times New Roman" w:eastAsia="宋体" w:cs="Times New Roman"/>
                <w:color w:val="auto"/>
                <w:spacing w:val="0"/>
                <w:w w:val="100"/>
                <w:position w:val="0"/>
                <w:sz w:val="21"/>
                <w:szCs w:val="21"/>
                <w:vertAlign w:val="subscript"/>
                <w:lang w:val="en-US" w:eastAsia="en-US" w:bidi="en-US"/>
              </w:rPr>
              <w:t>3</w:t>
            </w:r>
          </w:p>
        </w:tc>
        <w:tc>
          <w:tcPr>
            <w:tcW w:w="1165" w:type="pct"/>
            <w:vMerge w:val="restart"/>
            <w:tcBorders>
              <w:tl2br w:val="nil"/>
              <w:tr2bl w:val="nil"/>
            </w:tcBorders>
            <w:shd w:val="clear" w:color="auto" w:fill="auto"/>
            <w:vAlign w:val="center"/>
          </w:tcPr>
          <w:p w14:paraId="25DA2DE2">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0"/>
                <w:sz w:val="21"/>
                <w:szCs w:val="21"/>
              </w:rPr>
              <w:t>2025年2月27日</w:t>
            </w:r>
            <w:r>
              <w:rPr>
                <w:rFonts w:hint="eastAsia" w:ascii="Times New Roman" w:hAnsi="Times New Roman" w:cs="Times New Roman"/>
                <w:color w:val="auto"/>
                <w:spacing w:val="0"/>
                <w:w w:val="100"/>
                <w:position w:val="0"/>
                <w:sz w:val="21"/>
                <w:szCs w:val="21"/>
                <w:lang w:val="en-US" w:eastAsia="zh-CN"/>
              </w:rPr>
              <w:t>-</w:t>
            </w:r>
            <w:r>
              <w:rPr>
                <w:rFonts w:hint="default" w:ascii="Times New Roman" w:hAnsi="Times New Roman" w:eastAsia="宋体" w:cs="Times New Roman"/>
                <w:color w:val="auto"/>
                <w:spacing w:val="0"/>
                <w:w w:val="100"/>
                <w:position w:val="0"/>
                <w:sz w:val="21"/>
                <w:szCs w:val="21"/>
              </w:rPr>
              <w:t>3月</w:t>
            </w:r>
            <w:r>
              <w:rPr>
                <w:rFonts w:hint="eastAsia" w:ascii="Times New Roman" w:hAnsi="Times New Roman" w:eastAsia="宋体" w:cs="Times New Roman"/>
                <w:color w:val="auto"/>
                <w:spacing w:val="0"/>
                <w:w w:val="100"/>
                <w:position w:val="0"/>
                <w:sz w:val="21"/>
                <w:szCs w:val="21"/>
                <w:lang w:val="en-US" w:eastAsia="zh-CN"/>
              </w:rPr>
              <w:t>5</w:t>
            </w:r>
            <w:r>
              <w:rPr>
                <w:rFonts w:hint="default" w:ascii="Times New Roman" w:hAnsi="Times New Roman" w:eastAsia="宋体" w:cs="Times New Roman"/>
                <w:color w:val="auto"/>
                <w:spacing w:val="0"/>
                <w:w w:val="100"/>
                <w:position w:val="0"/>
                <w:sz w:val="21"/>
                <w:szCs w:val="21"/>
              </w:rPr>
              <w:t>日</w:t>
            </w:r>
            <w:r>
              <w:rPr>
                <w:rFonts w:hint="default" w:ascii="Times New Roman" w:hAnsi="Times New Roman" w:eastAsia="宋体"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连续检测7天</w:t>
            </w:r>
          </w:p>
        </w:tc>
        <w:tc>
          <w:tcPr>
            <w:tcW w:w="2333" w:type="pct"/>
            <w:tcBorders>
              <w:tl2br w:val="nil"/>
              <w:tr2bl w:val="nil"/>
            </w:tcBorders>
            <w:shd w:val="clear" w:color="auto" w:fill="auto"/>
            <w:vAlign w:val="center"/>
          </w:tcPr>
          <w:p w14:paraId="18B0995D">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0"/>
                <w:sz w:val="21"/>
                <w:szCs w:val="21"/>
              </w:rPr>
              <w:t>每天采样4次（02、08、14、20时各1次</w:t>
            </w:r>
            <w:r>
              <w:rPr>
                <w:rFonts w:hint="default" w:ascii="Times New Roman" w:hAnsi="Times New Roman" w:eastAsia="宋体" w:cs="Times New Roman"/>
                <w:color w:val="auto"/>
                <w:spacing w:val="0"/>
                <w:w w:val="100"/>
                <w:position w:val="0"/>
                <w:sz w:val="21"/>
                <w:szCs w:val="21"/>
                <w:lang w:eastAsia="zh-CN"/>
              </w:rPr>
              <w:t>，每</w:t>
            </w:r>
            <w:r>
              <w:rPr>
                <w:rFonts w:hint="default" w:ascii="Times New Roman" w:hAnsi="Times New Roman" w:eastAsia="宋体" w:cs="Times New Roman"/>
                <w:color w:val="auto"/>
                <w:spacing w:val="0"/>
                <w:w w:val="100"/>
                <w:position w:val="0"/>
                <w:sz w:val="21"/>
                <w:szCs w:val="21"/>
                <w:lang w:val="en-US" w:eastAsia="zh-CN"/>
              </w:rPr>
              <w:t>次</w:t>
            </w:r>
            <w:r>
              <w:rPr>
                <w:rFonts w:hint="default" w:ascii="Times New Roman" w:hAnsi="Times New Roman" w:eastAsia="宋体" w:cs="Times New Roman"/>
                <w:color w:val="auto"/>
                <w:spacing w:val="0"/>
                <w:w w:val="100"/>
                <w:position w:val="0"/>
                <w:sz w:val="21"/>
                <w:szCs w:val="21"/>
                <w:lang w:eastAsia="zh-CN"/>
              </w:rPr>
              <w:t>至少有45min采样时间</w:t>
            </w:r>
            <w:r>
              <w:rPr>
                <w:rFonts w:hint="default" w:ascii="Times New Roman" w:hAnsi="Times New Roman" w:eastAsia="宋体" w:cs="Times New Roman"/>
                <w:color w:val="auto"/>
                <w:spacing w:val="0"/>
                <w:w w:val="100"/>
                <w:position w:val="0"/>
                <w:sz w:val="21"/>
                <w:szCs w:val="21"/>
              </w:rPr>
              <w:t>）</w:t>
            </w:r>
          </w:p>
        </w:tc>
        <w:tc>
          <w:tcPr>
            <w:tcW w:w="835" w:type="pct"/>
            <w:tcBorders>
              <w:tl2br w:val="nil"/>
              <w:tr2bl w:val="nil"/>
            </w:tcBorders>
            <w:shd w:val="clear" w:color="auto" w:fill="auto"/>
            <w:vAlign w:val="center"/>
          </w:tcPr>
          <w:p w14:paraId="361C52C6">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小时平均</w:t>
            </w:r>
          </w:p>
        </w:tc>
      </w:tr>
      <w:tr w14:paraId="748DB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23" w:hRule="atLeast"/>
          <w:jc w:val="center"/>
        </w:trPr>
        <w:tc>
          <w:tcPr>
            <w:tcW w:w="665" w:type="pct"/>
            <w:tcBorders>
              <w:tl2br w:val="nil"/>
              <w:tr2bl w:val="nil"/>
            </w:tcBorders>
            <w:shd w:val="clear" w:color="auto" w:fill="auto"/>
            <w:vAlign w:val="center"/>
          </w:tcPr>
          <w:p w14:paraId="558B1E41">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0"/>
                <w:sz w:val="21"/>
                <w:szCs w:val="21"/>
                <w:lang w:val="en-US" w:eastAsia="en-US" w:bidi="en-US"/>
              </w:rPr>
              <w:t>H</w:t>
            </w:r>
            <w:r>
              <w:rPr>
                <w:rFonts w:hint="default" w:ascii="Times New Roman" w:hAnsi="Times New Roman" w:eastAsia="宋体" w:cs="Times New Roman"/>
                <w:color w:val="auto"/>
                <w:spacing w:val="0"/>
                <w:w w:val="100"/>
                <w:position w:val="0"/>
                <w:sz w:val="21"/>
                <w:szCs w:val="21"/>
                <w:vertAlign w:val="subscript"/>
                <w:lang w:val="en-US" w:eastAsia="en-US" w:bidi="en-US"/>
              </w:rPr>
              <w:t>2</w:t>
            </w:r>
            <w:r>
              <w:rPr>
                <w:rFonts w:hint="default" w:ascii="Times New Roman" w:hAnsi="Times New Roman" w:eastAsia="宋体" w:cs="Times New Roman"/>
                <w:color w:val="auto"/>
                <w:spacing w:val="0"/>
                <w:w w:val="100"/>
                <w:position w:val="0"/>
                <w:sz w:val="21"/>
                <w:szCs w:val="21"/>
                <w:lang w:val="en-US" w:eastAsia="en-US" w:bidi="en-US"/>
              </w:rPr>
              <w:t>S</w:t>
            </w:r>
          </w:p>
        </w:tc>
        <w:tc>
          <w:tcPr>
            <w:tcW w:w="1165" w:type="pct"/>
            <w:vMerge w:val="continue"/>
            <w:tcBorders>
              <w:tl2br w:val="nil"/>
              <w:tr2bl w:val="nil"/>
            </w:tcBorders>
            <w:shd w:val="clear" w:color="auto" w:fill="auto"/>
            <w:vAlign w:val="center"/>
          </w:tcPr>
          <w:p w14:paraId="7BA98C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333" w:type="pct"/>
            <w:tcBorders>
              <w:tl2br w:val="nil"/>
              <w:tr2bl w:val="nil"/>
            </w:tcBorders>
            <w:shd w:val="clear" w:color="auto" w:fill="auto"/>
            <w:vAlign w:val="center"/>
          </w:tcPr>
          <w:p w14:paraId="47994A7E">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0"/>
                <w:sz w:val="21"/>
                <w:szCs w:val="21"/>
              </w:rPr>
              <w:t>每天采样4次（02、08、14、20时各1次</w:t>
            </w:r>
            <w:r>
              <w:rPr>
                <w:rFonts w:hint="default" w:ascii="Times New Roman" w:hAnsi="Times New Roman" w:eastAsia="宋体" w:cs="Times New Roman"/>
                <w:color w:val="auto"/>
                <w:spacing w:val="0"/>
                <w:w w:val="100"/>
                <w:position w:val="0"/>
                <w:sz w:val="21"/>
                <w:szCs w:val="21"/>
                <w:lang w:eastAsia="zh-CN"/>
              </w:rPr>
              <w:t>，每</w:t>
            </w:r>
            <w:r>
              <w:rPr>
                <w:rFonts w:hint="default" w:ascii="Times New Roman" w:hAnsi="Times New Roman" w:eastAsia="宋体" w:cs="Times New Roman"/>
                <w:color w:val="auto"/>
                <w:spacing w:val="0"/>
                <w:w w:val="100"/>
                <w:position w:val="0"/>
                <w:sz w:val="21"/>
                <w:szCs w:val="21"/>
                <w:lang w:val="en-US" w:eastAsia="zh-CN"/>
              </w:rPr>
              <w:t>次</w:t>
            </w:r>
            <w:r>
              <w:rPr>
                <w:rFonts w:hint="default" w:ascii="Times New Roman" w:hAnsi="Times New Roman" w:eastAsia="宋体" w:cs="Times New Roman"/>
                <w:color w:val="auto"/>
                <w:spacing w:val="0"/>
                <w:w w:val="100"/>
                <w:position w:val="0"/>
                <w:sz w:val="21"/>
                <w:szCs w:val="21"/>
                <w:lang w:eastAsia="zh-CN"/>
              </w:rPr>
              <w:t>至少有45min采样时间</w:t>
            </w:r>
            <w:r>
              <w:rPr>
                <w:rFonts w:hint="default" w:ascii="Times New Roman" w:hAnsi="Times New Roman" w:eastAsia="宋体" w:cs="Times New Roman"/>
                <w:color w:val="auto"/>
                <w:spacing w:val="0"/>
                <w:w w:val="100"/>
                <w:position w:val="0"/>
                <w:sz w:val="21"/>
                <w:szCs w:val="21"/>
              </w:rPr>
              <w:t>）</w:t>
            </w:r>
          </w:p>
        </w:tc>
        <w:tc>
          <w:tcPr>
            <w:tcW w:w="835" w:type="pct"/>
            <w:tcBorders>
              <w:tl2br w:val="nil"/>
              <w:tr2bl w:val="nil"/>
            </w:tcBorders>
            <w:shd w:val="clear" w:color="auto" w:fill="auto"/>
            <w:vAlign w:val="center"/>
          </w:tcPr>
          <w:p w14:paraId="59C543CB">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小时平均</w:t>
            </w:r>
          </w:p>
        </w:tc>
      </w:tr>
    </w:tbl>
    <w:p w14:paraId="7E3FFA04">
      <w:pPr>
        <w:bidi w:val="0"/>
        <w:rPr>
          <w:rFonts w:hint="default"/>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监测结果</w:t>
      </w:r>
    </w:p>
    <w:p w14:paraId="690BDE55">
      <w:pPr>
        <w:bidi w:val="0"/>
        <w:rPr>
          <w:rFonts w:hint="eastAsia"/>
          <w:color w:val="auto"/>
          <w:lang w:eastAsia="zh-CN"/>
        </w:rPr>
      </w:pPr>
      <w:r>
        <w:rPr>
          <w:rFonts w:hint="eastAsia"/>
          <w:color w:val="auto"/>
          <w:lang w:eastAsia="zh-CN"/>
        </w:rPr>
        <w:t>①</w:t>
      </w:r>
      <w:r>
        <w:rPr>
          <w:rFonts w:hint="default" w:eastAsia="仿宋_GB2312" w:cs="Times New Roman" w:asciiTheme="minorAscii" w:hAnsiTheme="minorAscii"/>
          <w:b w:val="0"/>
          <w:bCs w:val="0"/>
          <w:color w:val="auto"/>
          <w:sz w:val="24"/>
          <w:lang w:val="sq-AL" w:eastAsia="zh-CN"/>
        </w:rPr>
        <w:t>评价标准</w:t>
      </w:r>
    </w:p>
    <w:p w14:paraId="17B0ED7A">
      <w:pPr>
        <w:bidi w:val="0"/>
        <w:rPr>
          <w:rFonts w:hint="eastAsia"/>
          <w:color w:val="auto"/>
          <w:lang w:eastAsia="zh-CN"/>
        </w:rPr>
      </w:pPr>
      <w:r>
        <w:rPr>
          <w:rFonts w:hint="eastAsia"/>
          <w:color w:val="auto"/>
          <w:lang w:eastAsia="zh-CN"/>
        </w:rPr>
        <w:t>项目各监测因子评价标准见表3.2-</w:t>
      </w:r>
      <w:r>
        <w:rPr>
          <w:rFonts w:hint="eastAsia"/>
          <w:color w:val="auto"/>
          <w:lang w:val="en-US" w:eastAsia="zh-CN"/>
        </w:rPr>
        <w:t>4</w:t>
      </w:r>
      <w:r>
        <w:rPr>
          <w:rFonts w:hint="eastAsia"/>
          <w:color w:val="auto"/>
          <w:lang w:eastAsia="zh-CN"/>
        </w:rPr>
        <w:t>。</w:t>
      </w:r>
    </w:p>
    <w:p w14:paraId="0B92FDB3">
      <w:pPr>
        <w:spacing w:line="240" w:lineRule="auto"/>
        <w:ind w:firstLine="420" w:firstLineChars="200"/>
        <w:jc w:val="both"/>
        <w:rPr>
          <w:rFonts w:hint="default" w:ascii="Times New Roman" w:hAnsi="Times New Roman" w:cs="Times New Roman"/>
          <w:b/>
          <w:bCs/>
          <w:snapToGrid w:val="0"/>
          <w:color w:val="auto"/>
          <w:kern w:val="0"/>
          <w:sz w:val="24"/>
          <w:highlight w:val="none"/>
        </w:rPr>
      </w:pPr>
      <w:r>
        <w:rPr>
          <w:rFonts w:hint="default" w:ascii="Times New Roman" w:hAnsi="Times New Roman" w:eastAsia="宋体" w:cs="Times New Roman"/>
          <w:b w:val="0"/>
          <w:bCs w:val="0"/>
          <w:color w:val="auto"/>
          <w:kern w:val="0"/>
          <w:sz w:val="21"/>
          <w:szCs w:val="21"/>
          <w:lang w:val="en-US" w:eastAsia="zh-CN" w:bidi="ar-SA"/>
        </w:rPr>
        <w:t>表3.2-</w:t>
      </w:r>
      <w:r>
        <w:rPr>
          <w:rFonts w:hint="eastAsia" w:ascii="Times New Roman" w:hAnsi="Times New Roman" w:eastAsia="宋体" w:cs="Times New Roman"/>
          <w:b w:val="0"/>
          <w:bCs w:val="0"/>
          <w:color w:val="auto"/>
          <w:kern w:val="0"/>
          <w:sz w:val="21"/>
          <w:szCs w:val="21"/>
          <w:lang w:val="en-US" w:eastAsia="zh-CN" w:bidi="ar-SA"/>
        </w:rPr>
        <w:t>4</w:t>
      </w:r>
      <w:r>
        <w:rPr>
          <w:rFonts w:hint="default" w:ascii="Times New Roman" w:hAnsi="Times New Roman" w:cs="Times New Roman"/>
          <w:b/>
          <w:bCs/>
          <w:snapToGrid w:val="0"/>
          <w:color w:val="auto"/>
          <w:kern w:val="0"/>
          <w:sz w:val="24"/>
          <w:highlight w:val="none"/>
        </w:rPr>
        <w:t xml:space="preserve">  </w:t>
      </w:r>
      <w:r>
        <w:rPr>
          <w:rFonts w:hint="eastAsia" w:ascii="Times New Roman" w:hAnsi="Times New Roman" w:cs="Times New Roman"/>
          <w:b/>
          <w:bCs/>
          <w:snapToGrid w:val="0"/>
          <w:color w:val="auto"/>
          <w:kern w:val="0"/>
          <w:sz w:val="24"/>
          <w:highlight w:val="none"/>
          <w:lang w:val="en-US" w:eastAsia="zh-CN"/>
        </w:rPr>
        <w:t xml:space="preserve">             </w:t>
      </w:r>
      <w:r>
        <w:rPr>
          <w:rFonts w:hint="default" w:ascii="Times New Roman" w:hAnsi="Times New Roman" w:eastAsia="宋体" w:cs="Times New Roman"/>
          <w:b/>
          <w:bCs/>
          <w:color w:val="auto"/>
          <w:kern w:val="0"/>
          <w:sz w:val="24"/>
          <w:szCs w:val="24"/>
          <w:lang w:val="en-US" w:eastAsia="zh-CN" w:bidi="ar-SA"/>
        </w:rPr>
        <w:t>本项目环境质量评价标准一览表</w:t>
      </w:r>
    </w:p>
    <w:tbl>
      <w:tblPr>
        <w:tblStyle w:val="27"/>
        <w:tblW w:w="500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
      <w:tblGrid>
        <w:gridCol w:w="1609"/>
        <w:gridCol w:w="1627"/>
        <w:gridCol w:w="1635"/>
        <w:gridCol w:w="3901"/>
      </w:tblGrid>
      <w:tr w14:paraId="333A8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0" w:hRule="atLeast"/>
          <w:jc w:val="center"/>
        </w:trPr>
        <w:tc>
          <w:tcPr>
            <w:tcW w:w="1609" w:type="dxa"/>
            <w:vMerge w:val="restart"/>
            <w:noWrap w:val="0"/>
            <w:vAlign w:val="center"/>
          </w:tcPr>
          <w:p w14:paraId="138365E1">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3262" w:type="dxa"/>
            <w:gridSpan w:val="2"/>
            <w:noWrap w:val="0"/>
            <w:vAlign w:val="center"/>
          </w:tcPr>
          <w:p w14:paraId="17E02232">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浓度限值</w:t>
            </w:r>
          </w:p>
        </w:tc>
        <w:tc>
          <w:tcPr>
            <w:tcW w:w="3902" w:type="dxa"/>
            <w:vMerge w:val="restart"/>
            <w:noWrap w:val="0"/>
            <w:vAlign w:val="center"/>
          </w:tcPr>
          <w:p w14:paraId="2554B2D8">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执行标准</w:t>
            </w:r>
          </w:p>
        </w:tc>
      </w:tr>
      <w:tr w14:paraId="77D91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0" w:hRule="atLeast"/>
          <w:jc w:val="center"/>
        </w:trPr>
        <w:tc>
          <w:tcPr>
            <w:tcW w:w="1609" w:type="dxa"/>
            <w:vMerge w:val="continue"/>
            <w:noWrap w:val="0"/>
            <w:vAlign w:val="center"/>
          </w:tcPr>
          <w:p w14:paraId="5293CDEF">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b/>
                <w:color w:val="auto"/>
                <w:kern w:val="0"/>
                <w:sz w:val="21"/>
                <w:szCs w:val="21"/>
                <w:highlight w:val="none"/>
              </w:rPr>
            </w:pPr>
          </w:p>
        </w:tc>
        <w:tc>
          <w:tcPr>
            <w:tcW w:w="1627" w:type="dxa"/>
            <w:tcBorders>
              <w:right w:val="single" w:color="auto" w:sz="4" w:space="0"/>
            </w:tcBorders>
            <w:noWrap w:val="0"/>
            <w:vAlign w:val="center"/>
          </w:tcPr>
          <w:p w14:paraId="19D681B4">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1小时平均</w:t>
            </w:r>
          </w:p>
        </w:tc>
        <w:tc>
          <w:tcPr>
            <w:tcW w:w="1635" w:type="dxa"/>
            <w:tcBorders>
              <w:left w:val="single" w:color="auto" w:sz="4" w:space="0"/>
            </w:tcBorders>
            <w:noWrap w:val="0"/>
            <w:vAlign w:val="center"/>
          </w:tcPr>
          <w:p w14:paraId="549F3013">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24小时平均</w:t>
            </w:r>
          </w:p>
        </w:tc>
        <w:tc>
          <w:tcPr>
            <w:tcW w:w="3902" w:type="dxa"/>
            <w:vMerge w:val="continue"/>
            <w:noWrap w:val="0"/>
            <w:vAlign w:val="center"/>
          </w:tcPr>
          <w:p w14:paraId="2EA10370">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b/>
                <w:color w:val="auto"/>
                <w:kern w:val="0"/>
                <w:sz w:val="21"/>
                <w:szCs w:val="21"/>
                <w:highlight w:val="none"/>
              </w:rPr>
            </w:pPr>
          </w:p>
        </w:tc>
      </w:tr>
      <w:tr w14:paraId="654FA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0" w:hRule="atLeast"/>
          <w:jc w:val="center"/>
        </w:trPr>
        <w:tc>
          <w:tcPr>
            <w:tcW w:w="1609" w:type="dxa"/>
            <w:noWrap w:val="0"/>
            <w:vAlign w:val="center"/>
          </w:tcPr>
          <w:p w14:paraId="62B450F2">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bCs w:val="0"/>
                <w:color w:val="auto"/>
                <w:kern w:val="0"/>
                <w:sz w:val="21"/>
                <w:szCs w:val="21"/>
                <w:highlight w:val="none"/>
              </w:rPr>
            </w:pPr>
            <w:r>
              <w:rPr>
                <w:rFonts w:hint="default" w:ascii="Times New Roman" w:hAnsi="Times New Roman" w:eastAsia="宋体" w:cs="Times New Roman"/>
                <w:bCs w:val="0"/>
                <w:color w:val="auto"/>
                <w:sz w:val="21"/>
                <w:szCs w:val="21"/>
                <w:highlight w:val="none"/>
              </w:rPr>
              <w:t>NH</w:t>
            </w:r>
            <w:r>
              <w:rPr>
                <w:rFonts w:hint="default" w:ascii="Times New Roman" w:hAnsi="Times New Roman" w:eastAsia="宋体" w:cs="Times New Roman"/>
                <w:bCs w:val="0"/>
                <w:color w:val="auto"/>
                <w:sz w:val="21"/>
                <w:szCs w:val="21"/>
                <w:highlight w:val="none"/>
                <w:vertAlign w:val="subscript"/>
              </w:rPr>
              <w:t>3</w:t>
            </w:r>
          </w:p>
        </w:tc>
        <w:tc>
          <w:tcPr>
            <w:tcW w:w="1627" w:type="dxa"/>
            <w:tcBorders>
              <w:right w:val="single" w:color="auto" w:sz="4" w:space="0"/>
            </w:tcBorders>
            <w:noWrap w:val="0"/>
            <w:vAlign w:val="center"/>
          </w:tcPr>
          <w:p w14:paraId="10C0B6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200μg/m</w:t>
            </w:r>
            <w:r>
              <w:rPr>
                <w:rFonts w:hint="default" w:ascii="Times New Roman" w:hAnsi="Times New Roman" w:eastAsia="宋体" w:cs="Times New Roman"/>
                <w:snapToGrid w:val="0"/>
                <w:color w:val="auto"/>
                <w:kern w:val="0"/>
                <w:sz w:val="21"/>
                <w:szCs w:val="21"/>
                <w:highlight w:val="none"/>
                <w:vertAlign w:val="superscript"/>
              </w:rPr>
              <w:t>3</w:t>
            </w:r>
          </w:p>
        </w:tc>
        <w:tc>
          <w:tcPr>
            <w:tcW w:w="1635" w:type="dxa"/>
            <w:tcBorders>
              <w:left w:val="single" w:color="auto" w:sz="4" w:space="0"/>
            </w:tcBorders>
            <w:noWrap w:val="0"/>
            <w:vAlign w:val="center"/>
          </w:tcPr>
          <w:p w14:paraId="0309B5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c>
          <w:tcPr>
            <w:tcW w:w="3902" w:type="dxa"/>
            <w:vMerge w:val="restart"/>
            <w:noWrap w:val="0"/>
            <w:vAlign w:val="center"/>
          </w:tcPr>
          <w:p w14:paraId="79B75372">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val="0"/>
                <w:color w:val="auto"/>
                <w:kern w:val="0"/>
                <w:sz w:val="21"/>
                <w:szCs w:val="21"/>
                <w:highlight w:val="none"/>
              </w:rPr>
              <w:t>《环境影响评价技术导则 大气环境》（HJ2.2-2018）附录D</w:t>
            </w:r>
          </w:p>
        </w:tc>
      </w:tr>
      <w:tr w14:paraId="39ECC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0" w:hRule="atLeast"/>
          <w:jc w:val="center"/>
        </w:trPr>
        <w:tc>
          <w:tcPr>
            <w:tcW w:w="1609" w:type="dxa"/>
            <w:noWrap w:val="0"/>
            <w:vAlign w:val="center"/>
          </w:tcPr>
          <w:p w14:paraId="29AB6B3E">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bCs w:val="0"/>
                <w:color w:val="auto"/>
                <w:kern w:val="0"/>
                <w:sz w:val="21"/>
                <w:szCs w:val="21"/>
                <w:highlight w:val="none"/>
              </w:rPr>
            </w:pPr>
            <w:r>
              <w:rPr>
                <w:rFonts w:hint="default" w:ascii="Times New Roman" w:hAnsi="Times New Roman" w:eastAsia="宋体" w:cs="Times New Roman"/>
                <w:bCs w:val="0"/>
                <w:color w:val="auto"/>
                <w:sz w:val="21"/>
                <w:szCs w:val="21"/>
                <w:highlight w:val="none"/>
              </w:rPr>
              <w:t>H</w:t>
            </w:r>
            <w:r>
              <w:rPr>
                <w:rFonts w:hint="default" w:ascii="Times New Roman" w:hAnsi="Times New Roman" w:eastAsia="宋体" w:cs="Times New Roman"/>
                <w:bCs w:val="0"/>
                <w:color w:val="auto"/>
                <w:sz w:val="21"/>
                <w:szCs w:val="21"/>
                <w:highlight w:val="none"/>
                <w:vertAlign w:val="subscript"/>
              </w:rPr>
              <w:t>2</w:t>
            </w:r>
            <w:r>
              <w:rPr>
                <w:rFonts w:hint="default" w:ascii="Times New Roman" w:hAnsi="Times New Roman" w:eastAsia="宋体" w:cs="Times New Roman"/>
                <w:bCs w:val="0"/>
                <w:color w:val="auto"/>
                <w:sz w:val="21"/>
                <w:szCs w:val="21"/>
                <w:highlight w:val="none"/>
              </w:rPr>
              <w:t>S</w:t>
            </w:r>
          </w:p>
        </w:tc>
        <w:tc>
          <w:tcPr>
            <w:tcW w:w="1627" w:type="dxa"/>
            <w:tcBorders>
              <w:right w:val="single" w:color="auto" w:sz="4" w:space="0"/>
            </w:tcBorders>
            <w:noWrap w:val="0"/>
            <w:vAlign w:val="center"/>
          </w:tcPr>
          <w:p w14:paraId="31D685C1">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lang w:eastAsia="zh-CN"/>
              </w:rPr>
              <w:t>μg/m</w:t>
            </w:r>
            <w:r>
              <w:rPr>
                <w:rFonts w:hint="default" w:ascii="Times New Roman" w:hAnsi="Times New Roman" w:eastAsia="宋体" w:cs="Times New Roman"/>
                <w:color w:val="auto"/>
                <w:kern w:val="0"/>
                <w:sz w:val="21"/>
                <w:szCs w:val="21"/>
                <w:highlight w:val="none"/>
                <w:vertAlign w:val="superscript"/>
                <w:lang w:eastAsia="zh-CN"/>
              </w:rPr>
              <w:t>3</w:t>
            </w:r>
          </w:p>
        </w:tc>
        <w:tc>
          <w:tcPr>
            <w:tcW w:w="1635" w:type="dxa"/>
            <w:tcBorders>
              <w:left w:val="single" w:color="auto" w:sz="4" w:space="0"/>
            </w:tcBorders>
            <w:noWrap w:val="0"/>
            <w:vAlign w:val="center"/>
          </w:tcPr>
          <w:p w14:paraId="21806FD5">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3902" w:type="dxa"/>
            <w:vMerge w:val="continue"/>
            <w:noWrap w:val="0"/>
            <w:vAlign w:val="center"/>
          </w:tcPr>
          <w:p w14:paraId="36D2B775">
            <w:pPr>
              <w:pStyle w:val="44"/>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p>
        </w:tc>
      </w:tr>
    </w:tbl>
    <w:p w14:paraId="52DABCC5">
      <w:pPr>
        <w:bidi w:val="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z w:val="24"/>
          <w:szCs w:val="22"/>
          <w:highlight w:val="none"/>
        </w:rPr>
        <w:fldChar w:fldCharType="begin"/>
      </w:r>
      <w:r>
        <w:rPr>
          <w:rFonts w:hint="default" w:ascii="Times New Roman" w:hAnsi="Times New Roman" w:eastAsia="仿宋_GB2312" w:cs="Times New Roman"/>
          <w:color w:val="auto"/>
          <w:sz w:val="24"/>
          <w:szCs w:val="22"/>
          <w:highlight w:val="none"/>
        </w:rPr>
        <w:instrText xml:space="preserve"> = 2 \* GB3 \* MERGEFORMAT </w:instrText>
      </w:r>
      <w:r>
        <w:rPr>
          <w:rFonts w:hint="default" w:ascii="Times New Roman" w:hAnsi="Times New Roman" w:eastAsia="仿宋_GB2312" w:cs="Times New Roman"/>
          <w:color w:val="auto"/>
          <w:sz w:val="24"/>
          <w:szCs w:val="22"/>
          <w:highlight w:val="none"/>
        </w:rPr>
        <w:fldChar w:fldCharType="separate"/>
      </w:r>
      <w:r>
        <w:rPr>
          <w:rFonts w:hint="default" w:ascii="Times New Roman" w:hAnsi="Times New Roman" w:eastAsia="仿宋_GB2312" w:cs="Times New Roman"/>
          <w:color w:val="auto"/>
          <w:sz w:val="24"/>
          <w:szCs w:val="22"/>
          <w:highlight w:val="none"/>
        </w:rPr>
        <w:t>②</w:t>
      </w:r>
      <w:r>
        <w:rPr>
          <w:rFonts w:hint="default" w:ascii="Times New Roman" w:hAnsi="Times New Roman" w:eastAsia="仿宋_GB2312" w:cs="Times New Roman"/>
          <w:color w:val="auto"/>
          <w:sz w:val="24"/>
          <w:szCs w:val="22"/>
          <w:highlight w:val="none"/>
        </w:rPr>
        <w:fldChar w:fldCharType="end"/>
      </w:r>
      <w:r>
        <w:rPr>
          <w:rFonts w:hint="default" w:ascii="Times New Roman" w:hAnsi="Times New Roman" w:eastAsia="仿宋_GB2312" w:cs="Times New Roman"/>
          <w:color w:val="auto"/>
          <w:lang w:eastAsia="zh-CN"/>
        </w:rPr>
        <w:t>评价结果</w:t>
      </w:r>
    </w:p>
    <w:p w14:paraId="35FFA3DE">
      <w:pPr>
        <w:bidi w:val="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评价区内各监测点污染物监测期间评价结果见表3.2-</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eastAsia="zh-CN"/>
        </w:rPr>
        <w:t>。</w:t>
      </w:r>
    </w:p>
    <w:p w14:paraId="67BF8A29">
      <w:pPr>
        <w:bidi w:val="0"/>
        <w:spacing w:line="240" w:lineRule="auto"/>
        <w:rPr>
          <w:rFonts w:hint="eastAsia"/>
          <w:color w:val="auto"/>
          <w:lang w:eastAsia="zh-CN"/>
        </w:rPr>
      </w:pPr>
      <w:r>
        <w:rPr>
          <w:rFonts w:hint="default" w:ascii="Times New Roman" w:hAnsi="Times New Roman" w:eastAsia="宋体" w:cs="Times New Roman"/>
          <w:b w:val="0"/>
          <w:bCs w:val="0"/>
          <w:color w:val="auto"/>
          <w:kern w:val="0"/>
          <w:sz w:val="21"/>
          <w:szCs w:val="21"/>
          <w:lang w:val="en-US" w:eastAsia="zh-CN" w:bidi="ar-SA"/>
        </w:rPr>
        <w:t>表3.2-</w:t>
      </w:r>
      <w:r>
        <w:rPr>
          <w:rFonts w:hint="eastAsia" w:eastAsia="宋体" w:cs="Times New Roman"/>
          <w:b w:val="0"/>
          <w:bCs w:val="0"/>
          <w:color w:val="auto"/>
          <w:kern w:val="0"/>
          <w:sz w:val="21"/>
          <w:szCs w:val="21"/>
          <w:lang w:val="en-US" w:eastAsia="zh-CN" w:bidi="ar-SA"/>
        </w:rPr>
        <w:t>5</w:t>
      </w:r>
      <w:r>
        <w:rPr>
          <w:rFonts w:hint="default" w:ascii="Times New Roman" w:hAnsi="Times New Roman" w:cs="Times New Roman"/>
          <w:b/>
          <w:bCs/>
          <w:snapToGrid w:val="0"/>
          <w:color w:val="auto"/>
          <w:kern w:val="0"/>
          <w:sz w:val="24"/>
          <w:highlight w:val="none"/>
        </w:rPr>
        <w:t xml:space="preserve">  </w:t>
      </w:r>
      <w:r>
        <w:rPr>
          <w:rFonts w:hint="eastAsia" w:ascii="Times New Roman" w:hAnsi="Times New Roman" w:cs="Times New Roman"/>
          <w:b/>
          <w:bCs/>
          <w:snapToGrid w:val="0"/>
          <w:color w:val="auto"/>
          <w:kern w:val="0"/>
          <w:sz w:val="24"/>
          <w:highlight w:val="none"/>
          <w:lang w:val="en-US" w:eastAsia="zh-CN"/>
        </w:rPr>
        <w:t xml:space="preserve">              </w:t>
      </w:r>
      <w:r>
        <w:rPr>
          <w:rFonts w:hint="eastAsia" w:ascii="Times New Roman" w:hAnsi="Times New Roman" w:eastAsia="宋体" w:cs="Times New Roman"/>
          <w:b/>
          <w:bCs/>
          <w:color w:val="auto"/>
          <w:kern w:val="0"/>
          <w:sz w:val="24"/>
          <w:szCs w:val="24"/>
          <w:lang w:val="en-US" w:eastAsia="zh-CN" w:bidi="ar-SA"/>
        </w:rPr>
        <w:t>环境空气监测结果</w:t>
      </w:r>
      <w:r>
        <w:rPr>
          <w:rFonts w:hint="default" w:ascii="Times New Roman" w:hAnsi="Times New Roman" w:eastAsia="宋体" w:cs="Times New Roman"/>
          <w:b/>
          <w:bCs/>
          <w:color w:val="auto"/>
          <w:kern w:val="0"/>
          <w:sz w:val="24"/>
          <w:szCs w:val="24"/>
          <w:lang w:val="en-US" w:eastAsia="zh-CN" w:bidi="ar-SA"/>
        </w:rPr>
        <w:t>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030"/>
        <w:gridCol w:w="895"/>
        <w:gridCol w:w="895"/>
        <w:gridCol w:w="895"/>
        <w:gridCol w:w="895"/>
        <w:gridCol w:w="895"/>
        <w:gridCol w:w="895"/>
        <w:gridCol w:w="895"/>
        <w:gridCol w:w="895"/>
      </w:tblGrid>
      <w:tr w14:paraId="2DBBB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restart"/>
            <w:tcBorders>
              <w:tl2br w:val="nil"/>
              <w:tr2bl w:val="nil"/>
            </w:tcBorders>
            <w:vAlign w:val="center"/>
          </w:tcPr>
          <w:p w14:paraId="3BADBD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监测因子</w:t>
            </w:r>
          </w:p>
        </w:tc>
        <w:tc>
          <w:tcPr>
            <w:tcW w:w="1030" w:type="dxa"/>
            <w:vMerge w:val="restart"/>
            <w:tcBorders>
              <w:tl2br w:val="nil"/>
              <w:tr2bl w:val="nil"/>
            </w:tcBorders>
            <w:vAlign w:val="center"/>
          </w:tcPr>
          <w:p w14:paraId="7A261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监测频次</w:t>
            </w:r>
          </w:p>
        </w:tc>
        <w:tc>
          <w:tcPr>
            <w:tcW w:w="895" w:type="dxa"/>
            <w:vMerge w:val="restart"/>
            <w:tcBorders>
              <w:tl2br w:val="nil"/>
              <w:tr2bl w:val="nil"/>
            </w:tcBorders>
            <w:vAlign w:val="center"/>
          </w:tcPr>
          <w:p w14:paraId="31BC5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单位</w:t>
            </w:r>
          </w:p>
        </w:tc>
        <w:tc>
          <w:tcPr>
            <w:tcW w:w="6265" w:type="dxa"/>
            <w:gridSpan w:val="7"/>
            <w:tcBorders>
              <w:tl2br w:val="nil"/>
              <w:tr2bl w:val="nil"/>
            </w:tcBorders>
            <w:vAlign w:val="center"/>
          </w:tcPr>
          <w:p w14:paraId="6BF8DA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检测结果（</w:t>
            </w:r>
            <w:r>
              <w:rPr>
                <w:rFonts w:hint="eastAsia" w:eastAsia="宋体" w:cs="Times New Roman"/>
                <w:b/>
                <w:bCs/>
                <w:color w:val="auto"/>
                <w:sz w:val="21"/>
                <w:szCs w:val="21"/>
                <w:vertAlign w:val="baseline"/>
                <w:lang w:val="en-US" w:eastAsia="zh-CN"/>
              </w:rPr>
              <w:t>厂址</w:t>
            </w:r>
            <w:r>
              <w:rPr>
                <w:rFonts w:hint="eastAsia" w:ascii="Times New Roman" w:hAnsi="Times New Roman" w:eastAsia="宋体" w:cs="Times New Roman"/>
                <w:b/>
                <w:bCs/>
                <w:color w:val="auto"/>
                <w:sz w:val="21"/>
                <w:szCs w:val="21"/>
                <w:vertAlign w:val="baseline"/>
                <w:lang w:val="en-US" w:eastAsia="zh-CN"/>
              </w:rPr>
              <w:t>1#）</w:t>
            </w:r>
          </w:p>
        </w:tc>
      </w:tr>
      <w:tr w14:paraId="7F59E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continue"/>
            <w:tcBorders>
              <w:tl2br w:val="nil"/>
              <w:tr2bl w:val="nil"/>
            </w:tcBorders>
            <w:vAlign w:val="center"/>
          </w:tcPr>
          <w:p w14:paraId="7F170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030" w:type="dxa"/>
            <w:vMerge w:val="continue"/>
            <w:tcBorders>
              <w:tl2br w:val="nil"/>
              <w:tr2bl w:val="nil"/>
            </w:tcBorders>
            <w:vAlign w:val="center"/>
          </w:tcPr>
          <w:p w14:paraId="6D4B0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895" w:type="dxa"/>
            <w:vMerge w:val="continue"/>
            <w:tcBorders>
              <w:tl2br w:val="nil"/>
              <w:tr2bl w:val="nil"/>
            </w:tcBorders>
            <w:vAlign w:val="center"/>
          </w:tcPr>
          <w:p w14:paraId="1B23ED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790" w:type="dxa"/>
            <w:gridSpan w:val="2"/>
            <w:tcBorders>
              <w:tl2br w:val="nil"/>
              <w:tr2bl w:val="nil"/>
            </w:tcBorders>
            <w:vAlign w:val="center"/>
          </w:tcPr>
          <w:p w14:paraId="716218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2025年2月</w:t>
            </w:r>
          </w:p>
        </w:tc>
        <w:tc>
          <w:tcPr>
            <w:tcW w:w="4475" w:type="dxa"/>
            <w:gridSpan w:val="5"/>
            <w:tcBorders>
              <w:tl2br w:val="nil"/>
              <w:tr2bl w:val="nil"/>
            </w:tcBorders>
            <w:vAlign w:val="center"/>
          </w:tcPr>
          <w:p w14:paraId="3FB183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2025年3月</w:t>
            </w:r>
          </w:p>
        </w:tc>
      </w:tr>
      <w:tr w14:paraId="2F04D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continue"/>
            <w:tcBorders>
              <w:tl2br w:val="nil"/>
              <w:tr2bl w:val="nil"/>
            </w:tcBorders>
            <w:vAlign w:val="center"/>
          </w:tcPr>
          <w:p w14:paraId="31A75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030" w:type="dxa"/>
            <w:vMerge w:val="continue"/>
            <w:tcBorders>
              <w:tl2br w:val="nil"/>
              <w:tr2bl w:val="nil"/>
            </w:tcBorders>
            <w:vAlign w:val="center"/>
          </w:tcPr>
          <w:p w14:paraId="6220B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895" w:type="dxa"/>
            <w:vMerge w:val="continue"/>
            <w:tcBorders>
              <w:tl2br w:val="nil"/>
              <w:tr2bl w:val="nil"/>
            </w:tcBorders>
            <w:vAlign w:val="center"/>
          </w:tcPr>
          <w:p w14:paraId="3A66B2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895" w:type="dxa"/>
            <w:tcBorders>
              <w:tl2br w:val="nil"/>
              <w:tr2bl w:val="nil"/>
            </w:tcBorders>
            <w:vAlign w:val="center"/>
          </w:tcPr>
          <w:p w14:paraId="547F72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27日</w:t>
            </w:r>
          </w:p>
        </w:tc>
        <w:tc>
          <w:tcPr>
            <w:tcW w:w="895" w:type="dxa"/>
            <w:tcBorders>
              <w:tl2br w:val="nil"/>
              <w:tr2bl w:val="nil"/>
            </w:tcBorders>
            <w:vAlign w:val="center"/>
          </w:tcPr>
          <w:p w14:paraId="7A3804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28日</w:t>
            </w:r>
          </w:p>
        </w:tc>
        <w:tc>
          <w:tcPr>
            <w:tcW w:w="895" w:type="dxa"/>
            <w:tcBorders>
              <w:tl2br w:val="nil"/>
              <w:tr2bl w:val="nil"/>
            </w:tcBorders>
            <w:vAlign w:val="center"/>
          </w:tcPr>
          <w:p w14:paraId="0B1292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1日</w:t>
            </w:r>
          </w:p>
        </w:tc>
        <w:tc>
          <w:tcPr>
            <w:tcW w:w="895" w:type="dxa"/>
            <w:tcBorders>
              <w:tl2br w:val="nil"/>
              <w:tr2bl w:val="nil"/>
            </w:tcBorders>
            <w:vAlign w:val="center"/>
          </w:tcPr>
          <w:p w14:paraId="5B4893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val="en-US" w:eastAsia="zh-CN"/>
              </w:rPr>
              <w:t>2日</w:t>
            </w:r>
          </w:p>
        </w:tc>
        <w:tc>
          <w:tcPr>
            <w:tcW w:w="895" w:type="dxa"/>
            <w:tcBorders>
              <w:tl2br w:val="nil"/>
              <w:tr2bl w:val="nil"/>
            </w:tcBorders>
            <w:vAlign w:val="center"/>
          </w:tcPr>
          <w:p w14:paraId="60305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val="en-US" w:eastAsia="zh-CN"/>
              </w:rPr>
              <w:t>3日</w:t>
            </w:r>
          </w:p>
        </w:tc>
        <w:tc>
          <w:tcPr>
            <w:tcW w:w="895" w:type="dxa"/>
            <w:tcBorders>
              <w:tl2br w:val="nil"/>
              <w:tr2bl w:val="nil"/>
            </w:tcBorders>
            <w:vAlign w:val="center"/>
          </w:tcPr>
          <w:p w14:paraId="1FFB4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val="en-US" w:eastAsia="zh-CN"/>
              </w:rPr>
              <w:t>4日</w:t>
            </w:r>
          </w:p>
        </w:tc>
        <w:tc>
          <w:tcPr>
            <w:tcW w:w="895" w:type="dxa"/>
            <w:tcBorders>
              <w:tl2br w:val="nil"/>
              <w:tr2bl w:val="nil"/>
            </w:tcBorders>
            <w:vAlign w:val="center"/>
          </w:tcPr>
          <w:p w14:paraId="7AD91B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val="en-US" w:eastAsia="zh-CN"/>
              </w:rPr>
              <w:t>5日</w:t>
            </w:r>
          </w:p>
        </w:tc>
      </w:tr>
      <w:tr w14:paraId="20FA7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restart"/>
            <w:tcBorders>
              <w:tl2br w:val="nil"/>
              <w:tr2bl w:val="nil"/>
            </w:tcBorders>
            <w:vAlign w:val="center"/>
          </w:tcPr>
          <w:p w14:paraId="4E57B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氨</w:t>
            </w:r>
          </w:p>
        </w:tc>
        <w:tc>
          <w:tcPr>
            <w:tcW w:w="1030" w:type="dxa"/>
            <w:tcBorders>
              <w:tl2br w:val="nil"/>
              <w:tr2bl w:val="nil"/>
            </w:tcBorders>
            <w:vAlign w:val="center"/>
          </w:tcPr>
          <w:p w14:paraId="76CD1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第一次</w:t>
            </w:r>
          </w:p>
        </w:tc>
        <w:tc>
          <w:tcPr>
            <w:tcW w:w="895" w:type="dxa"/>
            <w:tcBorders>
              <w:tl2br w:val="nil"/>
              <w:tr2bl w:val="nil"/>
            </w:tcBorders>
            <w:vAlign w:val="center"/>
          </w:tcPr>
          <w:p w14:paraId="696B8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895" w:type="dxa"/>
            <w:tcBorders>
              <w:tl2br w:val="nil"/>
              <w:tr2bl w:val="nil"/>
            </w:tcBorders>
            <w:vAlign w:val="center"/>
          </w:tcPr>
          <w:p w14:paraId="5FC9B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0.066</w:t>
            </w:r>
          </w:p>
        </w:tc>
        <w:tc>
          <w:tcPr>
            <w:tcW w:w="895" w:type="dxa"/>
            <w:tcBorders>
              <w:tl2br w:val="nil"/>
              <w:tr2bl w:val="nil"/>
            </w:tcBorders>
            <w:vAlign w:val="center"/>
          </w:tcPr>
          <w:p w14:paraId="399908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0.062</w:t>
            </w:r>
          </w:p>
        </w:tc>
        <w:tc>
          <w:tcPr>
            <w:tcW w:w="895" w:type="dxa"/>
            <w:tcBorders>
              <w:tl2br w:val="nil"/>
              <w:tr2bl w:val="nil"/>
            </w:tcBorders>
            <w:vAlign w:val="center"/>
          </w:tcPr>
          <w:p w14:paraId="496614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0.055</w:t>
            </w:r>
          </w:p>
        </w:tc>
        <w:tc>
          <w:tcPr>
            <w:tcW w:w="895" w:type="dxa"/>
            <w:tcBorders>
              <w:tl2br w:val="nil"/>
              <w:tr2bl w:val="nil"/>
            </w:tcBorders>
            <w:vAlign w:val="center"/>
          </w:tcPr>
          <w:p w14:paraId="14524B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0.084</w:t>
            </w:r>
          </w:p>
        </w:tc>
        <w:tc>
          <w:tcPr>
            <w:tcW w:w="895" w:type="dxa"/>
            <w:tcBorders>
              <w:tl2br w:val="nil"/>
              <w:tr2bl w:val="nil"/>
            </w:tcBorders>
            <w:vAlign w:val="center"/>
          </w:tcPr>
          <w:p w14:paraId="3C094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0.066</w:t>
            </w:r>
          </w:p>
        </w:tc>
        <w:tc>
          <w:tcPr>
            <w:tcW w:w="895" w:type="dxa"/>
            <w:tcBorders>
              <w:tl2br w:val="nil"/>
              <w:tr2bl w:val="nil"/>
            </w:tcBorders>
            <w:vAlign w:val="center"/>
          </w:tcPr>
          <w:p w14:paraId="34123F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0.062</w:t>
            </w:r>
          </w:p>
        </w:tc>
        <w:tc>
          <w:tcPr>
            <w:tcW w:w="895" w:type="dxa"/>
            <w:tcBorders>
              <w:tl2br w:val="nil"/>
              <w:tr2bl w:val="nil"/>
            </w:tcBorders>
            <w:vAlign w:val="center"/>
          </w:tcPr>
          <w:p w14:paraId="378DD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0.092</w:t>
            </w:r>
          </w:p>
        </w:tc>
      </w:tr>
      <w:tr w14:paraId="085A8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continue"/>
            <w:tcBorders>
              <w:tl2br w:val="nil"/>
              <w:tr2bl w:val="nil"/>
            </w:tcBorders>
            <w:vAlign w:val="center"/>
          </w:tcPr>
          <w:p w14:paraId="4B247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c>
          <w:tcPr>
            <w:tcW w:w="1030" w:type="dxa"/>
            <w:tcBorders>
              <w:tl2br w:val="nil"/>
              <w:tr2bl w:val="nil"/>
            </w:tcBorders>
            <w:vAlign w:val="center"/>
          </w:tcPr>
          <w:p w14:paraId="1708CE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第二次</w:t>
            </w:r>
          </w:p>
        </w:tc>
        <w:tc>
          <w:tcPr>
            <w:tcW w:w="895" w:type="dxa"/>
            <w:tcBorders>
              <w:tl2br w:val="nil"/>
              <w:tr2bl w:val="nil"/>
            </w:tcBorders>
            <w:vAlign w:val="center"/>
          </w:tcPr>
          <w:p w14:paraId="7FD99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895" w:type="dxa"/>
            <w:tcBorders>
              <w:tl2br w:val="nil"/>
              <w:tr2bl w:val="nil"/>
            </w:tcBorders>
            <w:vAlign w:val="center"/>
          </w:tcPr>
          <w:p w14:paraId="20C6C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0.050</w:t>
            </w:r>
          </w:p>
        </w:tc>
        <w:tc>
          <w:tcPr>
            <w:tcW w:w="895" w:type="dxa"/>
            <w:tcBorders>
              <w:tl2br w:val="nil"/>
              <w:tr2bl w:val="nil"/>
            </w:tcBorders>
            <w:vAlign w:val="center"/>
          </w:tcPr>
          <w:p w14:paraId="0E15E0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0.079</w:t>
            </w:r>
          </w:p>
        </w:tc>
        <w:tc>
          <w:tcPr>
            <w:tcW w:w="895" w:type="dxa"/>
            <w:tcBorders>
              <w:tl2br w:val="nil"/>
              <w:tr2bl w:val="nil"/>
            </w:tcBorders>
            <w:vAlign w:val="center"/>
          </w:tcPr>
          <w:p w14:paraId="47273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0.069</w:t>
            </w:r>
          </w:p>
        </w:tc>
        <w:tc>
          <w:tcPr>
            <w:tcW w:w="895" w:type="dxa"/>
            <w:tcBorders>
              <w:tl2br w:val="nil"/>
              <w:tr2bl w:val="nil"/>
            </w:tcBorders>
            <w:vAlign w:val="center"/>
          </w:tcPr>
          <w:p w14:paraId="65B38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0.051</w:t>
            </w:r>
          </w:p>
        </w:tc>
        <w:tc>
          <w:tcPr>
            <w:tcW w:w="895" w:type="dxa"/>
            <w:tcBorders>
              <w:tl2br w:val="nil"/>
              <w:tr2bl w:val="nil"/>
            </w:tcBorders>
            <w:vAlign w:val="center"/>
          </w:tcPr>
          <w:p w14:paraId="367CF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0.050</w:t>
            </w:r>
          </w:p>
        </w:tc>
        <w:tc>
          <w:tcPr>
            <w:tcW w:w="895" w:type="dxa"/>
            <w:tcBorders>
              <w:tl2br w:val="nil"/>
              <w:tr2bl w:val="nil"/>
            </w:tcBorders>
            <w:vAlign w:val="center"/>
          </w:tcPr>
          <w:p w14:paraId="21A1CB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0.089</w:t>
            </w:r>
          </w:p>
        </w:tc>
        <w:tc>
          <w:tcPr>
            <w:tcW w:w="895" w:type="dxa"/>
            <w:tcBorders>
              <w:tl2br w:val="nil"/>
              <w:tr2bl w:val="nil"/>
            </w:tcBorders>
            <w:vAlign w:val="center"/>
          </w:tcPr>
          <w:p w14:paraId="6FAA2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0.062</w:t>
            </w:r>
          </w:p>
        </w:tc>
      </w:tr>
      <w:tr w14:paraId="4376F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continue"/>
            <w:tcBorders>
              <w:tl2br w:val="nil"/>
              <w:tr2bl w:val="nil"/>
            </w:tcBorders>
            <w:vAlign w:val="center"/>
          </w:tcPr>
          <w:p w14:paraId="36537B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c>
          <w:tcPr>
            <w:tcW w:w="1030" w:type="dxa"/>
            <w:tcBorders>
              <w:tl2br w:val="nil"/>
              <w:tr2bl w:val="nil"/>
            </w:tcBorders>
            <w:vAlign w:val="center"/>
          </w:tcPr>
          <w:p w14:paraId="3A8525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第三次</w:t>
            </w:r>
          </w:p>
        </w:tc>
        <w:tc>
          <w:tcPr>
            <w:tcW w:w="895" w:type="dxa"/>
            <w:tcBorders>
              <w:tl2br w:val="nil"/>
              <w:tr2bl w:val="nil"/>
            </w:tcBorders>
            <w:vAlign w:val="center"/>
          </w:tcPr>
          <w:p w14:paraId="46B17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895" w:type="dxa"/>
            <w:tcBorders>
              <w:tl2br w:val="nil"/>
              <w:tr2bl w:val="nil"/>
            </w:tcBorders>
            <w:vAlign w:val="center"/>
          </w:tcPr>
          <w:p w14:paraId="33EE0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0.079</w:t>
            </w:r>
          </w:p>
        </w:tc>
        <w:tc>
          <w:tcPr>
            <w:tcW w:w="895" w:type="dxa"/>
            <w:tcBorders>
              <w:tl2br w:val="nil"/>
              <w:tr2bl w:val="nil"/>
            </w:tcBorders>
            <w:vAlign w:val="center"/>
          </w:tcPr>
          <w:p w14:paraId="5D1F3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0.088</w:t>
            </w:r>
          </w:p>
        </w:tc>
        <w:tc>
          <w:tcPr>
            <w:tcW w:w="895" w:type="dxa"/>
            <w:tcBorders>
              <w:tl2br w:val="nil"/>
              <w:tr2bl w:val="nil"/>
            </w:tcBorders>
            <w:vAlign w:val="center"/>
          </w:tcPr>
          <w:p w14:paraId="4E9275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0.095</w:t>
            </w:r>
          </w:p>
        </w:tc>
        <w:tc>
          <w:tcPr>
            <w:tcW w:w="895" w:type="dxa"/>
            <w:tcBorders>
              <w:tl2br w:val="nil"/>
              <w:tr2bl w:val="nil"/>
            </w:tcBorders>
            <w:vAlign w:val="center"/>
          </w:tcPr>
          <w:p w14:paraId="02883D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0.066</w:t>
            </w:r>
          </w:p>
        </w:tc>
        <w:tc>
          <w:tcPr>
            <w:tcW w:w="895" w:type="dxa"/>
            <w:tcBorders>
              <w:tl2br w:val="nil"/>
              <w:tr2bl w:val="nil"/>
            </w:tcBorders>
            <w:vAlign w:val="center"/>
          </w:tcPr>
          <w:p w14:paraId="6E7E3E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0.071</w:t>
            </w:r>
          </w:p>
        </w:tc>
        <w:tc>
          <w:tcPr>
            <w:tcW w:w="895" w:type="dxa"/>
            <w:tcBorders>
              <w:tl2br w:val="nil"/>
              <w:tr2bl w:val="nil"/>
            </w:tcBorders>
            <w:vAlign w:val="center"/>
          </w:tcPr>
          <w:p w14:paraId="57C5C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0.077</w:t>
            </w:r>
          </w:p>
        </w:tc>
        <w:tc>
          <w:tcPr>
            <w:tcW w:w="895" w:type="dxa"/>
            <w:tcBorders>
              <w:tl2br w:val="nil"/>
              <w:tr2bl w:val="nil"/>
            </w:tcBorders>
            <w:vAlign w:val="center"/>
          </w:tcPr>
          <w:p w14:paraId="56B6CE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0.047</w:t>
            </w:r>
          </w:p>
        </w:tc>
      </w:tr>
      <w:tr w14:paraId="3B53C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continue"/>
            <w:tcBorders>
              <w:tl2br w:val="nil"/>
              <w:tr2bl w:val="nil"/>
            </w:tcBorders>
            <w:vAlign w:val="center"/>
          </w:tcPr>
          <w:p w14:paraId="4E82A3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c>
          <w:tcPr>
            <w:tcW w:w="1030" w:type="dxa"/>
            <w:tcBorders>
              <w:tl2br w:val="nil"/>
              <w:tr2bl w:val="nil"/>
            </w:tcBorders>
            <w:vAlign w:val="center"/>
          </w:tcPr>
          <w:p w14:paraId="126076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第四次</w:t>
            </w:r>
          </w:p>
        </w:tc>
        <w:tc>
          <w:tcPr>
            <w:tcW w:w="895" w:type="dxa"/>
            <w:tcBorders>
              <w:tl2br w:val="nil"/>
              <w:tr2bl w:val="nil"/>
            </w:tcBorders>
            <w:vAlign w:val="center"/>
          </w:tcPr>
          <w:p w14:paraId="02543A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895" w:type="dxa"/>
            <w:tcBorders>
              <w:tl2br w:val="nil"/>
              <w:tr2bl w:val="nil"/>
            </w:tcBorders>
            <w:vAlign w:val="center"/>
          </w:tcPr>
          <w:p w14:paraId="040200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0.058</w:t>
            </w:r>
          </w:p>
        </w:tc>
        <w:tc>
          <w:tcPr>
            <w:tcW w:w="895" w:type="dxa"/>
            <w:tcBorders>
              <w:tl2br w:val="nil"/>
              <w:tr2bl w:val="nil"/>
            </w:tcBorders>
            <w:vAlign w:val="center"/>
          </w:tcPr>
          <w:p w14:paraId="08FAF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0.064</w:t>
            </w:r>
          </w:p>
        </w:tc>
        <w:tc>
          <w:tcPr>
            <w:tcW w:w="895" w:type="dxa"/>
            <w:tcBorders>
              <w:tl2br w:val="nil"/>
              <w:tr2bl w:val="nil"/>
            </w:tcBorders>
            <w:vAlign w:val="center"/>
          </w:tcPr>
          <w:p w14:paraId="397662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0.084</w:t>
            </w:r>
          </w:p>
        </w:tc>
        <w:tc>
          <w:tcPr>
            <w:tcW w:w="895" w:type="dxa"/>
            <w:tcBorders>
              <w:tl2br w:val="nil"/>
              <w:tr2bl w:val="nil"/>
            </w:tcBorders>
            <w:vAlign w:val="center"/>
          </w:tcPr>
          <w:p w14:paraId="26426B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0.078</w:t>
            </w:r>
          </w:p>
        </w:tc>
        <w:tc>
          <w:tcPr>
            <w:tcW w:w="895" w:type="dxa"/>
            <w:tcBorders>
              <w:tl2br w:val="nil"/>
              <w:tr2bl w:val="nil"/>
            </w:tcBorders>
            <w:vAlign w:val="center"/>
          </w:tcPr>
          <w:p w14:paraId="31796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0.058</w:t>
            </w:r>
          </w:p>
        </w:tc>
        <w:tc>
          <w:tcPr>
            <w:tcW w:w="895" w:type="dxa"/>
            <w:tcBorders>
              <w:tl2br w:val="nil"/>
              <w:tr2bl w:val="nil"/>
            </w:tcBorders>
            <w:vAlign w:val="center"/>
          </w:tcPr>
          <w:p w14:paraId="7F7739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0.068</w:t>
            </w:r>
          </w:p>
        </w:tc>
        <w:tc>
          <w:tcPr>
            <w:tcW w:w="895" w:type="dxa"/>
            <w:tcBorders>
              <w:tl2br w:val="nil"/>
              <w:tr2bl w:val="nil"/>
            </w:tcBorders>
            <w:vAlign w:val="center"/>
          </w:tcPr>
          <w:p w14:paraId="381BF4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0.071</w:t>
            </w:r>
          </w:p>
        </w:tc>
      </w:tr>
      <w:tr w14:paraId="51592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restart"/>
            <w:tcBorders>
              <w:tl2br w:val="nil"/>
              <w:tr2bl w:val="nil"/>
            </w:tcBorders>
            <w:vAlign w:val="center"/>
          </w:tcPr>
          <w:p w14:paraId="6DC208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硫化氢</w:t>
            </w:r>
          </w:p>
        </w:tc>
        <w:tc>
          <w:tcPr>
            <w:tcW w:w="1030" w:type="dxa"/>
            <w:tcBorders>
              <w:tl2br w:val="nil"/>
              <w:tr2bl w:val="nil"/>
            </w:tcBorders>
            <w:shd w:val="clear" w:color="auto" w:fill="auto"/>
            <w:vAlign w:val="center"/>
          </w:tcPr>
          <w:p w14:paraId="64C2EA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第一次</w:t>
            </w:r>
          </w:p>
        </w:tc>
        <w:tc>
          <w:tcPr>
            <w:tcW w:w="895" w:type="dxa"/>
            <w:tcBorders>
              <w:tl2br w:val="nil"/>
              <w:tr2bl w:val="nil"/>
            </w:tcBorders>
            <w:vAlign w:val="center"/>
          </w:tcPr>
          <w:p w14:paraId="3930C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895" w:type="dxa"/>
            <w:tcBorders>
              <w:tl2br w:val="nil"/>
              <w:tr2bl w:val="nil"/>
            </w:tcBorders>
            <w:vAlign w:val="center"/>
          </w:tcPr>
          <w:p w14:paraId="6E620E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w:t>
            </w:r>
            <w:r>
              <w:rPr>
                <w:rFonts w:hint="eastAsia"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3</w:t>
            </w:r>
          </w:p>
        </w:tc>
        <w:tc>
          <w:tcPr>
            <w:tcW w:w="895" w:type="dxa"/>
            <w:tcBorders>
              <w:tl2br w:val="nil"/>
              <w:tr2bl w:val="nil"/>
            </w:tcBorders>
            <w:vAlign w:val="center"/>
          </w:tcPr>
          <w:p w14:paraId="66D1A9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895" w:type="dxa"/>
            <w:tcBorders>
              <w:tl2br w:val="nil"/>
              <w:tr2bl w:val="nil"/>
            </w:tcBorders>
            <w:vAlign w:val="center"/>
          </w:tcPr>
          <w:p w14:paraId="05D2D0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0.003</w:t>
            </w:r>
          </w:p>
        </w:tc>
        <w:tc>
          <w:tcPr>
            <w:tcW w:w="895" w:type="dxa"/>
            <w:tcBorders>
              <w:tl2br w:val="nil"/>
              <w:tr2bl w:val="nil"/>
            </w:tcBorders>
            <w:vAlign w:val="center"/>
          </w:tcPr>
          <w:p w14:paraId="6D2D37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895" w:type="dxa"/>
            <w:tcBorders>
              <w:tl2br w:val="nil"/>
              <w:tr2bl w:val="nil"/>
            </w:tcBorders>
            <w:vAlign w:val="center"/>
          </w:tcPr>
          <w:p w14:paraId="5C8F4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895" w:type="dxa"/>
            <w:tcBorders>
              <w:tl2br w:val="nil"/>
              <w:tr2bl w:val="nil"/>
            </w:tcBorders>
            <w:vAlign w:val="center"/>
          </w:tcPr>
          <w:p w14:paraId="43997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895" w:type="dxa"/>
            <w:tcBorders>
              <w:tl2br w:val="nil"/>
              <w:tr2bl w:val="nil"/>
            </w:tcBorders>
            <w:vAlign w:val="center"/>
          </w:tcPr>
          <w:p w14:paraId="6769F4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r>
      <w:tr w14:paraId="004B4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continue"/>
            <w:tcBorders>
              <w:tl2br w:val="nil"/>
              <w:tr2bl w:val="nil"/>
            </w:tcBorders>
            <w:vAlign w:val="center"/>
          </w:tcPr>
          <w:p w14:paraId="3EE04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c>
          <w:tcPr>
            <w:tcW w:w="1030" w:type="dxa"/>
            <w:tcBorders>
              <w:tl2br w:val="nil"/>
              <w:tr2bl w:val="nil"/>
            </w:tcBorders>
            <w:shd w:val="clear" w:color="auto" w:fill="auto"/>
            <w:vAlign w:val="center"/>
          </w:tcPr>
          <w:p w14:paraId="4E328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第二次</w:t>
            </w:r>
          </w:p>
        </w:tc>
        <w:tc>
          <w:tcPr>
            <w:tcW w:w="895" w:type="dxa"/>
            <w:tcBorders>
              <w:tl2br w:val="nil"/>
              <w:tr2bl w:val="nil"/>
            </w:tcBorders>
            <w:vAlign w:val="center"/>
          </w:tcPr>
          <w:p w14:paraId="525E64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895" w:type="dxa"/>
            <w:tcBorders>
              <w:tl2br w:val="nil"/>
              <w:tr2bl w:val="nil"/>
            </w:tcBorders>
            <w:vAlign w:val="center"/>
          </w:tcPr>
          <w:p w14:paraId="68323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0.004</w:t>
            </w:r>
          </w:p>
        </w:tc>
        <w:tc>
          <w:tcPr>
            <w:tcW w:w="895" w:type="dxa"/>
            <w:tcBorders>
              <w:tl2br w:val="nil"/>
              <w:tr2bl w:val="nil"/>
            </w:tcBorders>
            <w:vAlign w:val="center"/>
          </w:tcPr>
          <w:p w14:paraId="7F1B64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0.004</w:t>
            </w:r>
          </w:p>
        </w:tc>
        <w:tc>
          <w:tcPr>
            <w:tcW w:w="895" w:type="dxa"/>
            <w:tcBorders>
              <w:tl2br w:val="nil"/>
              <w:tr2bl w:val="nil"/>
            </w:tcBorders>
            <w:vAlign w:val="center"/>
          </w:tcPr>
          <w:p w14:paraId="4285FD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895" w:type="dxa"/>
            <w:tcBorders>
              <w:tl2br w:val="nil"/>
              <w:tr2bl w:val="nil"/>
            </w:tcBorders>
            <w:vAlign w:val="center"/>
          </w:tcPr>
          <w:p w14:paraId="6B2F0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895" w:type="dxa"/>
            <w:tcBorders>
              <w:tl2br w:val="nil"/>
              <w:tr2bl w:val="nil"/>
            </w:tcBorders>
            <w:vAlign w:val="center"/>
          </w:tcPr>
          <w:p w14:paraId="648342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0.003</w:t>
            </w:r>
          </w:p>
        </w:tc>
        <w:tc>
          <w:tcPr>
            <w:tcW w:w="895" w:type="dxa"/>
            <w:tcBorders>
              <w:tl2br w:val="nil"/>
              <w:tr2bl w:val="nil"/>
            </w:tcBorders>
            <w:vAlign w:val="center"/>
          </w:tcPr>
          <w:p w14:paraId="113C4A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0.003</w:t>
            </w:r>
          </w:p>
        </w:tc>
        <w:tc>
          <w:tcPr>
            <w:tcW w:w="895" w:type="dxa"/>
            <w:tcBorders>
              <w:tl2br w:val="nil"/>
              <w:tr2bl w:val="nil"/>
            </w:tcBorders>
            <w:vAlign w:val="center"/>
          </w:tcPr>
          <w:p w14:paraId="306C7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r>
      <w:tr w14:paraId="68CC6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continue"/>
            <w:tcBorders>
              <w:tl2br w:val="nil"/>
              <w:tr2bl w:val="nil"/>
            </w:tcBorders>
            <w:vAlign w:val="center"/>
          </w:tcPr>
          <w:p w14:paraId="14FC1B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c>
          <w:tcPr>
            <w:tcW w:w="1030" w:type="dxa"/>
            <w:tcBorders>
              <w:tl2br w:val="nil"/>
              <w:tr2bl w:val="nil"/>
            </w:tcBorders>
            <w:shd w:val="clear" w:color="auto" w:fill="auto"/>
            <w:vAlign w:val="center"/>
          </w:tcPr>
          <w:p w14:paraId="74F56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第三次</w:t>
            </w:r>
          </w:p>
        </w:tc>
        <w:tc>
          <w:tcPr>
            <w:tcW w:w="895" w:type="dxa"/>
            <w:tcBorders>
              <w:tl2br w:val="nil"/>
              <w:tr2bl w:val="nil"/>
            </w:tcBorders>
            <w:vAlign w:val="center"/>
          </w:tcPr>
          <w:p w14:paraId="64F56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895" w:type="dxa"/>
            <w:tcBorders>
              <w:tl2br w:val="nil"/>
              <w:tr2bl w:val="nil"/>
            </w:tcBorders>
            <w:vAlign w:val="center"/>
          </w:tcPr>
          <w:p w14:paraId="7A090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0.003</w:t>
            </w:r>
          </w:p>
        </w:tc>
        <w:tc>
          <w:tcPr>
            <w:tcW w:w="895" w:type="dxa"/>
            <w:tcBorders>
              <w:tl2br w:val="nil"/>
              <w:tr2bl w:val="nil"/>
            </w:tcBorders>
            <w:vAlign w:val="center"/>
          </w:tcPr>
          <w:p w14:paraId="1C659F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895" w:type="dxa"/>
            <w:tcBorders>
              <w:tl2br w:val="nil"/>
              <w:tr2bl w:val="nil"/>
            </w:tcBorders>
            <w:vAlign w:val="center"/>
          </w:tcPr>
          <w:p w14:paraId="1EA0B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0.003</w:t>
            </w:r>
          </w:p>
        </w:tc>
        <w:tc>
          <w:tcPr>
            <w:tcW w:w="895" w:type="dxa"/>
            <w:tcBorders>
              <w:tl2br w:val="nil"/>
              <w:tr2bl w:val="nil"/>
            </w:tcBorders>
            <w:vAlign w:val="center"/>
          </w:tcPr>
          <w:p w14:paraId="2C5D83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895" w:type="dxa"/>
            <w:tcBorders>
              <w:tl2br w:val="nil"/>
              <w:tr2bl w:val="nil"/>
            </w:tcBorders>
            <w:vAlign w:val="center"/>
          </w:tcPr>
          <w:p w14:paraId="48C06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895" w:type="dxa"/>
            <w:tcBorders>
              <w:tl2br w:val="nil"/>
              <w:tr2bl w:val="nil"/>
            </w:tcBorders>
            <w:vAlign w:val="center"/>
          </w:tcPr>
          <w:p w14:paraId="2ED652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895" w:type="dxa"/>
            <w:tcBorders>
              <w:tl2br w:val="nil"/>
              <w:tr2bl w:val="nil"/>
            </w:tcBorders>
            <w:vAlign w:val="center"/>
          </w:tcPr>
          <w:p w14:paraId="738FE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0.003</w:t>
            </w:r>
          </w:p>
        </w:tc>
      </w:tr>
      <w:tr w14:paraId="1484C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Merge w:val="continue"/>
            <w:tcBorders>
              <w:tl2br w:val="nil"/>
              <w:tr2bl w:val="nil"/>
            </w:tcBorders>
            <w:vAlign w:val="center"/>
          </w:tcPr>
          <w:p w14:paraId="135361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c>
          <w:tcPr>
            <w:tcW w:w="1030" w:type="dxa"/>
            <w:tcBorders>
              <w:tl2br w:val="nil"/>
              <w:tr2bl w:val="nil"/>
            </w:tcBorders>
            <w:shd w:val="clear" w:color="auto" w:fill="auto"/>
            <w:vAlign w:val="center"/>
          </w:tcPr>
          <w:p w14:paraId="5CC844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第四次</w:t>
            </w:r>
          </w:p>
        </w:tc>
        <w:tc>
          <w:tcPr>
            <w:tcW w:w="895" w:type="dxa"/>
            <w:tcBorders>
              <w:tl2br w:val="nil"/>
              <w:tr2bl w:val="nil"/>
            </w:tcBorders>
            <w:vAlign w:val="center"/>
          </w:tcPr>
          <w:p w14:paraId="6BE042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895" w:type="dxa"/>
            <w:tcBorders>
              <w:tl2br w:val="nil"/>
              <w:tr2bl w:val="nil"/>
            </w:tcBorders>
            <w:vAlign w:val="center"/>
          </w:tcPr>
          <w:p w14:paraId="314798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895" w:type="dxa"/>
            <w:tcBorders>
              <w:tl2br w:val="nil"/>
              <w:tr2bl w:val="nil"/>
            </w:tcBorders>
            <w:vAlign w:val="center"/>
          </w:tcPr>
          <w:p w14:paraId="06D12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895" w:type="dxa"/>
            <w:tcBorders>
              <w:tl2br w:val="nil"/>
              <w:tr2bl w:val="nil"/>
            </w:tcBorders>
            <w:vAlign w:val="center"/>
          </w:tcPr>
          <w:p w14:paraId="47F1B3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895" w:type="dxa"/>
            <w:tcBorders>
              <w:tl2br w:val="nil"/>
              <w:tr2bl w:val="nil"/>
            </w:tcBorders>
            <w:vAlign w:val="center"/>
          </w:tcPr>
          <w:p w14:paraId="31E552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895" w:type="dxa"/>
            <w:tcBorders>
              <w:tl2br w:val="nil"/>
              <w:tr2bl w:val="nil"/>
            </w:tcBorders>
            <w:vAlign w:val="center"/>
          </w:tcPr>
          <w:p w14:paraId="24FFD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895" w:type="dxa"/>
            <w:tcBorders>
              <w:tl2br w:val="nil"/>
              <w:tr2bl w:val="nil"/>
            </w:tcBorders>
            <w:vAlign w:val="center"/>
          </w:tcPr>
          <w:p w14:paraId="698726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895" w:type="dxa"/>
            <w:tcBorders>
              <w:tl2br w:val="nil"/>
              <w:tr2bl w:val="nil"/>
            </w:tcBorders>
            <w:vAlign w:val="center"/>
          </w:tcPr>
          <w:p w14:paraId="47626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r>
    </w:tbl>
    <w:p w14:paraId="702F7D3B">
      <w:pPr>
        <w:bidi w:val="0"/>
        <w:rPr>
          <w:rFonts w:hint="eastAsia"/>
          <w:color w:val="auto"/>
          <w:lang w:val="en-US" w:eastAsia="zh-CN"/>
        </w:rPr>
      </w:pPr>
      <w:r>
        <w:rPr>
          <w:rFonts w:hint="eastAsia"/>
          <w:color w:val="auto"/>
          <w:lang w:val="en-US" w:eastAsia="zh-CN"/>
        </w:rPr>
        <w:t>由上表可知，氨及硫化氢排放浓度均满足《环境影响评价技术导则 大气环境》（HJ2.2-2018）中附录D相关要求。</w:t>
      </w:r>
    </w:p>
    <w:p w14:paraId="317FBDCC">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eastAsia" w:ascii="Times New Roman" w:hAnsi="Times New Roman" w:eastAsia="黑体" w:cs="Times New Roman"/>
          <w:b/>
          <w:bCs w:val="0"/>
          <w:color w:val="auto"/>
          <w:sz w:val="28"/>
          <w:szCs w:val="28"/>
          <w:lang w:val="en-US" w:eastAsia="zh-CN"/>
        </w:rPr>
      </w:pPr>
      <w:bookmarkStart w:id="344" w:name="_Toc5897"/>
      <w:r>
        <w:rPr>
          <w:rFonts w:hint="default" w:ascii="Times New Roman" w:hAnsi="Times New Roman" w:eastAsia="黑体" w:cs="Times New Roman"/>
          <w:b/>
          <w:bCs w:val="0"/>
          <w:color w:val="auto"/>
          <w:sz w:val="28"/>
          <w:szCs w:val="28"/>
          <w:lang w:val="en-US" w:eastAsia="zh-CN"/>
        </w:rPr>
        <w:t>3.2.2地表水环境质量现状监测与评价</w:t>
      </w:r>
      <w:bookmarkEnd w:id="344"/>
    </w:p>
    <w:p w14:paraId="4F88124E">
      <w:pPr>
        <w:bidi w:val="0"/>
        <w:rPr>
          <w:rFonts w:hint="eastAsia"/>
          <w:color w:val="auto"/>
          <w:lang w:val="en-US" w:eastAsia="zh-CN"/>
        </w:rPr>
      </w:pPr>
      <w:r>
        <w:rPr>
          <w:rFonts w:hint="eastAsia"/>
          <w:color w:val="auto"/>
          <w:lang w:val="en-US" w:eastAsia="zh-CN"/>
        </w:rPr>
        <w:t>项目地表水环境评价等级为三级B，根据《环境影响评价技术导则地表水环境》（HJ2.3-2018），三级B评价可不考虑评价时期、可不开展区域污染源调查、可不进行水环境影响预测。水环境质量现状调查应优先采用国务院生态环境保护主管部门统一发布的水环境状况信息。</w:t>
      </w:r>
    </w:p>
    <w:p w14:paraId="12DF32AF">
      <w:pPr>
        <w:bidi w:val="0"/>
        <w:rPr>
          <w:rFonts w:hint="eastAsia"/>
          <w:color w:val="auto"/>
          <w:lang w:val="en-US" w:eastAsia="zh-CN"/>
        </w:rPr>
      </w:pPr>
      <w:r>
        <w:rPr>
          <w:rFonts w:hint="eastAsia"/>
          <w:color w:val="auto"/>
          <w:lang w:val="en-US" w:eastAsia="zh-CN"/>
        </w:rPr>
        <w:t>项目评价区域内地表水体为大营河，位于项目西侧400m处，大营河为冬至河右岸支流，属清水河流域。本次地表水环境质量现状评价引用《2024年宁夏生态环境质量状况》中清水河（三营断面）水环境质量的监测结果。具体监测结果见表3.2-6。</w:t>
      </w:r>
    </w:p>
    <w:p w14:paraId="0616890F">
      <w:pPr>
        <w:pStyle w:val="9"/>
        <w:bidi w:val="0"/>
        <w:spacing w:line="240" w:lineRule="auto"/>
        <w:ind w:left="0" w:leftChars="0" w:firstLine="420" w:firstLineChars="200"/>
        <w:jc w:val="both"/>
        <w:rPr>
          <w:rFonts w:hint="default" w:ascii="Times New Roman" w:hAnsi="Times New Roman" w:eastAsia="宋体" w:cs="Times New Roman"/>
          <w:b/>
          <w:bCs/>
          <w:color w:val="auto"/>
        </w:rPr>
      </w:pPr>
      <w:r>
        <w:rPr>
          <w:rFonts w:hint="default" w:ascii="Times New Roman" w:hAnsi="Times New Roman" w:eastAsia="宋体" w:cs="Times New Roman"/>
          <w:b w:val="0"/>
          <w:bCs w:val="0"/>
          <w:color w:val="auto"/>
          <w:sz w:val="21"/>
          <w:szCs w:val="21"/>
        </w:rPr>
        <w:t>表</w:t>
      </w:r>
      <w:r>
        <w:rPr>
          <w:rFonts w:hint="default" w:ascii="Times New Roman" w:hAnsi="Times New Roman" w:eastAsia="宋体" w:cs="Times New Roman"/>
          <w:b w:val="0"/>
          <w:bCs w:val="0"/>
          <w:color w:val="auto"/>
          <w:sz w:val="21"/>
          <w:szCs w:val="21"/>
          <w:lang w:val="en-US" w:eastAsia="zh-CN"/>
        </w:rPr>
        <w:t>3.2-</w:t>
      </w:r>
      <w:r>
        <w:rPr>
          <w:rFonts w:hint="eastAsia" w:eastAsia="宋体" w:cs="Times New Roman"/>
          <w:b w:val="0"/>
          <w:bCs w:val="0"/>
          <w:color w:val="auto"/>
          <w:sz w:val="21"/>
          <w:szCs w:val="21"/>
          <w:lang w:val="en-US" w:eastAsia="zh-CN"/>
        </w:rPr>
        <w:t>6</w:t>
      </w:r>
      <w:r>
        <w:rPr>
          <w:rFonts w:hint="default" w:ascii="Times New Roman" w:hAnsi="Times New Roman" w:eastAsia="宋体" w:cs="Times New Roman"/>
          <w:b/>
          <w:bCs/>
          <w:color w:val="auto"/>
          <w:lang w:val="en-US" w:eastAsia="zh-CN"/>
        </w:rPr>
        <w:t xml:space="preserve">         </w:t>
      </w:r>
      <w:r>
        <w:rPr>
          <w:rFonts w:hint="eastAsia"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202</w:t>
      </w:r>
      <w:r>
        <w:rPr>
          <w:rFonts w:hint="eastAsia" w:eastAsia="宋体" w:cs="Times New Roman"/>
          <w:b/>
          <w:bCs/>
          <w:color w:val="auto"/>
          <w:lang w:val="en-US" w:eastAsia="zh-CN"/>
        </w:rPr>
        <w:t>4</w:t>
      </w:r>
      <w:r>
        <w:rPr>
          <w:rFonts w:hint="default" w:ascii="Times New Roman" w:hAnsi="Times New Roman" w:eastAsia="宋体" w:cs="Times New Roman"/>
          <w:b/>
          <w:bCs/>
          <w:color w:val="auto"/>
          <w:lang w:val="en-US" w:eastAsia="zh-CN"/>
        </w:rPr>
        <w:t>年清水河（三营断面）水质状况</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983"/>
        <w:gridCol w:w="1277"/>
        <w:gridCol w:w="1061"/>
        <w:gridCol w:w="1298"/>
        <w:gridCol w:w="1307"/>
        <w:gridCol w:w="1052"/>
      </w:tblGrid>
      <w:tr w14:paraId="4B04D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29" w:type="dxa"/>
            <w:vMerge w:val="restart"/>
            <w:tcBorders>
              <w:tl2br w:val="nil"/>
              <w:tr2bl w:val="nil"/>
            </w:tcBorders>
            <w:vAlign w:val="center"/>
          </w:tcPr>
          <w:p w14:paraId="35DF059E">
            <w:pPr>
              <w:widowControl/>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断面名称</w:t>
            </w:r>
          </w:p>
        </w:tc>
        <w:tc>
          <w:tcPr>
            <w:tcW w:w="962" w:type="dxa"/>
            <w:vMerge w:val="restart"/>
            <w:tcBorders>
              <w:tl2br w:val="nil"/>
              <w:tr2bl w:val="nil"/>
            </w:tcBorders>
            <w:vAlign w:val="center"/>
          </w:tcPr>
          <w:p w14:paraId="0B236D9A">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考核目标</w:t>
            </w:r>
          </w:p>
        </w:tc>
        <w:tc>
          <w:tcPr>
            <w:tcW w:w="2288" w:type="dxa"/>
            <w:gridSpan w:val="2"/>
            <w:tcBorders>
              <w:tl2br w:val="nil"/>
              <w:tr2bl w:val="nil"/>
            </w:tcBorders>
            <w:vAlign w:val="center"/>
          </w:tcPr>
          <w:p w14:paraId="69886EA0">
            <w:pPr>
              <w:widowControl/>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水质类别</w:t>
            </w:r>
          </w:p>
        </w:tc>
        <w:tc>
          <w:tcPr>
            <w:tcW w:w="1270" w:type="dxa"/>
            <w:vMerge w:val="restart"/>
            <w:tcBorders>
              <w:tl2br w:val="nil"/>
              <w:tr2bl w:val="nil"/>
            </w:tcBorders>
            <w:vAlign w:val="center"/>
          </w:tcPr>
          <w:p w14:paraId="4C31B018">
            <w:pPr>
              <w:widowControl/>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水质变化情况</w:t>
            </w:r>
          </w:p>
        </w:tc>
        <w:tc>
          <w:tcPr>
            <w:tcW w:w="2309" w:type="dxa"/>
            <w:gridSpan w:val="2"/>
            <w:tcBorders>
              <w:tl2br w:val="nil"/>
              <w:tr2bl w:val="nil"/>
            </w:tcBorders>
            <w:vAlign w:val="center"/>
          </w:tcPr>
          <w:p w14:paraId="49E1BF9A">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主要污染指标浓度（超过考核目标的倍数）</w:t>
            </w:r>
          </w:p>
        </w:tc>
      </w:tr>
      <w:tr w14:paraId="2E264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29" w:type="dxa"/>
            <w:vMerge w:val="continue"/>
            <w:tcBorders>
              <w:tl2br w:val="nil"/>
              <w:tr2bl w:val="nil"/>
            </w:tcBorders>
            <w:vAlign w:val="center"/>
          </w:tcPr>
          <w:p w14:paraId="5849B081">
            <w:pPr>
              <w:widowControl/>
              <w:spacing w:line="240" w:lineRule="auto"/>
              <w:ind w:firstLine="0" w:firstLineChars="0"/>
              <w:jc w:val="center"/>
              <w:rPr>
                <w:rFonts w:hint="default" w:ascii="Times New Roman" w:hAnsi="Times New Roman" w:eastAsia="宋体" w:cs="Times New Roman"/>
                <w:b/>
                <w:bCs/>
                <w:color w:val="auto"/>
                <w:sz w:val="21"/>
                <w:szCs w:val="21"/>
              </w:rPr>
            </w:pPr>
          </w:p>
        </w:tc>
        <w:tc>
          <w:tcPr>
            <w:tcW w:w="962" w:type="dxa"/>
            <w:vMerge w:val="continue"/>
            <w:tcBorders>
              <w:tl2br w:val="nil"/>
              <w:tr2bl w:val="nil"/>
            </w:tcBorders>
            <w:vAlign w:val="center"/>
          </w:tcPr>
          <w:p w14:paraId="265DE7F6">
            <w:pPr>
              <w:widowControl/>
              <w:spacing w:line="240" w:lineRule="auto"/>
              <w:ind w:firstLine="0" w:firstLineChars="0"/>
              <w:jc w:val="center"/>
              <w:rPr>
                <w:rFonts w:hint="default" w:ascii="Times New Roman" w:hAnsi="Times New Roman" w:eastAsia="宋体" w:cs="Times New Roman"/>
                <w:b/>
                <w:bCs/>
                <w:color w:val="auto"/>
                <w:sz w:val="21"/>
                <w:szCs w:val="21"/>
              </w:rPr>
            </w:pPr>
          </w:p>
        </w:tc>
        <w:tc>
          <w:tcPr>
            <w:tcW w:w="1250" w:type="dxa"/>
            <w:tcBorders>
              <w:tl2br w:val="nil"/>
              <w:tr2bl w:val="nil"/>
            </w:tcBorders>
            <w:vAlign w:val="center"/>
          </w:tcPr>
          <w:p w14:paraId="670587A3">
            <w:pPr>
              <w:widowControl/>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202</w:t>
            </w:r>
            <w:r>
              <w:rPr>
                <w:rFonts w:hint="eastAsia" w:eastAsia="宋体"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rPr>
              <w:t>年</w:t>
            </w:r>
          </w:p>
        </w:tc>
        <w:tc>
          <w:tcPr>
            <w:tcW w:w="1038" w:type="dxa"/>
            <w:tcBorders>
              <w:tl2br w:val="nil"/>
              <w:tr2bl w:val="nil"/>
            </w:tcBorders>
            <w:vAlign w:val="center"/>
          </w:tcPr>
          <w:p w14:paraId="5B6F6F80">
            <w:pPr>
              <w:widowControl/>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202</w:t>
            </w:r>
            <w:r>
              <w:rPr>
                <w:rFonts w:hint="eastAsia" w:eastAsia="宋体" w:cs="Times New Roman"/>
                <w:b/>
                <w:bCs/>
                <w:color w:val="auto"/>
                <w:kern w:val="0"/>
                <w:sz w:val="21"/>
                <w:szCs w:val="21"/>
                <w:lang w:val="en-US" w:eastAsia="zh-CN"/>
              </w:rPr>
              <w:t>3</w:t>
            </w:r>
            <w:r>
              <w:rPr>
                <w:rFonts w:hint="default" w:ascii="Times New Roman" w:hAnsi="Times New Roman" w:eastAsia="宋体" w:cs="Times New Roman"/>
                <w:b/>
                <w:bCs/>
                <w:color w:val="auto"/>
                <w:kern w:val="0"/>
                <w:sz w:val="21"/>
                <w:szCs w:val="21"/>
              </w:rPr>
              <w:t>年</w:t>
            </w:r>
          </w:p>
        </w:tc>
        <w:tc>
          <w:tcPr>
            <w:tcW w:w="1270" w:type="dxa"/>
            <w:vMerge w:val="continue"/>
            <w:tcBorders>
              <w:tl2br w:val="nil"/>
              <w:tr2bl w:val="nil"/>
            </w:tcBorders>
            <w:vAlign w:val="center"/>
          </w:tcPr>
          <w:p w14:paraId="24145E6D">
            <w:pPr>
              <w:widowControl/>
              <w:spacing w:line="240" w:lineRule="auto"/>
              <w:ind w:firstLine="0" w:firstLineChars="0"/>
              <w:jc w:val="center"/>
              <w:rPr>
                <w:rFonts w:hint="default" w:ascii="Times New Roman" w:hAnsi="Times New Roman" w:eastAsia="宋体" w:cs="Times New Roman"/>
                <w:b/>
                <w:bCs/>
                <w:color w:val="auto"/>
                <w:sz w:val="21"/>
                <w:szCs w:val="21"/>
              </w:rPr>
            </w:pPr>
          </w:p>
        </w:tc>
        <w:tc>
          <w:tcPr>
            <w:tcW w:w="1279" w:type="dxa"/>
            <w:tcBorders>
              <w:tl2br w:val="nil"/>
              <w:tr2bl w:val="nil"/>
            </w:tcBorders>
            <w:vAlign w:val="center"/>
          </w:tcPr>
          <w:p w14:paraId="60C46036">
            <w:pPr>
              <w:widowControl/>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202</w:t>
            </w:r>
            <w:r>
              <w:rPr>
                <w:rFonts w:hint="eastAsia" w:eastAsia="宋体"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rPr>
              <w:t>年</w:t>
            </w:r>
          </w:p>
        </w:tc>
        <w:tc>
          <w:tcPr>
            <w:tcW w:w="1030" w:type="dxa"/>
            <w:tcBorders>
              <w:tl2br w:val="nil"/>
              <w:tr2bl w:val="nil"/>
            </w:tcBorders>
            <w:vAlign w:val="center"/>
          </w:tcPr>
          <w:p w14:paraId="7C327D66">
            <w:pPr>
              <w:widowControl/>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202</w:t>
            </w:r>
            <w:r>
              <w:rPr>
                <w:rFonts w:hint="eastAsia" w:eastAsia="宋体" w:cs="Times New Roman"/>
                <w:b/>
                <w:bCs/>
                <w:color w:val="auto"/>
                <w:kern w:val="0"/>
                <w:sz w:val="21"/>
                <w:szCs w:val="21"/>
                <w:lang w:val="en-US" w:eastAsia="zh-CN"/>
              </w:rPr>
              <w:t>3</w:t>
            </w:r>
            <w:r>
              <w:rPr>
                <w:rFonts w:hint="default" w:ascii="Times New Roman" w:hAnsi="Times New Roman" w:eastAsia="宋体" w:cs="Times New Roman"/>
                <w:b/>
                <w:bCs/>
                <w:color w:val="auto"/>
                <w:kern w:val="0"/>
                <w:sz w:val="21"/>
                <w:szCs w:val="21"/>
              </w:rPr>
              <w:t>年</w:t>
            </w:r>
          </w:p>
        </w:tc>
      </w:tr>
      <w:tr w14:paraId="474A4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29" w:type="dxa"/>
            <w:tcBorders>
              <w:tl2br w:val="nil"/>
              <w:tr2bl w:val="nil"/>
            </w:tcBorders>
            <w:vAlign w:val="center"/>
          </w:tcPr>
          <w:p w14:paraId="187C2F44">
            <w:pPr>
              <w:widowControl/>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清水河（三营断面）</w:t>
            </w:r>
          </w:p>
        </w:tc>
        <w:tc>
          <w:tcPr>
            <w:tcW w:w="962" w:type="dxa"/>
            <w:tcBorders>
              <w:tl2br w:val="nil"/>
              <w:tr2bl w:val="nil"/>
            </w:tcBorders>
            <w:vAlign w:val="center"/>
          </w:tcPr>
          <w:p w14:paraId="3C7B98DD">
            <w:pPr>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Ⅳ类</w:t>
            </w:r>
          </w:p>
        </w:tc>
        <w:tc>
          <w:tcPr>
            <w:tcW w:w="1250" w:type="dxa"/>
            <w:tcBorders>
              <w:tl2br w:val="nil"/>
              <w:tr2bl w:val="nil"/>
            </w:tcBorders>
            <w:vAlign w:val="center"/>
          </w:tcPr>
          <w:p w14:paraId="5066EED3">
            <w:pPr>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微软雅黑" w:cs="Times New Roman"/>
                <w:bCs/>
                <w:color w:val="auto"/>
                <w:kern w:val="0"/>
                <w:sz w:val="21"/>
                <w:szCs w:val="21"/>
              </w:rPr>
              <w:t>Ⅲ</w:t>
            </w:r>
            <w:r>
              <w:rPr>
                <w:rFonts w:hint="default" w:ascii="Times New Roman" w:hAnsi="Times New Roman" w:eastAsia="宋体" w:cs="Times New Roman"/>
                <w:bCs/>
                <w:color w:val="auto"/>
                <w:kern w:val="0"/>
                <w:sz w:val="21"/>
                <w:szCs w:val="21"/>
              </w:rPr>
              <w:t>类</w:t>
            </w:r>
          </w:p>
        </w:tc>
        <w:tc>
          <w:tcPr>
            <w:tcW w:w="1038" w:type="dxa"/>
            <w:tcBorders>
              <w:tl2br w:val="nil"/>
              <w:tr2bl w:val="nil"/>
            </w:tcBorders>
            <w:vAlign w:val="center"/>
          </w:tcPr>
          <w:p w14:paraId="3E6F18A8">
            <w:pPr>
              <w:widowControl/>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Ⅳ类</w:t>
            </w:r>
          </w:p>
        </w:tc>
        <w:tc>
          <w:tcPr>
            <w:tcW w:w="1270" w:type="dxa"/>
            <w:tcBorders>
              <w:tl2br w:val="nil"/>
              <w:tr2bl w:val="nil"/>
            </w:tcBorders>
            <w:vAlign w:val="center"/>
          </w:tcPr>
          <w:p w14:paraId="432BD9FE">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有所好转</w:t>
            </w:r>
          </w:p>
        </w:tc>
        <w:tc>
          <w:tcPr>
            <w:tcW w:w="1279" w:type="dxa"/>
            <w:tcBorders>
              <w:tl2br w:val="nil"/>
              <w:tr2bl w:val="nil"/>
            </w:tcBorders>
            <w:vAlign w:val="center"/>
          </w:tcPr>
          <w:p w14:paraId="1F109ADA">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30" w:type="dxa"/>
            <w:tcBorders>
              <w:tl2br w:val="nil"/>
              <w:tr2bl w:val="nil"/>
            </w:tcBorders>
            <w:vAlign w:val="center"/>
          </w:tcPr>
          <w:p w14:paraId="5FDB653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14:paraId="464D501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val="en-US" w:eastAsia="zh-CN"/>
        </w:rPr>
        <w:t>由上表可知，《2024年宁夏生态环境质量状况》中清水河（三营断面）水质满足《地表水环境质量标准》（GB3838-2002）中的IV类标准限值的要求。</w:t>
      </w:r>
    </w:p>
    <w:p w14:paraId="336B3BCE">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3.2.3地下水环境质量现状监测与评价</w:t>
      </w:r>
    </w:p>
    <w:p w14:paraId="4CAD95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ascii="Times New Roman" w:hAnsi="Times New Roman" w:eastAsia="仿宋_GB2312" w:cs="Times New Roman"/>
          <w:color w:val="auto"/>
          <w:kern w:val="2"/>
          <w:sz w:val="24"/>
          <w:szCs w:val="24"/>
          <w:lang w:bidi="ar-SA"/>
        </w:rPr>
        <w:t>本次</w:t>
      </w:r>
      <w:r>
        <w:rPr>
          <w:rFonts w:hint="eastAsia" w:cs="Times New Roman"/>
          <w:color w:val="auto"/>
          <w:kern w:val="2"/>
          <w:sz w:val="24"/>
          <w:szCs w:val="24"/>
          <w:lang w:val="en-US" w:eastAsia="zh-CN" w:bidi="ar-SA"/>
        </w:rPr>
        <w:t>委托甘肃亿源环境检测</w:t>
      </w:r>
      <w:r>
        <w:rPr>
          <w:rFonts w:ascii="Times New Roman" w:hAnsi="Times New Roman" w:eastAsia="仿宋_GB2312" w:cs="Times New Roman"/>
          <w:color w:val="auto"/>
          <w:kern w:val="2"/>
          <w:sz w:val="24"/>
          <w:szCs w:val="24"/>
          <w:lang w:bidi="ar-SA"/>
        </w:rPr>
        <w:t>科技有限公司于2025年</w:t>
      </w:r>
      <w:r>
        <w:rPr>
          <w:rFonts w:hint="eastAsia" w:cs="Times New Roman"/>
          <w:color w:val="auto"/>
          <w:kern w:val="2"/>
          <w:sz w:val="24"/>
          <w:szCs w:val="24"/>
          <w:lang w:val="en-US" w:eastAsia="zh-CN" w:bidi="ar-SA"/>
        </w:rPr>
        <w:t>12</w:t>
      </w:r>
      <w:r>
        <w:rPr>
          <w:rFonts w:ascii="Times New Roman" w:hAnsi="Times New Roman" w:eastAsia="仿宋_GB2312" w:cs="Times New Roman"/>
          <w:color w:val="auto"/>
          <w:kern w:val="2"/>
          <w:sz w:val="24"/>
          <w:szCs w:val="24"/>
          <w:lang w:bidi="ar-SA"/>
        </w:rPr>
        <w:t>月</w:t>
      </w:r>
      <w:r>
        <w:rPr>
          <w:rFonts w:hint="eastAsia" w:cs="Times New Roman"/>
          <w:color w:val="auto"/>
          <w:kern w:val="2"/>
          <w:sz w:val="24"/>
          <w:szCs w:val="24"/>
          <w:lang w:val="en-US" w:eastAsia="zh-CN" w:bidi="ar-SA"/>
        </w:rPr>
        <w:t>13</w:t>
      </w:r>
      <w:r>
        <w:rPr>
          <w:rFonts w:ascii="Times New Roman" w:hAnsi="Times New Roman" w:eastAsia="仿宋_GB2312" w:cs="Times New Roman"/>
          <w:color w:val="auto"/>
          <w:kern w:val="2"/>
          <w:sz w:val="24"/>
          <w:szCs w:val="24"/>
          <w:lang w:bidi="ar-SA"/>
        </w:rPr>
        <w:t>日对项目所在区域地下水进行</w:t>
      </w:r>
      <w:r>
        <w:rPr>
          <w:rFonts w:hint="eastAsia" w:cs="Times New Roman"/>
          <w:color w:val="auto"/>
          <w:kern w:val="2"/>
          <w:sz w:val="24"/>
          <w:szCs w:val="24"/>
          <w:lang w:eastAsia="zh-CN" w:bidi="ar-SA"/>
        </w:rPr>
        <w:t>监测</w:t>
      </w:r>
      <w:r>
        <w:rPr>
          <w:rFonts w:ascii="Times New Roman" w:hAnsi="Times New Roman" w:eastAsia="仿宋_GB2312" w:cs="Times New Roman"/>
          <w:color w:val="auto"/>
          <w:kern w:val="2"/>
          <w:sz w:val="24"/>
          <w:szCs w:val="24"/>
          <w:lang w:bidi="ar-SA"/>
        </w:rPr>
        <w:t>，以呈现区域地下水环境的当前状况。</w:t>
      </w:r>
    </w:p>
    <w:p w14:paraId="00AEFB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（1）监测点位布设</w:t>
      </w:r>
    </w:p>
    <w:p w14:paraId="321E58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地下水监测点位见表3.2-7及图3.2-1监测布点图。</w:t>
      </w:r>
    </w:p>
    <w:p w14:paraId="1286256F">
      <w:pPr>
        <w:adjustRightInd w:val="0"/>
        <w:snapToGrid w:val="0"/>
        <w:spacing w:line="240" w:lineRule="auto"/>
        <w:ind w:firstLine="420"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Cs/>
          <w:color w:val="auto"/>
          <w:kern w:val="0"/>
          <w:sz w:val="21"/>
          <w:szCs w:val="21"/>
          <w:highlight w:val="none"/>
        </w:rPr>
        <w:t>表3.2-</w:t>
      </w:r>
      <w:r>
        <w:rPr>
          <w:rFonts w:hint="eastAsia" w:eastAsia="宋体" w:cs="Times New Roman"/>
          <w:bCs/>
          <w:color w:val="auto"/>
          <w:kern w:val="0"/>
          <w:sz w:val="21"/>
          <w:szCs w:val="21"/>
          <w:highlight w:val="none"/>
          <w:lang w:val="en-US" w:eastAsia="zh-CN"/>
        </w:rPr>
        <w:t>7</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 xml:space="preserve">   </w:t>
      </w:r>
      <w:r>
        <w:rPr>
          <w:rFonts w:hint="eastAsia"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b/>
          <w:bCs/>
          <w:color w:val="auto"/>
          <w:sz w:val="24"/>
          <w:highlight w:val="none"/>
        </w:rPr>
        <w:t>地下水布点一览表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3"/>
        <w:gridCol w:w="1650"/>
        <w:gridCol w:w="1539"/>
        <w:gridCol w:w="1147"/>
        <w:gridCol w:w="1056"/>
        <w:gridCol w:w="886"/>
        <w:gridCol w:w="886"/>
        <w:gridCol w:w="905"/>
      </w:tblGrid>
      <w:tr w14:paraId="24282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0" w:type="dxa"/>
            <w:tcBorders>
              <w:left w:val="single" w:color="auto" w:sz="12" w:space="0"/>
            </w:tcBorders>
            <w:noWrap w:val="0"/>
            <w:vAlign w:val="center"/>
          </w:tcPr>
          <w:p w14:paraId="52F3F9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点位编号</w:t>
            </w:r>
          </w:p>
        </w:tc>
        <w:tc>
          <w:tcPr>
            <w:tcW w:w="1667" w:type="dxa"/>
            <w:noWrap w:val="0"/>
            <w:vAlign w:val="center"/>
          </w:tcPr>
          <w:p w14:paraId="6BD32C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检测点名称</w:t>
            </w:r>
          </w:p>
        </w:tc>
        <w:tc>
          <w:tcPr>
            <w:tcW w:w="1555" w:type="dxa"/>
            <w:noWrap w:val="0"/>
            <w:vAlign w:val="center"/>
          </w:tcPr>
          <w:p w14:paraId="2C13CB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坐标</w:t>
            </w:r>
          </w:p>
        </w:tc>
        <w:tc>
          <w:tcPr>
            <w:tcW w:w="1159" w:type="dxa"/>
            <w:noWrap w:val="0"/>
            <w:vAlign w:val="center"/>
          </w:tcPr>
          <w:p w14:paraId="512910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井深（m）</w:t>
            </w:r>
          </w:p>
        </w:tc>
        <w:tc>
          <w:tcPr>
            <w:tcW w:w="1067" w:type="dxa"/>
            <w:noWrap w:val="0"/>
            <w:vAlign w:val="center"/>
          </w:tcPr>
          <w:p w14:paraId="597806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水位</w:t>
            </w:r>
            <w:r>
              <w:rPr>
                <w:rFonts w:hint="eastAsia" w:eastAsia="宋体" w:cs="Times New Roman"/>
                <w:b/>
                <w:color w:val="auto"/>
                <w:sz w:val="21"/>
                <w:szCs w:val="21"/>
                <w:highlight w:val="none"/>
                <w:lang w:val="en-US" w:eastAsia="zh-CN"/>
              </w:rPr>
              <w:t>埋深</w:t>
            </w:r>
            <w:r>
              <w:rPr>
                <w:rFonts w:hint="default" w:ascii="Times New Roman" w:hAnsi="Times New Roman" w:eastAsia="宋体" w:cs="Times New Roman"/>
                <w:b/>
                <w:color w:val="auto"/>
                <w:sz w:val="21"/>
                <w:szCs w:val="21"/>
                <w:highlight w:val="none"/>
              </w:rPr>
              <w:t>（m）</w:t>
            </w:r>
          </w:p>
        </w:tc>
        <w:tc>
          <w:tcPr>
            <w:tcW w:w="895" w:type="dxa"/>
            <w:tcBorders>
              <w:right w:val="single" w:color="auto" w:sz="4" w:space="0"/>
            </w:tcBorders>
            <w:noWrap w:val="0"/>
            <w:vAlign w:val="center"/>
          </w:tcPr>
          <w:p w14:paraId="747992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b/>
                <w:bCs/>
                <w:color w:val="auto"/>
                <w:sz w:val="21"/>
                <w:szCs w:val="21"/>
                <w:highlight w:val="none"/>
                <w:lang w:val="en-US" w:eastAsia="zh-CN"/>
              </w:rPr>
              <w:t>水深（m）</w:t>
            </w:r>
          </w:p>
        </w:tc>
        <w:tc>
          <w:tcPr>
            <w:tcW w:w="895" w:type="dxa"/>
            <w:tcBorders>
              <w:right w:val="single" w:color="auto" w:sz="4" w:space="0"/>
            </w:tcBorders>
            <w:noWrap w:val="0"/>
            <w:vAlign w:val="center"/>
          </w:tcPr>
          <w:p w14:paraId="5FA46B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水位标高（m）</w:t>
            </w:r>
          </w:p>
        </w:tc>
        <w:tc>
          <w:tcPr>
            <w:tcW w:w="913" w:type="dxa"/>
            <w:tcBorders>
              <w:left w:val="single" w:color="auto" w:sz="4" w:space="0"/>
              <w:right w:val="single" w:color="auto" w:sz="12" w:space="0"/>
            </w:tcBorders>
            <w:shd w:val="clear" w:color="auto" w:fill="auto"/>
            <w:noWrap w:val="0"/>
            <w:vAlign w:val="center"/>
          </w:tcPr>
          <w:p w14:paraId="350617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备注</w:t>
            </w:r>
          </w:p>
        </w:tc>
      </w:tr>
      <w:tr w14:paraId="1EC5E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0" w:type="dxa"/>
            <w:tcBorders>
              <w:left w:val="single" w:color="auto" w:sz="12" w:space="0"/>
            </w:tcBorders>
            <w:noWrap w:val="0"/>
            <w:vAlign w:val="center"/>
          </w:tcPr>
          <w:p w14:paraId="19ABC6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rPr>
            </w:pPr>
            <w:r>
              <w:rPr>
                <w:rFonts w:hint="eastAsia" w:ascii="Times New Roman" w:hAnsi="Times New Roman" w:eastAsia="宋体" w:cs="Times New Roman"/>
                <w:color w:val="auto"/>
                <w:sz w:val="21"/>
                <w:szCs w:val="21"/>
                <w:lang w:val="en-US" w:eastAsia="zh-CN"/>
              </w:rPr>
              <w:t>D1#</w:t>
            </w:r>
          </w:p>
        </w:tc>
        <w:tc>
          <w:tcPr>
            <w:tcW w:w="1667" w:type="dxa"/>
            <w:noWrap w:val="0"/>
            <w:vAlign w:val="center"/>
          </w:tcPr>
          <w:p w14:paraId="041682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水质水位监测井1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（厂址上游）</w:t>
            </w:r>
          </w:p>
        </w:tc>
        <w:tc>
          <w:tcPr>
            <w:tcW w:w="1555" w:type="dxa"/>
            <w:noWrap w:val="0"/>
            <w:vAlign w:val="center"/>
          </w:tcPr>
          <w:p w14:paraId="4F3F7C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106°11′12.250″</w:t>
            </w:r>
          </w:p>
          <w:p w14:paraId="1D18C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36°0′14.716″</w:t>
            </w:r>
          </w:p>
        </w:tc>
        <w:tc>
          <w:tcPr>
            <w:tcW w:w="1159" w:type="dxa"/>
            <w:noWrap w:val="0"/>
            <w:vAlign w:val="center"/>
          </w:tcPr>
          <w:p w14:paraId="3D66AF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52</w:t>
            </w:r>
          </w:p>
        </w:tc>
        <w:tc>
          <w:tcPr>
            <w:tcW w:w="1067" w:type="dxa"/>
            <w:noWrap w:val="0"/>
            <w:vAlign w:val="center"/>
          </w:tcPr>
          <w:p w14:paraId="23B313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20</w:t>
            </w:r>
          </w:p>
        </w:tc>
        <w:tc>
          <w:tcPr>
            <w:tcW w:w="895" w:type="dxa"/>
            <w:tcBorders>
              <w:right w:val="single" w:color="auto" w:sz="4" w:space="0"/>
            </w:tcBorders>
            <w:noWrap w:val="0"/>
            <w:vAlign w:val="center"/>
          </w:tcPr>
          <w:p w14:paraId="330B6F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32</w:t>
            </w:r>
          </w:p>
        </w:tc>
        <w:tc>
          <w:tcPr>
            <w:tcW w:w="895" w:type="dxa"/>
            <w:tcBorders>
              <w:right w:val="single" w:color="auto" w:sz="4" w:space="0"/>
            </w:tcBorders>
            <w:noWrap w:val="0"/>
            <w:vAlign w:val="center"/>
          </w:tcPr>
          <w:p w14:paraId="16BB51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1641.66</w:t>
            </w:r>
          </w:p>
        </w:tc>
        <w:tc>
          <w:tcPr>
            <w:tcW w:w="913" w:type="dxa"/>
            <w:tcBorders>
              <w:left w:val="single" w:color="auto" w:sz="4" w:space="0"/>
              <w:right w:val="single" w:color="auto" w:sz="12" w:space="0"/>
            </w:tcBorders>
            <w:shd w:val="clear" w:color="auto" w:fill="auto"/>
            <w:noWrap w:val="0"/>
            <w:vAlign w:val="center"/>
          </w:tcPr>
          <w:p w14:paraId="6E74AA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透明</w:t>
            </w:r>
            <w:r>
              <w:rPr>
                <w:rFonts w:hint="default" w:ascii="Times New Roman" w:hAnsi="Times New Roman" w:eastAsia="宋体" w:cs="Times New Roman"/>
                <w:b w:val="0"/>
                <w:bCs/>
                <w:color w:val="auto"/>
                <w:sz w:val="21"/>
                <w:szCs w:val="21"/>
                <w:lang w:val="en-US" w:eastAsia="zh-CN"/>
              </w:rPr>
              <w:t>、无异味</w:t>
            </w:r>
          </w:p>
        </w:tc>
      </w:tr>
      <w:tr w14:paraId="4B52E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0" w:type="dxa"/>
            <w:tcBorders>
              <w:left w:val="single" w:color="auto" w:sz="12" w:space="0"/>
            </w:tcBorders>
            <w:noWrap w:val="0"/>
            <w:vAlign w:val="center"/>
          </w:tcPr>
          <w:p w14:paraId="1B8A6C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rPr>
            </w:pPr>
            <w:r>
              <w:rPr>
                <w:rFonts w:hint="eastAsia" w:ascii="Times New Roman" w:hAnsi="Times New Roman" w:eastAsia="宋体" w:cs="Times New Roman"/>
                <w:color w:val="auto"/>
                <w:sz w:val="21"/>
                <w:szCs w:val="21"/>
                <w:lang w:val="en-US" w:eastAsia="zh-CN"/>
              </w:rPr>
              <w:t>D2#</w:t>
            </w:r>
          </w:p>
        </w:tc>
        <w:tc>
          <w:tcPr>
            <w:tcW w:w="1667" w:type="dxa"/>
            <w:noWrap w:val="0"/>
            <w:vAlign w:val="center"/>
          </w:tcPr>
          <w:p w14:paraId="24AE7C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水质水位监测井2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（厂址侧游）</w:t>
            </w:r>
          </w:p>
        </w:tc>
        <w:tc>
          <w:tcPr>
            <w:tcW w:w="1555" w:type="dxa"/>
            <w:noWrap w:val="0"/>
            <w:vAlign w:val="center"/>
          </w:tcPr>
          <w:p w14:paraId="062B3B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106°11′13.641″</w:t>
            </w:r>
          </w:p>
          <w:p w14:paraId="656CE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36°0′17.439″</w:t>
            </w:r>
          </w:p>
        </w:tc>
        <w:tc>
          <w:tcPr>
            <w:tcW w:w="1159" w:type="dxa"/>
            <w:noWrap w:val="0"/>
            <w:vAlign w:val="center"/>
          </w:tcPr>
          <w:p w14:paraId="6B014B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49</w:t>
            </w:r>
          </w:p>
        </w:tc>
        <w:tc>
          <w:tcPr>
            <w:tcW w:w="1067" w:type="dxa"/>
            <w:noWrap w:val="0"/>
            <w:vAlign w:val="center"/>
          </w:tcPr>
          <w:p w14:paraId="4D48D2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21</w:t>
            </w:r>
          </w:p>
        </w:tc>
        <w:tc>
          <w:tcPr>
            <w:tcW w:w="895" w:type="dxa"/>
            <w:tcBorders>
              <w:right w:val="single" w:color="auto" w:sz="4" w:space="0"/>
            </w:tcBorders>
            <w:noWrap w:val="0"/>
            <w:vAlign w:val="center"/>
          </w:tcPr>
          <w:p w14:paraId="1A78F5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28</w:t>
            </w:r>
          </w:p>
        </w:tc>
        <w:tc>
          <w:tcPr>
            <w:tcW w:w="895" w:type="dxa"/>
            <w:tcBorders>
              <w:right w:val="single" w:color="auto" w:sz="4" w:space="0"/>
            </w:tcBorders>
            <w:noWrap w:val="0"/>
            <w:vAlign w:val="center"/>
          </w:tcPr>
          <w:p w14:paraId="696913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1712.66</w:t>
            </w:r>
          </w:p>
        </w:tc>
        <w:tc>
          <w:tcPr>
            <w:tcW w:w="913" w:type="dxa"/>
            <w:tcBorders>
              <w:left w:val="single" w:color="auto" w:sz="4" w:space="0"/>
              <w:right w:val="single" w:color="auto" w:sz="12" w:space="0"/>
            </w:tcBorders>
            <w:shd w:val="clear" w:color="auto" w:fill="auto"/>
            <w:noWrap w:val="0"/>
            <w:vAlign w:val="center"/>
          </w:tcPr>
          <w:p w14:paraId="048D6A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透明</w:t>
            </w:r>
            <w:r>
              <w:rPr>
                <w:rFonts w:hint="default" w:ascii="Times New Roman" w:hAnsi="Times New Roman" w:eastAsia="宋体" w:cs="Times New Roman"/>
                <w:b w:val="0"/>
                <w:bCs/>
                <w:color w:val="auto"/>
                <w:sz w:val="21"/>
                <w:szCs w:val="21"/>
                <w:lang w:val="en-US" w:eastAsia="zh-CN"/>
              </w:rPr>
              <w:t>、无异味</w:t>
            </w:r>
          </w:p>
        </w:tc>
      </w:tr>
      <w:tr w14:paraId="2ABCD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0" w:type="dxa"/>
            <w:tcBorders>
              <w:left w:val="single" w:color="auto" w:sz="12" w:space="0"/>
            </w:tcBorders>
            <w:noWrap w:val="0"/>
            <w:vAlign w:val="center"/>
          </w:tcPr>
          <w:p w14:paraId="120674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lang w:val="en-US" w:eastAsia="zh-CN"/>
              </w:rPr>
              <w:t>D</w:t>
            </w:r>
            <w:r>
              <w:rPr>
                <w:rFonts w:hint="default" w:ascii="Times New Roman" w:hAnsi="Times New Roman" w:eastAsia="宋体" w:cs="Times New Roman"/>
                <w:color w:val="auto"/>
                <w:sz w:val="21"/>
                <w:szCs w:val="21"/>
                <w:lang w:val="en-US" w:eastAsia="zh-CN"/>
              </w:rPr>
              <w:t>3#</w:t>
            </w:r>
          </w:p>
        </w:tc>
        <w:tc>
          <w:tcPr>
            <w:tcW w:w="1667" w:type="dxa"/>
            <w:noWrap w:val="0"/>
            <w:vAlign w:val="center"/>
          </w:tcPr>
          <w:p w14:paraId="179961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水质水位监测井3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r>
              <w:rPr>
                <w:rFonts w:hint="eastAsia" w:eastAsia="宋体" w:cs="Times New Roman"/>
                <w:snapToGrid w:val="0"/>
                <w:color w:val="auto"/>
                <w:kern w:val="0"/>
                <w:sz w:val="21"/>
                <w:szCs w:val="21"/>
                <w:highlight w:val="none"/>
                <w:lang w:val="en-US" w:eastAsia="zh-CN"/>
              </w:rPr>
              <w:t>厂</w:t>
            </w:r>
            <w:r>
              <w:rPr>
                <w:rFonts w:hint="default" w:ascii="Times New Roman" w:hAnsi="Times New Roman" w:eastAsia="宋体" w:cs="Times New Roman"/>
                <w:color w:val="auto"/>
                <w:sz w:val="21"/>
                <w:szCs w:val="21"/>
                <w:lang w:val="en-US" w:eastAsia="zh-CN"/>
              </w:rPr>
              <w:t>址下游）</w:t>
            </w:r>
          </w:p>
        </w:tc>
        <w:tc>
          <w:tcPr>
            <w:tcW w:w="1555" w:type="dxa"/>
            <w:noWrap w:val="0"/>
            <w:vAlign w:val="center"/>
          </w:tcPr>
          <w:p w14:paraId="2A95DF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106°11′11.767″</w:t>
            </w:r>
          </w:p>
          <w:p w14:paraId="1AA021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36°0′18.482″</w:t>
            </w:r>
          </w:p>
        </w:tc>
        <w:tc>
          <w:tcPr>
            <w:tcW w:w="1159" w:type="dxa"/>
            <w:noWrap w:val="0"/>
            <w:vAlign w:val="center"/>
          </w:tcPr>
          <w:p w14:paraId="61510E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55</w:t>
            </w:r>
          </w:p>
        </w:tc>
        <w:tc>
          <w:tcPr>
            <w:tcW w:w="1067" w:type="dxa"/>
            <w:noWrap w:val="0"/>
            <w:vAlign w:val="center"/>
          </w:tcPr>
          <w:p w14:paraId="2051B5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25</w:t>
            </w:r>
          </w:p>
        </w:tc>
        <w:tc>
          <w:tcPr>
            <w:tcW w:w="895" w:type="dxa"/>
            <w:tcBorders>
              <w:right w:val="single" w:color="auto" w:sz="4" w:space="0"/>
            </w:tcBorders>
            <w:noWrap w:val="0"/>
            <w:vAlign w:val="center"/>
          </w:tcPr>
          <w:p w14:paraId="4650CE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30</w:t>
            </w:r>
          </w:p>
        </w:tc>
        <w:tc>
          <w:tcPr>
            <w:tcW w:w="895" w:type="dxa"/>
            <w:tcBorders>
              <w:right w:val="single" w:color="auto" w:sz="4" w:space="0"/>
            </w:tcBorders>
            <w:noWrap w:val="0"/>
            <w:vAlign w:val="center"/>
          </w:tcPr>
          <w:p w14:paraId="3F7BCC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1709.66</w:t>
            </w:r>
          </w:p>
        </w:tc>
        <w:tc>
          <w:tcPr>
            <w:tcW w:w="913" w:type="dxa"/>
            <w:tcBorders>
              <w:left w:val="single" w:color="auto" w:sz="4" w:space="0"/>
              <w:right w:val="single" w:color="auto" w:sz="12" w:space="0"/>
            </w:tcBorders>
            <w:shd w:val="clear" w:color="auto" w:fill="auto"/>
            <w:noWrap w:val="0"/>
            <w:vAlign w:val="center"/>
          </w:tcPr>
          <w:p w14:paraId="60E1D1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透明</w:t>
            </w:r>
            <w:r>
              <w:rPr>
                <w:rFonts w:hint="default" w:ascii="Times New Roman" w:hAnsi="Times New Roman" w:eastAsia="宋体" w:cs="Times New Roman"/>
                <w:b w:val="0"/>
                <w:bCs/>
                <w:color w:val="auto"/>
                <w:sz w:val="21"/>
                <w:szCs w:val="21"/>
                <w:lang w:val="en-US" w:eastAsia="zh-CN"/>
              </w:rPr>
              <w:t>、无异味</w:t>
            </w:r>
          </w:p>
        </w:tc>
      </w:tr>
      <w:tr w14:paraId="04ED8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0" w:type="dxa"/>
            <w:tcBorders>
              <w:left w:val="single" w:color="auto" w:sz="12" w:space="0"/>
            </w:tcBorders>
            <w:noWrap w:val="0"/>
            <w:vAlign w:val="center"/>
          </w:tcPr>
          <w:p w14:paraId="2F8C2D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D4</w:t>
            </w:r>
            <w:r>
              <w:rPr>
                <w:rFonts w:hint="default" w:ascii="Times New Roman" w:hAnsi="Times New Roman" w:eastAsia="宋体" w:cs="Times New Roman"/>
                <w:color w:val="auto"/>
                <w:sz w:val="21"/>
                <w:szCs w:val="21"/>
                <w:lang w:val="en-US" w:eastAsia="zh-CN"/>
              </w:rPr>
              <w:t>#</w:t>
            </w:r>
          </w:p>
        </w:tc>
        <w:tc>
          <w:tcPr>
            <w:tcW w:w="1667" w:type="dxa"/>
            <w:noWrap w:val="0"/>
            <w:vAlign w:val="center"/>
          </w:tcPr>
          <w:p w14:paraId="42309F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水位监测井</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tc>
        <w:tc>
          <w:tcPr>
            <w:tcW w:w="1555" w:type="dxa"/>
            <w:noWrap w:val="0"/>
            <w:vAlign w:val="center"/>
          </w:tcPr>
          <w:p w14:paraId="427C7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106°10′49.1424″</w:t>
            </w:r>
          </w:p>
          <w:p w14:paraId="5D2B0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36°0′13.4667″</w:t>
            </w:r>
          </w:p>
        </w:tc>
        <w:tc>
          <w:tcPr>
            <w:tcW w:w="1159" w:type="dxa"/>
            <w:noWrap w:val="0"/>
            <w:vAlign w:val="center"/>
          </w:tcPr>
          <w:p w14:paraId="52EE60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61.51</w:t>
            </w:r>
          </w:p>
        </w:tc>
        <w:tc>
          <w:tcPr>
            <w:tcW w:w="1067" w:type="dxa"/>
            <w:noWrap w:val="0"/>
            <w:vAlign w:val="center"/>
          </w:tcPr>
          <w:p w14:paraId="0D3072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29.12</w:t>
            </w:r>
          </w:p>
        </w:tc>
        <w:tc>
          <w:tcPr>
            <w:tcW w:w="895" w:type="dxa"/>
            <w:tcBorders>
              <w:right w:val="single" w:color="auto" w:sz="4" w:space="0"/>
            </w:tcBorders>
            <w:noWrap w:val="0"/>
            <w:vAlign w:val="center"/>
          </w:tcPr>
          <w:p w14:paraId="797A72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22.39</w:t>
            </w:r>
          </w:p>
        </w:tc>
        <w:tc>
          <w:tcPr>
            <w:tcW w:w="895" w:type="dxa"/>
            <w:tcBorders>
              <w:right w:val="single" w:color="auto" w:sz="4" w:space="0"/>
            </w:tcBorders>
            <w:noWrap w:val="0"/>
            <w:vAlign w:val="center"/>
          </w:tcPr>
          <w:p w14:paraId="0ADEC0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1728.0</w:t>
            </w:r>
          </w:p>
        </w:tc>
        <w:tc>
          <w:tcPr>
            <w:tcW w:w="913" w:type="dxa"/>
            <w:tcBorders>
              <w:left w:val="single" w:color="auto" w:sz="4" w:space="0"/>
              <w:right w:val="single" w:color="auto" w:sz="12" w:space="0"/>
            </w:tcBorders>
            <w:noWrap w:val="0"/>
            <w:vAlign w:val="center"/>
          </w:tcPr>
          <w:p w14:paraId="143CA0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w:t>
            </w:r>
          </w:p>
        </w:tc>
      </w:tr>
      <w:tr w14:paraId="671B8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0" w:type="dxa"/>
            <w:tcBorders>
              <w:left w:val="single" w:color="auto" w:sz="12" w:space="0"/>
            </w:tcBorders>
            <w:noWrap w:val="0"/>
            <w:vAlign w:val="center"/>
          </w:tcPr>
          <w:p w14:paraId="5B8A47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D5</w:t>
            </w:r>
            <w:r>
              <w:rPr>
                <w:rFonts w:hint="default" w:ascii="Times New Roman" w:hAnsi="Times New Roman" w:eastAsia="宋体" w:cs="Times New Roman"/>
                <w:color w:val="auto"/>
                <w:sz w:val="21"/>
                <w:szCs w:val="21"/>
                <w:lang w:val="en-US" w:eastAsia="zh-CN"/>
              </w:rPr>
              <w:t>#</w:t>
            </w:r>
          </w:p>
        </w:tc>
        <w:tc>
          <w:tcPr>
            <w:tcW w:w="1667" w:type="dxa"/>
            <w:noWrap w:val="0"/>
            <w:vAlign w:val="center"/>
          </w:tcPr>
          <w:p w14:paraId="097629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水位监测井</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p>
        </w:tc>
        <w:tc>
          <w:tcPr>
            <w:tcW w:w="1555" w:type="dxa"/>
            <w:noWrap w:val="0"/>
            <w:vAlign w:val="center"/>
          </w:tcPr>
          <w:p w14:paraId="0D893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106°11′32.1886″</w:t>
            </w:r>
          </w:p>
          <w:p w14:paraId="76C58B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36°1′9.9540″</w:t>
            </w:r>
          </w:p>
        </w:tc>
        <w:tc>
          <w:tcPr>
            <w:tcW w:w="1159" w:type="dxa"/>
            <w:noWrap w:val="0"/>
            <w:vAlign w:val="center"/>
          </w:tcPr>
          <w:p w14:paraId="223D79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58.80</w:t>
            </w:r>
          </w:p>
        </w:tc>
        <w:tc>
          <w:tcPr>
            <w:tcW w:w="1067" w:type="dxa"/>
            <w:noWrap w:val="0"/>
            <w:vAlign w:val="center"/>
          </w:tcPr>
          <w:p w14:paraId="3DA0EA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25.66</w:t>
            </w:r>
          </w:p>
        </w:tc>
        <w:tc>
          <w:tcPr>
            <w:tcW w:w="895" w:type="dxa"/>
            <w:tcBorders>
              <w:right w:val="single" w:color="auto" w:sz="4" w:space="0"/>
            </w:tcBorders>
            <w:noWrap w:val="0"/>
            <w:vAlign w:val="center"/>
          </w:tcPr>
          <w:p w14:paraId="5B703C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23.14</w:t>
            </w:r>
          </w:p>
        </w:tc>
        <w:tc>
          <w:tcPr>
            <w:tcW w:w="895" w:type="dxa"/>
            <w:tcBorders>
              <w:right w:val="single" w:color="auto" w:sz="4" w:space="0"/>
            </w:tcBorders>
            <w:noWrap w:val="0"/>
            <w:vAlign w:val="center"/>
          </w:tcPr>
          <w:p w14:paraId="6BBBD5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1715.3</w:t>
            </w:r>
          </w:p>
        </w:tc>
        <w:tc>
          <w:tcPr>
            <w:tcW w:w="913" w:type="dxa"/>
            <w:tcBorders>
              <w:left w:val="single" w:color="auto" w:sz="4" w:space="0"/>
              <w:right w:val="single" w:color="auto" w:sz="12" w:space="0"/>
            </w:tcBorders>
            <w:noWrap w:val="0"/>
            <w:vAlign w:val="center"/>
          </w:tcPr>
          <w:p w14:paraId="0D6BF9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w:t>
            </w:r>
          </w:p>
        </w:tc>
      </w:tr>
      <w:tr w14:paraId="22362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00" w:type="dxa"/>
            <w:tcBorders>
              <w:left w:val="single" w:color="auto" w:sz="12" w:space="0"/>
            </w:tcBorders>
            <w:noWrap w:val="0"/>
            <w:vAlign w:val="center"/>
          </w:tcPr>
          <w:p w14:paraId="034F14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D6</w:t>
            </w:r>
            <w:r>
              <w:rPr>
                <w:rFonts w:hint="default" w:ascii="Times New Roman" w:hAnsi="Times New Roman" w:eastAsia="宋体" w:cs="Times New Roman"/>
                <w:color w:val="auto"/>
                <w:sz w:val="21"/>
                <w:szCs w:val="21"/>
                <w:lang w:val="en-US" w:eastAsia="zh-CN"/>
              </w:rPr>
              <w:t>#</w:t>
            </w:r>
          </w:p>
        </w:tc>
        <w:tc>
          <w:tcPr>
            <w:tcW w:w="1667" w:type="dxa"/>
            <w:noWrap w:val="0"/>
            <w:vAlign w:val="center"/>
          </w:tcPr>
          <w:p w14:paraId="6D50B1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水位监测井</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p>
        </w:tc>
        <w:tc>
          <w:tcPr>
            <w:tcW w:w="1555" w:type="dxa"/>
            <w:noWrap w:val="0"/>
            <w:vAlign w:val="center"/>
          </w:tcPr>
          <w:p w14:paraId="6AF778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106°11'43.17</w:t>
            </w:r>
            <w:r>
              <w:rPr>
                <w:rFonts w:hint="eastAsia" w:eastAsia="宋体" w:cs="Times New Roman"/>
                <w:color w:val="auto"/>
                <w:spacing w:val="0"/>
                <w:kern w:val="21"/>
                <w:sz w:val="21"/>
                <w:szCs w:val="21"/>
                <w:highlight w:val="none"/>
                <w:lang w:val="en-US" w:eastAsia="zh-CN" w:bidi="ar-SA"/>
              </w:rPr>
              <w:t>11</w:t>
            </w:r>
            <w:r>
              <w:rPr>
                <w:rFonts w:hint="default" w:ascii="Times New Roman" w:hAnsi="Times New Roman" w:eastAsia="宋体" w:cs="Times New Roman"/>
                <w:color w:val="auto"/>
                <w:spacing w:val="0"/>
                <w:kern w:val="21"/>
                <w:sz w:val="21"/>
                <w:szCs w:val="21"/>
                <w:highlight w:val="none"/>
                <w:lang w:val="en-US" w:eastAsia="zh-CN" w:bidi="ar-SA"/>
              </w:rPr>
              <w:t>"</w:t>
            </w:r>
          </w:p>
          <w:p w14:paraId="66D445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36°0'51.95</w:t>
            </w:r>
            <w:r>
              <w:rPr>
                <w:rFonts w:hint="eastAsia" w:eastAsia="宋体" w:cs="Times New Roman"/>
                <w:color w:val="auto"/>
                <w:spacing w:val="0"/>
                <w:kern w:val="21"/>
                <w:sz w:val="21"/>
                <w:szCs w:val="21"/>
                <w:highlight w:val="none"/>
                <w:lang w:val="en-US" w:eastAsia="zh-CN" w:bidi="ar-SA"/>
              </w:rPr>
              <w:t>29</w:t>
            </w:r>
            <w:r>
              <w:rPr>
                <w:rFonts w:hint="default" w:ascii="Times New Roman" w:hAnsi="Times New Roman" w:eastAsia="宋体" w:cs="Times New Roman"/>
                <w:color w:val="auto"/>
                <w:spacing w:val="0"/>
                <w:kern w:val="21"/>
                <w:sz w:val="21"/>
                <w:szCs w:val="21"/>
                <w:highlight w:val="none"/>
                <w:lang w:val="en-US" w:eastAsia="zh-CN" w:bidi="ar-SA"/>
              </w:rPr>
              <w:t>"</w:t>
            </w:r>
          </w:p>
        </w:tc>
        <w:tc>
          <w:tcPr>
            <w:tcW w:w="1159" w:type="dxa"/>
            <w:noWrap w:val="0"/>
            <w:vAlign w:val="center"/>
          </w:tcPr>
          <w:p w14:paraId="282D47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60.80</w:t>
            </w:r>
          </w:p>
        </w:tc>
        <w:tc>
          <w:tcPr>
            <w:tcW w:w="1067" w:type="dxa"/>
            <w:noWrap w:val="0"/>
            <w:vAlign w:val="center"/>
          </w:tcPr>
          <w:p w14:paraId="2D8E15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25.70</w:t>
            </w:r>
          </w:p>
        </w:tc>
        <w:tc>
          <w:tcPr>
            <w:tcW w:w="895" w:type="dxa"/>
            <w:tcBorders>
              <w:right w:val="single" w:color="auto" w:sz="4" w:space="0"/>
            </w:tcBorders>
            <w:noWrap w:val="0"/>
            <w:vAlign w:val="center"/>
          </w:tcPr>
          <w:p w14:paraId="519006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25.10</w:t>
            </w:r>
          </w:p>
        </w:tc>
        <w:tc>
          <w:tcPr>
            <w:tcW w:w="895" w:type="dxa"/>
            <w:tcBorders>
              <w:right w:val="single" w:color="auto" w:sz="4" w:space="0"/>
            </w:tcBorders>
            <w:noWrap w:val="0"/>
            <w:vAlign w:val="center"/>
          </w:tcPr>
          <w:p w14:paraId="19BA2E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1706.7</w:t>
            </w:r>
          </w:p>
        </w:tc>
        <w:tc>
          <w:tcPr>
            <w:tcW w:w="913" w:type="dxa"/>
            <w:tcBorders>
              <w:left w:val="single" w:color="auto" w:sz="4" w:space="0"/>
              <w:right w:val="single" w:color="auto" w:sz="12" w:space="0"/>
            </w:tcBorders>
            <w:noWrap w:val="0"/>
            <w:vAlign w:val="center"/>
          </w:tcPr>
          <w:p w14:paraId="035F78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w:t>
            </w:r>
          </w:p>
        </w:tc>
      </w:tr>
    </w:tbl>
    <w:p w14:paraId="41B239D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（2）监测因子</w:t>
      </w:r>
    </w:p>
    <w:p w14:paraId="4207F25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仿宋_GB2312" w:cs="Times New Roman"/>
          <w:color w:val="auto"/>
          <w:sz w:val="24"/>
          <w:szCs w:val="24"/>
          <w:vertAlign w:val="superscript"/>
        </w:rPr>
      </w:pPr>
      <w:r>
        <w:rPr>
          <w:rFonts w:hint="default" w:ascii="Times New Roman" w:hAnsi="Times New Roman" w:eastAsia="仿宋_GB2312" w:cs="Times New Roman"/>
          <w:b/>
          <w:bCs/>
          <w:color w:val="auto"/>
          <w:sz w:val="24"/>
          <w:szCs w:val="24"/>
          <w:lang w:val="en-US" w:eastAsia="zh-CN"/>
        </w:rPr>
        <w:t>八大离子：</w:t>
      </w:r>
      <w:r>
        <w:rPr>
          <w:rFonts w:hint="default" w:ascii="Times New Roman" w:hAnsi="Times New Roman" w:eastAsia="仿宋_GB2312" w:cs="Times New Roman"/>
          <w:color w:val="auto"/>
          <w:sz w:val="24"/>
          <w:szCs w:val="24"/>
        </w:rPr>
        <w:t>K</w:t>
      </w:r>
      <w:r>
        <w:rPr>
          <w:rFonts w:hint="default" w:ascii="Times New Roman" w:hAnsi="Times New Roman" w:eastAsia="仿宋_GB2312" w:cs="Times New Roman"/>
          <w:color w:val="auto"/>
          <w:sz w:val="24"/>
          <w:szCs w:val="24"/>
          <w:vertAlign w:val="superscript"/>
        </w:rPr>
        <w:t>+</w:t>
      </w:r>
      <w:r>
        <w:rPr>
          <w:rFonts w:hint="default" w:ascii="Times New Roman" w:hAnsi="Times New Roman" w:eastAsia="仿宋_GB2312" w:cs="Times New Roman"/>
          <w:color w:val="auto"/>
          <w:sz w:val="24"/>
          <w:szCs w:val="24"/>
        </w:rPr>
        <w:t>、Na</w:t>
      </w:r>
      <w:r>
        <w:rPr>
          <w:rFonts w:hint="default" w:ascii="Times New Roman" w:hAnsi="Times New Roman" w:eastAsia="仿宋_GB2312" w:cs="Times New Roman"/>
          <w:color w:val="auto"/>
          <w:sz w:val="24"/>
          <w:szCs w:val="24"/>
          <w:vertAlign w:val="superscript"/>
        </w:rPr>
        <w:t>+</w:t>
      </w:r>
      <w:r>
        <w:rPr>
          <w:rFonts w:hint="default" w:ascii="Times New Roman" w:hAnsi="Times New Roman" w:eastAsia="仿宋_GB2312" w:cs="Times New Roman"/>
          <w:color w:val="auto"/>
          <w:sz w:val="24"/>
          <w:szCs w:val="24"/>
        </w:rPr>
        <w:t>、Ca</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、Mg</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、CO</w:t>
      </w:r>
      <w:r>
        <w:rPr>
          <w:rFonts w:hint="default" w:ascii="Times New Roman" w:hAnsi="Times New Roman" w:eastAsia="仿宋_GB2312" w:cs="Times New Roman"/>
          <w:color w:val="auto"/>
          <w:sz w:val="24"/>
          <w:szCs w:val="24"/>
          <w:vertAlign w:val="subscript"/>
        </w:rPr>
        <w:t>3</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、HCO</w:t>
      </w:r>
      <w:r>
        <w:rPr>
          <w:rFonts w:hint="default" w:ascii="Times New Roman" w:hAnsi="Times New Roman" w:eastAsia="仿宋_GB2312" w:cs="Times New Roman"/>
          <w:color w:val="auto"/>
          <w:sz w:val="24"/>
          <w:szCs w:val="24"/>
          <w:vertAlign w:val="subscript"/>
        </w:rPr>
        <w:t>3</w:t>
      </w:r>
      <w:r>
        <w:rPr>
          <w:rFonts w:hint="default" w:ascii="Times New Roman" w:hAnsi="Times New Roman" w:eastAsia="仿宋_GB2312" w:cs="Times New Roman"/>
          <w:color w:val="auto"/>
          <w:sz w:val="24"/>
          <w:szCs w:val="24"/>
          <w:vertAlign w:val="superscript"/>
        </w:rPr>
        <w:t>-</w:t>
      </w:r>
      <w:r>
        <w:rPr>
          <w:rFonts w:hint="default" w:ascii="Times New Roman" w:hAnsi="Times New Roman" w:eastAsia="仿宋_GB2312" w:cs="Times New Roman"/>
          <w:color w:val="auto"/>
          <w:sz w:val="24"/>
          <w:szCs w:val="24"/>
        </w:rPr>
        <w:t>、Cl</w:t>
      </w:r>
      <w:r>
        <w:rPr>
          <w:rFonts w:hint="default" w:ascii="Times New Roman" w:hAnsi="Times New Roman" w:eastAsia="仿宋_GB2312" w:cs="Times New Roman"/>
          <w:color w:val="auto"/>
          <w:sz w:val="24"/>
          <w:szCs w:val="24"/>
          <w:vertAlign w:val="superscript"/>
        </w:rPr>
        <w:t>-</w:t>
      </w:r>
      <w:r>
        <w:rPr>
          <w:rFonts w:hint="default" w:ascii="Times New Roman" w:hAnsi="Times New Roman" w:eastAsia="仿宋_GB2312" w:cs="Times New Roman"/>
          <w:color w:val="auto"/>
          <w:sz w:val="24"/>
          <w:szCs w:val="24"/>
        </w:rPr>
        <w:t>、SO</w:t>
      </w:r>
      <w:r>
        <w:rPr>
          <w:rFonts w:hint="default" w:ascii="Times New Roman" w:hAnsi="Times New Roman" w:eastAsia="仿宋_GB2312" w:cs="Times New Roman"/>
          <w:color w:val="auto"/>
          <w:sz w:val="24"/>
          <w:szCs w:val="24"/>
          <w:vertAlign w:val="subscript"/>
        </w:rPr>
        <w:t>4</w:t>
      </w:r>
      <w:r>
        <w:rPr>
          <w:rFonts w:hint="default" w:ascii="Times New Roman" w:hAnsi="Times New Roman" w:eastAsia="仿宋_GB2312" w:cs="Times New Roman"/>
          <w:color w:val="auto"/>
          <w:sz w:val="24"/>
          <w:szCs w:val="24"/>
          <w:vertAlign w:val="superscript"/>
        </w:rPr>
        <w:t>2-</w:t>
      </w:r>
    </w:p>
    <w:p w14:paraId="3BE5665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b/>
          <w:bCs/>
          <w:color w:val="auto"/>
          <w:sz w:val="24"/>
          <w:szCs w:val="24"/>
          <w:lang w:val="en-US" w:eastAsia="zh-CN"/>
        </w:rPr>
        <w:t>基本水质因子：</w:t>
      </w:r>
      <w:r>
        <w:rPr>
          <w:rFonts w:hint="default" w:ascii="Times New Roman" w:hAnsi="Times New Roman" w:eastAsia="仿宋_GB2312" w:cs="Times New Roman"/>
          <w:color w:val="auto"/>
          <w:sz w:val="24"/>
          <w:szCs w:val="24"/>
          <w:lang w:val="en-US" w:eastAsia="zh-CN"/>
        </w:rPr>
        <w:t>pH、总硬度、溶解性总固体、硫酸盐、氯化物、铁、锰、铜、锌、挥发性酚类、阴离子表面活性剂、耗氧量、氨氮、硫化物、钠、总大肠菌群、菌落总数、硝酸盐、亚硝酸盐、氟化物</w:t>
      </w:r>
      <w:r>
        <w:rPr>
          <w:rFonts w:hint="default" w:ascii="Times New Roman" w:hAnsi="Times New Roman" w:eastAsia="仿宋_GB2312" w:cs="Times New Roman"/>
          <w:color w:val="auto"/>
          <w:sz w:val="24"/>
          <w:szCs w:val="24"/>
          <w:lang w:eastAsia="zh-CN"/>
        </w:rPr>
        <w:t>，同时记录监测水井水位。</w:t>
      </w:r>
    </w:p>
    <w:p w14:paraId="14307BC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（3）监测时间及频次</w:t>
      </w:r>
    </w:p>
    <w:p w14:paraId="4065D81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采样时间为2025年</w:t>
      </w:r>
      <w:r>
        <w:rPr>
          <w:rFonts w:hint="eastAsia" w:cs="Times New Roman"/>
          <w:color w:val="auto"/>
          <w:lang w:val="en-US" w:eastAsia="zh-CN"/>
        </w:rPr>
        <w:t>12</w:t>
      </w:r>
      <w:r>
        <w:rPr>
          <w:rFonts w:hint="default" w:ascii="Times New Roman" w:hAnsi="Times New Roman" w:eastAsia="仿宋_GB2312" w:cs="Times New Roman"/>
          <w:color w:val="auto"/>
          <w:lang w:val="en-US" w:eastAsia="zh-CN"/>
        </w:rPr>
        <w:t>月</w:t>
      </w:r>
      <w:r>
        <w:rPr>
          <w:rFonts w:hint="eastAsia" w:cs="Times New Roman"/>
          <w:color w:val="auto"/>
          <w:lang w:val="en-US" w:eastAsia="zh-CN"/>
        </w:rPr>
        <w:t>13</w:t>
      </w:r>
      <w:r>
        <w:rPr>
          <w:rFonts w:hint="default" w:ascii="Times New Roman" w:hAnsi="Times New Roman" w:eastAsia="仿宋_GB2312" w:cs="Times New Roman"/>
          <w:color w:val="auto"/>
          <w:lang w:val="en-US" w:eastAsia="zh-CN"/>
        </w:rPr>
        <w:t>日，监测一次。</w:t>
      </w:r>
    </w:p>
    <w:p w14:paraId="25C9622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监测结果</w:t>
      </w:r>
    </w:p>
    <w:p w14:paraId="26DB2EE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地下水监测结果见表3.2-</w:t>
      </w:r>
      <w:r>
        <w:rPr>
          <w:rFonts w:hint="eastAsia" w:cs="Times New Roman"/>
          <w:color w:val="auto"/>
          <w:lang w:val="en-US" w:eastAsia="zh-CN"/>
        </w:rPr>
        <w:t>8</w:t>
      </w:r>
      <w:r>
        <w:rPr>
          <w:rFonts w:hint="default" w:ascii="Times New Roman" w:hAnsi="Times New Roman" w:eastAsia="仿宋_GB2312" w:cs="Times New Roman"/>
          <w:color w:val="auto"/>
          <w:lang w:val="en-US" w:eastAsia="zh-CN"/>
        </w:rPr>
        <w:t>。</w:t>
      </w:r>
    </w:p>
    <w:p w14:paraId="33311F49">
      <w:pPr>
        <w:bidi w:val="0"/>
        <w:spacing w:line="240" w:lineRule="auto"/>
        <w:rPr>
          <w:rFonts w:hint="eastAsia"/>
          <w:color w:val="auto"/>
          <w:lang w:eastAsia="zh-CN"/>
        </w:rPr>
      </w:pPr>
      <w:r>
        <w:rPr>
          <w:rFonts w:hint="default" w:ascii="Times New Roman" w:hAnsi="Times New Roman" w:eastAsia="宋体" w:cs="Times New Roman"/>
          <w:bCs/>
          <w:color w:val="auto"/>
          <w:kern w:val="0"/>
          <w:sz w:val="21"/>
          <w:szCs w:val="21"/>
          <w:highlight w:val="none"/>
        </w:rPr>
        <w:t>表3.2-</w:t>
      </w:r>
      <w:r>
        <w:rPr>
          <w:rFonts w:hint="eastAsia" w:eastAsia="宋体" w:cs="Times New Roman"/>
          <w:bCs/>
          <w:color w:val="auto"/>
          <w:kern w:val="0"/>
          <w:sz w:val="21"/>
          <w:szCs w:val="21"/>
          <w:highlight w:val="none"/>
          <w:lang w:val="en-US" w:eastAsia="zh-CN"/>
        </w:rPr>
        <w:t>8</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b/>
          <w:bCs/>
          <w:color w:val="auto"/>
          <w:sz w:val="24"/>
          <w:highlight w:val="none"/>
        </w:rPr>
        <w:t>地下水</w:t>
      </w:r>
      <w:r>
        <w:rPr>
          <w:rFonts w:hint="eastAsia" w:ascii="Times New Roman" w:hAnsi="Times New Roman" w:eastAsia="宋体" w:cs="Times New Roman"/>
          <w:b/>
          <w:bCs/>
          <w:color w:val="auto"/>
          <w:sz w:val="24"/>
          <w:highlight w:val="none"/>
          <w:lang w:val="en-US" w:eastAsia="zh-CN"/>
        </w:rPr>
        <w:t>监测结果</w:t>
      </w:r>
      <w:r>
        <w:rPr>
          <w:rFonts w:hint="default" w:ascii="Times New Roman" w:hAnsi="Times New Roman" w:eastAsia="宋体" w:cs="Times New Roman"/>
          <w:b/>
          <w:bCs/>
          <w:color w:val="auto"/>
          <w:sz w:val="24"/>
          <w:highlight w:val="none"/>
        </w:rPr>
        <w:t>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68"/>
        <w:gridCol w:w="1657"/>
        <w:gridCol w:w="1494"/>
        <w:gridCol w:w="1496"/>
        <w:gridCol w:w="1467"/>
      </w:tblGrid>
      <w:tr w14:paraId="48D57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vMerge w:val="restart"/>
            <w:tcBorders>
              <w:tl2br w:val="nil"/>
              <w:tr2bl w:val="nil"/>
            </w:tcBorders>
            <w:vAlign w:val="center"/>
          </w:tcPr>
          <w:p w14:paraId="6B0231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监测项目</w:t>
            </w:r>
          </w:p>
        </w:tc>
        <w:tc>
          <w:tcPr>
            <w:tcW w:w="1363" w:type="dxa"/>
            <w:vMerge w:val="restart"/>
            <w:tcBorders>
              <w:tl2br w:val="nil"/>
              <w:tr2bl w:val="nil"/>
            </w:tcBorders>
            <w:vAlign w:val="center"/>
          </w:tcPr>
          <w:p w14:paraId="7D508C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单位</w:t>
            </w:r>
          </w:p>
        </w:tc>
        <w:tc>
          <w:tcPr>
            <w:tcW w:w="4631" w:type="dxa"/>
            <w:gridSpan w:val="3"/>
            <w:tcBorders>
              <w:tl2br w:val="nil"/>
              <w:tr2bl w:val="nil"/>
            </w:tcBorders>
            <w:vAlign w:val="center"/>
          </w:tcPr>
          <w:p w14:paraId="1484BE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监测结果</w:t>
            </w:r>
          </w:p>
        </w:tc>
        <w:tc>
          <w:tcPr>
            <w:tcW w:w="1462" w:type="dxa"/>
            <w:vMerge w:val="restart"/>
            <w:tcBorders>
              <w:tl2br w:val="nil"/>
              <w:tr2bl w:val="nil"/>
            </w:tcBorders>
            <w:vAlign w:val="center"/>
          </w:tcPr>
          <w:p w14:paraId="472575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标准限值</w:t>
            </w:r>
          </w:p>
        </w:tc>
      </w:tr>
      <w:tr w14:paraId="29790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vMerge w:val="continue"/>
            <w:tcBorders>
              <w:tl2br w:val="nil"/>
              <w:tr2bl w:val="nil"/>
            </w:tcBorders>
            <w:vAlign w:val="center"/>
          </w:tcPr>
          <w:p w14:paraId="2B15A1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363" w:type="dxa"/>
            <w:vMerge w:val="continue"/>
            <w:tcBorders>
              <w:tl2br w:val="nil"/>
              <w:tr2bl w:val="nil"/>
            </w:tcBorders>
            <w:vAlign w:val="center"/>
          </w:tcPr>
          <w:p w14:paraId="322C7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651" w:type="dxa"/>
            <w:tcBorders>
              <w:tl2br w:val="nil"/>
              <w:tr2bl w:val="nil"/>
            </w:tcBorders>
            <w:vAlign w:val="center"/>
          </w:tcPr>
          <w:p w14:paraId="5C7935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D1#厂址上游（1#）</w:t>
            </w:r>
          </w:p>
        </w:tc>
        <w:tc>
          <w:tcPr>
            <w:tcW w:w="1489" w:type="dxa"/>
            <w:tcBorders>
              <w:tl2br w:val="nil"/>
              <w:tr2bl w:val="nil"/>
            </w:tcBorders>
            <w:vAlign w:val="center"/>
          </w:tcPr>
          <w:p w14:paraId="27E437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D</w:t>
            </w:r>
            <w:r>
              <w:rPr>
                <w:rFonts w:hint="eastAsia" w:ascii="Times New Roman" w:hAnsi="Times New Roman" w:eastAsia="宋体" w:cs="Times New Roman"/>
                <w:b/>
                <w:bCs/>
                <w:color w:val="auto"/>
                <w:sz w:val="21"/>
                <w:szCs w:val="21"/>
                <w:vertAlign w:val="baseline"/>
                <w:lang w:val="en-US" w:eastAsia="zh-CN"/>
              </w:rPr>
              <w:t>2</w:t>
            </w:r>
            <w:r>
              <w:rPr>
                <w:rFonts w:hint="default" w:ascii="Times New Roman" w:hAnsi="Times New Roman" w:eastAsia="宋体" w:cs="Times New Roman"/>
                <w:b/>
                <w:bCs/>
                <w:color w:val="auto"/>
                <w:sz w:val="21"/>
                <w:szCs w:val="21"/>
                <w:vertAlign w:val="baseline"/>
                <w:lang w:eastAsia="zh-CN"/>
              </w:rPr>
              <w:t>#厂址</w:t>
            </w:r>
            <w:r>
              <w:rPr>
                <w:rFonts w:hint="eastAsia" w:ascii="Times New Roman" w:hAnsi="Times New Roman" w:eastAsia="宋体" w:cs="Times New Roman"/>
                <w:b/>
                <w:bCs/>
                <w:color w:val="auto"/>
                <w:sz w:val="21"/>
                <w:szCs w:val="21"/>
                <w:vertAlign w:val="baseline"/>
                <w:lang w:val="en-US" w:eastAsia="zh-CN"/>
              </w:rPr>
              <w:t>侧</w:t>
            </w:r>
            <w:r>
              <w:rPr>
                <w:rFonts w:hint="default" w:ascii="Times New Roman" w:hAnsi="Times New Roman" w:eastAsia="宋体" w:cs="Times New Roman"/>
                <w:b/>
                <w:bCs/>
                <w:color w:val="auto"/>
                <w:sz w:val="21"/>
                <w:szCs w:val="21"/>
                <w:vertAlign w:val="baseline"/>
                <w:lang w:eastAsia="zh-CN"/>
              </w:rPr>
              <w:t>游（</w:t>
            </w:r>
            <w:r>
              <w:rPr>
                <w:rFonts w:hint="eastAsia" w:ascii="Times New Roman" w:hAnsi="Times New Roman" w:eastAsia="宋体" w:cs="Times New Roman"/>
                <w:b/>
                <w:bCs/>
                <w:color w:val="auto"/>
                <w:sz w:val="21"/>
                <w:szCs w:val="21"/>
                <w:vertAlign w:val="baseline"/>
                <w:lang w:val="en-US" w:eastAsia="zh-CN"/>
              </w:rPr>
              <w:t>2</w:t>
            </w:r>
            <w:r>
              <w:rPr>
                <w:rFonts w:hint="default" w:ascii="Times New Roman" w:hAnsi="Times New Roman" w:eastAsia="宋体" w:cs="Times New Roman"/>
                <w:b/>
                <w:bCs/>
                <w:color w:val="auto"/>
                <w:sz w:val="21"/>
                <w:szCs w:val="21"/>
                <w:vertAlign w:val="baseline"/>
                <w:lang w:eastAsia="zh-CN"/>
              </w:rPr>
              <w:t>#）</w:t>
            </w:r>
          </w:p>
        </w:tc>
        <w:tc>
          <w:tcPr>
            <w:tcW w:w="1491" w:type="dxa"/>
            <w:tcBorders>
              <w:tl2br w:val="nil"/>
              <w:tr2bl w:val="nil"/>
            </w:tcBorders>
            <w:vAlign w:val="center"/>
          </w:tcPr>
          <w:p w14:paraId="4FB82D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D</w:t>
            </w:r>
            <w:r>
              <w:rPr>
                <w:rFonts w:hint="eastAsia" w:ascii="Times New Roman" w:hAnsi="Times New Roman" w:eastAsia="宋体"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eastAsia="zh-CN"/>
              </w:rPr>
              <w:t>#厂址</w:t>
            </w:r>
            <w:r>
              <w:rPr>
                <w:rFonts w:hint="eastAsia" w:ascii="Times New Roman" w:hAnsi="Times New Roman" w:eastAsia="宋体" w:cs="Times New Roman"/>
                <w:b/>
                <w:bCs/>
                <w:color w:val="auto"/>
                <w:sz w:val="21"/>
                <w:szCs w:val="21"/>
                <w:vertAlign w:val="baseline"/>
                <w:lang w:val="en-US" w:eastAsia="zh-CN"/>
              </w:rPr>
              <w:t>下</w:t>
            </w:r>
            <w:r>
              <w:rPr>
                <w:rFonts w:hint="default" w:ascii="Times New Roman" w:hAnsi="Times New Roman" w:eastAsia="宋体" w:cs="Times New Roman"/>
                <w:b/>
                <w:bCs/>
                <w:color w:val="auto"/>
                <w:sz w:val="21"/>
                <w:szCs w:val="21"/>
                <w:vertAlign w:val="baseline"/>
                <w:lang w:eastAsia="zh-CN"/>
              </w:rPr>
              <w:t>游（</w:t>
            </w:r>
            <w:r>
              <w:rPr>
                <w:rFonts w:hint="eastAsia" w:ascii="Times New Roman" w:hAnsi="Times New Roman" w:eastAsia="宋体"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eastAsia="zh-CN"/>
              </w:rPr>
              <w:t>#）</w:t>
            </w:r>
          </w:p>
        </w:tc>
        <w:tc>
          <w:tcPr>
            <w:tcW w:w="1462" w:type="dxa"/>
            <w:vMerge w:val="continue"/>
            <w:tcBorders>
              <w:tl2br w:val="nil"/>
              <w:tr2bl w:val="nil"/>
            </w:tcBorders>
            <w:vAlign w:val="center"/>
          </w:tcPr>
          <w:p w14:paraId="081619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r>
      <w:tr w14:paraId="23943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77FD92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样品性状</w:t>
            </w:r>
          </w:p>
        </w:tc>
        <w:tc>
          <w:tcPr>
            <w:tcW w:w="1363" w:type="dxa"/>
            <w:tcBorders>
              <w:tl2br w:val="nil"/>
              <w:tr2bl w:val="nil"/>
            </w:tcBorders>
            <w:vAlign w:val="center"/>
          </w:tcPr>
          <w:p w14:paraId="09CFA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1651" w:type="dxa"/>
            <w:tcBorders>
              <w:tl2br w:val="nil"/>
              <w:tr2bl w:val="nil"/>
            </w:tcBorders>
            <w:vAlign w:val="center"/>
          </w:tcPr>
          <w:p w14:paraId="448BEE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透明，无异味</w:t>
            </w:r>
          </w:p>
        </w:tc>
        <w:tc>
          <w:tcPr>
            <w:tcW w:w="1489" w:type="dxa"/>
            <w:tcBorders>
              <w:tl2br w:val="nil"/>
              <w:tr2bl w:val="nil"/>
            </w:tcBorders>
            <w:vAlign w:val="center"/>
          </w:tcPr>
          <w:p w14:paraId="133BB4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透明，无异味</w:t>
            </w:r>
          </w:p>
        </w:tc>
        <w:tc>
          <w:tcPr>
            <w:tcW w:w="1491" w:type="dxa"/>
            <w:tcBorders>
              <w:tl2br w:val="nil"/>
              <w:tr2bl w:val="nil"/>
            </w:tcBorders>
            <w:vAlign w:val="center"/>
          </w:tcPr>
          <w:p w14:paraId="72C4B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透明，无异味</w:t>
            </w:r>
          </w:p>
        </w:tc>
        <w:tc>
          <w:tcPr>
            <w:tcW w:w="1462" w:type="dxa"/>
            <w:tcBorders>
              <w:tl2br w:val="nil"/>
              <w:tr2bl w:val="nil"/>
            </w:tcBorders>
            <w:vAlign w:val="center"/>
          </w:tcPr>
          <w:p w14:paraId="127B7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66984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11586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w:t>
            </w:r>
          </w:p>
        </w:tc>
        <w:tc>
          <w:tcPr>
            <w:tcW w:w="1363" w:type="dxa"/>
            <w:tcBorders>
              <w:tl2br w:val="nil"/>
              <w:tr2bl w:val="nil"/>
            </w:tcBorders>
            <w:vAlign w:val="center"/>
          </w:tcPr>
          <w:p w14:paraId="61095C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无量纲</w:t>
            </w:r>
          </w:p>
        </w:tc>
        <w:tc>
          <w:tcPr>
            <w:tcW w:w="1651" w:type="dxa"/>
            <w:tcBorders>
              <w:tl2br w:val="nil"/>
              <w:tr2bl w:val="nil"/>
            </w:tcBorders>
            <w:vAlign w:val="center"/>
          </w:tcPr>
          <w:p w14:paraId="5A700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7.5</w:t>
            </w:r>
          </w:p>
        </w:tc>
        <w:tc>
          <w:tcPr>
            <w:tcW w:w="1489" w:type="dxa"/>
            <w:tcBorders>
              <w:tl2br w:val="nil"/>
              <w:tr2bl w:val="nil"/>
            </w:tcBorders>
            <w:vAlign w:val="center"/>
          </w:tcPr>
          <w:p w14:paraId="5A4C1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7.2</w:t>
            </w:r>
          </w:p>
        </w:tc>
        <w:tc>
          <w:tcPr>
            <w:tcW w:w="1491" w:type="dxa"/>
            <w:tcBorders>
              <w:tl2br w:val="nil"/>
              <w:tr2bl w:val="nil"/>
            </w:tcBorders>
            <w:vAlign w:val="center"/>
          </w:tcPr>
          <w:p w14:paraId="36BB97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7.3</w:t>
            </w:r>
          </w:p>
        </w:tc>
        <w:tc>
          <w:tcPr>
            <w:tcW w:w="1462" w:type="dxa"/>
            <w:tcBorders>
              <w:tl2br w:val="nil"/>
              <w:tr2bl w:val="nil"/>
            </w:tcBorders>
            <w:vAlign w:val="center"/>
          </w:tcPr>
          <w:p w14:paraId="1B8EB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6.5-8.5</w:t>
            </w:r>
          </w:p>
        </w:tc>
      </w:tr>
      <w:tr w14:paraId="62721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456DC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氨氮（以N计）</w:t>
            </w:r>
          </w:p>
        </w:tc>
        <w:tc>
          <w:tcPr>
            <w:tcW w:w="1363" w:type="dxa"/>
            <w:tcBorders>
              <w:tl2br w:val="nil"/>
              <w:tr2bl w:val="nil"/>
            </w:tcBorders>
            <w:vAlign w:val="center"/>
          </w:tcPr>
          <w:p w14:paraId="02C71A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18E71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0.533</w:t>
            </w:r>
          </w:p>
        </w:tc>
        <w:tc>
          <w:tcPr>
            <w:tcW w:w="1489" w:type="dxa"/>
            <w:tcBorders>
              <w:tl2br w:val="nil"/>
              <w:tr2bl w:val="nil"/>
            </w:tcBorders>
            <w:vAlign w:val="center"/>
          </w:tcPr>
          <w:p w14:paraId="021BE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0.428</w:t>
            </w:r>
          </w:p>
        </w:tc>
        <w:tc>
          <w:tcPr>
            <w:tcW w:w="1491" w:type="dxa"/>
            <w:tcBorders>
              <w:tl2br w:val="nil"/>
              <w:tr2bl w:val="nil"/>
            </w:tcBorders>
            <w:vAlign w:val="center"/>
          </w:tcPr>
          <w:p w14:paraId="17DFAB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0.496</w:t>
            </w:r>
          </w:p>
        </w:tc>
        <w:tc>
          <w:tcPr>
            <w:tcW w:w="1462" w:type="dxa"/>
            <w:tcBorders>
              <w:tl2br w:val="nil"/>
              <w:tr2bl w:val="nil"/>
            </w:tcBorders>
            <w:vAlign w:val="center"/>
          </w:tcPr>
          <w:p w14:paraId="7C6C8B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≤0.50</w:t>
            </w:r>
          </w:p>
        </w:tc>
      </w:tr>
      <w:tr w14:paraId="007E9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1FF33A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硝酸盐</w:t>
            </w:r>
          </w:p>
        </w:tc>
        <w:tc>
          <w:tcPr>
            <w:tcW w:w="1363" w:type="dxa"/>
            <w:tcBorders>
              <w:tl2br w:val="nil"/>
              <w:tr2bl w:val="nil"/>
            </w:tcBorders>
            <w:vAlign w:val="center"/>
          </w:tcPr>
          <w:p w14:paraId="7A40C3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0E79D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10.2</w:t>
            </w:r>
          </w:p>
        </w:tc>
        <w:tc>
          <w:tcPr>
            <w:tcW w:w="1489" w:type="dxa"/>
            <w:tcBorders>
              <w:tl2br w:val="nil"/>
              <w:tr2bl w:val="nil"/>
            </w:tcBorders>
            <w:vAlign w:val="center"/>
          </w:tcPr>
          <w:p w14:paraId="29F590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11.1</w:t>
            </w:r>
          </w:p>
        </w:tc>
        <w:tc>
          <w:tcPr>
            <w:tcW w:w="1491" w:type="dxa"/>
            <w:tcBorders>
              <w:tl2br w:val="nil"/>
              <w:tr2bl w:val="nil"/>
            </w:tcBorders>
            <w:vAlign w:val="center"/>
          </w:tcPr>
          <w:p w14:paraId="3476B1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10.9</w:t>
            </w:r>
          </w:p>
        </w:tc>
        <w:tc>
          <w:tcPr>
            <w:tcW w:w="1462" w:type="dxa"/>
            <w:tcBorders>
              <w:tl2br w:val="nil"/>
              <w:tr2bl w:val="nil"/>
            </w:tcBorders>
            <w:shd w:val="clear" w:color="auto" w:fill="auto"/>
            <w:vAlign w:val="center"/>
          </w:tcPr>
          <w:p w14:paraId="6D6C40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≤20.0</w:t>
            </w:r>
          </w:p>
        </w:tc>
      </w:tr>
      <w:tr w14:paraId="7E65C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447B8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亚硝酸盐</w:t>
            </w:r>
          </w:p>
        </w:tc>
        <w:tc>
          <w:tcPr>
            <w:tcW w:w="1363" w:type="dxa"/>
            <w:tcBorders>
              <w:tl2br w:val="nil"/>
              <w:tr2bl w:val="nil"/>
            </w:tcBorders>
            <w:vAlign w:val="center"/>
          </w:tcPr>
          <w:p w14:paraId="4B7066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3769E6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0.016L</w:t>
            </w:r>
          </w:p>
        </w:tc>
        <w:tc>
          <w:tcPr>
            <w:tcW w:w="1489" w:type="dxa"/>
            <w:tcBorders>
              <w:tl2br w:val="nil"/>
              <w:tr2bl w:val="nil"/>
            </w:tcBorders>
            <w:vAlign w:val="center"/>
          </w:tcPr>
          <w:p w14:paraId="54549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0.016L</w:t>
            </w:r>
          </w:p>
        </w:tc>
        <w:tc>
          <w:tcPr>
            <w:tcW w:w="1491" w:type="dxa"/>
            <w:tcBorders>
              <w:tl2br w:val="nil"/>
              <w:tr2bl w:val="nil"/>
            </w:tcBorders>
            <w:vAlign w:val="center"/>
          </w:tcPr>
          <w:p w14:paraId="57913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0.016L</w:t>
            </w:r>
          </w:p>
        </w:tc>
        <w:tc>
          <w:tcPr>
            <w:tcW w:w="1462" w:type="dxa"/>
            <w:tcBorders>
              <w:tl2br w:val="nil"/>
              <w:tr2bl w:val="nil"/>
            </w:tcBorders>
            <w:shd w:val="clear" w:color="auto" w:fill="auto"/>
            <w:vAlign w:val="center"/>
          </w:tcPr>
          <w:p w14:paraId="5760BA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r>
      <w:tr w14:paraId="74E44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62DE1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挥发性酚类</w:t>
            </w:r>
          </w:p>
        </w:tc>
        <w:tc>
          <w:tcPr>
            <w:tcW w:w="1363" w:type="dxa"/>
            <w:tcBorders>
              <w:tl2br w:val="nil"/>
              <w:tr2bl w:val="nil"/>
            </w:tcBorders>
            <w:vAlign w:val="center"/>
          </w:tcPr>
          <w:p w14:paraId="491BF7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4EA9BF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0.0003L</w:t>
            </w:r>
          </w:p>
        </w:tc>
        <w:tc>
          <w:tcPr>
            <w:tcW w:w="1489" w:type="dxa"/>
            <w:tcBorders>
              <w:tl2br w:val="nil"/>
              <w:tr2bl w:val="nil"/>
            </w:tcBorders>
            <w:vAlign w:val="center"/>
          </w:tcPr>
          <w:p w14:paraId="65EC5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0.0003L</w:t>
            </w:r>
          </w:p>
        </w:tc>
        <w:tc>
          <w:tcPr>
            <w:tcW w:w="1491" w:type="dxa"/>
            <w:tcBorders>
              <w:tl2br w:val="nil"/>
              <w:tr2bl w:val="nil"/>
            </w:tcBorders>
            <w:vAlign w:val="center"/>
          </w:tcPr>
          <w:p w14:paraId="1E1AA9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0.0003L</w:t>
            </w:r>
          </w:p>
        </w:tc>
        <w:tc>
          <w:tcPr>
            <w:tcW w:w="1462" w:type="dxa"/>
            <w:tcBorders>
              <w:tl2br w:val="nil"/>
              <w:tr2bl w:val="nil"/>
            </w:tcBorders>
            <w:shd w:val="clear" w:color="auto" w:fill="auto"/>
            <w:vAlign w:val="center"/>
          </w:tcPr>
          <w:p w14:paraId="25808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≤0.002</w:t>
            </w:r>
          </w:p>
        </w:tc>
      </w:tr>
      <w:tr w14:paraId="3ABD9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7982D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总硬度（以CaCO</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计）</w:t>
            </w:r>
          </w:p>
        </w:tc>
        <w:tc>
          <w:tcPr>
            <w:tcW w:w="1363" w:type="dxa"/>
            <w:tcBorders>
              <w:tl2br w:val="nil"/>
              <w:tr2bl w:val="nil"/>
            </w:tcBorders>
            <w:vAlign w:val="center"/>
          </w:tcPr>
          <w:p w14:paraId="418E34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2E0C9C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256</w:t>
            </w:r>
          </w:p>
        </w:tc>
        <w:tc>
          <w:tcPr>
            <w:tcW w:w="1489" w:type="dxa"/>
            <w:tcBorders>
              <w:tl2br w:val="nil"/>
              <w:tr2bl w:val="nil"/>
            </w:tcBorders>
            <w:vAlign w:val="center"/>
          </w:tcPr>
          <w:p w14:paraId="33E3DD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260</w:t>
            </w:r>
          </w:p>
        </w:tc>
        <w:tc>
          <w:tcPr>
            <w:tcW w:w="1491" w:type="dxa"/>
            <w:tcBorders>
              <w:tl2br w:val="nil"/>
              <w:tr2bl w:val="nil"/>
            </w:tcBorders>
            <w:vAlign w:val="center"/>
          </w:tcPr>
          <w:p w14:paraId="1774AF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265</w:t>
            </w:r>
          </w:p>
        </w:tc>
        <w:tc>
          <w:tcPr>
            <w:tcW w:w="1462" w:type="dxa"/>
            <w:tcBorders>
              <w:tl2br w:val="nil"/>
              <w:tr2bl w:val="nil"/>
            </w:tcBorders>
            <w:vAlign w:val="center"/>
          </w:tcPr>
          <w:p w14:paraId="577C6A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≤450</w:t>
            </w:r>
          </w:p>
        </w:tc>
      </w:tr>
      <w:tr w14:paraId="3DE1A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1CD88A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氟化物</w:t>
            </w:r>
          </w:p>
        </w:tc>
        <w:tc>
          <w:tcPr>
            <w:tcW w:w="1363" w:type="dxa"/>
            <w:tcBorders>
              <w:tl2br w:val="nil"/>
              <w:tr2bl w:val="nil"/>
            </w:tcBorders>
            <w:vAlign w:val="center"/>
          </w:tcPr>
          <w:p w14:paraId="76A54A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3C4CC4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0.405</w:t>
            </w:r>
          </w:p>
        </w:tc>
        <w:tc>
          <w:tcPr>
            <w:tcW w:w="1489" w:type="dxa"/>
            <w:tcBorders>
              <w:tl2br w:val="nil"/>
              <w:tr2bl w:val="nil"/>
            </w:tcBorders>
            <w:vAlign w:val="center"/>
          </w:tcPr>
          <w:p w14:paraId="65E6D4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0.249</w:t>
            </w:r>
          </w:p>
        </w:tc>
        <w:tc>
          <w:tcPr>
            <w:tcW w:w="1491" w:type="dxa"/>
            <w:tcBorders>
              <w:tl2br w:val="nil"/>
              <w:tr2bl w:val="nil"/>
            </w:tcBorders>
            <w:vAlign w:val="center"/>
          </w:tcPr>
          <w:p w14:paraId="51314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0.256</w:t>
            </w:r>
          </w:p>
        </w:tc>
        <w:tc>
          <w:tcPr>
            <w:tcW w:w="1462" w:type="dxa"/>
            <w:tcBorders>
              <w:tl2br w:val="nil"/>
              <w:tr2bl w:val="nil"/>
            </w:tcBorders>
            <w:vAlign w:val="center"/>
          </w:tcPr>
          <w:p w14:paraId="7E5884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≤1.0</w:t>
            </w:r>
          </w:p>
        </w:tc>
      </w:tr>
      <w:tr w14:paraId="1A769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792CD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溶解性总固体</w:t>
            </w:r>
          </w:p>
        </w:tc>
        <w:tc>
          <w:tcPr>
            <w:tcW w:w="1363" w:type="dxa"/>
            <w:tcBorders>
              <w:tl2br w:val="nil"/>
              <w:tr2bl w:val="nil"/>
            </w:tcBorders>
            <w:vAlign w:val="center"/>
          </w:tcPr>
          <w:p w14:paraId="76D0B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1EC36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620</w:t>
            </w:r>
          </w:p>
        </w:tc>
        <w:tc>
          <w:tcPr>
            <w:tcW w:w="1489" w:type="dxa"/>
            <w:tcBorders>
              <w:tl2br w:val="nil"/>
              <w:tr2bl w:val="nil"/>
            </w:tcBorders>
            <w:vAlign w:val="center"/>
          </w:tcPr>
          <w:p w14:paraId="4D8C02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659</w:t>
            </w:r>
          </w:p>
        </w:tc>
        <w:tc>
          <w:tcPr>
            <w:tcW w:w="1491" w:type="dxa"/>
            <w:tcBorders>
              <w:tl2br w:val="nil"/>
              <w:tr2bl w:val="nil"/>
            </w:tcBorders>
            <w:vAlign w:val="center"/>
          </w:tcPr>
          <w:p w14:paraId="47C00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671</w:t>
            </w:r>
          </w:p>
        </w:tc>
        <w:tc>
          <w:tcPr>
            <w:tcW w:w="1462" w:type="dxa"/>
            <w:tcBorders>
              <w:tl2br w:val="nil"/>
              <w:tr2bl w:val="nil"/>
            </w:tcBorders>
            <w:vAlign w:val="center"/>
          </w:tcPr>
          <w:p w14:paraId="534C9C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≤1000</w:t>
            </w:r>
          </w:p>
        </w:tc>
      </w:tr>
      <w:tr w14:paraId="08427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27CDA7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耗氧量</w:t>
            </w:r>
          </w:p>
        </w:tc>
        <w:tc>
          <w:tcPr>
            <w:tcW w:w="1363" w:type="dxa"/>
            <w:tcBorders>
              <w:tl2br w:val="nil"/>
              <w:tr2bl w:val="nil"/>
            </w:tcBorders>
            <w:vAlign w:val="center"/>
          </w:tcPr>
          <w:p w14:paraId="2A598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49DF0A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3.8</w:t>
            </w:r>
          </w:p>
        </w:tc>
        <w:tc>
          <w:tcPr>
            <w:tcW w:w="1489" w:type="dxa"/>
            <w:tcBorders>
              <w:tl2br w:val="nil"/>
              <w:tr2bl w:val="nil"/>
            </w:tcBorders>
            <w:vAlign w:val="center"/>
          </w:tcPr>
          <w:p w14:paraId="43023B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4.3</w:t>
            </w:r>
          </w:p>
        </w:tc>
        <w:tc>
          <w:tcPr>
            <w:tcW w:w="1491" w:type="dxa"/>
            <w:tcBorders>
              <w:tl2br w:val="nil"/>
              <w:tr2bl w:val="nil"/>
            </w:tcBorders>
            <w:vAlign w:val="center"/>
          </w:tcPr>
          <w:p w14:paraId="0AF977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4.0</w:t>
            </w:r>
          </w:p>
        </w:tc>
        <w:tc>
          <w:tcPr>
            <w:tcW w:w="1462" w:type="dxa"/>
            <w:tcBorders>
              <w:tl2br w:val="nil"/>
              <w:tr2bl w:val="nil"/>
            </w:tcBorders>
            <w:shd w:val="clear" w:color="auto" w:fill="auto"/>
            <w:vAlign w:val="center"/>
          </w:tcPr>
          <w:p w14:paraId="77CBB2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r>
      <w:tr w14:paraId="4DE2A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6EA7C5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硫酸盐</w:t>
            </w:r>
          </w:p>
        </w:tc>
        <w:tc>
          <w:tcPr>
            <w:tcW w:w="1363" w:type="dxa"/>
            <w:tcBorders>
              <w:tl2br w:val="nil"/>
              <w:tr2bl w:val="nil"/>
            </w:tcBorders>
            <w:vAlign w:val="center"/>
          </w:tcPr>
          <w:p w14:paraId="693503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0A43F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114</w:t>
            </w:r>
          </w:p>
        </w:tc>
        <w:tc>
          <w:tcPr>
            <w:tcW w:w="1489" w:type="dxa"/>
            <w:tcBorders>
              <w:tl2br w:val="nil"/>
              <w:tr2bl w:val="nil"/>
            </w:tcBorders>
            <w:vAlign w:val="center"/>
          </w:tcPr>
          <w:p w14:paraId="46C502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136</w:t>
            </w:r>
          </w:p>
        </w:tc>
        <w:tc>
          <w:tcPr>
            <w:tcW w:w="1491" w:type="dxa"/>
            <w:tcBorders>
              <w:tl2br w:val="nil"/>
              <w:tr2bl w:val="nil"/>
            </w:tcBorders>
            <w:vAlign w:val="center"/>
          </w:tcPr>
          <w:p w14:paraId="5FBF9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138</w:t>
            </w:r>
          </w:p>
        </w:tc>
        <w:tc>
          <w:tcPr>
            <w:tcW w:w="1462" w:type="dxa"/>
            <w:tcBorders>
              <w:tl2br w:val="nil"/>
              <w:tr2bl w:val="nil"/>
            </w:tcBorders>
            <w:shd w:val="clear" w:color="auto" w:fill="auto"/>
            <w:vAlign w:val="center"/>
          </w:tcPr>
          <w:p w14:paraId="2C77B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≤250</w:t>
            </w:r>
          </w:p>
        </w:tc>
      </w:tr>
      <w:tr w14:paraId="10CAD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0A25D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氯化物</w:t>
            </w:r>
          </w:p>
        </w:tc>
        <w:tc>
          <w:tcPr>
            <w:tcW w:w="1363" w:type="dxa"/>
            <w:tcBorders>
              <w:tl2br w:val="nil"/>
              <w:tr2bl w:val="nil"/>
            </w:tcBorders>
            <w:vAlign w:val="center"/>
          </w:tcPr>
          <w:p w14:paraId="61257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78EEEB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96.5</w:t>
            </w:r>
          </w:p>
        </w:tc>
        <w:tc>
          <w:tcPr>
            <w:tcW w:w="1489" w:type="dxa"/>
            <w:tcBorders>
              <w:tl2br w:val="nil"/>
              <w:tr2bl w:val="nil"/>
            </w:tcBorders>
            <w:vAlign w:val="center"/>
          </w:tcPr>
          <w:p w14:paraId="6D920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114</w:t>
            </w:r>
          </w:p>
        </w:tc>
        <w:tc>
          <w:tcPr>
            <w:tcW w:w="1491" w:type="dxa"/>
            <w:tcBorders>
              <w:tl2br w:val="nil"/>
              <w:tr2bl w:val="nil"/>
            </w:tcBorders>
            <w:vAlign w:val="center"/>
          </w:tcPr>
          <w:p w14:paraId="01C7E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121</w:t>
            </w:r>
          </w:p>
        </w:tc>
        <w:tc>
          <w:tcPr>
            <w:tcW w:w="1462" w:type="dxa"/>
            <w:tcBorders>
              <w:tl2br w:val="nil"/>
              <w:tr2bl w:val="nil"/>
            </w:tcBorders>
            <w:shd w:val="clear" w:color="auto" w:fill="auto"/>
            <w:vAlign w:val="center"/>
          </w:tcPr>
          <w:p w14:paraId="4B2F64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≤250</w:t>
            </w:r>
          </w:p>
        </w:tc>
      </w:tr>
      <w:tr w14:paraId="62A5C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2202FF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总大肠菌群</w:t>
            </w:r>
          </w:p>
        </w:tc>
        <w:tc>
          <w:tcPr>
            <w:tcW w:w="1363" w:type="dxa"/>
            <w:tcBorders>
              <w:tl2br w:val="nil"/>
              <w:tr2bl w:val="nil"/>
            </w:tcBorders>
            <w:vAlign w:val="center"/>
          </w:tcPr>
          <w:p w14:paraId="6B4EC3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MPN/100mL</w:t>
            </w:r>
          </w:p>
        </w:tc>
        <w:tc>
          <w:tcPr>
            <w:tcW w:w="1651" w:type="dxa"/>
            <w:tcBorders>
              <w:tl2br w:val="nil"/>
              <w:tr2bl w:val="nil"/>
            </w:tcBorders>
            <w:vAlign w:val="center"/>
          </w:tcPr>
          <w:p w14:paraId="66377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489" w:type="dxa"/>
            <w:tcBorders>
              <w:tl2br w:val="nil"/>
              <w:tr2bl w:val="nil"/>
            </w:tcBorders>
            <w:vAlign w:val="center"/>
          </w:tcPr>
          <w:p w14:paraId="22B10C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＜2</w:t>
            </w:r>
          </w:p>
        </w:tc>
        <w:tc>
          <w:tcPr>
            <w:tcW w:w="1491" w:type="dxa"/>
            <w:tcBorders>
              <w:tl2br w:val="nil"/>
              <w:tr2bl w:val="nil"/>
            </w:tcBorders>
            <w:vAlign w:val="center"/>
          </w:tcPr>
          <w:p w14:paraId="2C6A6B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＜2</w:t>
            </w:r>
          </w:p>
        </w:tc>
        <w:tc>
          <w:tcPr>
            <w:tcW w:w="1462" w:type="dxa"/>
            <w:tcBorders>
              <w:tl2br w:val="nil"/>
              <w:tr2bl w:val="nil"/>
            </w:tcBorders>
            <w:vAlign w:val="center"/>
          </w:tcPr>
          <w:p w14:paraId="5A102A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≤3.0</w:t>
            </w:r>
          </w:p>
        </w:tc>
      </w:tr>
      <w:tr w14:paraId="1CD35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5C50C6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细菌总数</w:t>
            </w:r>
          </w:p>
        </w:tc>
        <w:tc>
          <w:tcPr>
            <w:tcW w:w="1363" w:type="dxa"/>
            <w:tcBorders>
              <w:tl2br w:val="nil"/>
              <w:tr2bl w:val="nil"/>
            </w:tcBorders>
            <w:vAlign w:val="center"/>
          </w:tcPr>
          <w:p w14:paraId="2C261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CFU/mL</w:t>
            </w:r>
          </w:p>
        </w:tc>
        <w:tc>
          <w:tcPr>
            <w:tcW w:w="1651" w:type="dxa"/>
            <w:tcBorders>
              <w:tl2br w:val="nil"/>
              <w:tr2bl w:val="nil"/>
            </w:tcBorders>
            <w:vAlign w:val="center"/>
          </w:tcPr>
          <w:p w14:paraId="2A68CE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49</w:t>
            </w:r>
          </w:p>
        </w:tc>
        <w:tc>
          <w:tcPr>
            <w:tcW w:w="1489" w:type="dxa"/>
            <w:tcBorders>
              <w:tl2br w:val="nil"/>
              <w:tr2bl w:val="nil"/>
            </w:tcBorders>
            <w:vAlign w:val="center"/>
          </w:tcPr>
          <w:p w14:paraId="67FF88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53</w:t>
            </w:r>
          </w:p>
        </w:tc>
        <w:tc>
          <w:tcPr>
            <w:tcW w:w="1491" w:type="dxa"/>
            <w:tcBorders>
              <w:tl2br w:val="nil"/>
              <w:tr2bl w:val="nil"/>
            </w:tcBorders>
            <w:vAlign w:val="center"/>
          </w:tcPr>
          <w:p w14:paraId="418FB6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45</w:t>
            </w:r>
          </w:p>
        </w:tc>
        <w:tc>
          <w:tcPr>
            <w:tcW w:w="1462" w:type="dxa"/>
            <w:tcBorders>
              <w:tl2br w:val="nil"/>
              <w:tr2bl w:val="nil"/>
            </w:tcBorders>
            <w:vAlign w:val="center"/>
          </w:tcPr>
          <w:p w14:paraId="6D8573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≤100</w:t>
            </w:r>
          </w:p>
        </w:tc>
      </w:tr>
      <w:tr w14:paraId="488B4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1D71C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铁</w:t>
            </w:r>
          </w:p>
        </w:tc>
        <w:tc>
          <w:tcPr>
            <w:tcW w:w="1363" w:type="dxa"/>
            <w:tcBorders>
              <w:tl2br w:val="nil"/>
              <w:tr2bl w:val="nil"/>
            </w:tcBorders>
            <w:vAlign w:val="center"/>
          </w:tcPr>
          <w:p w14:paraId="4BA8F8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776FB3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0.03</w:t>
            </w:r>
            <w:r>
              <w:rPr>
                <w:rFonts w:hint="eastAsia" w:eastAsia="宋体" w:cs="Times New Roman"/>
                <w:color w:val="auto"/>
                <w:sz w:val="21"/>
                <w:szCs w:val="21"/>
                <w:vertAlign w:val="baseline"/>
                <w:lang w:val="en-US" w:eastAsia="zh-CN"/>
              </w:rPr>
              <w:t>L</w:t>
            </w:r>
          </w:p>
        </w:tc>
        <w:tc>
          <w:tcPr>
            <w:tcW w:w="1489" w:type="dxa"/>
            <w:tcBorders>
              <w:tl2br w:val="nil"/>
              <w:tr2bl w:val="nil"/>
            </w:tcBorders>
            <w:vAlign w:val="center"/>
          </w:tcPr>
          <w:p w14:paraId="3F742B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0.03</w:t>
            </w:r>
            <w:r>
              <w:rPr>
                <w:rFonts w:hint="eastAsia" w:eastAsia="宋体" w:cs="Times New Roman"/>
                <w:color w:val="auto"/>
                <w:sz w:val="21"/>
                <w:szCs w:val="21"/>
                <w:vertAlign w:val="baseline"/>
                <w:lang w:val="en-US" w:eastAsia="zh-CN"/>
              </w:rPr>
              <w:t>L</w:t>
            </w:r>
          </w:p>
        </w:tc>
        <w:tc>
          <w:tcPr>
            <w:tcW w:w="1491" w:type="dxa"/>
            <w:tcBorders>
              <w:tl2br w:val="nil"/>
              <w:tr2bl w:val="nil"/>
            </w:tcBorders>
            <w:vAlign w:val="center"/>
          </w:tcPr>
          <w:p w14:paraId="7F752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0.03</w:t>
            </w:r>
            <w:r>
              <w:rPr>
                <w:rFonts w:hint="eastAsia" w:eastAsia="宋体" w:cs="Times New Roman"/>
                <w:color w:val="auto"/>
                <w:sz w:val="21"/>
                <w:szCs w:val="21"/>
                <w:vertAlign w:val="baseline"/>
                <w:lang w:val="en-US" w:eastAsia="zh-CN"/>
              </w:rPr>
              <w:t>L</w:t>
            </w:r>
          </w:p>
        </w:tc>
        <w:tc>
          <w:tcPr>
            <w:tcW w:w="1462" w:type="dxa"/>
            <w:tcBorders>
              <w:tl2br w:val="nil"/>
              <w:tr2bl w:val="nil"/>
            </w:tcBorders>
            <w:shd w:val="clear" w:color="auto" w:fill="auto"/>
            <w:vAlign w:val="center"/>
          </w:tcPr>
          <w:p w14:paraId="0A05A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≤0.3</w:t>
            </w:r>
          </w:p>
        </w:tc>
      </w:tr>
      <w:tr w14:paraId="5764C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03990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锰</w:t>
            </w:r>
          </w:p>
        </w:tc>
        <w:tc>
          <w:tcPr>
            <w:tcW w:w="1363" w:type="dxa"/>
            <w:tcBorders>
              <w:tl2br w:val="nil"/>
              <w:tr2bl w:val="nil"/>
            </w:tcBorders>
            <w:vAlign w:val="center"/>
          </w:tcPr>
          <w:p w14:paraId="69DB35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278E2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0.01L</w:t>
            </w:r>
          </w:p>
        </w:tc>
        <w:tc>
          <w:tcPr>
            <w:tcW w:w="1489" w:type="dxa"/>
            <w:tcBorders>
              <w:tl2br w:val="nil"/>
              <w:tr2bl w:val="nil"/>
            </w:tcBorders>
            <w:vAlign w:val="center"/>
          </w:tcPr>
          <w:p w14:paraId="224A1A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0.01L</w:t>
            </w:r>
          </w:p>
        </w:tc>
        <w:tc>
          <w:tcPr>
            <w:tcW w:w="1491" w:type="dxa"/>
            <w:tcBorders>
              <w:tl2br w:val="nil"/>
              <w:tr2bl w:val="nil"/>
            </w:tcBorders>
            <w:vAlign w:val="center"/>
          </w:tcPr>
          <w:p w14:paraId="643336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0.01L</w:t>
            </w:r>
          </w:p>
        </w:tc>
        <w:tc>
          <w:tcPr>
            <w:tcW w:w="1462" w:type="dxa"/>
            <w:tcBorders>
              <w:tl2br w:val="nil"/>
              <w:tr2bl w:val="nil"/>
            </w:tcBorders>
            <w:shd w:val="clear" w:color="auto" w:fill="auto"/>
            <w:vAlign w:val="center"/>
          </w:tcPr>
          <w:p w14:paraId="2E68D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≤0.10</w:t>
            </w:r>
          </w:p>
        </w:tc>
      </w:tr>
      <w:tr w14:paraId="0C4BB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31118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铜</w:t>
            </w:r>
          </w:p>
        </w:tc>
        <w:tc>
          <w:tcPr>
            <w:tcW w:w="1363" w:type="dxa"/>
            <w:tcBorders>
              <w:tl2br w:val="nil"/>
              <w:tr2bl w:val="nil"/>
            </w:tcBorders>
            <w:vAlign w:val="center"/>
          </w:tcPr>
          <w:p w14:paraId="6B1D93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327EE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0.05L</w:t>
            </w:r>
          </w:p>
        </w:tc>
        <w:tc>
          <w:tcPr>
            <w:tcW w:w="1489" w:type="dxa"/>
            <w:tcBorders>
              <w:tl2br w:val="nil"/>
              <w:tr2bl w:val="nil"/>
            </w:tcBorders>
            <w:shd w:val="clear" w:color="auto" w:fill="auto"/>
            <w:vAlign w:val="center"/>
          </w:tcPr>
          <w:p w14:paraId="23910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vertAlign w:val="baseline"/>
                <w:lang w:val="en-US" w:eastAsia="zh-CN"/>
              </w:rPr>
              <w:t>0.05L</w:t>
            </w:r>
          </w:p>
        </w:tc>
        <w:tc>
          <w:tcPr>
            <w:tcW w:w="1491" w:type="dxa"/>
            <w:tcBorders>
              <w:tl2br w:val="nil"/>
              <w:tr2bl w:val="nil"/>
            </w:tcBorders>
            <w:shd w:val="clear" w:color="auto" w:fill="auto"/>
            <w:vAlign w:val="center"/>
          </w:tcPr>
          <w:p w14:paraId="7EC02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vertAlign w:val="baseline"/>
                <w:lang w:val="en-US" w:eastAsia="zh-CN"/>
              </w:rPr>
              <w:t>0.05L</w:t>
            </w:r>
          </w:p>
        </w:tc>
        <w:tc>
          <w:tcPr>
            <w:tcW w:w="1462" w:type="dxa"/>
            <w:tcBorders>
              <w:tl2br w:val="nil"/>
              <w:tr2bl w:val="nil"/>
            </w:tcBorders>
            <w:shd w:val="clear" w:color="auto" w:fill="auto"/>
            <w:vAlign w:val="center"/>
          </w:tcPr>
          <w:p w14:paraId="2E1620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r>
      <w:tr w14:paraId="09683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0691A2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锌</w:t>
            </w:r>
          </w:p>
        </w:tc>
        <w:tc>
          <w:tcPr>
            <w:tcW w:w="1363" w:type="dxa"/>
            <w:tcBorders>
              <w:tl2br w:val="nil"/>
              <w:tr2bl w:val="nil"/>
            </w:tcBorders>
            <w:vAlign w:val="center"/>
          </w:tcPr>
          <w:p w14:paraId="5150FF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01A6B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0.05L</w:t>
            </w:r>
          </w:p>
        </w:tc>
        <w:tc>
          <w:tcPr>
            <w:tcW w:w="1489" w:type="dxa"/>
            <w:tcBorders>
              <w:tl2br w:val="nil"/>
              <w:tr2bl w:val="nil"/>
            </w:tcBorders>
            <w:shd w:val="clear" w:color="auto" w:fill="auto"/>
            <w:vAlign w:val="center"/>
          </w:tcPr>
          <w:p w14:paraId="0A202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vertAlign w:val="baseline"/>
                <w:lang w:val="en-US" w:eastAsia="zh-CN"/>
              </w:rPr>
              <w:t>0.05L</w:t>
            </w:r>
          </w:p>
        </w:tc>
        <w:tc>
          <w:tcPr>
            <w:tcW w:w="1491" w:type="dxa"/>
            <w:tcBorders>
              <w:tl2br w:val="nil"/>
              <w:tr2bl w:val="nil"/>
            </w:tcBorders>
            <w:shd w:val="clear" w:color="auto" w:fill="auto"/>
            <w:vAlign w:val="center"/>
          </w:tcPr>
          <w:p w14:paraId="167B50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vertAlign w:val="baseline"/>
                <w:lang w:val="en-US" w:eastAsia="zh-CN"/>
              </w:rPr>
              <w:t>0.05L</w:t>
            </w:r>
          </w:p>
        </w:tc>
        <w:tc>
          <w:tcPr>
            <w:tcW w:w="1462" w:type="dxa"/>
            <w:tcBorders>
              <w:tl2br w:val="nil"/>
              <w:tr2bl w:val="nil"/>
            </w:tcBorders>
            <w:shd w:val="clear" w:color="auto" w:fill="auto"/>
            <w:vAlign w:val="center"/>
          </w:tcPr>
          <w:p w14:paraId="60C439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w:t>
            </w:r>
          </w:p>
        </w:tc>
      </w:tr>
      <w:tr w14:paraId="1F610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252003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硫化物</w:t>
            </w:r>
          </w:p>
        </w:tc>
        <w:tc>
          <w:tcPr>
            <w:tcW w:w="1363" w:type="dxa"/>
            <w:tcBorders>
              <w:tl2br w:val="nil"/>
              <w:tr2bl w:val="nil"/>
            </w:tcBorders>
            <w:vAlign w:val="center"/>
          </w:tcPr>
          <w:p w14:paraId="2710AD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3EB25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0.01L</w:t>
            </w:r>
          </w:p>
        </w:tc>
        <w:tc>
          <w:tcPr>
            <w:tcW w:w="1489" w:type="dxa"/>
            <w:tcBorders>
              <w:tl2br w:val="nil"/>
              <w:tr2bl w:val="nil"/>
            </w:tcBorders>
            <w:shd w:val="clear" w:color="auto" w:fill="auto"/>
            <w:vAlign w:val="center"/>
          </w:tcPr>
          <w:p w14:paraId="7B0DB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0.01L</w:t>
            </w:r>
          </w:p>
        </w:tc>
        <w:tc>
          <w:tcPr>
            <w:tcW w:w="1491" w:type="dxa"/>
            <w:tcBorders>
              <w:tl2br w:val="nil"/>
              <w:tr2bl w:val="nil"/>
            </w:tcBorders>
            <w:shd w:val="clear" w:color="auto" w:fill="auto"/>
            <w:vAlign w:val="center"/>
          </w:tcPr>
          <w:p w14:paraId="676565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0.01L</w:t>
            </w:r>
          </w:p>
        </w:tc>
        <w:tc>
          <w:tcPr>
            <w:tcW w:w="1462" w:type="dxa"/>
            <w:tcBorders>
              <w:tl2br w:val="nil"/>
              <w:tr2bl w:val="nil"/>
            </w:tcBorders>
            <w:shd w:val="clear" w:color="auto" w:fill="auto"/>
            <w:vAlign w:val="center"/>
          </w:tcPr>
          <w:p w14:paraId="54383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w:t>
            </w:r>
          </w:p>
        </w:tc>
      </w:tr>
      <w:tr w14:paraId="34BEB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12D72C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阴离子表面活性剂</w:t>
            </w:r>
          </w:p>
        </w:tc>
        <w:tc>
          <w:tcPr>
            <w:tcW w:w="1363" w:type="dxa"/>
            <w:tcBorders>
              <w:tl2br w:val="nil"/>
              <w:tr2bl w:val="nil"/>
            </w:tcBorders>
            <w:vAlign w:val="center"/>
          </w:tcPr>
          <w:p w14:paraId="6B9D8D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36E25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0.05L</w:t>
            </w:r>
          </w:p>
        </w:tc>
        <w:tc>
          <w:tcPr>
            <w:tcW w:w="1489" w:type="dxa"/>
            <w:tcBorders>
              <w:tl2br w:val="nil"/>
              <w:tr2bl w:val="nil"/>
            </w:tcBorders>
            <w:shd w:val="clear" w:color="auto" w:fill="auto"/>
            <w:vAlign w:val="center"/>
          </w:tcPr>
          <w:p w14:paraId="70074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0.05L</w:t>
            </w:r>
          </w:p>
        </w:tc>
        <w:tc>
          <w:tcPr>
            <w:tcW w:w="1491" w:type="dxa"/>
            <w:tcBorders>
              <w:tl2br w:val="nil"/>
              <w:tr2bl w:val="nil"/>
            </w:tcBorders>
            <w:shd w:val="clear" w:color="auto" w:fill="auto"/>
            <w:vAlign w:val="center"/>
          </w:tcPr>
          <w:p w14:paraId="33E47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0.05L</w:t>
            </w:r>
          </w:p>
        </w:tc>
        <w:tc>
          <w:tcPr>
            <w:tcW w:w="1462" w:type="dxa"/>
            <w:tcBorders>
              <w:tl2br w:val="nil"/>
              <w:tr2bl w:val="nil"/>
            </w:tcBorders>
            <w:shd w:val="clear" w:color="auto" w:fill="auto"/>
            <w:vAlign w:val="center"/>
          </w:tcPr>
          <w:p w14:paraId="63ECB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w:t>
            </w:r>
          </w:p>
        </w:tc>
      </w:tr>
      <w:tr w14:paraId="51B35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5306FF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K</w:t>
            </w:r>
            <w:r>
              <w:rPr>
                <w:rFonts w:hint="eastAsia" w:ascii="Times New Roman" w:hAnsi="Times New Roman" w:eastAsia="宋体" w:cs="Times New Roman"/>
                <w:color w:val="auto"/>
                <w:sz w:val="21"/>
                <w:szCs w:val="21"/>
                <w:vertAlign w:val="superscript"/>
                <w:lang w:val="en-US" w:eastAsia="zh-CN"/>
              </w:rPr>
              <w:t>+</w:t>
            </w:r>
          </w:p>
        </w:tc>
        <w:tc>
          <w:tcPr>
            <w:tcW w:w="1363" w:type="dxa"/>
            <w:tcBorders>
              <w:tl2br w:val="nil"/>
              <w:tr2bl w:val="nil"/>
            </w:tcBorders>
            <w:vAlign w:val="center"/>
          </w:tcPr>
          <w:p w14:paraId="0BA1E3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1B8DD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35.70</w:t>
            </w:r>
          </w:p>
        </w:tc>
        <w:tc>
          <w:tcPr>
            <w:tcW w:w="1489" w:type="dxa"/>
            <w:tcBorders>
              <w:tl2br w:val="nil"/>
              <w:tr2bl w:val="nil"/>
            </w:tcBorders>
            <w:vAlign w:val="center"/>
          </w:tcPr>
          <w:p w14:paraId="70FCC1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35.75</w:t>
            </w:r>
          </w:p>
        </w:tc>
        <w:tc>
          <w:tcPr>
            <w:tcW w:w="1491" w:type="dxa"/>
            <w:tcBorders>
              <w:tl2br w:val="nil"/>
              <w:tr2bl w:val="nil"/>
            </w:tcBorders>
            <w:vAlign w:val="center"/>
          </w:tcPr>
          <w:p w14:paraId="288EC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35.90</w:t>
            </w:r>
          </w:p>
        </w:tc>
        <w:tc>
          <w:tcPr>
            <w:tcW w:w="1462" w:type="dxa"/>
            <w:tcBorders>
              <w:tl2br w:val="nil"/>
              <w:tr2bl w:val="nil"/>
            </w:tcBorders>
            <w:vAlign w:val="center"/>
          </w:tcPr>
          <w:p w14:paraId="4BD91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78E13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25D5C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Na</w:t>
            </w:r>
            <w:r>
              <w:rPr>
                <w:rFonts w:hint="eastAsia" w:ascii="Times New Roman" w:hAnsi="Times New Roman" w:eastAsia="宋体" w:cs="Times New Roman"/>
                <w:color w:val="auto"/>
                <w:sz w:val="21"/>
                <w:szCs w:val="21"/>
                <w:vertAlign w:val="superscript"/>
                <w:lang w:val="en-US" w:eastAsia="zh-CN"/>
              </w:rPr>
              <w:t>+</w:t>
            </w:r>
          </w:p>
        </w:tc>
        <w:tc>
          <w:tcPr>
            <w:tcW w:w="1363" w:type="dxa"/>
            <w:tcBorders>
              <w:tl2br w:val="nil"/>
              <w:tr2bl w:val="nil"/>
            </w:tcBorders>
            <w:vAlign w:val="center"/>
          </w:tcPr>
          <w:p w14:paraId="5419DB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7B5D2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25.85</w:t>
            </w:r>
          </w:p>
        </w:tc>
        <w:tc>
          <w:tcPr>
            <w:tcW w:w="1489" w:type="dxa"/>
            <w:tcBorders>
              <w:tl2br w:val="nil"/>
              <w:tr2bl w:val="nil"/>
            </w:tcBorders>
            <w:vAlign w:val="center"/>
          </w:tcPr>
          <w:p w14:paraId="1CBF25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25.85</w:t>
            </w:r>
          </w:p>
        </w:tc>
        <w:tc>
          <w:tcPr>
            <w:tcW w:w="1491" w:type="dxa"/>
            <w:tcBorders>
              <w:tl2br w:val="nil"/>
              <w:tr2bl w:val="nil"/>
            </w:tcBorders>
            <w:vAlign w:val="center"/>
          </w:tcPr>
          <w:p w14:paraId="1E6EB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25.90</w:t>
            </w:r>
          </w:p>
        </w:tc>
        <w:tc>
          <w:tcPr>
            <w:tcW w:w="1462" w:type="dxa"/>
            <w:tcBorders>
              <w:tl2br w:val="nil"/>
              <w:tr2bl w:val="nil"/>
            </w:tcBorders>
            <w:vAlign w:val="center"/>
          </w:tcPr>
          <w:p w14:paraId="13B8D8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200</w:t>
            </w:r>
          </w:p>
        </w:tc>
      </w:tr>
      <w:tr w14:paraId="5E4FD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44435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Ca</w:t>
            </w:r>
            <w:r>
              <w:rPr>
                <w:rFonts w:hint="eastAsia" w:ascii="Times New Roman" w:hAnsi="Times New Roman" w:eastAsia="宋体" w:cs="Times New Roman"/>
                <w:color w:val="auto"/>
                <w:sz w:val="21"/>
                <w:szCs w:val="21"/>
                <w:vertAlign w:val="superscript"/>
                <w:lang w:val="en-US" w:eastAsia="zh-CN"/>
              </w:rPr>
              <w:t>2+</w:t>
            </w:r>
          </w:p>
        </w:tc>
        <w:tc>
          <w:tcPr>
            <w:tcW w:w="1363" w:type="dxa"/>
            <w:tcBorders>
              <w:tl2br w:val="nil"/>
              <w:tr2bl w:val="nil"/>
            </w:tcBorders>
            <w:vAlign w:val="center"/>
          </w:tcPr>
          <w:p w14:paraId="04B2D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4FC374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90.75</w:t>
            </w:r>
          </w:p>
        </w:tc>
        <w:tc>
          <w:tcPr>
            <w:tcW w:w="1489" w:type="dxa"/>
            <w:tcBorders>
              <w:tl2br w:val="nil"/>
              <w:tr2bl w:val="nil"/>
            </w:tcBorders>
            <w:vAlign w:val="center"/>
          </w:tcPr>
          <w:p w14:paraId="49F2A2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91.05</w:t>
            </w:r>
          </w:p>
        </w:tc>
        <w:tc>
          <w:tcPr>
            <w:tcW w:w="1491" w:type="dxa"/>
            <w:tcBorders>
              <w:tl2br w:val="nil"/>
              <w:tr2bl w:val="nil"/>
            </w:tcBorders>
            <w:vAlign w:val="center"/>
          </w:tcPr>
          <w:p w14:paraId="0A583F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91.25</w:t>
            </w:r>
          </w:p>
        </w:tc>
        <w:tc>
          <w:tcPr>
            <w:tcW w:w="1462" w:type="dxa"/>
            <w:tcBorders>
              <w:tl2br w:val="nil"/>
              <w:tr2bl w:val="nil"/>
            </w:tcBorders>
            <w:vAlign w:val="center"/>
          </w:tcPr>
          <w:p w14:paraId="0AC500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528EC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03B796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Mg</w:t>
            </w:r>
            <w:r>
              <w:rPr>
                <w:rFonts w:hint="eastAsia" w:ascii="Times New Roman" w:hAnsi="Times New Roman" w:eastAsia="宋体" w:cs="Times New Roman"/>
                <w:color w:val="auto"/>
                <w:sz w:val="21"/>
                <w:szCs w:val="21"/>
                <w:vertAlign w:val="superscript"/>
                <w:lang w:val="en-US" w:eastAsia="zh-CN"/>
              </w:rPr>
              <w:t>2+</w:t>
            </w:r>
          </w:p>
        </w:tc>
        <w:tc>
          <w:tcPr>
            <w:tcW w:w="1363" w:type="dxa"/>
            <w:tcBorders>
              <w:tl2br w:val="nil"/>
              <w:tr2bl w:val="nil"/>
            </w:tcBorders>
            <w:vAlign w:val="center"/>
          </w:tcPr>
          <w:p w14:paraId="5AA32C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25EB6C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7.65</w:t>
            </w:r>
          </w:p>
        </w:tc>
        <w:tc>
          <w:tcPr>
            <w:tcW w:w="1489" w:type="dxa"/>
            <w:tcBorders>
              <w:tl2br w:val="nil"/>
              <w:tr2bl w:val="nil"/>
            </w:tcBorders>
            <w:vAlign w:val="center"/>
          </w:tcPr>
          <w:p w14:paraId="34544C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7.80</w:t>
            </w:r>
          </w:p>
        </w:tc>
        <w:tc>
          <w:tcPr>
            <w:tcW w:w="1491" w:type="dxa"/>
            <w:tcBorders>
              <w:tl2br w:val="nil"/>
              <w:tr2bl w:val="nil"/>
            </w:tcBorders>
            <w:vAlign w:val="center"/>
          </w:tcPr>
          <w:p w14:paraId="1C49DF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7.90</w:t>
            </w:r>
          </w:p>
        </w:tc>
        <w:tc>
          <w:tcPr>
            <w:tcW w:w="1462" w:type="dxa"/>
            <w:tcBorders>
              <w:tl2br w:val="nil"/>
              <w:tr2bl w:val="nil"/>
            </w:tcBorders>
            <w:vAlign w:val="center"/>
          </w:tcPr>
          <w:p w14:paraId="32A7B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14F10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038813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CO</w:t>
            </w:r>
            <w:r>
              <w:rPr>
                <w:rFonts w:hint="eastAsia" w:ascii="Times New Roman" w:hAnsi="Times New Roman" w:eastAsia="宋体" w:cs="Times New Roman"/>
                <w:color w:val="auto"/>
                <w:sz w:val="21"/>
                <w:szCs w:val="21"/>
                <w:vertAlign w:val="subscript"/>
                <w:lang w:val="en-US" w:eastAsia="zh-CN"/>
              </w:rPr>
              <w:t>3</w:t>
            </w:r>
            <w:r>
              <w:rPr>
                <w:rFonts w:hint="eastAsia" w:ascii="Times New Roman" w:hAnsi="Times New Roman" w:eastAsia="宋体" w:cs="Times New Roman"/>
                <w:color w:val="auto"/>
                <w:sz w:val="21"/>
                <w:szCs w:val="21"/>
                <w:vertAlign w:val="superscript"/>
                <w:lang w:val="en-US" w:eastAsia="zh-CN"/>
              </w:rPr>
              <w:t>2-</w:t>
            </w:r>
          </w:p>
        </w:tc>
        <w:tc>
          <w:tcPr>
            <w:tcW w:w="1363" w:type="dxa"/>
            <w:tcBorders>
              <w:tl2br w:val="nil"/>
              <w:tr2bl w:val="nil"/>
            </w:tcBorders>
            <w:vAlign w:val="center"/>
          </w:tcPr>
          <w:p w14:paraId="48941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5FB8E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w:t>
            </w:r>
          </w:p>
        </w:tc>
        <w:tc>
          <w:tcPr>
            <w:tcW w:w="1489" w:type="dxa"/>
            <w:tcBorders>
              <w:tl2br w:val="nil"/>
              <w:tr2bl w:val="nil"/>
            </w:tcBorders>
            <w:vAlign w:val="center"/>
          </w:tcPr>
          <w:p w14:paraId="166A4F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w:t>
            </w:r>
          </w:p>
        </w:tc>
        <w:tc>
          <w:tcPr>
            <w:tcW w:w="1491" w:type="dxa"/>
            <w:tcBorders>
              <w:tl2br w:val="nil"/>
              <w:tr2bl w:val="nil"/>
            </w:tcBorders>
            <w:vAlign w:val="center"/>
          </w:tcPr>
          <w:p w14:paraId="0A5672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w:t>
            </w:r>
          </w:p>
        </w:tc>
        <w:tc>
          <w:tcPr>
            <w:tcW w:w="1462" w:type="dxa"/>
            <w:tcBorders>
              <w:tl2br w:val="nil"/>
              <w:tr2bl w:val="nil"/>
            </w:tcBorders>
            <w:vAlign w:val="center"/>
          </w:tcPr>
          <w:p w14:paraId="2E7F3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41527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2479BD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HCO</w:t>
            </w:r>
            <w:r>
              <w:rPr>
                <w:rFonts w:hint="eastAsia" w:ascii="Times New Roman" w:hAnsi="Times New Roman" w:eastAsia="宋体" w:cs="Times New Roman"/>
                <w:color w:val="auto"/>
                <w:sz w:val="21"/>
                <w:szCs w:val="21"/>
                <w:vertAlign w:val="subscript"/>
                <w:lang w:val="en-US" w:eastAsia="zh-CN"/>
              </w:rPr>
              <w:t>3</w:t>
            </w:r>
            <w:r>
              <w:rPr>
                <w:rFonts w:hint="eastAsia" w:ascii="Times New Roman" w:hAnsi="Times New Roman" w:eastAsia="宋体" w:cs="Times New Roman"/>
                <w:color w:val="auto"/>
                <w:sz w:val="21"/>
                <w:szCs w:val="21"/>
                <w:vertAlign w:val="superscript"/>
                <w:lang w:val="en-US" w:eastAsia="zh-CN"/>
              </w:rPr>
              <w:t>-</w:t>
            </w:r>
          </w:p>
        </w:tc>
        <w:tc>
          <w:tcPr>
            <w:tcW w:w="1363" w:type="dxa"/>
            <w:tcBorders>
              <w:tl2br w:val="nil"/>
              <w:tr2bl w:val="nil"/>
            </w:tcBorders>
            <w:vAlign w:val="center"/>
          </w:tcPr>
          <w:p w14:paraId="0C83D8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2E1764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118</w:t>
            </w:r>
          </w:p>
        </w:tc>
        <w:tc>
          <w:tcPr>
            <w:tcW w:w="1489" w:type="dxa"/>
            <w:tcBorders>
              <w:tl2br w:val="nil"/>
              <w:tr2bl w:val="nil"/>
            </w:tcBorders>
            <w:vAlign w:val="center"/>
          </w:tcPr>
          <w:p w14:paraId="300DD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125</w:t>
            </w:r>
          </w:p>
        </w:tc>
        <w:tc>
          <w:tcPr>
            <w:tcW w:w="1491" w:type="dxa"/>
            <w:tcBorders>
              <w:tl2br w:val="nil"/>
              <w:tr2bl w:val="nil"/>
            </w:tcBorders>
            <w:vAlign w:val="center"/>
          </w:tcPr>
          <w:p w14:paraId="4610B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131</w:t>
            </w:r>
          </w:p>
        </w:tc>
        <w:tc>
          <w:tcPr>
            <w:tcW w:w="1462" w:type="dxa"/>
            <w:tcBorders>
              <w:tl2br w:val="nil"/>
              <w:tr2bl w:val="nil"/>
            </w:tcBorders>
            <w:vAlign w:val="center"/>
          </w:tcPr>
          <w:p w14:paraId="4E0D4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4044A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5D81F4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Cl</w:t>
            </w:r>
            <w:r>
              <w:rPr>
                <w:rFonts w:hint="eastAsia" w:ascii="Times New Roman" w:hAnsi="Times New Roman" w:eastAsia="宋体" w:cs="Times New Roman"/>
                <w:color w:val="auto"/>
                <w:sz w:val="21"/>
                <w:szCs w:val="21"/>
                <w:vertAlign w:val="superscript"/>
                <w:lang w:val="en-US" w:eastAsia="zh-CN"/>
              </w:rPr>
              <w:t>-</w:t>
            </w:r>
          </w:p>
        </w:tc>
        <w:tc>
          <w:tcPr>
            <w:tcW w:w="1363" w:type="dxa"/>
            <w:tcBorders>
              <w:tl2br w:val="nil"/>
              <w:tr2bl w:val="nil"/>
            </w:tcBorders>
            <w:vAlign w:val="center"/>
          </w:tcPr>
          <w:p w14:paraId="60CDF3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616FF6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89.2</w:t>
            </w:r>
          </w:p>
        </w:tc>
        <w:tc>
          <w:tcPr>
            <w:tcW w:w="1489" w:type="dxa"/>
            <w:tcBorders>
              <w:tl2br w:val="nil"/>
              <w:tr2bl w:val="nil"/>
            </w:tcBorders>
            <w:vAlign w:val="center"/>
          </w:tcPr>
          <w:p w14:paraId="08F33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104</w:t>
            </w:r>
          </w:p>
        </w:tc>
        <w:tc>
          <w:tcPr>
            <w:tcW w:w="1491" w:type="dxa"/>
            <w:tcBorders>
              <w:tl2br w:val="nil"/>
              <w:tr2bl w:val="nil"/>
            </w:tcBorders>
            <w:vAlign w:val="center"/>
          </w:tcPr>
          <w:p w14:paraId="577134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106</w:t>
            </w:r>
          </w:p>
        </w:tc>
        <w:tc>
          <w:tcPr>
            <w:tcW w:w="1462" w:type="dxa"/>
            <w:tcBorders>
              <w:tl2br w:val="nil"/>
              <w:tr2bl w:val="nil"/>
            </w:tcBorders>
            <w:vAlign w:val="center"/>
          </w:tcPr>
          <w:p w14:paraId="0D28A3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0B367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2" w:type="dxa"/>
            <w:tcBorders>
              <w:tl2br w:val="nil"/>
              <w:tr2bl w:val="nil"/>
            </w:tcBorders>
            <w:vAlign w:val="center"/>
          </w:tcPr>
          <w:p w14:paraId="7EE78B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SO</w:t>
            </w:r>
            <w:r>
              <w:rPr>
                <w:rFonts w:hint="eastAsia" w:ascii="Times New Roman" w:hAnsi="Times New Roman" w:eastAsia="宋体" w:cs="Times New Roman"/>
                <w:color w:val="auto"/>
                <w:sz w:val="21"/>
                <w:szCs w:val="21"/>
                <w:vertAlign w:val="subscript"/>
                <w:lang w:val="en-US" w:eastAsia="zh-CN"/>
              </w:rPr>
              <w:t>4</w:t>
            </w:r>
            <w:r>
              <w:rPr>
                <w:rFonts w:hint="eastAsia" w:ascii="Times New Roman" w:hAnsi="Times New Roman" w:eastAsia="宋体" w:cs="Times New Roman"/>
                <w:color w:val="auto"/>
                <w:sz w:val="21"/>
                <w:szCs w:val="21"/>
                <w:vertAlign w:val="superscript"/>
                <w:lang w:val="en-US" w:eastAsia="zh-CN"/>
              </w:rPr>
              <w:t>2-</w:t>
            </w:r>
          </w:p>
        </w:tc>
        <w:tc>
          <w:tcPr>
            <w:tcW w:w="1363" w:type="dxa"/>
            <w:tcBorders>
              <w:tl2br w:val="nil"/>
              <w:tr2bl w:val="nil"/>
            </w:tcBorders>
            <w:vAlign w:val="center"/>
          </w:tcPr>
          <w:p w14:paraId="5BD710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mg/L</w:t>
            </w:r>
          </w:p>
        </w:tc>
        <w:tc>
          <w:tcPr>
            <w:tcW w:w="1651" w:type="dxa"/>
            <w:tcBorders>
              <w:tl2br w:val="nil"/>
              <w:tr2bl w:val="nil"/>
            </w:tcBorders>
            <w:vAlign w:val="center"/>
          </w:tcPr>
          <w:p w14:paraId="5514F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108</w:t>
            </w:r>
          </w:p>
        </w:tc>
        <w:tc>
          <w:tcPr>
            <w:tcW w:w="1489" w:type="dxa"/>
            <w:tcBorders>
              <w:tl2br w:val="nil"/>
              <w:tr2bl w:val="nil"/>
            </w:tcBorders>
            <w:vAlign w:val="center"/>
          </w:tcPr>
          <w:p w14:paraId="4C7B1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129</w:t>
            </w:r>
          </w:p>
        </w:tc>
        <w:tc>
          <w:tcPr>
            <w:tcW w:w="1491" w:type="dxa"/>
            <w:tcBorders>
              <w:tl2br w:val="nil"/>
              <w:tr2bl w:val="nil"/>
            </w:tcBorders>
            <w:vAlign w:val="center"/>
          </w:tcPr>
          <w:p w14:paraId="125A2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131</w:t>
            </w:r>
          </w:p>
        </w:tc>
        <w:tc>
          <w:tcPr>
            <w:tcW w:w="1462" w:type="dxa"/>
            <w:tcBorders>
              <w:tl2br w:val="nil"/>
              <w:tr2bl w:val="nil"/>
            </w:tcBorders>
            <w:vAlign w:val="center"/>
          </w:tcPr>
          <w:p w14:paraId="7BFA3E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10674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18" w:type="dxa"/>
            <w:gridSpan w:val="6"/>
            <w:tcBorders>
              <w:tl2br w:val="nil"/>
              <w:tr2bl w:val="nil"/>
            </w:tcBorders>
            <w:vAlign w:val="center"/>
          </w:tcPr>
          <w:p w14:paraId="037C12F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备注：检出结果低于方法检出限或未检出时，以“检出限+L”表示。</w:t>
            </w:r>
          </w:p>
        </w:tc>
      </w:tr>
    </w:tbl>
    <w:p w14:paraId="4E50E848">
      <w:pPr>
        <w:bidi w:val="0"/>
        <w:rPr>
          <w:rFonts w:hint="default"/>
          <w:color w:val="auto"/>
          <w:lang w:val="en-US" w:eastAsia="zh-CN"/>
        </w:rPr>
      </w:pPr>
      <w:r>
        <w:rPr>
          <w:rFonts w:hint="eastAsia"/>
          <w:color w:val="auto"/>
          <w:lang w:eastAsia="zh-CN"/>
        </w:rPr>
        <w:t>由监测结果可知：</w:t>
      </w:r>
      <w:r>
        <w:rPr>
          <w:rFonts w:hint="eastAsia"/>
          <w:color w:val="auto"/>
          <w:lang w:val="en-US" w:eastAsia="zh-CN"/>
        </w:rPr>
        <w:t>除D1#监测井氨氮、耗氧量，D2#、D3#监测井耗氧量外，其余各项监测因子均满足《地下水质量标准》（GB/T14848-2017）</w:t>
      </w:r>
      <w:r>
        <w:rPr>
          <w:rFonts w:hint="default" w:ascii="Times New Roman" w:hAnsi="Times New Roman" w:cs="Times New Roman"/>
          <w:color w:val="auto"/>
          <w:lang w:val="en-US" w:eastAsia="zh-CN"/>
        </w:rPr>
        <w:t>Ⅲ</w:t>
      </w:r>
      <w:r>
        <w:rPr>
          <w:rFonts w:hint="eastAsia"/>
          <w:color w:val="auto"/>
          <w:lang w:val="en-US" w:eastAsia="zh-CN"/>
        </w:rPr>
        <w:t>类标准。氨氮、耗氧量超标原因主要为项目所在区域本底值较高。</w:t>
      </w:r>
    </w:p>
    <w:p w14:paraId="0867593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8</w:t>
      </w:r>
      <w:r>
        <w:rPr>
          <w:rFonts w:hint="default" w:ascii="Times New Roman" w:hAnsi="Times New Roman" w:eastAsia="仿宋_GB2312" w:cs="Times New Roman"/>
          <w:color w:val="auto"/>
          <w:lang w:eastAsia="zh-CN"/>
        </w:rPr>
        <w:t>）地下水化学类型分析</w:t>
      </w:r>
    </w:p>
    <w:p w14:paraId="5F5CC24D">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bCs/>
          <w:snapToGrid w:val="0"/>
          <w:color w:val="auto"/>
          <w:spacing w:val="6"/>
          <w:kern w:val="0"/>
          <w:sz w:val="24"/>
          <w:szCs w:val="24"/>
          <w:highlight w:val="none"/>
        </w:rPr>
        <w:t>根据舒卡列夫分类法，地下水中Ca</w:t>
      </w:r>
      <w:r>
        <w:rPr>
          <w:rFonts w:hint="default" w:ascii="Times New Roman" w:hAnsi="Times New Roman" w:eastAsia="仿宋_GB2312" w:cs="Times New Roman"/>
          <w:bCs/>
          <w:snapToGrid w:val="0"/>
          <w:color w:val="auto"/>
          <w:spacing w:val="6"/>
          <w:kern w:val="0"/>
          <w:sz w:val="24"/>
          <w:szCs w:val="24"/>
          <w:highlight w:val="none"/>
          <w:vertAlign w:val="superscript"/>
        </w:rPr>
        <w:t>2＋</w:t>
      </w:r>
      <w:r>
        <w:rPr>
          <w:rFonts w:hint="default" w:ascii="Times New Roman" w:hAnsi="Times New Roman" w:eastAsia="仿宋_GB2312" w:cs="Times New Roman"/>
          <w:bCs/>
          <w:snapToGrid w:val="0"/>
          <w:color w:val="auto"/>
          <w:spacing w:val="6"/>
          <w:kern w:val="0"/>
          <w:sz w:val="24"/>
          <w:szCs w:val="24"/>
          <w:highlight w:val="none"/>
        </w:rPr>
        <w:t>、Mg</w:t>
      </w:r>
      <w:r>
        <w:rPr>
          <w:rFonts w:hint="default" w:ascii="Times New Roman" w:hAnsi="Times New Roman" w:eastAsia="仿宋_GB2312" w:cs="Times New Roman"/>
          <w:bCs/>
          <w:snapToGrid w:val="0"/>
          <w:color w:val="auto"/>
          <w:spacing w:val="6"/>
          <w:kern w:val="0"/>
          <w:sz w:val="24"/>
          <w:szCs w:val="24"/>
          <w:highlight w:val="none"/>
          <w:vertAlign w:val="superscript"/>
        </w:rPr>
        <w:t>2＋</w:t>
      </w:r>
      <w:r>
        <w:rPr>
          <w:rFonts w:hint="default" w:ascii="Times New Roman" w:hAnsi="Times New Roman" w:eastAsia="仿宋_GB2312" w:cs="Times New Roman"/>
          <w:bCs/>
          <w:snapToGrid w:val="0"/>
          <w:color w:val="auto"/>
          <w:spacing w:val="6"/>
          <w:kern w:val="0"/>
          <w:sz w:val="24"/>
          <w:szCs w:val="24"/>
          <w:highlight w:val="none"/>
        </w:rPr>
        <w:t>、Na</w:t>
      </w:r>
      <w:r>
        <w:rPr>
          <w:rFonts w:hint="default" w:ascii="Times New Roman" w:hAnsi="Times New Roman" w:eastAsia="仿宋_GB2312" w:cs="Times New Roman"/>
          <w:bCs/>
          <w:snapToGrid w:val="0"/>
          <w:color w:val="auto"/>
          <w:spacing w:val="6"/>
          <w:kern w:val="0"/>
          <w:sz w:val="24"/>
          <w:szCs w:val="24"/>
          <w:highlight w:val="none"/>
          <w:vertAlign w:val="superscript"/>
        </w:rPr>
        <w:t>＋</w:t>
      </w:r>
      <w:r>
        <w:rPr>
          <w:rFonts w:hint="default" w:ascii="Times New Roman" w:hAnsi="Times New Roman" w:eastAsia="仿宋_GB2312" w:cs="Times New Roman"/>
          <w:bCs/>
          <w:snapToGrid w:val="0"/>
          <w:color w:val="auto"/>
          <w:spacing w:val="6"/>
          <w:kern w:val="0"/>
          <w:sz w:val="24"/>
          <w:szCs w:val="24"/>
          <w:highlight w:val="none"/>
        </w:rPr>
        <w:t>（Na+K）、Cl</w:t>
      </w:r>
      <w:r>
        <w:rPr>
          <w:rFonts w:hint="default" w:ascii="Times New Roman" w:hAnsi="Times New Roman" w:eastAsia="仿宋_GB2312" w:cs="Times New Roman"/>
          <w:bCs/>
          <w:snapToGrid w:val="0"/>
          <w:color w:val="auto"/>
          <w:spacing w:val="6"/>
          <w:kern w:val="0"/>
          <w:sz w:val="24"/>
          <w:szCs w:val="24"/>
          <w:highlight w:val="none"/>
          <w:vertAlign w:val="superscript"/>
        </w:rPr>
        <w:t>－</w:t>
      </w:r>
      <w:r>
        <w:rPr>
          <w:rFonts w:hint="default" w:ascii="Times New Roman" w:hAnsi="Times New Roman" w:eastAsia="仿宋_GB2312" w:cs="Times New Roman"/>
          <w:bCs/>
          <w:snapToGrid w:val="0"/>
          <w:color w:val="auto"/>
          <w:spacing w:val="6"/>
          <w:kern w:val="0"/>
          <w:sz w:val="24"/>
          <w:szCs w:val="24"/>
          <w:highlight w:val="none"/>
        </w:rPr>
        <w:t>、SO</w:t>
      </w:r>
      <w:r>
        <w:rPr>
          <w:rFonts w:hint="default" w:ascii="Times New Roman" w:hAnsi="Times New Roman" w:eastAsia="仿宋_GB2312" w:cs="Times New Roman"/>
          <w:bCs/>
          <w:snapToGrid w:val="0"/>
          <w:color w:val="auto"/>
          <w:spacing w:val="6"/>
          <w:kern w:val="0"/>
          <w:sz w:val="24"/>
          <w:szCs w:val="24"/>
          <w:highlight w:val="none"/>
          <w:vertAlign w:val="subscript"/>
        </w:rPr>
        <w:t>4</w:t>
      </w:r>
      <w:r>
        <w:rPr>
          <w:rFonts w:hint="default" w:ascii="Times New Roman" w:hAnsi="Times New Roman" w:eastAsia="仿宋_GB2312" w:cs="Times New Roman"/>
          <w:bCs/>
          <w:snapToGrid w:val="0"/>
          <w:color w:val="auto"/>
          <w:spacing w:val="6"/>
          <w:kern w:val="0"/>
          <w:sz w:val="24"/>
          <w:szCs w:val="24"/>
          <w:highlight w:val="none"/>
          <w:vertAlign w:val="superscript"/>
        </w:rPr>
        <w:t>2－</w:t>
      </w:r>
      <w:r>
        <w:rPr>
          <w:rFonts w:hint="default" w:ascii="Times New Roman" w:hAnsi="Times New Roman" w:eastAsia="仿宋_GB2312" w:cs="Times New Roman"/>
          <w:bCs/>
          <w:snapToGrid w:val="0"/>
          <w:color w:val="auto"/>
          <w:spacing w:val="6"/>
          <w:kern w:val="0"/>
          <w:sz w:val="24"/>
          <w:szCs w:val="24"/>
          <w:highlight w:val="none"/>
        </w:rPr>
        <w:t>、HCO</w:t>
      </w:r>
      <w:r>
        <w:rPr>
          <w:rFonts w:hint="default" w:ascii="Times New Roman" w:hAnsi="Times New Roman" w:eastAsia="仿宋_GB2312" w:cs="Times New Roman"/>
          <w:bCs/>
          <w:snapToGrid w:val="0"/>
          <w:color w:val="auto"/>
          <w:spacing w:val="6"/>
          <w:kern w:val="0"/>
          <w:sz w:val="24"/>
          <w:szCs w:val="24"/>
          <w:highlight w:val="none"/>
          <w:vertAlign w:val="subscript"/>
        </w:rPr>
        <w:t>3</w:t>
      </w:r>
      <w:r>
        <w:rPr>
          <w:rFonts w:hint="default" w:ascii="Times New Roman" w:hAnsi="Times New Roman" w:eastAsia="仿宋_GB2312" w:cs="Times New Roman"/>
          <w:bCs/>
          <w:snapToGrid w:val="0"/>
          <w:color w:val="auto"/>
          <w:spacing w:val="6"/>
          <w:kern w:val="0"/>
          <w:sz w:val="24"/>
          <w:szCs w:val="24"/>
          <w:highlight w:val="none"/>
          <w:vertAlign w:val="superscript"/>
        </w:rPr>
        <w:t>－</w:t>
      </w:r>
      <w:r>
        <w:rPr>
          <w:rFonts w:hint="default" w:ascii="Times New Roman" w:hAnsi="Times New Roman" w:eastAsia="仿宋_GB2312" w:cs="Times New Roman"/>
          <w:bCs/>
          <w:snapToGrid w:val="0"/>
          <w:color w:val="auto"/>
          <w:kern w:val="0"/>
          <w:sz w:val="24"/>
          <w:szCs w:val="24"/>
          <w:highlight w:val="none"/>
        </w:rPr>
        <w:t>将Meq（毫克当量）百分数大于25%的阴、阳离子进行组合，每个阴、阳离子Meq换算结果见表</w:t>
      </w:r>
      <w:r>
        <w:rPr>
          <w:rFonts w:hint="default" w:ascii="Times New Roman" w:hAnsi="Times New Roman" w:eastAsia="仿宋_GB2312" w:cs="Times New Roman"/>
          <w:bCs/>
          <w:snapToGrid w:val="0"/>
          <w:color w:val="auto"/>
          <w:kern w:val="0"/>
          <w:sz w:val="24"/>
          <w:szCs w:val="24"/>
          <w:highlight w:val="none"/>
          <w:lang w:val="en-US" w:eastAsia="zh-CN"/>
        </w:rPr>
        <w:t>3.2-</w:t>
      </w:r>
      <w:r>
        <w:rPr>
          <w:rFonts w:hint="eastAsia" w:cs="Times New Roman"/>
          <w:bCs/>
          <w:snapToGrid w:val="0"/>
          <w:color w:val="auto"/>
          <w:kern w:val="0"/>
          <w:sz w:val="24"/>
          <w:szCs w:val="24"/>
          <w:highlight w:val="none"/>
          <w:lang w:val="en-US" w:eastAsia="zh-CN"/>
        </w:rPr>
        <w:t>9</w:t>
      </w:r>
      <w:r>
        <w:rPr>
          <w:rFonts w:hint="default" w:ascii="Times New Roman" w:hAnsi="Times New Roman" w:eastAsia="仿宋_GB2312" w:cs="Times New Roman"/>
          <w:bCs/>
          <w:snapToGrid w:val="0"/>
          <w:color w:val="auto"/>
          <w:kern w:val="0"/>
          <w:sz w:val="24"/>
          <w:szCs w:val="24"/>
          <w:highlight w:val="none"/>
        </w:rPr>
        <w:t>。</w:t>
      </w:r>
    </w:p>
    <w:p w14:paraId="24275FB0">
      <w:pPr>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rPr>
      </w:pPr>
    </w:p>
    <w:p w14:paraId="68BA4B31">
      <w:pPr>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rPr>
      </w:pPr>
    </w:p>
    <w:p w14:paraId="1CBC4249">
      <w:pPr>
        <w:adjustRightInd w:val="0"/>
        <w:snapToGrid w:val="0"/>
        <w:spacing w:line="240" w:lineRule="auto"/>
        <w:ind w:firstLine="42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3.2-</w:t>
      </w:r>
      <w:r>
        <w:rPr>
          <w:rFonts w:hint="eastAsia" w:eastAsia="宋体" w:cs="Times New Roman"/>
          <w:color w:val="auto"/>
          <w:sz w:val="21"/>
          <w:szCs w:val="21"/>
          <w:highlight w:val="none"/>
          <w:lang w:val="en-US" w:eastAsia="zh-CN"/>
        </w:rPr>
        <w:t>9</w:t>
      </w:r>
      <w:r>
        <w:rPr>
          <w:rFonts w:hint="default"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b/>
          <w:bCs/>
          <w:color w:val="auto"/>
          <w:sz w:val="24"/>
          <w:szCs w:val="24"/>
          <w:highlight w:val="none"/>
        </w:rPr>
        <w:t>项目地下水水质中八大离子监测结果分析值</w:t>
      </w:r>
    </w:p>
    <w:tbl>
      <w:tblPr>
        <w:tblStyle w:val="27"/>
        <w:tblW w:w="500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05"/>
        <w:gridCol w:w="1581"/>
        <w:gridCol w:w="755"/>
        <w:gridCol w:w="898"/>
        <w:gridCol w:w="803"/>
        <w:gridCol w:w="823"/>
        <w:gridCol w:w="787"/>
        <w:gridCol w:w="914"/>
        <w:gridCol w:w="856"/>
        <w:gridCol w:w="937"/>
      </w:tblGrid>
      <w:tr w14:paraId="5CE54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20" w:type="pct"/>
            <w:gridSpan w:val="2"/>
            <w:vMerge w:val="restart"/>
            <w:noWrap w:val="0"/>
            <w:vAlign w:val="center"/>
          </w:tcPr>
          <w:p w14:paraId="2FC055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编号</w:t>
            </w:r>
          </w:p>
        </w:tc>
        <w:tc>
          <w:tcPr>
            <w:tcW w:w="1830" w:type="pct"/>
            <w:gridSpan w:val="4"/>
            <w:noWrap w:val="0"/>
            <w:vAlign w:val="center"/>
          </w:tcPr>
          <w:p w14:paraId="73A97F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阳离子</w:t>
            </w:r>
          </w:p>
        </w:tc>
        <w:tc>
          <w:tcPr>
            <w:tcW w:w="1949" w:type="pct"/>
            <w:gridSpan w:val="4"/>
            <w:noWrap w:val="0"/>
            <w:vAlign w:val="center"/>
          </w:tcPr>
          <w:p w14:paraId="008D02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阴离子</w:t>
            </w:r>
          </w:p>
        </w:tc>
      </w:tr>
      <w:tr w14:paraId="49F646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20" w:type="pct"/>
            <w:gridSpan w:val="2"/>
            <w:vMerge w:val="continue"/>
            <w:noWrap w:val="0"/>
            <w:vAlign w:val="center"/>
          </w:tcPr>
          <w:p w14:paraId="7BE064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p>
        </w:tc>
        <w:tc>
          <w:tcPr>
            <w:tcW w:w="421" w:type="pct"/>
            <w:noWrap w:val="0"/>
            <w:vAlign w:val="center"/>
          </w:tcPr>
          <w:p w14:paraId="763265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K</w:t>
            </w:r>
            <w:r>
              <w:rPr>
                <w:rFonts w:hint="default" w:ascii="Times New Roman" w:hAnsi="Times New Roman" w:eastAsia="宋体" w:cs="Times New Roman"/>
                <w:b/>
                <w:color w:val="auto"/>
                <w:kern w:val="0"/>
                <w:sz w:val="21"/>
                <w:szCs w:val="21"/>
                <w:highlight w:val="none"/>
                <w:vertAlign w:val="superscript"/>
              </w:rPr>
              <w:t>+</w:t>
            </w:r>
          </w:p>
        </w:tc>
        <w:tc>
          <w:tcPr>
            <w:tcW w:w="501" w:type="pct"/>
            <w:noWrap w:val="0"/>
            <w:vAlign w:val="center"/>
          </w:tcPr>
          <w:p w14:paraId="707EF3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Na</w:t>
            </w:r>
            <w:r>
              <w:rPr>
                <w:rFonts w:hint="default" w:ascii="Times New Roman" w:hAnsi="Times New Roman" w:eastAsia="宋体" w:cs="Times New Roman"/>
                <w:b/>
                <w:color w:val="auto"/>
                <w:kern w:val="0"/>
                <w:sz w:val="21"/>
                <w:szCs w:val="21"/>
                <w:highlight w:val="none"/>
                <w:vertAlign w:val="superscript"/>
              </w:rPr>
              <w:t>+</w:t>
            </w:r>
          </w:p>
        </w:tc>
        <w:tc>
          <w:tcPr>
            <w:tcW w:w="448" w:type="pct"/>
            <w:noWrap w:val="0"/>
            <w:vAlign w:val="center"/>
          </w:tcPr>
          <w:p w14:paraId="66E8A0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Ca</w:t>
            </w:r>
            <w:r>
              <w:rPr>
                <w:rFonts w:hint="default" w:ascii="Times New Roman" w:hAnsi="Times New Roman" w:eastAsia="宋体" w:cs="Times New Roman"/>
                <w:b/>
                <w:color w:val="auto"/>
                <w:kern w:val="0"/>
                <w:sz w:val="21"/>
                <w:szCs w:val="21"/>
                <w:highlight w:val="none"/>
                <w:vertAlign w:val="superscript"/>
              </w:rPr>
              <w:t>2+</w:t>
            </w:r>
          </w:p>
        </w:tc>
        <w:tc>
          <w:tcPr>
            <w:tcW w:w="459" w:type="pct"/>
            <w:noWrap w:val="0"/>
            <w:vAlign w:val="center"/>
          </w:tcPr>
          <w:p w14:paraId="18C77E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Mg</w:t>
            </w:r>
            <w:r>
              <w:rPr>
                <w:rFonts w:hint="default" w:ascii="Times New Roman" w:hAnsi="Times New Roman" w:eastAsia="宋体" w:cs="Times New Roman"/>
                <w:b/>
                <w:color w:val="auto"/>
                <w:kern w:val="0"/>
                <w:sz w:val="21"/>
                <w:szCs w:val="21"/>
                <w:highlight w:val="none"/>
                <w:vertAlign w:val="superscript"/>
              </w:rPr>
              <w:t>2+</w:t>
            </w:r>
          </w:p>
        </w:tc>
        <w:tc>
          <w:tcPr>
            <w:tcW w:w="439" w:type="pct"/>
            <w:noWrap w:val="0"/>
            <w:vAlign w:val="center"/>
          </w:tcPr>
          <w:p w14:paraId="265509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Cl</w:t>
            </w:r>
            <w:r>
              <w:rPr>
                <w:rFonts w:hint="default" w:ascii="Times New Roman" w:hAnsi="Times New Roman" w:eastAsia="宋体" w:cs="Times New Roman"/>
                <w:b/>
                <w:color w:val="auto"/>
                <w:kern w:val="0"/>
                <w:sz w:val="21"/>
                <w:szCs w:val="21"/>
                <w:highlight w:val="none"/>
                <w:vertAlign w:val="superscript"/>
              </w:rPr>
              <w:t>-</w:t>
            </w:r>
          </w:p>
        </w:tc>
        <w:tc>
          <w:tcPr>
            <w:tcW w:w="510" w:type="pct"/>
            <w:noWrap w:val="0"/>
            <w:vAlign w:val="center"/>
          </w:tcPr>
          <w:p w14:paraId="4AE5C7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SO</w:t>
            </w:r>
            <w:r>
              <w:rPr>
                <w:rFonts w:hint="default" w:ascii="Times New Roman" w:hAnsi="Times New Roman" w:eastAsia="宋体" w:cs="Times New Roman"/>
                <w:b/>
                <w:color w:val="auto"/>
                <w:kern w:val="0"/>
                <w:sz w:val="21"/>
                <w:szCs w:val="21"/>
                <w:highlight w:val="none"/>
                <w:vertAlign w:val="subscript"/>
              </w:rPr>
              <w:t>4</w:t>
            </w:r>
            <w:r>
              <w:rPr>
                <w:rFonts w:hint="default" w:ascii="Times New Roman" w:hAnsi="Times New Roman" w:eastAsia="宋体" w:cs="Times New Roman"/>
                <w:b/>
                <w:color w:val="auto"/>
                <w:kern w:val="0"/>
                <w:sz w:val="21"/>
                <w:szCs w:val="21"/>
                <w:highlight w:val="none"/>
                <w:vertAlign w:val="superscript"/>
              </w:rPr>
              <w:t>2-</w:t>
            </w:r>
          </w:p>
        </w:tc>
        <w:tc>
          <w:tcPr>
            <w:tcW w:w="477" w:type="pct"/>
            <w:noWrap w:val="0"/>
            <w:vAlign w:val="center"/>
          </w:tcPr>
          <w:p w14:paraId="32FD24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CO</w:t>
            </w:r>
            <w:r>
              <w:rPr>
                <w:rFonts w:hint="default" w:ascii="Times New Roman" w:hAnsi="Times New Roman" w:eastAsia="宋体" w:cs="Times New Roman"/>
                <w:b/>
                <w:color w:val="auto"/>
                <w:kern w:val="0"/>
                <w:sz w:val="21"/>
                <w:szCs w:val="21"/>
                <w:highlight w:val="none"/>
                <w:vertAlign w:val="subscript"/>
              </w:rPr>
              <w:t>3</w:t>
            </w:r>
            <w:r>
              <w:rPr>
                <w:rFonts w:hint="default" w:ascii="Times New Roman" w:hAnsi="Times New Roman" w:eastAsia="宋体" w:cs="Times New Roman"/>
                <w:b/>
                <w:color w:val="auto"/>
                <w:kern w:val="0"/>
                <w:sz w:val="21"/>
                <w:szCs w:val="21"/>
                <w:highlight w:val="none"/>
                <w:vertAlign w:val="superscript"/>
              </w:rPr>
              <w:t>2-</w:t>
            </w:r>
          </w:p>
        </w:tc>
        <w:tc>
          <w:tcPr>
            <w:tcW w:w="522" w:type="pct"/>
            <w:noWrap w:val="0"/>
            <w:vAlign w:val="center"/>
          </w:tcPr>
          <w:p w14:paraId="21AC8F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HCO</w:t>
            </w:r>
            <w:r>
              <w:rPr>
                <w:rFonts w:hint="default" w:ascii="Times New Roman" w:hAnsi="Times New Roman" w:eastAsia="宋体" w:cs="Times New Roman"/>
                <w:b/>
                <w:color w:val="auto"/>
                <w:kern w:val="0"/>
                <w:sz w:val="21"/>
                <w:szCs w:val="21"/>
                <w:highlight w:val="none"/>
                <w:vertAlign w:val="subscript"/>
              </w:rPr>
              <w:t>3</w:t>
            </w:r>
            <w:r>
              <w:rPr>
                <w:rFonts w:hint="default" w:ascii="Times New Roman" w:hAnsi="Times New Roman" w:eastAsia="宋体" w:cs="Times New Roman"/>
                <w:b/>
                <w:color w:val="auto"/>
                <w:kern w:val="0"/>
                <w:sz w:val="21"/>
                <w:szCs w:val="21"/>
                <w:highlight w:val="none"/>
                <w:vertAlign w:val="superscript"/>
              </w:rPr>
              <w:t>-</w:t>
            </w:r>
          </w:p>
        </w:tc>
      </w:tr>
      <w:tr w14:paraId="38F03E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restart"/>
            <w:noWrap w:val="0"/>
            <w:vAlign w:val="center"/>
          </w:tcPr>
          <w:p w14:paraId="7031D1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
                <w:color w:val="auto"/>
                <w:sz w:val="21"/>
                <w:szCs w:val="21"/>
                <w:highlight w:val="none"/>
                <w:lang w:val="en-US" w:eastAsia="zh-CN"/>
              </w:rPr>
              <w:t>D</w:t>
            </w:r>
            <w:r>
              <w:rPr>
                <w:rFonts w:hint="default" w:ascii="Times New Roman" w:hAnsi="Times New Roman" w:eastAsia="宋体" w:cs="Times New Roman"/>
                <w:b/>
                <w:color w:val="auto"/>
                <w:sz w:val="21"/>
                <w:szCs w:val="21"/>
                <w:highlight w:val="none"/>
                <w:lang w:eastAsia="zh-CN"/>
              </w:rPr>
              <w:t>1</w:t>
            </w:r>
            <w:r>
              <w:rPr>
                <w:rFonts w:hint="default" w:ascii="Times New Roman" w:hAnsi="Times New Roman" w:eastAsia="宋体" w:cs="Times New Roman"/>
                <w:b/>
                <w:color w:val="auto"/>
                <w:sz w:val="21"/>
                <w:szCs w:val="21"/>
                <w:highlight w:val="none"/>
              </w:rPr>
              <w:t>#</w:t>
            </w:r>
          </w:p>
        </w:tc>
        <w:tc>
          <w:tcPr>
            <w:tcW w:w="882" w:type="pct"/>
            <w:noWrap w:val="0"/>
            <w:vAlign w:val="center"/>
          </w:tcPr>
          <w:p w14:paraId="477DCC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监测值</w:t>
            </w:r>
          </w:p>
        </w:tc>
        <w:tc>
          <w:tcPr>
            <w:tcW w:w="755" w:type="dxa"/>
            <w:noWrap/>
            <w:vAlign w:val="center"/>
          </w:tcPr>
          <w:p w14:paraId="550750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35.7</w:t>
            </w:r>
          </w:p>
        </w:tc>
        <w:tc>
          <w:tcPr>
            <w:tcW w:w="898" w:type="dxa"/>
            <w:noWrap/>
            <w:vAlign w:val="center"/>
          </w:tcPr>
          <w:p w14:paraId="44523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25.85</w:t>
            </w:r>
          </w:p>
        </w:tc>
        <w:tc>
          <w:tcPr>
            <w:tcW w:w="803" w:type="dxa"/>
            <w:noWrap/>
            <w:vAlign w:val="center"/>
          </w:tcPr>
          <w:p w14:paraId="33AB3C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90.75</w:t>
            </w:r>
          </w:p>
        </w:tc>
        <w:tc>
          <w:tcPr>
            <w:tcW w:w="823" w:type="dxa"/>
            <w:noWrap/>
            <w:vAlign w:val="center"/>
          </w:tcPr>
          <w:p w14:paraId="0471A3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7.65</w:t>
            </w:r>
          </w:p>
        </w:tc>
        <w:tc>
          <w:tcPr>
            <w:tcW w:w="787" w:type="dxa"/>
            <w:noWrap/>
            <w:vAlign w:val="center"/>
          </w:tcPr>
          <w:p w14:paraId="3DE5D8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89.2</w:t>
            </w:r>
          </w:p>
        </w:tc>
        <w:tc>
          <w:tcPr>
            <w:tcW w:w="914" w:type="dxa"/>
            <w:noWrap/>
            <w:vAlign w:val="center"/>
          </w:tcPr>
          <w:p w14:paraId="5F29E4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108</w:t>
            </w:r>
          </w:p>
        </w:tc>
        <w:tc>
          <w:tcPr>
            <w:tcW w:w="856" w:type="dxa"/>
            <w:noWrap/>
            <w:vAlign w:val="center"/>
          </w:tcPr>
          <w:p w14:paraId="59952A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37" w:type="dxa"/>
            <w:noWrap/>
            <w:vAlign w:val="center"/>
          </w:tcPr>
          <w:p w14:paraId="4351DF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118</w:t>
            </w:r>
          </w:p>
        </w:tc>
      </w:tr>
      <w:tr w14:paraId="1DDE4B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continue"/>
            <w:noWrap w:val="0"/>
            <w:vAlign w:val="center"/>
          </w:tcPr>
          <w:p w14:paraId="30558F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82" w:type="pct"/>
            <w:noWrap w:val="0"/>
            <w:vAlign w:val="center"/>
          </w:tcPr>
          <w:p w14:paraId="2867B3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meq/L</w:t>
            </w:r>
          </w:p>
        </w:tc>
        <w:tc>
          <w:tcPr>
            <w:tcW w:w="755" w:type="dxa"/>
            <w:noWrap w:val="0"/>
            <w:vAlign w:val="center"/>
          </w:tcPr>
          <w:p w14:paraId="19FD9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0.91</w:t>
            </w:r>
          </w:p>
        </w:tc>
        <w:tc>
          <w:tcPr>
            <w:tcW w:w="898" w:type="dxa"/>
            <w:noWrap w:val="0"/>
            <w:vAlign w:val="center"/>
          </w:tcPr>
          <w:p w14:paraId="5599D6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1.12</w:t>
            </w:r>
          </w:p>
        </w:tc>
        <w:tc>
          <w:tcPr>
            <w:tcW w:w="803" w:type="dxa"/>
            <w:noWrap w:val="0"/>
            <w:vAlign w:val="center"/>
          </w:tcPr>
          <w:p w14:paraId="7176A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4.53</w:t>
            </w:r>
          </w:p>
        </w:tc>
        <w:tc>
          <w:tcPr>
            <w:tcW w:w="823" w:type="dxa"/>
            <w:noWrap w:val="0"/>
            <w:vAlign w:val="center"/>
          </w:tcPr>
          <w:p w14:paraId="6CD9B9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0.63</w:t>
            </w:r>
          </w:p>
        </w:tc>
        <w:tc>
          <w:tcPr>
            <w:tcW w:w="787" w:type="dxa"/>
            <w:noWrap w:val="0"/>
            <w:vAlign w:val="center"/>
          </w:tcPr>
          <w:p w14:paraId="7D099A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2.51</w:t>
            </w:r>
          </w:p>
        </w:tc>
        <w:tc>
          <w:tcPr>
            <w:tcW w:w="914" w:type="dxa"/>
            <w:noWrap w:val="0"/>
            <w:vAlign w:val="center"/>
          </w:tcPr>
          <w:p w14:paraId="54411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2.25</w:t>
            </w:r>
          </w:p>
        </w:tc>
        <w:tc>
          <w:tcPr>
            <w:tcW w:w="856" w:type="dxa"/>
            <w:noWrap w:val="0"/>
            <w:vAlign w:val="center"/>
          </w:tcPr>
          <w:p w14:paraId="2B7E2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p>
        </w:tc>
        <w:tc>
          <w:tcPr>
            <w:tcW w:w="937" w:type="dxa"/>
            <w:noWrap w:val="0"/>
            <w:vAlign w:val="center"/>
          </w:tcPr>
          <w:p w14:paraId="63D39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1.93</w:t>
            </w:r>
          </w:p>
        </w:tc>
      </w:tr>
      <w:tr w14:paraId="67A16F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continue"/>
            <w:noWrap w:val="0"/>
            <w:vAlign w:val="center"/>
          </w:tcPr>
          <w:p w14:paraId="1BF0AE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82" w:type="pct"/>
            <w:noWrap w:val="0"/>
            <w:vAlign w:val="center"/>
          </w:tcPr>
          <w:p w14:paraId="450473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meq/%</w:t>
            </w:r>
          </w:p>
        </w:tc>
        <w:tc>
          <w:tcPr>
            <w:tcW w:w="755" w:type="dxa"/>
            <w:noWrap w:val="0"/>
            <w:vAlign w:val="center"/>
          </w:tcPr>
          <w:p w14:paraId="221AFE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12.69</w:t>
            </w:r>
          </w:p>
        </w:tc>
        <w:tc>
          <w:tcPr>
            <w:tcW w:w="898" w:type="dxa"/>
            <w:noWrap w:val="0"/>
            <w:vAlign w:val="center"/>
          </w:tcPr>
          <w:p w14:paraId="11EE93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15.63</w:t>
            </w:r>
          </w:p>
        </w:tc>
        <w:tc>
          <w:tcPr>
            <w:tcW w:w="803" w:type="dxa"/>
            <w:noWrap w:val="0"/>
            <w:vAlign w:val="center"/>
          </w:tcPr>
          <w:p w14:paraId="384A64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62.94</w:t>
            </w:r>
          </w:p>
        </w:tc>
        <w:tc>
          <w:tcPr>
            <w:tcW w:w="823" w:type="dxa"/>
            <w:noWrap w:val="0"/>
            <w:vAlign w:val="center"/>
          </w:tcPr>
          <w:p w14:paraId="4F0272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8.75</w:t>
            </w:r>
          </w:p>
        </w:tc>
        <w:tc>
          <w:tcPr>
            <w:tcW w:w="787" w:type="dxa"/>
            <w:noWrap w:val="0"/>
            <w:vAlign w:val="center"/>
          </w:tcPr>
          <w:p w14:paraId="5459F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37.52</w:t>
            </w:r>
          </w:p>
        </w:tc>
        <w:tc>
          <w:tcPr>
            <w:tcW w:w="914" w:type="dxa"/>
            <w:noWrap w:val="0"/>
            <w:vAlign w:val="center"/>
          </w:tcPr>
          <w:p w14:paraId="1502EA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33.60</w:t>
            </w:r>
          </w:p>
        </w:tc>
        <w:tc>
          <w:tcPr>
            <w:tcW w:w="856" w:type="dxa"/>
            <w:noWrap w:val="0"/>
            <w:vAlign w:val="center"/>
          </w:tcPr>
          <w:p w14:paraId="1D5CD3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p>
        </w:tc>
        <w:tc>
          <w:tcPr>
            <w:tcW w:w="937" w:type="dxa"/>
            <w:noWrap w:val="0"/>
            <w:vAlign w:val="center"/>
          </w:tcPr>
          <w:p w14:paraId="19CA7A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28.88</w:t>
            </w:r>
          </w:p>
        </w:tc>
      </w:tr>
      <w:tr w14:paraId="60FE5D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continue"/>
            <w:noWrap w:val="0"/>
            <w:vAlign w:val="center"/>
          </w:tcPr>
          <w:p w14:paraId="2199CA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82" w:type="pct"/>
            <w:noWrap w:val="0"/>
            <w:vAlign w:val="center"/>
          </w:tcPr>
          <w:p w14:paraId="04F888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相对误差</w:t>
            </w:r>
            <w:r>
              <w:rPr>
                <w:rFonts w:hint="default" w:ascii="Times New Roman" w:hAnsi="Times New Roman" w:eastAsia="宋体" w:cs="Times New Roman"/>
                <w:b/>
                <w:color w:val="auto"/>
                <w:sz w:val="21"/>
                <w:szCs w:val="21"/>
                <w:highlight w:val="none"/>
              </w:rPr>
              <w:t>E%</w:t>
            </w:r>
          </w:p>
        </w:tc>
        <w:tc>
          <w:tcPr>
            <w:tcW w:w="3779" w:type="pct"/>
            <w:gridSpan w:val="8"/>
            <w:noWrap w:val="0"/>
            <w:vAlign w:val="center"/>
          </w:tcPr>
          <w:p w14:paraId="17A9CD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3.72</w:t>
            </w:r>
          </w:p>
        </w:tc>
      </w:tr>
      <w:tr w14:paraId="071437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restart"/>
            <w:noWrap w:val="0"/>
            <w:vAlign w:val="center"/>
          </w:tcPr>
          <w:p w14:paraId="64D39F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
                <w:color w:val="auto"/>
                <w:sz w:val="21"/>
                <w:szCs w:val="21"/>
                <w:highlight w:val="none"/>
                <w:lang w:val="en-US" w:eastAsia="zh-CN"/>
              </w:rPr>
              <w:t>D</w:t>
            </w:r>
            <w:r>
              <w:rPr>
                <w:rFonts w:hint="default" w:ascii="Times New Roman" w:hAnsi="Times New Roman" w:eastAsia="宋体" w:cs="Times New Roman"/>
                <w:b/>
                <w:color w:val="auto"/>
                <w:sz w:val="21"/>
                <w:szCs w:val="21"/>
                <w:highlight w:val="none"/>
                <w:lang w:eastAsia="zh-CN"/>
              </w:rPr>
              <w:t>2</w:t>
            </w:r>
            <w:r>
              <w:rPr>
                <w:rFonts w:hint="default" w:ascii="Times New Roman" w:hAnsi="Times New Roman" w:eastAsia="宋体" w:cs="Times New Roman"/>
                <w:b/>
                <w:color w:val="auto"/>
                <w:sz w:val="21"/>
                <w:szCs w:val="21"/>
                <w:highlight w:val="none"/>
              </w:rPr>
              <w:t>#</w:t>
            </w:r>
          </w:p>
        </w:tc>
        <w:tc>
          <w:tcPr>
            <w:tcW w:w="882" w:type="pct"/>
            <w:noWrap w:val="0"/>
            <w:vAlign w:val="center"/>
          </w:tcPr>
          <w:p w14:paraId="41E2AB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rPr>
              <w:t>监测值</w:t>
            </w:r>
          </w:p>
        </w:tc>
        <w:tc>
          <w:tcPr>
            <w:tcW w:w="755" w:type="dxa"/>
            <w:noWrap/>
            <w:vAlign w:val="center"/>
          </w:tcPr>
          <w:p w14:paraId="613E1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35.75</w:t>
            </w:r>
          </w:p>
        </w:tc>
        <w:tc>
          <w:tcPr>
            <w:tcW w:w="898" w:type="dxa"/>
            <w:noWrap/>
            <w:vAlign w:val="center"/>
          </w:tcPr>
          <w:p w14:paraId="50BEF8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25.85</w:t>
            </w:r>
          </w:p>
        </w:tc>
        <w:tc>
          <w:tcPr>
            <w:tcW w:w="803" w:type="dxa"/>
            <w:noWrap/>
            <w:vAlign w:val="center"/>
          </w:tcPr>
          <w:p w14:paraId="5D4033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91.05</w:t>
            </w:r>
          </w:p>
        </w:tc>
        <w:tc>
          <w:tcPr>
            <w:tcW w:w="823" w:type="dxa"/>
            <w:noWrap/>
            <w:vAlign w:val="center"/>
          </w:tcPr>
          <w:p w14:paraId="6C53C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87" w:type="dxa"/>
            <w:noWrap/>
            <w:vAlign w:val="center"/>
          </w:tcPr>
          <w:p w14:paraId="620DF2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104</w:t>
            </w:r>
          </w:p>
        </w:tc>
        <w:tc>
          <w:tcPr>
            <w:tcW w:w="914" w:type="dxa"/>
            <w:noWrap/>
            <w:vAlign w:val="center"/>
          </w:tcPr>
          <w:p w14:paraId="31BC19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129</w:t>
            </w:r>
          </w:p>
        </w:tc>
        <w:tc>
          <w:tcPr>
            <w:tcW w:w="856" w:type="dxa"/>
            <w:noWrap w:val="0"/>
            <w:vAlign w:val="center"/>
          </w:tcPr>
          <w:p w14:paraId="2AEF70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37" w:type="dxa"/>
            <w:noWrap/>
            <w:vAlign w:val="center"/>
          </w:tcPr>
          <w:p w14:paraId="71439B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129</w:t>
            </w:r>
          </w:p>
        </w:tc>
      </w:tr>
      <w:tr w14:paraId="57F9FA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continue"/>
            <w:noWrap w:val="0"/>
            <w:vAlign w:val="center"/>
          </w:tcPr>
          <w:p w14:paraId="1F6BAA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82" w:type="pct"/>
            <w:noWrap w:val="0"/>
            <w:vAlign w:val="center"/>
          </w:tcPr>
          <w:p w14:paraId="33FC5B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meq/L</w:t>
            </w:r>
          </w:p>
        </w:tc>
        <w:tc>
          <w:tcPr>
            <w:tcW w:w="755" w:type="dxa"/>
            <w:noWrap w:val="0"/>
            <w:vAlign w:val="center"/>
          </w:tcPr>
          <w:p w14:paraId="7C46AF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0.91</w:t>
            </w:r>
          </w:p>
        </w:tc>
        <w:tc>
          <w:tcPr>
            <w:tcW w:w="898" w:type="dxa"/>
            <w:noWrap w:val="0"/>
            <w:vAlign w:val="center"/>
          </w:tcPr>
          <w:p w14:paraId="190A52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1.12</w:t>
            </w:r>
          </w:p>
        </w:tc>
        <w:tc>
          <w:tcPr>
            <w:tcW w:w="803" w:type="dxa"/>
            <w:noWrap w:val="0"/>
            <w:vAlign w:val="center"/>
          </w:tcPr>
          <w:p w14:paraId="41C5E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4.54</w:t>
            </w:r>
          </w:p>
        </w:tc>
        <w:tc>
          <w:tcPr>
            <w:tcW w:w="823" w:type="dxa"/>
            <w:noWrap w:val="0"/>
            <w:vAlign w:val="center"/>
          </w:tcPr>
          <w:p w14:paraId="7B05B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0.64</w:t>
            </w:r>
          </w:p>
        </w:tc>
        <w:tc>
          <w:tcPr>
            <w:tcW w:w="787" w:type="dxa"/>
            <w:noWrap w:val="0"/>
            <w:vAlign w:val="center"/>
          </w:tcPr>
          <w:p w14:paraId="68AFF9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2.93</w:t>
            </w:r>
          </w:p>
        </w:tc>
        <w:tc>
          <w:tcPr>
            <w:tcW w:w="914" w:type="dxa"/>
            <w:noWrap w:val="0"/>
            <w:vAlign w:val="center"/>
          </w:tcPr>
          <w:p w14:paraId="6F8156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2.69</w:t>
            </w:r>
          </w:p>
        </w:tc>
        <w:tc>
          <w:tcPr>
            <w:tcW w:w="856" w:type="dxa"/>
            <w:noWrap w:val="0"/>
            <w:vAlign w:val="center"/>
          </w:tcPr>
          <w:p w14:paraId="1CF06A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p>
        </w:tc>
        <w:tc>
          <w:tcPr>
            <w:tcW w:w="937" w:type="dxa"/>
            <w:noWrap w:val="0"/>
            <w:vAlign w:val="center"/>
          </w:tcPr>
          <w:p w14:paraId="1D3FD5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2.15</w:t>
            </w:r>
          </w:p>
        </w:tc>
      </w:tr>
      <w:tr w14:paraId="5A072B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continue"/>
            <w:noWrap w:val="0"/>
            <w:vAlign w:val="center"/>
          </w:tcPr>
          <w:p w14:paraId="205BBC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82" w:type="pct"/>
            <w:noWrap w:val="0"/>
            <w:vAlign w:val="center"/>
          </w:tcPr>
          <w:p w14:paraId="13A3E3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meq/%</w:t>
            </w:r>
          </w:p>
        </w:tc>
        <w:tc>
          <w:tcPr>
            <w:tcW w:w="755" w:type="dxa"/>
            <w:noWrap w:val="0"/>
            <w:vAlign w:val="center"/>
          </w:tcPr>
          <w:p w14:paraId="5F6C9D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12.66</w:t>
            </w:r>
          </w:p>
        </w:tc>
        <w:tc>
          <w:tcPr>
            <w:tcW w:w="898" w:type="dxa"/>
            <w:noWrap w:val="0"/>
            <w:vAlign w:val="center"/>
          </w:tcPr>
          <w:p w14:paraId="7FA78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15.57</w:t>
            </w:r>
          </w:p>
        </w:tc>
        <w:tc>
          <w:tcPr>
            <w:tcW w:w="803" w:type="dxa"/>
            <w:noWrap w:val="0"/>
            <w:vAlign w:val="center"/>
          </w:tcPr>
          <w:p w14:paraId="76F993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62.89</w:t>
            </w:r>
          </w:p>
        </w:tc>
        <w:tc>
          <w:tcPr>
            <w:tcW w:w="823" w:type="dxa"/>
            <w:noWrap w:val="0"/>
            <w:vAlign w:val="center"/>
          </w:tcPr>
          <w:p w14:paraId="00C7D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8.88</w:t>
            </w:r>
          </w:p>
        </w:tc>
        <w:tc>
          <w:tcPr>
            <w:tcW w:w="787" w:type="dxa"/>
            <w:noWrap w:val="0"/>
            <w:vAlign w:val="center"/>
          </w:tcPr>
          <w:p w14:paraId="735988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37.77</w:t>
            </w:r>
          </w:p>
        </w:tc>
        <w:tc>
          <w:tcPr>
            <w:tcW w:w="914" w:type="dxa"/>
            <w:noWrap w:val="0"/>
            <w:vAlign w:val="center"/>
          </w:tcPr>
          <w:p w14:paraId="133AA8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34.58</w:t>
            </w:r>
          </w:p>
        </w:tc>
        <w:tc>
          <w:tcPr>
            <w:tcW w:w="856" w:type="dxa"/>
            <w:noWrap w:val="0"/>
            <w:vAlign w:val="center"/>
          </w:tcPr>
          <w:p w14:paraId="50B41E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p>
        </w:tc>
        <w:tc>
          <w:tcPr>
            <w:tcW w:w="937" w:type="dxa"/>
            <w:tcBorders>
              <w:bottom w:val="single" w:color="auto" w:sz="2" w:space="0"/>
            </w:tcBorders>
            <w:noWrap w:val="0"/>
            <w:vAlign w:val="center"/>
          </w:tcPr>
          <w:p w14:paraId="67AB1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27.66</w:t>
            </w:r>
          </w:p>
        </w:tc>
      </w:tr>
      <w:tr w14:paraId="0984BB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continue"/>
            <w:noWrap w:val="0"/>
            <w:vAlign w:val="center"/>
          </w:tcPr>
          <w:p w14:paraId="12B628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82" w:type="pct"/>
            <w:noWrap w:val="0"/>
            <w:vAlign w:val="center"/>
          </w:tcPr>
          <w:p w14:paraId="55F1B3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相对误差</w:t>
            </w:r>
            <w:r>
              <w:rPr>
                <w:rFonts w:hint="default" w:ascii="Times New Roman" w:hAnsi="Times New Roman" w:eastAsia="宋体" w:cs="Times New Roman"/>
                <w:b/>
                <w:color w:val="auto"/>
                <w:sz w:val="21"/>
                <w:szCs w:val="21"/>
                <w:highlight w:val="none"/>
              </w:rPr>
              <w:t>E%</w:t>
            </w:r>
          </w:p>
        </w:tc>
        <w:tc>
          <w:tcPr>
            <w:tcW w:w="3779" w:type="pct"/>
            <w:gridSpan w:val="8"/>
            <w:noWrap w:val="0"/>
            <w:vAlign w:val="center"/>
          </w:tcPr>
          <w:p w14:paraId="3917C1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-3.26</w:t>
            </w:r>
          </w:p>
        </w:tc>
      </w:tr>
      <w:tr w14:paraId="1C7A49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restart"/>
            <w:shd w:val="clear" w:color="auto" w:fill="auto"/>
            <w:noWrap w:val="0"/>
            <w:vAlign w:val="center"/>
          </w:tcPr>
          <w:p w14:paraId="2964EA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
                <w:color w:val="auto"/>
                <w:sz w:val="21"/>
                <w:szCs w:val="21"/>
                <w:highlight w:val="none"/>
                <w:lang w:val="en-US" w:eastAsia="zh-CN"/>
              </w:rPr>
              <w:t>D</w:t>
            </w:r>
            <w:r>
              <w:rPr>
                <w:rFonts w:hint="default" w:ascii="Times New Roman" w:hAnsi="Times New Roman" w:eastAsia="宋体" w:cs="Times New Roman"/>
                <w:b/>
                <w:color w:val="auto"/>
                <w:sz w:val="21"/>
                <w:szCs w:val="21"/>
                <w:highlight w:val="none"/>
                <w:lang w:eastAsia="zh-CN"/>
              </w:rPr>
              <w:t>3</w:t>
            </w:r>
            <w:r>
              <w:rPr>
                <w:rFonts w:hint="default" w:ascii="Times New Roman" w:hAnsi="Times New Roman" w:eastAsia="宋体" w:cs="Times New Roman"/>
                <w:b/>
                <w:color w:val="auto"/>
                <w:sz w:val="21"/>
                <w:szCs w:val="21"/>
                <w:highlight w:val="none"/>
              </w:rPr>
              <w:t>#</w:t>
            </w:r>
          </w:p>
        </w:tc>
        <w:tc>
          <w:tcPr>
            <w:tcW w:w="882" w:type="pct"/>
            <w:shd w:val="clear" w:color="auto" w:fill="auto"/>
            <w:noWrap w:val="0"/>
            <w:vAlign w:val="center"/>
          </w:tcPr>
          <w:p w14:paraId="2C61BC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kern w:val="0"/>
                <w:sz w:val="21"/>
                <w:szCs w:val="21"/>
                <w:highlight w:val="none"/>
              </w:rPr>
              <w:t>监测值</w:t>
            </w:r>
          </w:p>
        </w:tc>
        <w:tc>
          <w:tcPr>
            <w:tcW w:w="755" w:type="dxa"/>
            <w:shd w:val="clear" w:color="auto" w:fill="auto"/>
            <w:noWrap/>
            <w:vAlign w:val="center"/>
          </w:tcPr>
          <w:p w14:paraId="0C9680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35.9</w:t>
            </w:r>
          </w:p>
        </w:tc>
        <w:tc>
          <w:tcPr>
            <w:tcW w:w="898" w:type="dxa"/>
            <w:shd w:val="clear" w:color="auto" w:fill="auto"/>
            <w:noWrap/>
            <w:vAlign w:val="center"/>
          </w:tcPr>
          <w:p w14:paraId="42AE81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25.9</w:t>
            </w:r>
          </w:p>
        </w:tc>
        <w:tc>
          <w:tcPr>
            <w:tcW w:w="803" w:type="dxa"/>
            <w:shd w:val="clear" w:color="auto" w:fill="auto"/>
            <w:noWrap/>
            <w:vAlign w:val="center"/>
          </w:tcPr>
          <w:p w14:paraId="38D546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91.25</w:t>
            </w:r>
          </w:p>
        </w:tc>
        <w:tc>
          <w:tcPr>
            <w:tcW w:w="823" w:type="dxa"/>
            <w:shd w:val="clear" w:color="auto" w:fill="auto"/>
            <w:noWrap/>
            <w:vAlign w:val="center"/>
          </w:tcPr>
          <w:p w14:paraId="75225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7.9</w:t>
            </w:r>
          </w:p>
        </w:tc>
        <w:tc>
          <w:tcPr>
            <w:tcW w:w="787" w:type="dxa"/>
            <w:shd w:val="clear" w:color="auto" w:fill="auto"/>
            <w:noWrap/>
            <w:vAlign w:val="center"/>
          </w:tcPr>
          <w:p w14:paraId="562A37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106</w:t>
            </w:r>
          </w:p>
        </w:tc>
        <w:tc>
          <w:tcPr>
            <w:tcW w:w="914" w:type="dxa"/>
            <w:shd w:val="clear" w:color="auto" w:fill="auto"/>
            <w:noWrap/>
            <w:vAlign w:val="center"/>
          </w:tcPr>
          <w:p w14:paraId="2E311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131</w:t>
            </w:r>
          </w:p>
        </w:tc>
        <w:tc>
          <w:tcPr>
            <w:tcW w:w="856" w:type="dxa"/>
            <w:shd w:val="clear" w:color="auto" w:fill="auto"/>
            <w:noWrap/>
            <w:vAlign w:val="center"/>
          </w:tcPr>
          <w:p w14:paraId="0F1914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37" w:type="dxa"/>
            <w:tcBorders>
              <w:top w:val="single" w:color="auto" w:sz="2" w:space="0"/>
              <w:bottom w:val="single" w:color="auto" w:sz="2" w:space="0"/>
            </w:tcBorders>
            <w:shd w:val="clear" w:color="000000" w:fill="auto"/>
            <w:noWrap w:val="0"/>
            <w:vAlign w:val="center"/>
          </w:tcPr>
          <w:p w14:paraId="275BB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131</w:t>
            </w:r>
          </w:p>
        </w:tc>
      </w:tr>
      <w:tr w14:paraId="72E3AA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continue"/>
            <w:noWrap w:val="0"/>
            <w:vAlign w:val="center"/>
          </w:tcPr>
          <w:p w14:paraId="50719F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82" w:type="pct"/>
            <w:noWrap w:val="0"/>
            <w:vAlign w:val="center"/>
          </w:tcPr>
          <w:p w14:paraId="4D580D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meq/L</w:t>
            </w:r>
          </w:p>
        </w:tc>
        <w:tc>
          <w:tcPr>
            <w:tcW w:w="755" w:type="dxa"/>
            <w:noWrap w:val="0"/>
            <w:vAlign w:val="center"/>
          </w:tcPr>
          <w:p w14:paraId="5CF50B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0.92</w:t>
            </w:r>
          </w:p>
        </w:tc>
        <w:tc>
          <w:tcPr>
            <w:tcW w:w="898" w:type="dxa"/>
            <w:noWrap w:val="0"/>
            <w:vAlign w:val="center"/>
          </w:tcPr>
          <w:p w14:paraId="6A83F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1.13</w:t>
            </w:r>
          </w:p>
        </w:tc>
        <w:tc>
          <w:tcPr>
            <w:tcW w:w="803" w:type="dxa"/>
            <w:noWrap w:val="0"/>
            <w:vAlign w:val="center"/>
          </w:tcPr>
          <w:p w14:paraId="7D3B3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4.55</w:t>
            </w:r>
          </w:p>
        </w:tc>
        <w:tc>
          <w:tcPr>
            <w:tcW w:w="823" w:type="dxa"/>
            <w:noWrap w:val="0"/>
            <w:vAlign w:val="center"/>
          </w:tcPr>
          <w:p w14:paraId="7C934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0.65</w:t>
            </w:r>
          </w:p>
        </w:tc>
        <w:tc>
          <w:tcPr>
            <w:tcW w:w="787" w:type="dxa"/>
            <w:noWrap w:val="0"/>
            <w:vAlign w:val="center"/>
          </w:tcPr>
          <w:p w14:paraId="752FF4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2.99</w:t>
            </w:r>
          </w:p>
        </w:tc>
        <w:tc>
          <w:tcPr>
            <w:tcW w:w="914" w:type="dxa"/>
            <w:noWrap w:val="0"/>
            <w:vAlign w:val="center"/>
          </w:tcPr>
          <w:p w14:paraId="070D8B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2.73</w:t>
            </w:r>
          </w:p>
        </w:tc>
        <w:tc>
          <w:tcPr>
            <w:tcW w:w="856" w:type="dxa"/>
            <w:noWrap w:val="0"/>
            <w:vAlign w:val="center"/>
          </w:tcPr>
          <w:p w14:paraId="0E8AF1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p>
        </w:tc>
        <w:tc>
          <w:tcPr>
            <w:tcW w:w="937" w:type="dxa"/>
            <w:tcBorders>
              <w:top w:val="single" w:color="auto" w:sz="2" w:space="0"/>
            </w:tcBorders>
            <w:noWrap w:val="0"/>
            <w:vAlign w:val="center"/>
          </w:tcPr>
          <w:p w14:paraId="1B7FE5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2.18</w:t>
            </w:r>
          </w:p>
        </w:tc>
      </w:tr>
      <w:tr w14:paraId="3FF0CA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continue"/>
            <w:noWrap w:val="0"/>
            <w:vAlign w:val="center"/>
          </w:tcPr>
          <w:p w14:paraId="123B58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82" w:type="pct"/>
            <w:noWrap w:val="0"/>
            <w:vAlign w:val="center"/>
          </w:tcPr>
          <w:p w14:paraId="69E238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meq/%</w:t>
            </w:r>
          </w:p>
        </w:tc>
        <w:tc>
          <w:tcPr>
            <w:tcW w:w="755" w:type="dxa"/>
            <w:noWrap w:val="0"/>
            <w:vAlign w:val="center"/>
          </w:tcPr>
          <w:p w14:paraId="151BB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12.67</w:t>
            </w:r>
          </w:p>
        </w:tc>
        <w:tc>
          <w:tcPr>
            <w:tcW w:w="898" w:type="dxa"/>
            <w:noWrap w:val="0"/>
            <w:vAlign w:val="center"/>
          </w:tcPr>
          <w:p w14:paraId="0C2A2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15.54</w:t>
            </w:r>
          </w:p>
        </w:tc>
        <w:tc>
          <w:tcPr>
            <w:tcW w:w="803" w:type="dxa"/>
            <w:noWrap w:val="0"/>
            <w:vAlign w:val="center"/>
          </w:tcPr>
          <w:p w14:paraId="6212E6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62.82</w:t>
            </w:r>
          </w:p>
        </w:tc>
        <w:tc>
          <w:tcPr>
            <w:tcW w:w="823" w:type="dxa"/>
            <w:noWrap w:val="0"/>
            <w:vAlign w:val="center"/>
          </w:tcPr>
          <w:p w14:paraId="084D37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8.97</w:t>
            </w:r>
          </w:p>
        </w:tc>
        <w:tc>
          <w:tcPr>
            <w:tcW w:w="787" w:type="dxa"/>
            <w:noWrap w:val="0"/>
            <w:vAlign w:val="center"/>
          </w:tcPr>
          <w:p w14:paraId="1AA11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37.85</w:t>
            </w:r>
          </w:p>
        </w:tc>
        <w:tc>
          <w:tcPr>
            <w:tcW w:w="914" w:type="dxa"/>
            <w:noWrap w:val="0"/>
            <w:vAlign w:val="center"/>
          </w:tcPr>
          <w:p w14:paraId="2AC7C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34.53</w:t>
            </w:r>
          </w:p>
        </w:tc>
        <w:tc>
          <w:tcPr>
            <w:tcW w:w="856" w:type="dxa"/>
            <w:noWrap w:val="0"/>
            <w:vAlign w:val="center"/>
          </w:tcPr>
          <w:p w14:paraId="1FCDCA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p>
        </w:tc>
        <w:tc>
          <w:tcPr>
            <w:tcW w:w="937" w:type="dxa"/>
            <w:noWrap w:val="0"/>
            <w:vAlign w:val="center"/>
          </w:tcPr>
          <w:p w14:paraId="17E93E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27.62</w:t>
            </w:r>
          </w:p>
        </w:tc>
      </w:tr>
      <w:tr w14:paraId="3BEBB1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37" w:type="pct"/>
            <w:vMerge w:val="continue"/>
            <w:noWrap w:val="0"/>
            <w:vAlign w:val="center"/>
          </w:tcPr>
          <w:p w14:paraId="43EC28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882" w:type="pct"/>
            <w:noWrap w:val="0"/>
            <w:vAlign w:val="center"/>
          </w:tcPr>
          <w:p w14:paraId="756FE2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相对误差</w:t>
            </w:r>
            <w:r>
              <w:rPr>
                <w:rFonts w:hint="default" w:ascii="Times New Roman" w:hAnsi="Times New Roman" w:eastAsia="宋体" w:cs="Times New Roman"/>
                <w:b/>
                <w:color w:val="auto"/>
                <w:sz w:val="21"/>
                <w:szCs w:val="21"/>
                <w:highlight w:val="none"/>
              </w:rPr>
              <w:t>E%</w:t>
            </w:r>
          </w:p>
        </w:tc>
        <w:tc>
          <w:tcPr>
            <w:tcW w:w="3779" w:type="pct"/>
            <w:gridSpan w:val="8"/>
            <w:noWrap w:val="0"/>
            <w:vAlign w:val="center"/>
          </w:tcPr>
          <w:p w14:paraId="281464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-3.93</w:t>
            </w:r>
          </w:p>
        </w:tc>
      </w:tr>
    </w:tbl>
    <w:p w14:paraId="480EB125">
      <w:pPr>
        <w:bidi w:val="0"/>
        <w:rPr>
          <w:rFonts w:hint="eastAsia"/>
          <w:color w:val="auto"/>
          <w:lang w:eastAsia="zh-CN"/>
        </w:rPr>
      </w:pPr>
      <w:r>
        <w:rPr>
          <w:rFonts w:hint="default" w:ascii="Times New Roman" w:hAnsi="Times New Roman" w:eastAsia="仿宋_GB2312" w:cs="Times New Roman"/>
          <w:color w:val="auto"/>
          <w:sz w:val="24"/>
          <w:szCs w:val="20"/>
          <w:highlight w:val="none"/>
        </w:rPr>
        <w:t>根据碳酸平衡理论，pH﹤8.34时分析结果中不应出现CO</w:t>
      </w:r>
      <w:r>
        <w:rPr>
          <w:rFonts w:hint="default" w:ascii="Times New Roman" w:hAnsi="Times New Roman" w:eastAsia="仿宋_GB2312" w:cs="Times New Roman"/>
          <w:color w:val="auto"/>
          <w:sz w:val="24"/>
          <w:szCs w:val="20"/>
          <w:highlight w:val="none"/>
          <w:vertAlign w:val="subscript"/>
        </w:rPr>
        <w:t>3</w:t>
      </w:r>
      <w:r>
        <w:rPr>
          <w:rFonts w:hint="default" w:ascii="Times New Roman" w:hAnsi="Times New Roman" w:eastAsia="仿宋_GB2312" w:cs="Times New Roman"/>
          <w:color w:val="auto"/>
          <w:sz w:val="24"/>
          <w:szCs w:val="20"/>
          <w:highlight w:val="none"/>
          <w:vertAlign w:val="superscript"/>
        </w:rPr>
        <w:t>2-</w:t>
      </w:r>
      <w:r>
        <w:rPr>
          <w:rFonts w:hint="default" w:ascii="Times New Roman" w:hAnsi="Times New Roman" w:eastAsia="仿宋_GB2312" w:cs="Times New Roman"/>
          <w:color w:val="auto"/>
          <w:sz w:val="24"/>
          <w:szCs w:val="20"/>
          <w:highlight w:val="none"/>
        </w:rPr>
        <w:t>，pH﹥8.34时分析结果中不应出现H</w:t>
      </w:r>
      <w:r>
        <w:rPr>
          <w:rFonts w:hint="default" w:ascii="Times New Roman" w:hAnsi="Times New Roman" w:eastAsia="仿宋_GB2312" w:cs="Times New Roman"/>
          <w:color w:val="auto"/>
          <w:sz w:val="24"/>
          <w:szCs w:val="20"/>
          <w:highlight w:val="none"/>
          <w:vertAlign w:val="subscript"/>
        </w:rPr>
        <w:t>2</w:t>
      </w:r>
      <w:r>
        <w:rPr>
          <w:rFonts w:hint="default" w:ascii="Times New Roman" w:hAnsi="Times New Roman" w:eastAsia="仿宋_GB2312" w:cs="Times New Roman"/>
          <w:color w:val="auto"/>
          <w:sz w:val="24"/>
          <w:szCs w:val="20"/>
          <w:highlight w:val="none"/>
        </w:rPr>
        <w:t>CO</w:t>
      </w:r>
      <w:r>
        <w:rPr>
          <w:rFonts w:hint="default" w:ascii="Times New Roman" w:hAnsi="Times New Roman" w:eastAsia="仿宋_GB2312" w:cs="Times New Roman"/>
          <w:color w:val="auto"/>
          <w:sz w:val="24"/>
          <w:szCs w:val="20"/>
          <w:highlight w:val="none"/>
          <w:vertAlign w:val="subscript"/>
        </w:rPr>
        <w:t>3</w:t>
      </w:r>
      <w:r>
        <w:rPr>
          <w:rFonts w:hint="default" w:ascii="Times New Roman" w:hAnsi="Times New Roman" w:eastAsia="仿宋_GB2312" w:cs="Times New Roman"/>
          <w:color w:val="auto"/>
          <w:sz w:val="24"/>
          <w:szCs w:val="20"/>
          <w:highlight w:val="none"/>
        </w:rPr>
        <w:t>，监测结果表明，pH</w:t>
      </w:r>
      <w:r>
        <w:rPr>
          <w:rFonts w:hint="eastAsia" w:ascii="Times New Roman" w:hAnsi="Times New Roman" w:cs="Times New Roman"/>
          <w:color w:val="auto"/>
          <w:sz w:val="24"/>
          <w:szCs w:val="20"/>
          <w:highlight w:val="none"/>
          <w:lang w:val="en-US" w:eastAsia="zh-CN"/>
        </w:rPr>
        <w:t>为</w:t>
      </w:r>
      <w:r>
        <w:rPr>
          <w:rFonts w:hint="eastAsia" w:cs="Times New Roman"/>
          <w:color w:val="auto"/>
          <w:sz w:val="24"/>
          <w:szCs w:val="20"/>
          <w:highlight w:val="none"/>
          <w:lang w:val="en-US" w:eastAsia="zh-CN"/>
        </w:rPr>
        <w:t>7.5</w:t>
      </w:r>
      <w:r>
        <w:rPr>
          <w:rFonts w:hint="eastAsia" w:ascii="Times New Roman" w:hAnsi="Times New Roman" w:cs="Times New Roman"/>
          <w:color w:val="auto"/>
          <w:sz w:val="24"/>
          <w:szCs w:val="20"/>
          <w:highlight w:val="none"/>
          <w:lang w:eastAsia="zh-CN"/>
        </w:rPr>
        <w:t>，</w:t>
      </w:r>
      <w:r>
        <w:rPr>
          <w:rFonts w:hint="default" w:ascii="Times New Roman" w:hAnsi="Times New Roman" w:eastAsia="仿宋_GB2312" w:cs="Times New Roman"/>
          <w:color w:val="auto"/>
          <w:sz w:val="24"/>
          <w:szCs w:val="20"/>
          <w:highlight w:val="none"/>
        </w:rPr>
        <w:t>小于8.34，并且未出现CO</w:t>
      </w:r>
      <w:r>
        <w:rPr>
          <w:rFonts w:hint="default" w:ascii="Times New Roman" w:hAnsi="Times New Roman" w:eastAsia="仿宋_GB2312" w:cs="Times New Roman"/>
          <w:color w:val="auto"/>
          <w:sz w:val="24"/>
          <w:szCs w:val="20"/>
          <w:highlight w:val="none"/>
          <w:vertAlign w:val="subscript"/>
        </w:rPr>
        <w:t>3</w:t>
      </w:r>
      <w:r>
        <w:rPr>
          <w:rFonts w:hint="default" w:ascii="Times New Roman" w:hAnsi="Times New Roman" w:eastAsia="仿宋_GB2312" w:cs="Times New Roman"/>
          <w:color w:val="auto"/>
          <w:sz w:val="24"/>
          <w:szCs w:val="20"/>
          <w:highlight w:val="none"/>
          <w:vertAlign w:val="superscript"/>
        </w:rPr>
        <w:t>2-</w:t>
      </w:r>
      <w:r>
        <w:rPr>
          <w:rFonts w:hint="default" w:ascii="Times New Roman" w:hAnsi="Times New Roman" w:eastAsia="仿宋_GB2312" w:cs="Times New Roman"/>
          <w:color w:val="auto"/>
          <w:sz w:val="24"/>
          <w:szCs w:val="20"/>
          <w:highlight w:val="none"/>
        </w:rPr>
        <w:t>，结果符合碳酸平衡关系。</w:t>
      </w:r>
    </w:p>
    <w:p w14:paraId="516CAEA3">
      <w:pPr>
        <w:bidi w:val="0"/>
        <w:rPr>
          <w:rFonts w:hint="eastAsia"/>
          <w:color w:val="auto"/>
          <w:lang w:eastAsia="zh-CN"/>
        </w:rPr>
      </w:pPr>
      <w:r>
        <w:rPr>
          <w:rFonts w:hint="default" w:ascii="Times New Roman" w:hAnsi="Times New Roman" w:eastAsia="仿宋_GB2312" w:cs="Times New Roman"/>
          <w:color w:val="auto"/>
          <w:sz w:val="24"/>
          <w:szCs w:val="20"/>
          <w:highlight w:val="none"/>
        </w:rPr>
        <w:t>根据表</w:t>
      </w:r>
      <w:r>
        <w:rPr>
          <w:rFonts w:hint="default" w:ascii="Times New Roman" w:hAnsi="Times New Roman" w:eastAsia="仿宋_GB2312" w:cs="Times New Roman"/>
          <w:color w:val="auto"/>
          <w:sz w:val="24"/>
          <w:szCs w:val="20"/>
          <w:highlight w:val="none"/>
          <w:lang w:val="en-US" w:eastAsia="zh-CN"/>
        </w:rPr>
        <w:t>3.2-</w:t>
      </w:r>
      <w:r>
        <w:rPr>
          <w:rFonts w:hint="eastAsia" w:cs="Times New Roman"/>
          <w:color w:val="auto"/>
          <w:sz w:val="24"/>
          <w:szCs w:val="20"/>
          <w:highlight w:val="none"/>
          <w:lang w:val="en-US" w:eastAsia="zh-CN"/>
        </w:rPr>
        <w:t>9</w:t>
      </w:r>
      <w:r>
        <w:rPr>
          <w:rFonts w:hint="default" w:ascii="Times New Roman" w:hAnsi="Times New Roman" w:eastAsia="仿宋_GB2312" w:cs="Times New Roman"/>
          <w:color w:val="auto"/>
          <w:sz w:val="24"/>
          <w:szCs w:val="20"/>
          <w:highlight w:val="none"/>
        </w:rPr>
        <w:t>中各离子的毫克当量百分数计算结果可知：</w:t>
      </w:r>
      <w:r>
        <w:rPr>
          <w:rFonts w:hint="eastAsia" w:ascii="Times New Roman" w:hAnsi="Times New Roman" w:cs="Times New Roman"/>
          <w:color w:val="auto"/>
          <w:sz w:val="24"/>
          <w:szCs w:val="20"/>
          <w:highlight w:val="none"/>
          <w:lang w:val="en-US" w:eastAsia="zh-CN"/>
        </w:rPr>
        <w:t>D1#</w:t>
      </w:r>
      <w:r>
        <w:rPr>
          <w:rFonts w:hint="default" w:ascii="Times New Roman" w:hAnsi="Times New Roman" w:eastAsia="仿宋_GB2312" w:cs="Times New Roman"/>
          <w:color w:val="auto"/>
          <w:sz w:val="24"/>
          <w:szCs w:val="20"/>
          <w:highlight w:val="none"/>
        </w:rPr>
        <w:t>＞25%的阳离子为</w:t>
      </w:r>
      <w:r>
        <w:rPr>
          <w:rFonts w:hint="eastAsia" w:cs="Times New Roman"/>
          <w:color w:val="auto"/>
          <w:sz w:val="24"/>
          <w:szCs w:val="20"/>
          <w:highlight w:val="none"/>
          <w:lang w:val="en-US" w:eastAsia="zh-CN"/>
        </w:rPr>
        <w:t>Ca</w:t>
      </w:r>
      <w:r>
        <w:rPr>
          <w:rFonts w:hint="default" w:ascii="Times New Roman" w:hAnsi="Times New Roman" w:eastAsia="仿宋_GB2312" w:cs="Times New Roman"/>
          <w:color w:val="auto"/>
          <w:sz w:val="24"/>
          <w:szCs w:val="20"/>
          <w:highlight w:val="none"/>
          <w:vertAlign w:val="superscript"/>
        </w:rPr>
        <w:t>2+</w:t>
      </w:r>
      <w:r>
        <w:rPr>
          <w:rFonts w:hint="default" w:ascii="Times New Roman" w:hAnsi="Times New Roman" w:eastAsia="仿宋_GB2312" w:cs="Times New Roman"/>
          <w:color w:val="auto"/>
          <w:sz w:val="24"/>
          <w:szCs w:val="20"/>
          <w:highlight w:val="none"/>
        </w:rPr>
        <w:t>，＞25%的阴离子为Cl</w:t>
      </w:r>
      <w:r>
        <w:rPr>
          <w:rFonts w:hint="default" w:ascii="Times New Roman" w:hAnsi="Times New Roman" w:eastAsia="仿宋_GB2312" w:cs="Times New Roman"/>
          <w:color w:val="auto"/>
          <w:sz w:val="24"/>
          <w:szCs w:val="20"/>
          <w:highlight w:val="none"/>
          <w:vertAlign w:val="superscript"/>
        </w:rPr>
        <w:t>-</w:t>
      </w:r>
      <w:r>
        <w:rPr>
          <w:rFonts w:hint="eastAsia" w:cs="Times New Roman"/>
          <w:color w:val="auto"/>
          <w:sz w:val="24"/>
          <w:szCs w:val="20"/>
          <w:highlight w:val="none"/>
          <w:lang w:val="en-US" w:eastAsia="zh-CN"/>
        </w:rPr>
        <w:t>、</w:t>
      </w:r>
      <w:r>
        <w:rPr>
          <w:rFonts w:hint="default" w:ascii="Times New Roman" w:hAnsi="Times New Roman" w:eastAsia="仿宋_GB2312" w:cs="Times New Roman"/>
          <w:color w:val="auto"/>
          <w:sz w:val="24"/>
          <w:szCs w:val="20"/>
          <w:highlight w:val="none"/>
        </w:rPr>
        <w:t>SO</w:t>
      </w:r>
      <w:r>
        <w:rPr>
          <w:rFonts w:hint="default" w:ascii="Times New Roman" w:hAnsi="Times New Roman" w:eastAsia="仿宋_GB2312" w:cs="Times New Roman"/>
          <w:color w:val="auto"/>
          <w:sz w:val="24"/>
          <w:szCs w:val="20"/>
          <w:highlight w:val="none"/>
          <w:vertAlign w:val="subscript"/>
        </w:rPr>
        <w:t>4</w:t>
      </w:r>
      <w:r>
        <w:rPr>
          <w:rFonts w:hint="default" w:ascii="Times New Roman" w:hAnsi="Times New Roman" w:eastAsia="仿宋_GB2312" w:cs="Times New Roman"/>
          <w:color w:val="auto"/>
          <w:sz w:val="24"/>
          <w:szCs w:val="20"/>
          <w:highlight w:val="none"/>
          <w:vertAlign w:val="superscript"/>
        </w:rPr>
        <w:t>2-</w:t>
      </w:r>
      <w:r>
        <w:rPr>
          <w:rFonts w:hint="default" w:ascii="Times New Roman" w:hAnsi="Times New Roman" w:eastAsia="仿宋_GB2312" w:cs="Times New Roman"/>
          <w:color w:val="auto"/>
          <w:sz w:val="24"/>
          <w:szCs w:val="20"/>
          <w:highlight w:val="none"/>
        </w:rPr>
        <w:t>、HCO</w:t>
      </w:r>
      <w:r>
        <w:rPr>
          <w:rFonts w:hint="default" w:ascii="Times New Roman" w:hAnsi="Times New Roman" w:eastAsia="仿宋_GB2312" w:cs="Times New Roman"/>
          <w:color w:val="auto"/>
          <w:sz w:val="24"/>
          <w:szCs w:val="20"/>
          <w:highlight w:val="none"/>
          <w:vertAlign w:val="subscript"/>
        </w:rPr>
        <w:t>3</w:t>
      </w:r>
      <w:r>
        <w:rPr>
          <w:rFonts w:hint="default" w:ascii="Times New Roman" w:hAnsi="Times New Roman" w:eastAsia="仿宋_GB2312" w:cs="Times New Roman"/>
          <w:color w:val="auto"/>
          <w:sz w:val="24"/>
          <w:szCs w:val="20"/>
          <w:highlight w:val="none"/>
          <w:vertAlign w:val="superscript"/>
        </w:rPr>
        <w:t>-</w:t>
      </w:r>
      <w:r>
        <w:rPr>
          <w:rFonts w:hint="default" w:ascii="Times New Roman" w:hAnsi="Times New Roman" w:eastAsia="仿宋_GB2312" w:cs="Times New Roman"/>
          <w:color w:val="auto"/>
          <w:sz w:val="24"/>
          <w:szCs w:val="20"/>
          <w:highlight w:val="none"/>
        </w:rPr>
        <w:t>；</w:t>
      </w:r>
      <w:r>
        <w:rPr>
          <w:rFonts w:hint="eastAsia" w:ascii="Times New Roman" w:hAnsi="Times New Roman" w:cs="Times New Roman"/>
          <w:color w:val="auto"/>
          <w:sz w:val="24"/>
          <w:szCs w:val="20"/>
          <w:highlight w:val="none"/>
          <w:lang w:val="en-US" w:eastAsia="zh-CN"/>
        </w:rPr>
        <w:t>D2#</w:t>
      </w:r>
      <w:r>
        <w:rPr>
          <w:rFonts w:hint="default" w:ascii="Times New Roman" w:hAnsi="Times New Roman" w:eastAsia="仿宋_GB2312" w:cs="Times New Roman"/>
          <w:color w:val="auto"/>
          <w:sz w:val="24"/>
          <w:szCs w:val="20"/>
          <w:highlight w:val="none"/>
        </w:rPr>
        <w:t>＞25%的阳离子为</w:t>
      </w:r>
      <w:r>
        <w:rPr>
          <w:rFonts w:hint="eastAsia" w:cs="Times New Roman"/>
          <w:color w:val="auto"/>
          <w:sz w:val="24"/>
          <w:szCs w:val="20"/>
          <w:highlight w:val="none"/>
          <w:lang w:val="en-US" w:eastAsia="zh-CN"/>
        </w:rPr>
        <w:t>Ca</w:t>
      </w:r>
      <w:r>
        <w:rPr>
          <w:rFonts w:hint="default" w:ascii="Times New Roman" w:hAnsi="Times New Roman" w:eastAsia="仿宋_GB2312" w:cs="Times New Roman"/>
          <w:color w:val="auto"/>
          <w:sz w:val="24"/>
          <w:szCs w:val="20"/>
          <w:highlight w:val="none"/>
          <w:vertAlign w:val="superscript"/>
        </w:rPr>
        <w:t>2+</w:t>
      </w:r>
      <w:r>
        <w:rPr>
          <w:rFonts w:hint="default" w:ascii="Times New Roman" w:hAnsi="Times New Roman" w:eastAsia="仿宋_GB2312" w:cs="Times New Roman"/>
          <w:color w:val="auto"/>
          <w:sz w:val="24"/>
          <w:szCs w:val="20"/>
          <w:highlight w:val="none"/>
        </w:rPr>
        <w:t>，＞25%的阴离子为Cl</w:t>
      </w:r>
      <w:r>
        <w:rPr>
          <w:rFonts w:hint="default" w:ascii="Times New Roman" w:hAnsi="Times New Roman" w:eastAsia="仿宋_GB2312" w:cs="Times New Roman"/>
          <w:color w:val="auto"/>
          <w:sz w:val="24"/>
          <w:szCs w:val="20"/>
          <w:highlight w:val="none"/>
          <w:vertAlign w:val="superscript"/>
        </w:rPr>
        <w:t>-</w:t>
      </w:r>
      <w:r>
        <w:rPr>
          <w:rFonts w:hint="eastAsia" w:cs="Times New Roman"/>
          <w:color w:val="auto"/>
          <w:sz w:val="24"/>
          <w:szCs w:val="20"/>
          <w:highlight w:val="none"/>
          <w:lang w:val="en-US" w:eastAsia="zh-CN"/>
        </w:rPr>
        <w:t>、</w:t>
      </w:r>
      <w:r>
        <w:rPr>
          <w:rFonts w:hint="default" w:ascii="Times New Roman" w:hAnsi="Times New Roman" w:eastAsia="仿宋_GB2312" w:cs="Times New Roman"/>
          <w:color w:val="auto"/>
          <w:sz w:val="24"/>
          <w:szCs w:val="20"/>
          <w:highlight w:val="none"/>
        </w:rPr>
        <w:t>SO</w:t>
      </w:r>
      <w:r>
        <w:rPr>
          <w:rFonts w:hint="default" w:ascii="Times New Roman" w:hAnsi="Times New Roman" w:eastAsia="仿宋_GB2312" w:cs="Times New Roman"/>
          <w:color w:val="auto"/>
          <w:sz w:val="24"/>
          <w:szCs w:val="20"/>
          <w:highlight w:val="none"/>
          <w:vertAlign w:val="subscript"/>
        </w:rPr>
        <w:t>4</w:t>
      </w:r>
      <w:r>
        <w:rPr>
          <w:rFonts w:hint="default" w:ascii="Times New Roman" w:hAnsi="Times New Roman" w:eastAsia="仿宋_GB2312" w:cs="Times New Roman"/>
          <w:color w:val="auto"/>
          <w:sz w:val="24"/>
          <w:szCs w:val="20"/>
          <w:highlight w:val="none"/>
          <w:vertAlign w:val="superscript"/>
        </w:rPr>
        <w:t>2-</w:t>
      </w:r>
      <w:r>
        <w:rPr>
          <w:rFonts w:hint="default" w:ascii="Times New Roman" w:hAnsi="Times New Roman" w:eastAsia="仿宋_GB2312" w:cs="Times New Roman"/>
          <w:color w:val="auto"/>
          <w:sz w:val="24"/>
          <w:szCs w:val="20"/>
          <w:highlight w:val="none"/>
        </w:rPr>
        <w:t>、HCO</w:t>
      </w:r>
      <w:r>
        <w:rPr>
          <w:rFonts w:hint="default" w:ascii="Times New Roman" w:hAnsi="Times New Roman" w:eastAsia="仿宋_GB2312" w:cs="Times New Roman"/>
          <w:color w:val="auto"/>
          <w:sz w:val="24"/>
          <w:szCs w:val="20"/>
          <w:highlight w:val="none"/>
          <w:vertAlign w:val="subscript"/>
        </w:rPr>
        <w:t>3</w:t>
      </w:r>
      <w:r>
        <w:rPr>
          <w:rFonts w:hint="default" w:ascii="Times New Roman" w:hAnsi="Times New Roman" w:eastAsia="仿宋_GB2312" w:cs="Times New Roman"/>
          <w:color w:val="auto"/>
          <w:sz w:val="24"/>
          <w:szCs w:val="20"/>
          <w:highlight w:val="none"/>
          <w:vertAlign w:val="superscript"/>
        </w:rPr>
        <w:t>-</w:t>
      </w:r>
      <w:r>
        <w:rPr>
          <w:rFonts w:hint="default" w:ascii="Times New Roman" w:hAnsi="Times New Roman" w:eastAsia="仿宋_GB2312" w:cs="Times New Roman"/>
          <w:color w:val="auto"/>
          <w:sz w:val="24"/>
          <w:szCs w:val="20"/>
          <w:highlight w:val="none"/>
        </w:rPr>
        <w:t>；</w:t>
      </w:r>
      <w:r>
        <w:rPr>
          <w:rFonts w:hint="eastAsia" w:ascii="Times New Roman" w:hAnsi="Times New Roman" w:cs="Times New Roman"/>
          <w:color w:val="auto"/>
          <w:sz w:val="24"/>
          <w:szCs w:val="20"/>
          <w:highlight w:val="none"/>
          <w:lang w:val="en-US" w:eastAsia="zh-CN"/>
        </w:rPr>
        <w:t>D3#</w:t>
      </w:r>
      <w:r>
        <w:rPr>
          <w:rFonts w:hint="default" w:ascii="Times New Roman" w:hAnsi="Times New Roman" w:eastAsia="仿宋_GB2312" w:cs="Times New Roman"/>
          <w:color w:val="auto"/>
          <w:sz w:val="24"/>
          <w:szCs w:val="20"/>
          <w:highlight w:val="none"/>
        </w:rPr>
        <w:t>＞25%的阳离子为</w:t>
      </w:r>
      <w:r>
        <w:rPr>
          <w:rFonts w:hint="eastAsia" w:cs="Times New Roman"/>
          <w:color w:val="auto"/>
          <w:sz w:val="24"/>
          <w:szCs w:val="20"/>
          <w:highlight w:val="none"/>
          <w:lang w:val="en-US" w:eastAsia="zh-CN"/>
        </w:rPr>
        <w:t>Ca</w:t>
      </w:r>
      <w:r>
        <w:rPr>
          <w:rFonts w:hint="default" w:ascii="Times New Roman" w:hAnsi="Times New Roman" w:eastAsia="仿宋_GB2312" w:cs="Times New Roman"/>
          <w:color w:val="auto"/>
          <w:sz w:val="24"/>
          <w:szCs w:val="20"/>
          <w:highlight w:val="none"/>
          <w:vertAlign w:val="superscript"/>
        </w:rPr>
        <w:t>2+</w:t>
      </w:r>
      <w:r>
        <w:rPr>
          <w:rFonts w:hint="default" w:ascii="Times New Roman" w:hAnsi="Times New Roman" w:eastAsia="仿宋_GB2312" w:cs="Times New Roman"/>
          <w:color w:val="auto"/>
          <w:sz w:val="24"/>
          <w:szCs w:val="20"/>
          <w:highlight w:val="none"/>
        </w:rPr>
        <w:t>，＞25%的阴离子为Cl</w:t>
      </w:r>
      <w:r>
        <w:rPr>
          <w:rFonts w:hint="default" w:ascii="Times New Roman" w:hAnsi="Times New Roman" w:eastAsia="仿宋_GB2312" w:cs="Times New Roman"/>
          <w:color w:val="auto"/>
          <w:sz w:val="24"/>
          <w:szCs w:val="20"/>
          <w:highlight w:val="none"/>
          <w:vertAlign w:val="superscript"/>
        </w:rPr>
        <w:t>-</w:t>
      </w:r>
      <w:r>
        <w:rPr>
          <w:rFonts w:hint="eastAsia" w:cs="Times New Roman"/>
          <w:color w:val="auto"/>
          <w:sz w:val="24"/>
          <w:szCs w:val="20"/>
          <w:highlight w:val="none"/>
          <w:lang w:val="en-US" w:eastAsia="zh-CN"/>
        </w:rPr>
        <w:t>、</w:t>
      </w:r>
      <w:r>
        <w:rPr>
          <w:rFonts w:hint="default" w:ascii="Times New Roman" w:hAnsi="Times New Roman" w:eastAsia="仿宋_GB2312" w:cs="Times New Roman"/>
          <w:color w:val="auto"/>
          <w:sz w:val="24"/>
          <w:szCs w:val="20"/>
          <w:highlight w:val="none"/>
        </w:rPr>
        <w:t>SO</w:t>
      </w:r>
      <w:r>
        <w:rPr>
          <w:rFonts w:hint="default" w:ascii="Times New Roman" w:hAnsi="Times New Roman" w:eastAsia="仿宋_GB2312" w:cs="Times New Roman"/>
          <w:color w:val="auto"/>
          <w:sz w:val="24"/>
          <w:szCs w:val="20"/>
          <w:highlight w:val="none"/>
          <w:vertAlign w:val="subscript"/>
        </w:rPr>
        <w:t>4</w:t>
      </w:r>
      <w:r>
        <w:rPr>
          <w:rFonts w:hint="default" w:ascii="Times New Roman" w:hAnsi="Times New Roman" w:eastAsia="仿宋_GB2312" w:cs="Times New Roman"/>
          <w:color w:val="auto"/>
          <w:sz w:val="24"/>
          <w:szCs w:val="20"/>
          <w:highlight w:val="none"/>
          <w:vertAlign w:val="superscript"/>
        </w:rPr>
        <w:t>2-</w:t>
      </w:r>
      <w:r>
        <w:rPr>
          <w:rFonts w:hint="default" w:ascii="Times New Roman" w:hAnsi="Times New Roman" w:eastAsia="仿宋_GB2312" w:cs="Times New Roman"/>
          <w:color w:val="auto"/>
          <w:sz w:val="24"/>
          <w:szCs w:val="20"/>
          <w:highlight w:val="none"/>
        </w:rPr>
        <w:t>、HCO</w:t>
      </w:r>
      <w:r>
        <w:rPr>
          <w:rFonts w:hint="default" w:ascii="Times New Roman" w:hAnsi="Times New Roman" w:eastAsia="仿宋_GB2312" w:cs="Times New Roman"/>
          <w:color w:val="auto"/>
          <w:sz w:val="24"/>
          <w:szCs w:val="20"/>
          <w:highlight w:val="none"/>
          <w:vertAlign w:val="subscript"/>
        </w:rPr>
        <w:t>3</w:t>
      </w:r>
      <w:r>
        <w:rPr>
          <w:rFonts w:hint="default" w:ascii="Times New Roman" w:hAnsi="Times New Roman" w:eastAsia="仿宋_GB2312" w:cs="Times New Roman"/>
          <w:color w:val="auto"/>
          <w:sz w:val="24"/>
          <w:szCs w:val="20"/>
          <w:highlight w:val="none"/>
          <w:vertAlign w:val="superscript"/>
        </w:rPr>
        <w:t>-</w:t>
      </w:r>
      <w:r>
        <w:rPr>
          <w:rFonts w:hint="default" w:ascii="Times New Roman" w:hAnsi="Times New Roman" w:eastAsia="仿宋_GB2312" w:cs="Times New Roman"/>
          <w:color w:val="auto"/>
          <w:sz w:val="24"/>
          <w:szCs w:val="20"/>
          <w:highlight w:val="none"/>
        </w:rPr>
        <w:t>；根据舒卡列夫分类表</w:t>
      </w:r>
      <w:r>
        <w:rPr>
          <w:rFonts w:hint="default" w:ascii="Times New Roman" w:hAnsi="Times New Roman" w:eastAsia="仿宋_GB2312" w:cs="Times New Roman"/>
          <w:color w:val="auto"/>
          <w:sz w:val="24"/>
          <w:szCs w:val="20"/>
          <w:highlight w:val="none"/>
          <w:lang w:val="en-US" w:eastAsia="zh-CN"/>
        </w:rPr>
        <w:t>3.2-1</w:t>
      </w:r>
      <w:r>
        <w:rPr>
          <w:rFonts w:hint="eastAsia" w:cs="Times New Roman"/>
          <w:color w:val="auto"/>
          <w:sz w:val="24"/>
          <w:szCs w:val="20"/>
          <w:highlight w:val="none"/>
          <w:lang w:val="en-US" w:eastAsia="zh-CN"/>
        </w:rPr>
        <w:t>0</w:t>
      </w:r>
      <w:r>
        <w:rPr>
          <w:rFonts w:hint="default" w:ascii="Times New Roman" w:hAnsi="Times New Roman" w:eastAsia="仿宋_GB2312" w:cs="Times New Roman"/>
          <w:color w:val="auto"/>
          <w:sz w:val="24"/>
          <w:szCs w:val="20"/>
          <w:highlight w:val="none"/>
        </w:rPr>
        <w:t>、地下水矿化度划分表</w:t>
      </w:r>
      <w:r>
        <w:rPr>
          <w:rFonts w:hint="default" w:ascii="Times New Roman" w:hAnsi="Times New Roman" w:eastAsia="仿宋_GB2312" w:cs="Times New Roman"/>
          <w:color w:val="auto"/>
          <w:sz w:val="24"/>
          <w:szCs w:val="20"/>
          <w:highlight w:val="none"/>
          <w:lang w:val="en-US" w:eastAsia="zh-CN"/>
        </w:rPr>
        <w:t>3.2-1</w:t>
      </w:r>
      <w:r>
        <w:rPr>
          <w:rFonts w:hint="eastAsia" w:cs="Times New Roman"/>
          <w:color w:val="auto"/>
          <w:sz w:val="24"/>
          <w:szCs w:val="20"/>
          <w:highlight w:val="none"/>
          <w:lang w:val="en-US" w:eastAsia="zh-CN"/>
        </w:rPr>
        <w:t>1</w:t>
      </w:r>
      <w:r>
        <w:rPr>
          <w:rFonts w:hint="default" w:ascii="Times New Roman" w:hAnsi="Times New Roman" w:eastAsia="仿宋_GB2312" w:cs="Times New Roman"/>
          <w:color w:val="auto"/>
          <w:sz w:val="24"/>
          <w:szCs w:val="20"/>
          <w:highlight w:val="none"/>
        </w:rPr>
        <w:t>，判定区域地下水化学类型判定结果，判定结果详见表</w:t>
      </w:r>
      <w:r>
        <w:rPr>
          <w:rFonts w:hint="default" w:ascii="Times New Roman" w:hAnsi="Times New Roman" w:eastAsia="仿宋_GB2312" w:cs="Times New Roman"/>
          <w:color w:val="auto"/>
          <w:sz w:val="24"/>
          <w:szCs w:val="20"/>
          <w:highlight w:val="none"/>
          <w:lang w:val="en-US" w:eastAsia="zh-CN"/>
        </w:rPr>
        <w:t>3.2-1</w:t>
      </w:r>
      <w:r>
        <w:rPr>
          <w:rFonts w:hint="eastAsia" w:cs="Times New Roman"/>
          <w:color w:val="auto"/>
          <w:sz w:val="24"/>
          <w:szCs w:val="20"/>
          <w:highlight w:val="none"/>
          <w:lang w:val="en-US" w:eastAsia="zh-CN"/>
        </w:rPr>
        <w:t>2</w:t>
      </w:r>
      <w:r>
        <w:rPr>
          <w:rFonts w:hint="default" w:ascii="Times New Roman" w:hAnsi="Times New Roman" w:eastAsia="仿宋_GB2312" w:cs="Times New Roman"/>
          <w:color w:val="auto"/>
          <w:sz w:val="24"/>
          <w:szCs w:val="20"/>
          <w:highlight w:val="none"/>
        </w:rPr>
        <w:t>。</w:t>
      </w:r>
    </w:p>
    <w:p w14:paraId="6D2008F4">
      <w:pPr>
        <w:adjustRightInd w:val="0"/>
        <w:snapToGrid w:val="0"/>
        <w:spacing w:line="240" w:lineRule="auto"/>
        <w:ind w:firstLine="42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3.2-1</w:t>
      </w:r>
      <w:r>
        <w:rPr>
          <w:rFonts w:hint="eastAsia" w:eastAsia="宋体" w:cs="Times New Roman"/>
          <w:color w:val="auto"/>
          <w:sz w:val="21"/>
          <w:szCs w:val="21"/>
          <w:highlight w:val="none"/>
          <w:lang w:val="en-US" w:eastAsia="zh-CN"/>
        </w:rPr>
        <w:t>0</w:t>
      </w:r>
      <w:r>
        <w:rPr>
          <w:rFonts w:hint="default"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b/>
          <w:bCs/>
          <w:color w:val="auto"/>
          <w:sz w:val="24"/>
          <w:szCs w:val="24"/>
          <w:highlight w:val="none"/>
        </w:rPr>
        <w:t>舒卡列夫分类表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835"/>
        <w:gridCol w:w="932"/>
        <w:gridCol w:w="1419"/>
        <w:gridCol w:w="1293"/>
        <w:gridCol w:w="1189"/>
        <w:gridCol w:w="1211"/>
        <w:gridCol w:w="837"/>
      </w:tblGrid>
      <w:tr w14:paraId="25226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8" w:type="pct"/>
            <w:tcBorders>
              <w:top w:val="single" w:color="auto" w:sz="12" w:space="0"/>
              <w:left w:val="single" w:color="auto" w:sz="12" w:space="0"/>
              <w:bottom w:val="single" w:color="auto" w:sz="4" w:space="0"/>
              <w:right w:val="single" w:color="auto" w:sz="4" w:space="0"/>
            </w:tcBorders>
            <w:noWrap w:val="0"/>
            <w:vAlign w:val="center"/>
          </w:tcPr>
          <w:p w14:paraId="68152E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＞25%meq</w:t>
            </w:r>
          </w:p>
        </w:tc>
        <w:tc>
          <w:tcPr>
            <w:tcW w:w="466" w:type="pct"/>
            <w:tcBorders>
              <w:top w:val="single" w:color="auto" w:sz="12" w:space="0"/>
              <w:left w:val="single" w:color="auto" w:sz="4" w:space="0"/>
              <w:bottom w:val="single" w:color="auto" w:sz="4" w:space="0"/>
              <w:right w:val="single" w:color="auto" w:sz="4" w:space="0"/>
            </w:tcBorders>
            <w:noWrap w:val="0"/>
            <w:vAlign w:val="center"/>
          </w:tcPr>
          <w:p w14:paraId="53F223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HCO</w:t>
            </w:r>
            <w:r>
              <w:rPr>
                <w:rFonts w:hint="default" w:ascii="Times New Roman" w:hAnsi="Times New Roman" w:eastAsia="宋体" w:cs="Times New Roman"/>
                <w:b/>
                <w:color w:val="auto"/>
                <w:sz w:val="21"/>
                <w:szCs w:val="21"/>
                <w:highlight w:val="none"/>
                <w:vertAlign w:val="subscript"/>
              </w:rPr>
              <w:t>3</w:t>
            </w:r>
            <w:r>
              <w:rPr>
                <w:rFonts w:hint="default" w:ascii="Times New Roman" w:hAnsi="Times New Roman" w:eastAsia="宋体" w:cs="Times New Roman"/>
                <w:b/>
                <w:color w:val="auto"/>
                <w:sz w:val="21"/>
                <w:szCs w:val="21"/>
                <w:highlight w:val="none"/>
                <w:vertAlign w:val="superscript"/>
              </w:rPr>
              <w:t>-</w:t>
            </w:r>
          </w:p>
        </w:tc>
        <w:tc>
          <w:tcPr>
            <w:tcW w:w="520" w:type="pct"/>
            <w:tcBorders>
              <w:top w:val="single" w:color="auto" w:sz="12" w:space="0"/>
              <w:left w:val="single" w:color="auto" w:sz="4" w:space="0"/>
              <w:bottom w:val="single" w:color="auto" w:sz="4" w:space="0"/>
              <w:right w:val="single" w:color="auto" w:sz="4" w:space="0"/>
            </w:tcBorders>
            <w:noWrap w:val="0"/>
            <w:vAlign w:val="center"/>
          </w:tcPr>
          <w:p w14:paraId="5BB4E9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HCO</w:t>
            </w:r>
            <w:r>
              <w:rPr>
                <w:rFonts w:hint="default" w:ascii="Times New Roman" w:hAnsi="Times New Roman" w:eastAsia="宋体" w:cs="Times New Roman"/>
                <w:b/>
                <w:color w:val="auto"/>
                <w:sz w:val="21"/>
                <w:szCs w:val="21"/>
                <w:highlight w:val="none"/>
                <w:vertAlign w:val="subscript"/>
              </w:rPr>
              <w:t>3</w:t>
            </w:r>
            <w:r>
              <w:rPr>
                <w:rFonts w:hint="default" w:ascii="Times New Roman" w:hAnsi="Times New Roman" w:eastAsia="宋体" w:cs="Times New Roman"/>
                <w:b/>
                <w:color w:val="auto"/>
                <w:sz w:val="21"/>
                <w:szCs w:val="21"/>
                <w:highlight w:val="none"/>
                <w:vertAlign w:val="superscript"/>
              </w:rPr>
              <w:t>-</w:t>
            </w:r>
            <w:r>
              <w:rPr>
                <w:rFonts w:hint="default" w:ascii="Times New Roman" w:hAnsi="Times New Roman" w:eastAsia="宋体" w:cs="Times New Roman"/>
                <w:b/>
                <w:color w:val="auto"/>
                <w:sz w:val="21"/>
                <w:szCs w:val="21"/>
                <w:highlight w:val="none"/>
              </w:rPr>
              <w:t>+SO</w:t>
            </w:r>
            <w:r>
              <w:rPr>
                <w:rFonts w:hint="default" w:ascii="Times New Roman" w:hAnsi="Times New Roman" w:eastAsia="宋体" w:cs="Times New Roman"/>
                <w:b/>
                <w:color w:val="auto"/>
                <w:sz w:val="21"/>
                <w:szCs w:val="21"/>
                <w:highlight w:val="none"/>
                <w:vertAlign w:val="subscript"/>
              </w:rPr>
              <w:t>4</w:t>
            </w:r>
            <w:r>
              <w:rPr>
                <w:rFonts w:hint="default" w:ascii="Times New Roman" w:hAnsi="Times New Roman" w:eastAsia="宋体" w:cs="Times New Roman"/>
                <w:b/>
                <w:color w:val="auto"/>
                <w:sz w:val="21"/>
                <w:szCs w:val="21"/>
                <w:highlight w:val="none"/>
                <w:vertAlign w:val="superscript"/>
              </w:rPr>
              <w:t>2-</w:t>
            </w:r>
          </w:p>
        </w:tc>
        <w:tc>
          <w:tcPr>
            <w:tcW w:w="792" w:type="pct"/>
            <w:tcBorders>
              <w:top w:val="single" w:color="auto" w:sz="12" w:space="0"/>
              <w:left w:val="single" w:color="auto" w:sz="4" w:space="0"/>
              <w:bottom w:val="single" w:color="auto" w:sz="4" w:space="0"/>
              <w:right w:val="single" w:color="auto" w:sz="4" w:space="0"/>
            </w:tcBorders>
            <w:noWrap w:val="0"/>
            <w:vAlign w:val="center"/>
          </w:tcPr>
          <w:p w14:paraId="136F67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HCO</w:t>
            </w:r>
            <w:r>
              <w:rPr>
                <w:rFonts w:hint="default" w:ascii="Times New Roman" w:hAnsi="Times New Roman" w:eastAsia="宋体" w:cs="Times New Roman"/>
                <w:b/>
                <w:color w:val="auto"/>
                <w:sz w:val="21"/>
                <w:szCs w:val="21"/>
                <w:highlight w:val="none"/>
                <w:vertAlign w:val="subscript"/>
              </w:rPr>
              <w:t>3</w:t>
            </w:r>
            <w:r>
              <w:rPr>
                <w:rFonts w:hint="default" w:ascii="Times New Roman" w:hAnsi="Times New Roman" w:eastAsia="宋体" w:cs="Times New Roman"/>
                <w:b/>
                <w:color w:val="auto"/>
                <w:sz w:val="21"/>
                <w:szCs w:val="21"/>
                <w:highlight w:val="none"/>
                <w:vertAlign w:val="superscript"/>
              </w:rPr>
              <w:t>-</w:t>
            </w:r>
            <w:r>
              <w:rPr>
                <w:rFonts w:hint="default" w:ascii="Times New Roman" w:hAnsi="Times New Roman" w:eastAsia="宋体" w:cs="Times New Roman"/>
                <w:b/>
                <w:color w:val="auto"/>
                <w:sz w:val="21"/>
                <w:szCs w:val="21"/>
                <w:highlight w:val="none"/>
              </w:rPr>
              <w:t>+SO</w:t>
            </w:r>
            <w:r>
              <w:rPr>
                <w:rFonts w:hint="default" w:ascii="Times New Roman" w:hAnsi="Times New Roman" w:eastAsia="宋体" w:cs="Times New Roman"/>
                <w:b/>
                <w:color w:val="auto"/>
                <w:sz w:val="21"/>
                <w:szCs w:val="21"/>
                <w:highlight w:val="none"/>
                <w:vertAlign w:val="subscript"/>
              </w:rPr>
              <w:t>4</w:t>
            </w:r>
            <w:r>
              <w:rPr>
                <w:rFonts w:hint="default" w:ascii="Times New Roman" w:hAnsi="Times New Roman" w:eastAsia="宋体" w:cs="Times New Roman"/>
                <w:b/>
                <w:color w:val="auto"/>
                <w:sz w:val="21"/>
                <w:szCs w:val="21"/>
                <w:highlight w:val="none"/>
                <w:vertAlign w:val="superscript"/>
              </w:rPr>
              <w:t>2-</w:t>
            </w:r>
            <w:r>
              <w:rPr>
                <w:rFonts w:hint="default" w:ascii="Times New Roman" w:hAnsi="Times New Roman" w:eastAsia="宋体" w:cs="Times New Roman"/>
                <w:b/>
                <w:color w:val="auto"/>
                <w:sz w:val="21"/>
                <w:szCs w:val="21"/>
                <w:highlight w:val="none"/>
              </w:rPr>
              <w:t>+Cl</w:t>
            </w:r>
            <w:r>
              <w:rPr>
                <w:rFonts w:hint="default" w:ascii="Times New Roman" w:hAnsi="Times New Roman" w:eastAsia="宋体" w:cs="Times New Roman"/>
                <w:b/>
                <w:color w:val="auto"/>
                <w:sz w:val="21"/>
                <w:szCs w:val="21"/>
                <w:highlight w:val="none"/>
                <w:vertAlign w:val="superscript"/>
              </w:rPr>
              <w:t>-</w:t>
            </w:r>
          </w:p>
        </w:tc>
        <w:tc>
          <w:tcPr>
            <w:tcW w:w="722" w:type="pct"/>
            <w:tcBorders>
              <w:top w:val="single" w:color="auto" w:sz="12" w:space="0"/>
              <w:left w:val="single" w:color="auto" w:sz="4" w:space="0"/>
              <w:bottom w:val="single" w:color="auto" w:sz="4" w:space="0"/>
              <w:right w:val="single" w:color="auto" w:sz="4" w:space="0"/>
            </w:tcBorders>
            <w:noWrap w:val="0"/>
            <w:vAlign w:val="center"/>
          </w:tcPr>
          <w:p w14:paraId="7C3F9A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HCO</w:t>
            </w:r>
            <w:r>
              <w:rPr>
                <w:rFonts w:hint="default" w:ascii="Times New Roman" w:hAnsi="Times New Roman" w:eastAsia="宋体" w:cs="Times New Roman"/>
                <w:b/>
                <w:color w:val="auto"/>
                <w:sz w:val="21"/>
                <w:szCs w:val="21"/>
                <w:highlight w:val="none"/>
                <w:vertAlign w:val="subscript"/>
              </w:rPr>
              <w:t>3</w:t>
            </w:r>
            <w:r>
              <w:rPr>
                <w:rFonts w:hint="default" w:ascii="Times New Roman" w:hAnsi="Times New Roman" w:eastAsia="宋体" w:cs="Times New Roman"/>
                <w:b/>
                <w:color w:val="auto"/>
                <w:sz w:val="21"/>
                <w:szCs w:val="21"/>
                <w:highlight w:val="none"/>
                <w:vertAlign w:val="superscript"/>
              </w:rPr>
              <w:t>-</w:t>
            </w:r>
            <w:r>
              <w:rPr>
                <w:rFonts w:hint="default" w:ascii="Times New Roman" w:hAnsi="Times New Roman" w:eastAsia="宋体" w:cs="Times New Roman"/>
                <w:b/>
                <w:color w:val="auto"/>
                <w:sz w:val="21"/>
                <w:szCs w:val="21"/>
                <w:highlight w:val="none"/>
              </w:rPr>
              <w:t>+Cl</w:t>
            </w:r>
            <w:r>
              <w:rPr>
                <w:rFonts w:hint="default" w:ascii="Times New Roman" w:hAnsi="Times New Roman" w:eastAsia="宋体" w:cs="Times New Roman"/>
                <w:b/>
                <w:color w:val="auto"/>
                <w:sz w:val="21"/>
                <w:szCs w:val="21"/>
                <w:highlight w:val="none"/>
                <w:vertAlign w:val="superscript"/>
              </w:rPr>
              <w:t>-</w:t>
            </w:r>
          </w:p>
        </w:tc>
        <w:tc>
          <w:tcPr>
            <w:tcW w:w="664" w:type="pct"/>
            <w:tcBorders>
              <w:top w:val="single" w:color="auto" w:sz="12" w:space="0"/>
              <w:left w:val="single" w:color="auto" w:sz="4" w:space="0"/>
              <w:bottom w:val="single" w:color="auto" w:sz="4" w:space="0"/>
              <w:right w:val="single" w:color="auto" w:sz="4" w:space="0"/>
            </w:tcBorders>
            <w:noWrap w:val="0"/>
            <w:vAlign w:val="center"/>
          </w:tcPr>
          <w:p w14:paraId="2F7F3B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SO</w:t>
            </w:r>
            <w:r>
              <w:rPr>
                <w:rFonts w:hint="default" w:ascii="Times New Roman" w:hAnsi="Times New Roman" w:eastAsia="宋体" w:cs="Times New Roman"/>
                <w:b/>
                <w:color w:val="auto"/>
                <w:sz w:val="21"/>
                <w:szCs w:val="21"/>
                <w:highlight w:val="none"/>
                <w:vertAlign w:val="subscript"/>
              </w:rPr>
              <w:t>4</w:t>
            </w:r>
            <w:r>
              <w:rPr>
                <w:rFonts w:hint="default" w:ascii="Times New Roman" w:hAnsi="Times New Roman" w:eastAsia="宋体" w:cs="Times New Roman"/>
                <w:b/>
                <w:color w:val="auto"/>
                <w:sz w:val="21"/>
                <w:szCs w:val="21"/>
                <w:highlight w:val="none"/>
                <w:vertAlign w:val="superscript"/>
              </w:rPr>
              <w:t>2-</w:t>
            </w:r>
          </w:p>
        </w:tc>
        <w:tc>
          <w:tcPr>
            <w:tcW w:w="676" w:type="pct"/>
            <w:tcBorders>
              <w:top w:val="single" w:color="auto" w:sz="12" w:space="0"/>
              <w:left w:val="single" w:color="auto" w:sz="4" w:space="0"/>
              <w:bottom w:val="single" w:color="auto" w:sz="4" w:space="0"/>
              <w:right w:val="single" w:color="auto" w:sz="4" w:space="0"/>
            </w:tcBorders>
            <w:noWrap w:val="0"/>
            <w:vAlign w:val="center"/>
          </w:tcPr>
          <w:p w14:paraId="7B4E3A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SO</w:t>
            </w:r>
            <w:r>
              <w:rPr>
                <w:rFonts w:hint="default" w:ascii="Times New Roman" w:hAnsi="Times New Roman" w:eastAsia="宋体" w:cs="Times New Roman"/>
                <w:b/>
                <w:color w:val="auto"/>
                <w:sz w:val="21"/>
                <w:szCs w:val="21"/>
                <w:highlight w:val="none"/>
                <w:vertAlign w:val="subscript"/>
              </w:rPr>
              <w:t>4</w:t>
            </w:r>
            <w:r>
              <w:rPr>
                <w:rFonts w:hint="default" w:ascii="Times New Roman" w:hAnsi="Times New Roman" w:eastAsia="宋体" w:cs="Times New Roman"/>
                <w:b/>
                <w:color w:val="auto"/>
                <w:sz w:val="21"/>
                <w:szCs w:val="21"/>
                <w:highlight w:val="none"/>
                <w:vertAlign w:val="superscript"/>
              </w:rPr>
              <w:t>2-</w:t>
            </w:r>
            <w:r>
              <w:rPr>
                <w:rFonts w:hint="default" w:ascii="Times New Roman" w:hAnsi="Times New Roman" w:eastAsia="宋体" w:cs="Times New Roman"/>
                <w:b/>
                <w:color w:val="auto"/>
                <w:sz w:val="21"/>
                <w:szCs w:val="21"/>
                <w:highlight w:val="none"/>
              </w:rPr>
              <w:t>+Cl</w:t>
            </w:r>
            <w:r>
              <w:rPr>
                <w:rFonts w:hint="default" w:ascii="Times New Roman" w:hAnsi="Times New Roman" w:eastAsia="宋体" w:cs="Times New Roman"/>
                <w:b/>
                <w:color w:val="auto"/>
                <w:sz w:val="21"/>
                <w:szCs w:val="21"/>
                <w:highlight w:val="none"/>
                <w:vertAlign w:val="superscript"/>
              </w:rPr>
              <w:t>-</w:t>
            </w:r>
          </w:p>
        </w:tc>
        <w:tc>
          <w:tcPr>
            <w:tcW w:w="467" w:type="pct"/>
            <w:tcBorders>
              <w:top w:val="single" w:color="auto" w:sz="12" w:space="0"/>
              <w:left w:val="single" w:color="auto" w:sz="4" w:space="0"/>
              <w:bottom w:val="single" w:color="auto" w:sz="4" w:space="0"/>
              <w:right w:val="single" w:color="auto" w:sz="12" w:space="0"/>
            </w:tcBorders>
            <w:noWrap w:val="0"/>
            <w:vAlign w:val="center"/>
          </w:tcPr>
          <w:p w14:paraId="2470A9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Cl</w:t>
            </w:r>
            <w:r>
              <w:rPr>
                <w:rFonts w:hint="default" w:ascii="Times New Roman" w:hAnsi="Times New Roman" w:eastAsia="宋体" w:cs="Times New Roman"/>
                <w:b/>
                <w:color w:val="auto"/>
                <w:sz w:val="21"/>
                <w:szCs w:val="21"/>
                <w:highlight w:val="none"/>
                <w:vertAlign w:val="superscript"/>
              </w:rPr>
              <w:t>-</w:t>
            </w:r>
          </w:p>
        </w:tc>
      </w:tr>
      <w:tr w14:paraId="1D6AE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8" w:type="pct"/>
            <w:tcBorders>
              <w:top w:val="single" w:color="auto" w:sz="4" w:space="0"/>
              <w:left w:val="single" w:color="auto" w:sz="12" w:space="0"/>
              <w:bottom w:val="single" w:color="auto" w:sz="4" w:space="0"/>
              <w:right w:val="single" w:color="auto" w:sz="4" w:space="0"/>
            </w:tcBorders>
            <w:noWrap w:val="0"/>
            <w:vAlign w:val="center"/>
          </w:tcPr>
          <w:p w14:paraId="099AFA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Ca</w:t>
            </w:r>
            <w:r>
              <w:rPr>
                <w:rFonts w:hint="default" w:ascii="Times New Roman" w:hAnsi="Times New Roman" w:eastAsia="宋体" w:cs="Times New Roman"/>
                <w:b/>
                <w:color w:val="auto"/>
                <w:sz w:val="21"/>
                <w:szCs w:val="21"/>
                <w:highlight w:val="none"/>
                <w:vertAlign w:val="superscript"/>
              </w:rPr>
              <w:t>2+</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21E2AE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5BC395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8</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65C9DE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w:t>
            </w:r>
          </w:p>
        </w:tc>
        <w:tc>
          <w:tcPr>
            <w:tcW w:w="722" w:type="pct"/>
            <w:tcBorders>
              <w:top w:val="single" w:color="auto" w:sz="4" w:space="0"/>
              <w:left w:val="single" w:color="auto" w:sz="4" w:space="0"/>
              <w:bottom w:val="single" w:color="auto" w:sz="4" w:space="0"/>
              <w:right w:val="single" w:color="auto" w:sz="4" w:space="0"/>
            </w:tcBorders>
            <w:noWrap w:val="0"/>
            <w:vAlign w:val="center"/>
          </w:tcPr>
          <w:p w14:paraId="51721E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22</w:t>
            </w:r>
          </w:p>
        </w:tc>
        <w:tc>
          <w:tcPr>
            <w:tcW w:w="664" w:type="pct"/>
            <w:tcBorders>
              <w:top w:val="single" w:color="auto" w:sz="4" w:space="0"/>
              <w:left w:val="single" w:color="auto" w:sz="4" w:space="0"/>
              <w:bottom w:val="single" w:color="auto" w:sz="4" w:space="0"/>
              <w:right w:val="single" w:color="auto" w:sz="4" w:space="0"/>
            </w:tcBorders>
            <w:noWrap w:val="0"/>
            <w:vAlign w:val="center"/>
          </w:tcPr>
          <w:p w14:paraId="07C4E6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29</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75F0B6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36</w:t>
            </w:r>
          </w:p>
        </w:tc>
        <w:tc>
          <w:tcPr>
            <w:tcW w:w="467" w:type="pct"/>
            <w:tcBorders>
              <w:top w:val="single" w:color="auto" w:sz="4" w:space="0"/>
              <w:left w:val="single" w:color="auto" w:sz="4" w:space="0"/>
              <w:bottom w:val="single" w:color="auto" w:sz="4" w:space="0"/>
              <w:right w:val="single" w:color="auto" w:sz="12" w:space="0"/>
            </w:tcBorders>
            <w:noWrap w:val="0"/>
            <w:vAlign w:val="center"/>
          </w:tcPr>
          <w:p w14:paraId="3EBD48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43</w:t>
            </w:r>
          </w:p>
        </w:tc>
      </w:tr>
      <w:tr w14:paraId="2F3CA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8" w:type="pct"/>
            <w:tcBorders>
              <w:top w:val="single" w:color="auto" w:sz="4" w:space="0"/>
              <w:left w:val="single" w:color="auto" w:sz="12" w:space="0"/>
              <w:bottom w:val="single" w:color="auto" w:sz="4" w:space="0"/>
              <w:right w:val="single" w:color="auto" w:sz="4" w:space="0"/>
            </w:tcBorders>
            <w:noWrap w:val="0"/>
            <w:vAlign w:val="center"/>
          </w:tcPr>
          <w:p w14:paraId="533ECD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Ca</w:t>
            </w:r>
            <w:r>
              <w:rPr>
                <w:rFonts w:hint="default" w:ascii="Times New Roman" w:hAnsi="Times New Roman" w:eastAsia="宋体" w:cs="Times New Roman"/>
                <w:b/>
                <w:color w:val="auto"/>
                <w:sz w:val="21"/>
                <w:szCs w:val="21"/>
                <w:highlight w:val="none"/>
                <w:vertAlign w:val="superscript"/>
              </w:rPr>
              <w:t>2+</w:t>
            </w:r>
            <w:r>
              <w:rPr>
                <w:rFonts w:hint="default" w:ascii="Times New Roman" w:hAnsi="Times New Roman" w:eastAsia="宋体" w:cs="Times New Roman"/>
                <w:b/>
                <w:color w:val="auto"/>
                <w:sz w:val="21"/>
                <w:szCs w:val="21"/>
                <w:highlight w:val="none"/>
              </w:rPr>
              <w:t>+Mg</w:t>
            </w:r>
            <w:r>
              <w:rPr>
                <w:rFonts w:hint="default" w:ascii="Times New Roman" w:hAnsi="Times New Roman" w:eastAsia="宋体" w:cs="Times New Roman"/>
                <w:b/>
                <w:color w:val="auto"/>
                <w:sz w:val="21"/>
                <w:szCs w:val="21"/>
                <w:highlight w:val="none"/>
                <w:vertAlign w:val="superscript"/>
              </w:rPr>
              <w:t>2+</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2F1511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0E6726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9</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46D813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16</w:t>
            </w:r>
          </w:p>
        </w:tc>
        <w:tc>
          <w:tcPr>
            <w:tcW w:w="722" w:type="pct"/>
            <w:tcBorders>
              <w:top w:val="single" w:color="auto" w:sz="4" w:space="0"/>
              <w:left w:val="single" w:color="auto" w:sz="4" w:space="0"/>
              <w:bottom w:val="single" w:color="auto" w:sz="4" w:space="0"/>
              <w:right w:val="single" w:color="auto" w:sz="4" w:space="0"/>
            </w:tcBorders>
            <w:noWrap w:val="0"/>
            <w:vAlign w:val="center"/>
          </w:tcPr>
          <w:p w14:paraId="6C3363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23</w:t>
            </w:r>
          </w:p>
        </w:tc>
        <w:tc>
          <w:tcPr>
            <w:tcW w:w="664" w:type="pct"/>
            <w:tcBorders>
              <w:top w:val="single" w:color="auto" w:sz="4" w:space="0"/>
              <w:left w:val="single" w:color="auto" w:sz="4" w:space="0"/>
              <w:bottom w:val="single" w:color="auto" w:sz="4" w:space="0"/>
              <w:right w:val="single" w:color="auto" w:sz="4" w:space="0"/>
            </w:tcBorders>
            <w:noWrap w:val="0"/>
            <w:vAlign w:val="center"/>
          </w:tcPr>
          <w:p w14:paraId="785388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30</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356ED8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37</w:t>
            </w:r>
          </w:p>
        </w:tc>
        <w:tc>
          <w:tcPr>
            <w:tcW w:w="467" w:type="pct"/>
            <w:tcBorders>
              <w:top w:val="single" w:color="auto" w:sz="4" w:space="0"/>
              <w:left w:val="single" w:color="auto" w:sz="4" w:space="0"/>
              <w:bottom w:val="single" w:color="auto" w:sz="4" w:space="0"/>
              <w:right w:val="single" w:color="auto" w:sz="12" w:space="0"/>
            </w:tcBorders>
            <w:noWrap w:val="0"/>
            <w:vAlign w:val="center"/>
          </w:tcPr>
          <w:p w14:paraId="03738B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44</w:t>
            </w:r>
          </w:p>
        </w:tc>
      </w:tr>
      <w:tr w14:paraId="6A2C7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8" w:type="pct"/>
            <w:tcBorders>
              <w:top w:val="single" w:color="auto" w:sz="4" w:space="0"/>
              <w:left w:val="single" w:color="auto" w:sz="12" w:space="0"/>
              <w:bottom w:val="single" w:color="auto" w:sz="4" w:space="0"/>
              <w:right w:val="single" w:color="auto" w:sz="4" w:space="0"/>
            </w:tcBorders>
            <w:noWrap w:val="0"/>
            <w:vAlign w:val="center"/>
          </w:tcPr>
          <w:p w14:paraId="2FB9C7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Mg</w:t>
            </w:r>
            <w:r>
              <w:rPr>
                <w:rFonts w:hint="default" w:ascii="Times New Roman" w:hAnsi="Times New Roman" w:eastAsia="宋体" w:cs="Times New Roman"/>
                <w:b/>
                <w:color w:val="auto"/>
                <w:sz w:val="21"/>
                <w:szCs w:val="21"/>
                <w:highlight w:val="none"/>
                <w:vertAlign w:val="superscript"/>
              </w:rPr>
              <w:t>2+</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32F8BA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5F7084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10</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1C9549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17</w:t>
            </w:r>
          </w:p>
        </w:tc>
        <w:tc>
          <w:tcPr>
            <w:tcW w:w="722" w:type="pct"/>
            <w:tcBorders>
              <w:top w:val="single" w:color="auto" w:sz="4" w:space="0"/>
              <w:left w:val="single" w:color="auto" w:sz="4" w:space="0"/>
              <w:bottom w:val="single" w:color="auto" w:sz="4" w:space="0"/>
              <w:right w:val="single" w:color="auto" w:sz="4" w:space="0"/>
            </w:tcBorders>
            <w:noWrap w:val="0"/>
            <w:vAlign w:val="center"/>
          </w:tcPr>
          <w:p w14:paraId="02B6EF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24</w:t>
            </w:r>
          </w:p>
        </w:tc>
        <w:tc>
          <w:tcPr>
            <w:tcW w:w="664" w:type="pct"/>
            <w:tcBorders>
              <w:top w:val="single" w:color="auto" w:sz="4" w:space="0"/>
              <w:left w:val="single" w:color="auto" w:sz="4" w:space="0"/>
              <w:bottom w:val="single" w:color="auto" w:sz="4" w:space="0"/>
              <w:right w:val="single" w:color="auto" w:sz="4" w:space="0"/>
            </w:tcBorders>
            <w:noWrap w:val="0"/>
            <w:vAlign w:val="center"/>
          </w:tcPr>
          <w:p w14:paraId="10A714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31</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19A2A9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38</w:t>
            </w:r>
          </w:p>
        </w:tc>
        <w:tc>
          <w:tcPr>
            <w:tcW w:w="467" w:type="pct"/>
            <w:tcBorders>
              <w:top w:val="single" w:color="auto" w:sz="4" w:space="0"/>
              <w:left w:val="single" w:color="auto" w:sz="4" w:space="0"/>
              <w:bottom w:val="single" w:color="auto" w:sz="4" w:space="0"/>
              <w:right w:val="single" w:color="auto" w:sz="12" w:space="0"/>
            </w:tcBorders>
            <w:noWrap w:val="0"/>
            <w:vAlign w:val="center"/>
          </w:tcPr>
          <w:p w14:paraId="77543D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45</w:t>
            </w:r>
          </w:p>
        </w:tc>
      </w:tr>
      <w:tr w14:paraId="740C4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8" w:type="pct"/>
            <w:tcBorders>
              <w:top w:val="single" w:color="auto" w:sz="4" w:space="0"/>
              <w:left w:val="single" w:color="auto" w:sz="12" w:space="0"/>
              <w:bottom w:val="single" w:color="auto" w:sz="4" w:space="0"/>
              <w:right w:val="single" w:color="auto" w:sz="4" w:space="0"/>
            </w:tcBorders>
            <w:noWrap w:val="0"/>
            <w:vAlign w:val="center"/>
          </w:tcPr>
          <w:p w14:paraId="34F294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Na</w:t>
            </w:r>
            <w:r>
              <w:rPr>
                <w:rFonts w:hint="default" w:ascii="Times New Roman" w:hAnsi="Times New Roman" w:eastAsia="宋体" w:cs="Times New Roman"/>
                <w:b/>
                <w:color w:val="auto"/>
                <w:sz w:val="21"/>
                <w:szCs w:val="21"/>
                <w:highlight w:val="none"/>
                <w:vertAlign w:val="superscript"/>
              </w:rPr>
              <w:t>+</w:t>
            </w:r>
            <w:r>
              <w:rPr>
                <w:rFonts w:hint="default" w:ascii="Times New Roman" w:hAnsi="Times New Roman" w:eastAsia="宋体" w:cs="Times New Roman"/>
                <w:b/>
                <w:color w:val="auto"/>
                <w:sz w:val="21"/>
                <w:szCs w:val="21"/>
                <w:highlight w:val="none"/>
              </w:rPr>
              <w:t>+Ca</w:t>
            </w:r>
            <w:r>
              <w:rPr>
                <w:rFonts w:hint="default" w:ascii="Times New Roman" w:hAnsi="Times New Roman" w:eastAsia="宋体" w:cs="Times New Roman"/>
                <w:b/>
                <w:color w:val="auto"/>
                <w:sz w:val="21"/>
                <w:szCs w:val="21"/>
                <w:highlight w:val="none"/>
                <w:vertAlign w:val="superscript"/>
              </w:rPr>
              <w:t>2+</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1B293B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07D79A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11</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24944E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18</w:t>
            </w:r>
          </w:p>
        </w:tc>
        <w:tc>
          <w:tcPr>
            <w:tcW w:w="722" w:type="pct"/>
            <w:tcBorders>
              <w:top w:val="single" w:color="auto" w:sz="4" w:space="0"/>
              <w:left w:val="single" w:color="auto" w:sz="4" w:space="0"/>
              <w:bottom w:val="single" w:color="auto" w:sz="4" w:space="0"/>
              <w:right w:val="single" w:color="auto" w:sz="4" w:space="0"/>
            </w:tcBorders>
            <w:noWrap w:val="0"/>
            <w:vAlign w:val="center"/>
          </w:tcPr>
          <w:p w14:paraId="41C30C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25</w:t>
            </w:r>
          </w:p>
        </w:tc>
        <w:tc>
          <w:tcPr>
            <w:tcW w:w="664" w:type="pct"/>
            <w:tcBorders>
              <w:top w:val="single" w:color="auto" w:sz="4" w:space="0"/>
              <w:left w:val="single" w:color="auto" w:sz="4" w:space="0"/>
              <w:bottom w:val="single" w:color="auto" w:sz="4" w:space="0"/>
              <w:right w:val="single" w:color="auto" w:sz="4" w:space="0"/>
            </w:tcBorders>
            <w:noWrap w:val="0"/>
            <w:vAlign w:val="center"/>
          </w:tcPr>
          <w:p w14:paraId="4F97A0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32</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1B0A26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39</w:t>
            </w:r>
          </w:p>
        </w:tc>
        <w:tc>
          <w:tcPr>
            <w:tcW w:w="467" w:type="pct"/>
            <w:tcBorders>
              <w:top w:val="single" w:color="auto" w:sz="4" w:space="0"/>
              <w:left w:val="single" w:color="auto" w:sz="4" w:space="0"/>
              <w:bottom w:val="single" w:color="auto" w:sz="4" w:space="0"/>
              <w:right w:val="single" w:color="auto" w:sz="12" w:space="0"/>
            </w:tcBorders>
            <w:noWrap w:val="0"/>
            <w:vAlign w:val="center"/>
          </w:tcPr>
          <w:p w14:paraId="17D7BB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46</w:t>
            </w:r>
          </w:p>
        </w:tc>
      </w:tr>
      <w:tr w14:paraId="17824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8" w:type="pct"/>
            <w:tcBorders>
              <w:top w:val="single" w:color="auto" w:sz="4" w:space="0"/>
              <w:left w:val="single" w:color="auto" w:sz="12" w:space="0"/>
              <w:bottom w:val="single" w:color="auto" w:sz="4" w:space="0"/>
              <w:right w:val="single" w:color="auto" w:sz="4" w:space="0"/>
            </w:tcBorders>
            <w:noWrap w:val="0"/>
            <w:vAlign w:val="center"/>
          </w:tcPr>
          <w:p w14:paraId="5F31F6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Na</w:t>
            </w:r>
            <w:r>
              <w:rPr>
                <w:rFonts w:hint="default" w:ascii="Times New Roman" w:hAnsi="Times New Roman" w:eastAsia="宋体" w:cs="Times New Roman"/>
                <w:b/>
                <w:color w:val="auto"/>
                <w:sz w:val="21"/>
                <w:szCs w:val="21"/>
                <w:highlight w:val="none"/>
                <w:vertAlign w:val="superscript"/>
              </w:rPr>
              <w:t>+</w:t>
            </w:r>
            <w:r>
              <w:rPr>
                <w:rFonts w:hint="default" w:ascii="Times New Roman" w:hAnsi="Times New Roman" w:eastAsia="宋体" w:cs="Times New Roman"/>
                <w:b/>
                <w:color w:val="auto"/>
                <w:sz w:val="21"/>
                <w:szCs w:val="21"/>
                <w:highlight w:val="none"/>
              </w:rPr>
              <w:t>+Ca</w:t>
            </w:r>
            <w:r>
              <w:rPr>
                <w:rFonts w:hint="default" w:ascii="Times New Roman" w:hAnsi="Times New Roman" w:eastAsia="宋体" w:cs="Times New Roman"/>
                <w:b/>
                <w:color w:val="auto"/>
                <w:sz w:val="21"/>
                <w:szCs w:val="21"/>
                <w:highlight w:val="none"/>
                <w:vertAlign w:val="superscript"/>
              </w:rPr>
              <w:t>2+</w:t>
            </w:r>
            <w:r>
              <w:rPr>
                <w:rFonts w:hint="default" w:ascii="Times New Roman" w:hAnsi="Times New Roman" w:eastAsia="宋体" w:cs="Times New Roman"/>
                <w:b/>
                <w:color w:val="auto"/>
                <w:sz w:val="21"/>
                <w:szCs w:val="21"/>
                <w:highlight w:val="none"/>
              </w:rPr>
              <w:t>+Mg</w:t>
            </w:r>
            <w:r>
              <w:rPr>
                <w:rFonts w:hint="default" w:ascii="Times New Roman" w:hAnsi="Times New Roman" w:eastAsia="宋体" w:cs="Times New Roman"/>
                <w:b/>
                <w:color w:val="auto"/>
                <w:sz w:val="21"/>
                <w:szCs w:val="21"/>
                <w:highlight w:val="none"/>
                <w:vertAlign w:val="superscript"/>
              </w:rPr>
              <w:t>2+</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7BB805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5</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5FD863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12</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2E3D6B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19</w:t>
            </w:r>
          </w:p>
        </w:tc>
        <w:tc>
          <w:tcPr>
            <w:tcW w:w="722" w:type="pct"/>
            <w:tcBorders>
              <w:top w:val="single" w:color="auto" w:sz="4" w:space="0"/>
              <w:left w:val="single" w:color="auto" w:sz="4" w:space="0"/>
              <w:bottom w:val="single" w:color="auto" w:sz="4" w:space="0"/>
              <w:right w:val="single" w:color="auto" w:sz="4" w:space="0"/>
            </w:tcBorders>
            <w:noWrap w:val="0"/>
            <w:vAlign w:val="center"/>
          </w:tcPr>
          <w:p w14:paraId="6D0846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26</w:t>
            </w:r>
          </w:p>
        </w:tc>
        <w:tc>
          <w:tcPr>
            <w:tcW w:w="664" w:type="pct"/>
            <w:tcBorders>
              <w:top w:val="single" w:color="auto" w:sz="4" w:space="0"/>
              <w:left w:val="single" w:color="auto" w:sz="4" w:space="0"/>
              <w:bottom w:val="single" w:color="auto" w:sz="4" w:space="0"/>
              <w:right w:val="single" w:color="auto" w:sz="4" w:space="0"/>
            </w:tcBorders>
            <w:noWrap w:val="0"/>
            <w:vAlign w:val="center"/>
          </w:tcPr>
          <w:p w14:paraId="0ACA30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33</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73474B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40</w:t>
            </w:r>
          </w:p>
        </w:tc>
        <w:tc>
          <w:tcPr>
            <w:tcW w:w="467" w:type="pct"/>
            <w:tcBorders>
              <w:top w:val="single" w:color="auto" w:sz="4" w:space="0"/>
              <w:left w:val="single" w:color="auto" w:sz="4" w:space="0"/>
              <w:bottom w:val="single" w:color="auto" w:sz="4" w:space="0"/>
              <w:right w:val="single" w:color="auto" w:sz="12" w:space="0"/>
            </w:tcBorders>
            <w:noWrap w:val="0"/>
            <w:vAlign w:val="center"/>
          </w:tcPr>
          <w:p w14:paraId="245B6A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47</w:t>
            </w:r>
          </w:p>
        </w:tc>
      </w:tr>
      <w:tr w14:paraId="1EB85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8" w:type="pct"/>
            <w:tcBorders>
              <w:top w:val="single" w:color="auto" w:sz="4" w:space="0"/>
              <w:left w:val="single" w:color="auto" w:sz="12" w:space="0"/>
              <w:bottom w:val="single" w:color="auto" w:sz="4" w:space="0"/>
              <w:right w:val="single" w:color="auto" w:sz="4" w:space="0"/>
            </w:tcBorders>
            <w:noWrap w:val="0"/>
            <w:vAlign w:val="center"/>
          </w:tcPr>
          <w:p w14:paraId="4D88A0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Na</w:t>
            </w:r>
            <w:r>
              <w:rPr>
                <w:rFonts w:hint="default" w:ascii="Times New Roman" w:hAnsi="Times New Roman" w:eastAsia="宋体" w:cs="Times New Roman"/>
                <w:b/>
                <w:color w:val="auto"/>
                <w:sz w:val="21"/>
                <w:szCs w:val="21"/>
                <w:highlight w:val="none"/>
                <w:vertAlign w:val="superscript"/>
              </w:rPr>
              <w:t>+</w:t>
            </w:r>
            <w:r>
              <w:rPr>
                <w:rFonts w:hint="default" w:ascii="Times New Roman" w:hAnsi="Times New Roman" w:eastAsia="宋体" w:cs="Times New Roman"/>
                <w:b/>
                <w:color w:val="auto"/>
                <w:sz w:val="21"/>
                <w:szCs w:val="21"/>
                <w:highlight w:val="none"/>
              </w:rPr>
              <w:t>+Mg</w:t>
            </w:r>
            <w:r>
              <w:rPr>
                <w:rFonts w:hint="default" w:ascii="Times New Roman" w:hAnsi="Times New Roman" w:eastAsia="宋体" w:cs="Times New Roman"/>
                <w:b/>
                <w:color w:val="auto"/>
                <w:sz w:val="21"/>
                <w:szCs w:val="21"/>
                <w:highlight w:val="none"/>
                <w:vertAlign w:val="superscript"/>
              </w:rPr>
              <w:t>2+</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316D98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6</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DAF97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13</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3A0F0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20</w:t>
            </w:r>
          </w:p>
        </w:tc>
        <w:tc>
          <w:tcPr>
            <w:tcW w:w="722" w:type="pct"/>
            <w:tcBorders>
              <w:top w:val="single" w:color="auto" w:sz="4" w:space="0"/>
              <w:left w:val="single" w:color="auto" w:sz="4" w:space="0"/>
              <w:bottom w:val="single" w:color="auto" w:sz="4" w:space="0"/>
              <w:right w:val="single" w:color="auto" w:sz="4" w:space="0"/>
            </w:tcBorders>
            <w:noWrap w:val="0"/>
            <w:vAlign w:val="center"/>
          </w:tcPr>
          <w:p w14:paraId="29C03F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27</w:t>
            </w:r>
          </w:p>
        </w:tc>
        <w:tc>
          <w:tcPr>
            <w:tcW w:w="664" w:type="pct"/>
            <w:tcBorders>
              <w:top w:val="single" w:color="auto" w:sz="4" w:space="0"/>
              <w:left w:val="single" w:color="auto" w:sz="4" w:space="0"/>
              <w:bottom w:val="single" w:color="auto" w:sz="4" w:space="0"/>
              <w:right w:val="single" w:color="auto" w:sz="4" w:space="0"/>
            </w:tcBorders>
            <w:noWrap w:val="0"/>
            <w:vAlign w:val="center"/>
          </w:tcPr>
          <w:p w14:paraId="108F7F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34</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778EA5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41</w:t>
            </w:r>
          </w:p>
        </w:tc>
        <w:tc>
          <w:tcPr>
            <w:tcW w:w="467" w:type="pct"/>
            <w:tcBorders>
              <w:top w:val="single" w:color="auto" w:sz="4" w:space="0"/>
              <w:left w:val="single" w:color="auto" w:sz="4" w:space="0"/>
              <w:bottom w:val="single" w:color="auto" w:sz="4" w:space="0"/>
              <w:right w:val="single" w:color="auto" w:sz="12" w:space="0"/>
            </w:tcBorders>
            <w:noWrap w:val="0"/>
            <w:vAlign w:val="center"/>
          </w:tcPr>
          <w:p w14:paraId="1D0666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48</w:t>
            </w:r>
          </w:p>
        </w:tc>
      </w:tr>
      <w:tr w14:paraId="3C99D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8" w:type="pct"/>
            <w:tcBorders>
              <w:top w:val="single" w:color="auto" w:sz="4" w:space="0"/>
              <w:left w:val="single" w:color="auto" w:sz="12" w:space="0"/>
              <w:bottom w:val="single" w:color="auto" w:sz="12" w:space="0"/>
              <w:right w:val="single" w:color="auto" w:sz="4" w:space="0"/>
            </w:tcBorders>
            <w:noWrap w:val="0"/>
            <w:vAlign w:val="center"/>
          </w:tcPr>
          <w:p w14:paraId="5C9624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Na</w:t>
            </w:r>
            <w:r>
              <w:rPr>
                <w:rFonts w:hint="default" w:ascii="Times New Roman" w:hAnsi="Times New Roman" w:eastAsia="宋体" w:cs="Times New Roman"/>
                <w:b/>
                <w:color w:val="auto"/>
                <w:sz w:val="21"/>
                <w:szCs w:val="21"/>
                <w:highlight w:val="none"/>
                <w:vertAlign w:val="superscript"/>
              </w:rPr>
              <w:t>+</w:t>
            </w:r>
          </w:p>
        </w:tc>
        <w:tc>
          <w:tcPr>
            <w:tcW w:w="466" w:type="pct"/>
            <w:tcBorders>
              <w:top w:val="single" w:color="auto" w:sz="4" w:space="0"/>
              <w:left w:val="single" w:color="auto" w:sz="4" w:space="0"/>
              <w:bottom w:val="single" w:color="auto" w:sz="12" w:space="0"/>
              <w:right w:val="single" w:color="auto" w:sz="4" w:space="0"/>
            </w:tcBorders>
            <w:noWrap w:val="0"/>
            <w:vAlign w:val="center"/>
          </w:tcPr>
          <w:p w14:paraId="628600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7</w:t>
            </w:r>
          </w:p>
        </w:tc>
        <w:tc>
          <w:tcPr>
            <w:tcW w:w="520" w:type="pct"/>
            <w:tcBorders>
              <w:top w:val="single" w:color="auto" w:sz="4" w:space="0"/>
              <w:left w:val="single" w:color="auto" w:sz="4" w:space="0"/>
              <w:bottom w:val="single" w:color="auto" w:sz="12" w:space="0"/>
              <w:right w:val="single" w:color="auto" w:sz="4" w:space="0"/>
            </w:tcBorders>
            <w:noWrap w:val="0"/>
            <w:vAlign w:val="center"/>
          </w:tcPr>
          <w:p w14:paraId="268102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14</w:t>
            </w:r>
          </w:p>
        </w:tc>
        <w:tc>
          <w:tcPr>
            <w:tcW w:w="792" w:type="pct"/>
            <w:tcBorders>
              <w:top w:val="single" w:color="auto" w:sz="4" w:space="0"/>
              <w:left w:val="single" w:color="auto" w:sz="4" w:space="0"/>
              <w:bottom w:val="single" w:color="auto" w:sz="12" w:space="0"/>
              <w:right w:val="single" w:color="auto" w:sz="4" w:space="0"/>
            </w:tcBorders>
            <w:noWrap w:val="0"/>
            <w:vAlign w:val="center"/>
          </w:tcPr>
          <w:p w14:paraId="690636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21</w:t>
            </w:r>
          </w:p>
        </w:tc>
        <w:tc>
          <w:tcPr>
            <w:tcW w:w="722" w:type="pct"/>
            <w:tcBorders>
              <w:top w:val="single" w:color="auto" w:sz="4" w:space="0"/>
              <w:left w:val="single" w:color="auto" w:sz="4" w:space="0"/>
              <w:bottom w:val="single" w:color="auto" w:sz="12" w:space="0"/>
              <w:right w:val="single" w:color="auto" w:sz="4" w:space="0"/>
            </w:tcBorders>
            <w:noWrap w:val="0"/>
            <w:vAlign w:val="center"/>
          </w:tcPr>
          <w:p w14:paraId="5A0956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28</w:t>
            </w:r>
          </w:p>
        </w:tc>
        <w:tc>
          <w:tcPr>
            <w:tcW w:w="664" w:type="pct"/>
            <w:tcBorders>
              <w:top w:val="single" w:color="auto" w:sz="4" w:space="0"/>
              <w:left w:val="single" w:color="auto" w:sz="4" w:space="0"/>
              <w:bottom w:val="single" w:color="auto" w:sz="12" w:space="0"/>
              <w:right w:val="single" w:color="auto" w:sz="4" w:space="0"/>
            </w:tcBorders>
            <w:noWrap w:val="0"/>
            <w:vAlign w:val="center"/>
          </w:tcPr>
          <w:p w14:paraId="61FBE8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35</w:t>
            </w:r>
          </w:p>
        </w:tc>
        <w:tc>
          <w:tcPr>
            <w:tcW w:w="676" w:type="pct"/>
            <w:tcBorders>
              <w:top w:val="single" w:color="auto" w:sz="4" w:space="0"/>
              <w:left w:val="single" w:color="auto" w:sz="4" w:space="0"/>
              <w:bottom w:val="single" w:color="auto" w:sz="12" w:space="0"/>
              <w:right w:val="single" w:color="auto" w:sz="4" w:space="0"/>
            </w:tcBorders>
            <w:noWrap w:val="0"/>
            <w:vAlign w:val="center"/>
          </w:tcPr>
          <w:p w14:paraId="33B1EC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42</w:t>
            </w:r>
          </w:p>
        </w:tc>
        <w:tc>
          <w:tcPr>
            <w:tcW w:w="467" w:type="pct"/>
            <w:tcBorders>
              <w:top w:val="single" w:color="auto" w:sz="4" w:space="0"/>
              <w:left w:val="single" w:color="auto" w:sz="4" w:space="0"/>
              <w:bottom w:val="single" w:color="auto" w:sz="12" w:space="0"/>
              <w:right w:val="single" w:color="auto" w:sz="12" w:space="0"/>
            </w:tcBorders>
            <w:noWrap w:val="0"/>
            <w:vAlign w:val="center"/>
          </w:tcPr>
          <w:p w14:paraId="54856D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49</w:t>
            </w:r>
          </w:p>
        </w:tc>
      </w:tr>
    </w:tbl>
    <w:p w14:paraId="614C2042">
      <w:pPr>
        <w:adjustRightInd w:val="0"/>
        <w:snapToGrid w:val="0"/>
        <w:spacing w:line="240" w:lineRule="auto"/>
        <w:ind w:firstLine="42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3.2-1</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b/>
          <w:bCs/>
          <w:color w:val="auto"/>
          <w:sz w:val="24"/>
          <w:szCs w:val="24"/>
          <w:highlight w:val="none"/>
        </w:rPr>
        <w:t>地下水矿化度划分表</w:t>
      </w:r>
    </w:p>
    <w:tbl>
      <w:tblPr>
        <w:tblStyle w:val="27"/>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17"/>
        <w:gridCol w:w="1363"/>
        <w:gridCol w:w="1046"/>
        <w:gridCol w:w="1579"/>
        <w:gridCol w:w="2132"/>
      </w:tblGrid>
      <w:tr w14:paraId="61D3C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76" w:type="pct"/>
            <w:tcBorders>
              <w:top w:val="single" w:color="auto" w:sz="12" w:space="0"/>
              <w:left w:val="single" w:color="auto" w:sz="12" w:space="0"/>
              <w:bottom w:val="single" w:color="auto" w:sz="6" w:space="0"/>
              <w:right w:val="single" w:color="auto" w:sz="6" w:space="0"/>
            </w:tcBorders>
            <w:noWrap w:val="0"/>
            <w:vAlign w:val="center"/>
          </w:tcPr>
          <w:p w14:paraId="4BF71F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地下水矿化度分组</w:t>
            </w:r>
          </w:p>
        </w:tc>
        <w:tc>
          <w:tcPr>
            <w:tcW w:w="762" w:type="pct"/>
            <w:tcBorders>
              <w:top w:val="single" w:color="auto" w:sz="12" w:space="0"/>
              <w:left w:val="single" w:color="auto" w:sz="6" w:space="0"/>
              <w:bottom w:val="single" w:color="auto" w:sz="6" w:space="0"/>
              <w:right w:val="single" w:color="auto" w:sz="6" w:space="0"/>
            </w:tcBorders>
            <w:noWrap w:val="0"/>
            <w:vAlign w:val="center"/>
          </w:tcPr>
          <w:p w14:paraId="44DD98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A</w:t>
            </w:r>
          </w:p>
        </w:tc>
        <w:tc>
          <w:tcPr>
            <w:tcW w:w="585" w:type="pct"/>
            <w:tcBorders>
              <w:top w:val="single" w:color="auto" w:sz="12" w:space="0"/>
              <w:left w:val="single" w:color="auto" w:sz="6" w:space="0"/>
              <w:bottom w:val="single" w:color="auto" w:sz="6" w:space="0"/>
              <w:right w:val="single" w:color="auto" w:sz="6" w:space="0"/>
            </w:tcBorders>
            <w:noWrap w:val="0"/>
            <w:vAlign w:val="center"/>
          </w:tcPr>
          <w:p w14:paraId="1D4E4A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B</w:t>
            </w:r>
          </w:p>
        </w:tc>
        <w:tc>
          <w:tcPr>
            <w:tcW w:w="883" w:type="pct"/>
            <w:tcBorders>
              <w:top w:val="single" w:color="auto" w:sz="12" w:space="0"/>
              <w:left w:val="single" w:color="auto" w:sz="6" w:space="0"/>
              <w:bottom w:val="single" w:color="auto" w:sz="6" w:space="0"/>
              <w:right w:val="single" w:color="auto" w:sz="6" w:space="0"/>
            </w:tcBorders>
            <w:noWrap w:val="0"/>
            <w:vAlign w:val="center"/>
          </w:tcPr>
          <w:p w14:paraId="3F20A7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C</w:t>
            </w:r>
          </w:p>
        </w:tc>
        <w:tc>
          <w:tcPr>
            <w:tcW w:w="1192" w:type="pct"/>
            <w:tcBorders>
              <w:top w:val="single" w:color="auto" w:sz="12" w:space="0"/>
              <w:left w:val="single" w:color="auto" w:sz="6" w:space="0"/>
              <w:bottom w:val="single" w:color="auto" w:sz="6" w:space="0"/>
              <w:right w:val="single" w:color="auto" w:sz="12" w:space="0"/>
            </w:tcBorders>
            <w:noWrap w:val="0"/>
            <w:vAlign w:val="center"/>
          </w:tcPr>
          <w:p w14:paraId="30127D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D</w:t>
            </w:r>
          </w:p>
        </w:tc>
      </w:tr>
      <w:tr w14:paraId="4447A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76" w:type="pct"/>
            <w:tcBorders>
              <w:top w:val="single" w:color="auto" w:sz="6" w:space="0"/>
              <w:left w:val="single" w:color="auto" w:sz="12" w:space="0"/>
              <w:bottom w:val="single" w:color="auto" w:sz="12" w:space="0"/>
              <w:right w:val="single" w:color="auto" w:sz="6" w:space="0"/>
            </w:tcBorders>
            <w:noWrap w:val="0"/>
            <w:vAlign w:val="center"/>
          </w:tcPr>
          <w:p w14:paraId="255958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矿化度</w:t>
            </w:r>
            <w:r>
              <w:rPr>
                <w:rFonts w:hint="eastAsia"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g/L</w:t>
            </w:r>
            <w:r>
              <w:rPr>
                <w:rFonts w:hint="eastAsia" w:eastAsia="宋体" w:cs="Times New Roman"/>
                <w:b/>
                <w:color w:val="auto"/>
                <w:sz w:val="21"/>
                <w:szCs w:val="21"/>
                <w:highlight w:val="none"/>
                <w:lang w:eastAsia="zh-CN"/>
              </w:rPr>
              <w:t>）</w:t>
            </w:r>
          </w:p>
        </w:tc>
        <w:tc>
          <w:tcPr>
            <w:tcW w:w="762" w:type="pct"/>
            <w:tcBorders>
              <w:top w:val="single" w:color="auto" w:sz="6" w:space="0"/>
              <w:left w:val="single" w:color="auto" w:sz="6" w:space="0"/>
              <w:bottom w:val="single" w:color="auto" w:sz="12" w:space="0"/>
              <w:right w:val="single" w:color="auto" w:sz="6" w:space="0"/>
            </w:tcBorders>
            <w:noWrap w:val="0"/>
            <w:vAlign w:val="center"/>
          </w:tcPr>
          <w:p w14:paraId="428F38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＜1.5</w:t>
            </w:r>
          </w:p>
        </w:tc>
        <w:tc>
          <w:tcPr>
            <w:tcW w:w="585" w:type="pct"/>
            <w:tcBorders>
              <w:top w:val="single" w:color="auto" w:sz="6" w:space="0"/>
              <w:left w:val="single" w:color="auto" w:sz="6" w:space="0"/>
              <w:bottom w:val="single" w:color="auto" w:sz="12" w:space="0"/>
              <w:right w:val="single" w:color="auto" w:sz="6" w:space="0"/>
            </w:tcBorders>
            <w:noWrap w:val="0"/>
            <w:vAlign w:val="center"/>
          </w:tcPr>
          <w:p w14:paraId="572F82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1.5-10</w:t>
            </w:r>
          </w:p>
        </w:tc>
        <w:tc>
          <w:tcPr>
            <w:tcW w:w="883" w:type="pct"/>
            <w:tcBorders>
              <w:top w:val="single" w:color="auto" w:sz="6" w:space="0"/>
              <w:left w:val="single" w:color="auto" w:sz="6" w:space="0"/>
              <w:bottom w:val="single" w:color="auto" w:sz="12" w:space="0"/>
              <w:right w:val="single" w:color="auto" w:sz="6" w:space="0"/>
            </w:tcBorders>
            <w:noWrap w:val="0"/>
            <w:vAlign w:val="center"/>
          </w:tcPr>
          <w:p w14:paraId="1C0E85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10-40</w:t>
            </w:r>
          </w:p>
        </w:tc>
        <w:tc>
          <w:tcPr>
            <w:tcW w:w="1192" w:type="pct"/>
            <w:tcBorders>
              <w:top w:val="single" w:color="auto" w:sz="6" w:space="0"/>
              <w:left w:val="single" w:color="auto" w:sz="6" w:space="0"/>
              <w:bottom w:val="single" w:color="auto" w:sz="12" w:space="0"/>
              <w:right w:val="single" w:color="auto" w:sz="12" w:space="0"/>
            </w:tcBorders>
            <w:noWrap w:val="0"/>
            <w:vAlign w:val="center"/>
          </w:tcPr>
          <w:p w14:paraId="2A9BB5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w:t>
            </w:r>
          </w:p>
        </w:tc>
      </w:tr>
    </w:tbl>
    <w:p w14:paraId="52BC9B05">
      <w:pPr>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rPr>
      </w:pPr>
    </w:p>
    <w:p w14:paraId="3A98D4A3">
      <w:pPr>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rPr>
      </w:pPr>
    </w:p>
    <w:p w14:paraId="57377FBE">
      <w:pPr>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rPr>
      </w:pPr>
    </w:p>
    <w:p w14:paraId="69B9BE72">
      <w:pPr>
        <w:adjustRightInd w:val="0"/>
        <w:snapToGrid w:val="0"/>
        <w:spacing w:line="240" w:lineRule="auto"/>
        <w:ind w:firstLine="42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3.2-1</w:t>
      </w:r>
      <w:r>
        <w:rPr>
          <w:rFonts w:hint="eastAsia" w:eastAsia="宋体" w:cs="Times New Roman"/>
          <w:color w:val="auto"/>
          <w:sz w:val="21"/>
          <w:szCs w:val="21"/>
          <w:highlight w:val="none"/>
          <w:lang w:val="en-US" w:eastAsia="zh-CN"/>
        </w:rPr>
        <w:t>2</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b/>
          <w:bCs/>
          <w:color w:val="auto"/>
          <w:sz w:val="24"/>
          <w:szCs w:val="24"/>
          <w:highlight w:val="none"/>
        </w:rPr>
        <w:t>各监测井地下水化学类型判定结果表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212"/>
        <w:gridCol w:w="1639"/>
        <w:gridCol w:w="1639"/>
        <w:gridCol w:w="2272"/>
      </w:tblGrid>
      <w:tr w14:paraId="7BD807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32" w:type="pct"/>
            <w:tcBorders>
              <w:tl2br w:val="nil"/>
              <w:tr2bl w:val="nil"/>
            </w:tcBorders>
            <w:noWrap w:val="0"/>
            <w:tcMar>
              <w:top w:w="15" w:type="dxa"/>
              <w:left w:w="15" w:type="dxa"/>
              <w:right w:w="15" w:type="dxa"/>
            </w:tcMar>
            <w:vAlign w:val="center"/>
          </w:tcPr>
          <w:p w14:paraId="42B82D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监测点位</w:t>
            </w:r>
          </w:p>
        </w:tc>
        <w:tc>
          <w:tcPr>
            <w:tcW w:w="935" w:type="pct"/>
            <w:tcBorders>
              <w:tl2br w:val="nil"/>
              <w:tr2bl w:val="nil"/>
            </w:tcBorders>
            <w:noWrap w:val="0"/>
            <w:tcMar>
              <w:top w:w="15" w:type="dxa"/>
              <w:left w:w="15" w:type="dxa"/>
              <w:right w:w="15" w:type="dxa"/>
            </w:tcMar>
            <w:vAlign w:val="center"/>
          </w:tcPr>
          <w:p w14:paraId="42D80E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1#</w:t>
            </w:r>
          </w:p>
        </w:tc>
        <w:tc>
          <w:tcPr>
            <w:tcW w:w="935" w:type="pct"/>
            <w:tcBorders>
              <w:tl2br w:val="nil"/>
              <w:tr2bl w:val="nil"/>
            </w:tcBorders>
            <w:noWrap w:val="0"/>
            <w:tcMar>
              <w:top w:w="15" w:type="dxa"/>
              <w:left w:w="15" w:type="dxa"/>
              <w:right w:w="15" w:type="dxa"/>
            </w:tcMar>
            <w:vAlign w:val="center"/>
          </w:tcPr>
          <w:p w14:paraId="35816F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2#</w:t>
            </w:r>
          </w:p>
        </w:tc>
        <w:tc>
          <w:tcPr>
            <w:tcW w:w="1296" w:type="pct"/>
            <w:tcBorders>
              <w:tl2br w:val="nil"/>
              <w:tr2bl w:val="nil"/>
            </w:tcBorders>
            <w:noWrap w:val="0"/>
            <w:tcMar>
              <w:top w:w="15" w:type="dxa"/>
              <w:left w:w="15" w:type="dxa"/>
              <w:right w:w="15" w:type="dxa"/>
            </w:tcMar>
            <w:vAlign w:val="center"/>
          </w:tcPr>
          <w:p w14:paraId="0A2430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3#</w:t>
            </w:r>
          </w:p>
        </w:tc>
      </w:tr>
      <w:tr w14:paraId="06AB36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32" w:type="pct"/>
            <w:tcBorders>
              <w:tl2br w:val="nil"/>
              <w:tr2bl w:val="nil"/>
            </w:tcBorders>
            <w:noWrap w:val="0"/>
            <w:tcMar>
              <w:top w:w="15" w:type="dxa"/>
              <w:left w:w="15" w:type="dxa"/>
              <w:right w:w="15" w:type="dxa"/>
            </w:tcMar>
            <w:vAlign w:val="center"/>
          </w:tcPr>
          <w:p w14:paraId="43EFB2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舒卡列夫水化学类型</w:t>
            </w:r>
          </w:p>
        </w:tc>
        <w:tc>
          <w:tcPr>
            <w:tcW w:w="935" w:type="pct"/>
            <w:tcBorders>
              <w:tl2br w:val="nil"/>
              <w:tr2bl w:val="nil"/>
            </w:tcBorders>
            <w:noWrap w:val="0"/>
            <w:tcMar>
              <w:top w:w="15" w:type="dxa"/>
              <w:left w:w="15" w:type="dxa"/>
              <w:right w:w="15" w:type="dxa"/>
            </w:tcMar>
            <w:vAlign w:val="center"/>
          </w:tcPr>
          <w:p w14:paraId="03B58F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kern w:val="0"/>
                <w:sz w:val="21"/>
                <w:szCs w:val="21"/>
                <w:highlight w:val="none"/>
                <w:lang w:val="en-US" w:eastAsia="zh-CN" w:bidi="ar"/>
              </w:rPr>
              <w:t>15</w:t>
            </w:r>
            <w:r>
              <w:rPr>
                <w:rFonts w:hint="eastAsia" w:ascii="Times New Roman" w:hAnsi="Times New Roman" w:eastAsia="宋体" w:cs="Times New Roman"/>
                <w:color w:val="auto"/>
                <w:kern w:val="0"/>
                <w:sz w:val="21"/>
                <w:szCs w:val="21"/>
                <w:highlight w:val="none"/>
                <w:lang w:val="en-US" w:eastAsia="zh-CN" w:bidi="ar"/>
              </w:rPr>
              <w:t>-</w:t>
            </w:r>
            <w:r>
              <w:rPr>
                <w:rFonts w:hint="eastAsia" w:eastAsia="宋体" w:cs="Times New Roman"/>
                <w:color w:val="auto"/>
                <w:kern w:val="0"/>
                <w:sz w:val="21"/>
                <w:szCs w:val="21"/>
                <w:highlight w:val="none"/>
                <w:lang w:val="en-US" w:eastAsia="zh-CN" w:bidi="ar"/>
              </w:rPr>
              <w:t>A</w:t>
            </w:r>
          </w:p>
        </w:tc>
        <w:tc>
          <w:tcPr>
            <w:tcW w:w="935" w:type="pct"/>
            <w:tcBorders>
              <w:tl2br w:val="nil"/>
              <w:tr2bl w:val="nil"/>
            </w:tcBorders>
            <w:noWrap w:val="0"/>
            <w:tcMar>
              <w:top w:w="15" w:type="dxa"/>
              <w:left w:w="15" w:type="dxa"/>
              <w:right w:w="15" w:type="dxa"/>
            </w:tcMar>
            <w:vAlign w:val="center"/>
          </w:tcPr>
          <w:p w14:paraId="79D32B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eastAsia="宋体" w:cs="Times New Roman"/>
                <w:color w:val="auto"/>
                <w:kern w:val="0"/>
                <w:sz w:val="21"/>
                <w:szCs w:val="21"/>
                <w:highlight w:val="none"/>
                <w:lang w:val="en-US" w:eastAsia="zh-CN" w:bidi="ar"/>
              </w:rPr>
              <w:t>15</w:t>
            </w:r>
            <w:r>
              <w:rPr>
                <w:rFonts w:hint="eastAsia" w:ascii="Times New Roman" w:hAnsi="Times New Roman" w:eastAsia="宋体" w:cs="Times New Roman"/>
                <w:color w:val="auto"/>
                <w:kern w:val="0"/>
                <w:sz w:val="21"/>
                <w:szCs w:val="21"/>
                <w:highlight w:val="none"/>
                <w:lang w:val="en-US" w:eastAsia="zh-CN" w:bidi="ar"/>
              </w:rPr>
              <w:t>-</w:t>
            </w:r>
            <w:r>
              <w:rPr>
                <w:rFonts w:hint="eastAsia" w:eastAsia="宋体" w:cs="Times New Roman"/>
                <w:color w:val="auto"/>
                <w:kern w:val="0"/>
                <w:sz w:val="21"/>
                <w:szCs w:val="21"/>
                <w:highlight w:val="none"/>
                <w:lang w:val="en-US" w:eastAsia="zh-CN" w:bidi="ar"/>
              </w:rPr>
              <w:t>A</w:t>
            </w:r>
          </w:p>
        </w:tc>
        <w:tc>
          <w:tcPr>
            <w:tcW w:w="1296" w:type="pct"/>
            <w:tcBorders>
              <w:tl2br w:val="nil"/>
              <w:tr2bl w:val="nil"/>
            </w:tcBorders>
            <w:noWrap w:val="0"/>
            <w:tcMar>
              <w:top w:w="15" w:type="dxa"/>
              <w:left w:w="15" w:type="dxa"/>
              <w:right w:w="15" w:type="dxa"/>
            </w:tcMar>
            <w:vAlign w:val="center"/>
          </w:tcPr>
          <w:p w14:paraId="784DC8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eastAsia="宋体" w:cs="Times New Roman"/>
                <w:color w:val="auto"/>
                <w:kern w:val="0"/>
                <w:sz w:val="21"/>
                <w:szCs w:val="21"/>
                <w:highlight w:val="none"/>
                <w:lang w:val="en-US" w:eastAsia="zh-CN" w:bidi="ar"/>
              </w:rPr>
              <w:t>15</w:t>
            </w:r>
            <w:r>
              <w:rPr>
                <w:rFonts w:hint="eastAsia" w:ascii="Times New Roman" w:hAnsi="Times New Roman" w:eastAsia="宋体" w:cs="Times New Roman"/>
                <w:color w:val="auto"/>
                <w:kern w:val="0"/>
                <w:sz w:val="21"/>
                <w:szCs w:val="21"/>
                <w:highlight w:val="none"/>
                <w:lang w:val="en-US" w:eastAsia="zh-CN" w:bidi="ar"/>
              </w:rPr>
              <w:t>-</w:t>
            </w:r>
            <w:r>
              <w:rPr>
                <w:rFonts w:hint="eastAsia" w:eastAsia="宋体" w:cs="Times New Roman"/>
                <w:color w:val="auto"/>
                <w:kern w:val="0"/>
                <w:sz w:val="21"/>
                <w:szCs w:val="21"/>
                <w:highlight w:val="none"/>
                <w:lang w:val="en-US" w:eastAsia="zh-CN" w:bidi="ar"/>
              </w:rPr>
              <w:t>A</w:t>
            </w:r>
          </w:p>
        </w:tc>
      </w:tr>
    </w:tbl>
    <w:p w14:paraId="30503BAA">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3.2.4声环境质量现状监测与评价</w:t>
      </w:r>
    </w:p>
    <w:p w14:paraId="2F66F6A7">
      <w:pPr>
        <w:bidi w:val="0"/>
        <w:rPr>
          <w:rFonts w:hint="eastAsia"/>
          <w:color w:val="auto"/>
          <w:lang w:eastAsia="zh-CN"/>
        </w:rPr>
      </w:pPr>
      <w:r>
        <w:rPr>
          <w:rFonts w:hint="eastAsia"/>
          <w:color w:val="auto"/>
          <w:lang w:val="en-US" w:eastAsia="zh-CN"/>
        </w:rPr>
        <w:t>（1）</w:t>
      </w:r>
      <w:r>
        <w:rPr>
          <w:rFonts w:hint="eastAsia"/>
          <w:color w:val="auto"/>
          <w:lang w:eastAsia="zh-CN"/>
        </w:rPr>
        <w:t>监测点的布设</w:t>
      </w:r>
    </w:p>
    <w:p w14:paraId="554C0628">
      <w:pPr>
        <w:bidi w:val="0"/>
        <w:rPr>
          <w:rFonts w:hint="eastAsia"/>
          <w:color w:val="auto"/>
          <w:lang w:eastAsia="zh-CN"/>
        </w:rPr>
      </w:pPr>
      <w:r>
        <w:rPr>
          <w:rFonts w:hint="eastAsia"/>
          <w:color w:val="auto"/>
          <w:lang w:eastAsia="zh-CN"/>
        </w:rPr>
        <w:t>在东、西、</w:t>
      </w:r>
      <w:r>
        <w:rPr>
          <w:rFonts w:hint="eastAsia"/>
          <w:color w:val="auto"/>
          <w:lang w:val="en-US" w:eastAsia="zh-CN"/>
        </w:rPr>
        <w:t>南、</w:t>
      </w:r>
      <w:r>
        <w:rPr>
          <w:rFonts w:hint="eastAsia"/>
          <w:color w:val="auto"/>
          <w:lang w:eastAsia="zh-CN"/>
        </w:rPr>
        <w:t>北厂界</w:t>
      </w:r>
      <w:r>
        <w:rPr>
          <w:rFonts w:hint="eastAsia"/>
          <w:color w:val="auto"/>
          <w:lang w:val="en-US" w:eastAsia="zh-CN"/>
        </w:rPr>
        <w:t>外1m处</w:t>
      </w:r>
      <w:r>
        <w:rPr>
          <w:rFonts w:hint="eastAsia"/>
          <w:color w:val="auto"/>
          <w:lang w:eastAsia="zh-CN"/>
        </w:rPr>
        <w:t>共设置</w:t>
      </w:r>
      <w:r>
        <w:rPr>
          <w:rFonts w:hint="eastAsia"/>
          <w:color w:val="auto"/>
          <w:lang w:val="en-US" w:eastAsia="zh-CN"/>
        </w:rPr>
        <w:t>4</w:t>
      </w:r>
      <w:r>
        <w:rPr>
          <w:rFonts w:hint="eastAsia"/>
          <w:color w:val="auto"/>
          <w:lang w:eastAsia="zh-CN"/>
        </w:rPr>
        <w:t>个噪声监测点位，监测点位见图</w:t>
      </w:r>
      <w:r>
        <w:rPr>
          <w:rFonts w:hint="eastAsia"/>
          <w:color w:val="auto"/>
          <w:lang w:val="en-US" w:eastAsia="zh-CN"/>
        </w:rPr>
        <w:t>3.2</w:t>
      </w:r>
      <w:r>
        <w:rPr>
          <w:rFonts w:hint="eastAsia"/>
          <w:color w:val="auto"/>
          <w:lang w:eastAsia="zh-CN"/>
        </w:rPr>
        <w:t>-1。</w:t>
      </w:r>
    </w:p>
    <w:p w14:paraId="2454A0A6">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）监测时间及频率</w:t>
      </w:r>
    </w:p>
    <w:p w14:paraId="40EDDD02">
      <w:pPr>
        <w:bidi w:val="0"/>
        <w:rPr>
          <w:rFonts w:hint="eastAsia"/>
          <w:color w:val="auto"/>
          <w:lang w:eastAsia="zh-CN"/>
        </w:rPr>
      </w:pPr>
      <w:r>
        <w:rPr>
          <w:rFonts w:hint="eastAsia"/>
          <w:color w:val="auto"/>
          <w:lang w:val="en-US" w:eastAsia="zh-CN"/>
        </w:rPr>
        <w:t>本次委托</w:t>
      </w:r>
      <w:r>
        <w:rPr>
          <w:rFonts w:hint="eastAsia" w:cs="Times New Roman"/>
          <w:color w:val="auto"/>
          <w:kern w:val="2"/>
          <w:sz w:val="24"/>
          <w:szCs w:val="24"/>
          <w:lang w:val="en-US" w:eastAsia="zh-CN" w:bidi="ar-SA"/>
        </w:rPr>
        <w:t>甘肃亿源环境检测</w:t>
      </w:r>
      <w:r>
        <w:rPr>
          <w:rFonts w:ascii="Times New Roman" w:hAnsi="Times New Roman" w:eastAsia="仿宋_GB2312" w:cs="Times New Roman"/>
          <w:color w:val="auto"/>
          <w:kern w:val="2"/>
          <w:sz w:val="24"/>
          <w:szCs w:val="24"/>
          <w:lang w:bidi="ar-SA"/>
        </w:rPr>
        <w:t>科技有限公司</w:t>
      </w:r>
      <w:r>
        <w:rPr>
          <w:rFonts w:hint="eastAsia"/>
          <w:color w:val="auto"/>
          <w:lang w:eastAsia="zh-CN"/>
        </w:rPr>
        <w:t>于202</w:t>
      </w:r>
      <w:r>
        <w:rPr>
          <w:rFonts w:hint="eastAsia"/>
          <w:color w:val="auto"/>
          <w:lang w:val="en-US" w:eastAsia="zh-CN"/>
        </w:rPr>
        <w:t>5</w:t>
      </w:r>
      <w:r>
        <w:rPr>
          <w:rFonts w:hint="eastAsia"/>
          <w:color w:val="auto"/>
          <w:lang w:eastAsia="zh-CN"/>
        </w:rPr>
        <w:t>年</w:t>
      </w:r>
      <w:r>
        <w:rPr>
          <w:rFonts w:hint="eastAsia"/>
          <w:color w:val="auto"/>
          <w:lang w:val="en-US" w:eastAsia="zh-CN"/>
        </w:rPr>
        <w:t>12</w:t>
      </w:r>
      <w:r>
        <w:rPr>
          <w:rFonts w:hint="eastAsia"/>
          <w:color w:val="auto"/>
          <w:lang w:eastAsia="zh-CN"/>
        </w:rPr>
        <w:t>月</w:t>
      </w:r>
      <w:r>
        <w:rPr>
          <w:rFonts w:hint="eastAsia"/>
          <w:color w:val="auto"/>
          <w:lang w:val="en-US" w:eastAsia="zh-CN"/>
        </w:rPr>
        <w:t>13</w:t>
      </w:r>
      <w:r>
        <w:rPr>
          <w:rFonts w:hint="eastAsia"/>
          <w:color w:val="auto"/>
          <w:lang w:eastAsia="zh-CN"/>
        </w:rPr>
        <w:t>日～</w:t>
      </w:r>
      <w:r>
        <w:rPr>
          <w:rFonts w:hint="eastAsia"/>
          <w:color w:val="auto"/>
          <w:lang w:val="en-US" w:eastAsia="zh-CN"/>
        </w:rPr>
        <w:t>14</w:t>
      </w:r>
      <w:r>
        <w:rPr>
          <w:rFonts w:hint="eastAsia"/>
          <w:color w:val="auto"/>
          <w:lang w:eastAsia="zh-CN"/>
        </w:rPr>
        <w:t>日对项目厂址区域环境噪声进行监测，昼间、夜间各进行了2次监测。</w:t>
      </w:r>
    </w:p>
    <w:p w14:paraId="12327146">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）监测项目</w:t>
      </w:r>
    </w:p>
    <w:p w14:paraId="4D70F0A9">
      <w:pPr>
        <w:bidi w:val="0"/>
        <w:rPr>
          <w:rFonts w:hint="eastAsia"/>
          <w:color w:val="auto"/>
          <w:lang w:eastAsia="zh-CN"/>
        </w:rPr>
      </w:pPr>
      <w:r>
        <w:rPr>
          <w:rFonts w:hint="eastAsia"/>
          <w:color w:val="auto"/>
          <w:lang w:eastAsia="zh-CN"/>
        </w:rPr>
        <w:t>连续等效A声级。</w:t>
      </w:r>
    </w:p>
    <w:p w14:paraId="073CD44F">
      <w:pPr>
        <w:bidi w:val="0"/>
        <w:rPr>
          <w:rFonts w:hint="default"/>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评价标准</w:t>
      </w:r>
    </w:p>
    <w:p w14:paraId="09537BD2">
      <w:pPr>
        <w:bidi w:val="0"/>
        <w:rPr>
          <w:rFonts w:hint="eastAsia"/>
          <w:color w:val="auto"/>
          <w:lang w:eastAsia="zh-CN"/>
        </w:rPr>
      </w:pPr>
      <w:r>
        <w:rPr>
          <w:rFonts w:hint="eastAsia"/>
          <w:color w:val="auto"/>
          <w:lang w:val="en-US" w:eastAsia="zh-CN"/>
        </w:rPr>
        <w:t>厂界外执行</w:t>
      </w:r>
      <w:r>
        <w:rPr>
          <w:rFonts w:hint="eastAsia"/>
          <w:color w:val="auto"/>
          <w:lang w:eastAsia="zh-CN"/>
        </w:rPr>
        <w:t>《声环境质量标准》（GB3096-2008）中的3类标准。</w:t>
      </w:r>
    </w:p>
    <w:p w14:paraId="5589D0F9">
      <w:pPr>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）监测结果统计与评价</w:t>
      </w:r>
    </w:p>
    <w:p w14:paraId="4C614B23">
      <w:pPr>
        <w:keepNext w:val="0"/>
        <w:keepLines w:val="0"/>
        <w:pageBreakBefore w:val="0"/>
        <w:widowControl w:val="0"/>
        <w:kinsoku/>
        <w:wordWrap/>
        <w:overflowPunct/>
        <w:topLinePunct w:val="0"/>
        <w:autoSpaceDE/>
        <w:autoSpaceDN/>
        <w:bidi w:val="0"/>
        <w:adjustRightInd/>
        <w:snapToGrid/>
        <w:textAlignment w:val="auto"/>
        <w:rPr>
          <w:rFonts w:hint="eastAsia"/>
          <w:color w:val="auto"/>
          <w:lang w:eastAsia="zh-CN"/>
        </w:rPr>
      </w:pPr>
      <w:r>
        <w:rPr>
          <w:rFonts w:hint="default" w:ascii="Times New Roman" w:hAnsi="Times New Roman" w:eastAsia="仿宋_GB2312" w:cs="Times New Roman"/>
          <w:bCs/>
          <w:color w:val="auto"/>
          <w:sz w:val="24"/>
          <w:highlight w:val="none"/>
        </w:rPr>
        <w:t>声环境质量现状监测结果统计情况见表3.2-1</w:t>
      </w:r>
      <w:r>
        <w:rPr>
          <w:rFonts w:hint="eastAsia" w:cs="Times New Roman"/>
          <w:bCs/>
          <w:color w:val="auto"/>
          <w:sz w:val="24"/>
          <w:highlight w:val="none"/>
          <w:lang w:val="en-US" w:eastAsia="zh-CN"/>
        </w:rPr>
        <w:t>3</w:t>
      </w:r>
      <w:r>
        <w:rPr>
          <w:rFonts w:hint="default" w:ascii="Times New Roman" w:hAnsi="Times New Roman" w:eastAsia="仿宋_GB2312" w:cs="Times New Roman"/>
          <w:bCs/>
          <w:color w:val="auto"/>
          <w:sz w:val="24"/>
          <w:highlight w:val="none"/>
        </w:rPr>
        <w:t>。</w:t>
      </w:r>
    </w:p>
    <w:p w14:paraId="684785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1"/>
          <w:szCs w:val="21"/>
          <w:highlight w:val="none"/>
        </w:rPr>
        <w:t>表3.2-1</w:t>
      </w:r>
      <w:r>
        <w:rPr>
          <w:rFonts w:hint="eastAsia" w:eastAsia="宋体" w:cs="Times New Roman"/>
          <w:color w:val="auto"/>
          <w:sz w:val="21"/>
          <w:szCs w:val="21"/>
          <w:highlight w:val="none"/>
          <w:lang w:val="en-US" w:eastAsia="zh-CN"/>
        </w:rPr>
        <w:t>3</w:t>
      </w: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rPr>
        <w:t xml:space="preserve"> </w:t>
      </w:r>
      <w:r>
        <w:rPr>
          <w:rFonts w:hint="eastAsia" w:ascii="Times New Roman" w:hAnsi="Times New Roman" w:cs="Times New Roman"/>
          <w:b/>
          <w:bCs/>
          <w:color w:val="auto"/>
          <w:sz w:val="24"/>
          <w:highlight w:val="none"/>
          <w:lang w:val="en-US" w:eastAsia="zh-CN"/>
        </w:rPr>
        <w:t xml:space="preserve">           </w:t>
      </w:r>
      <w:r>
        <w:rPr>
          <w:rFonts w:hint="default" w:ascii="Times New Roman" w:hAnsi="Times New Roman" w:eastAsia="宋体" w:cs="Times New Roman"/>
          <w:b/>
          <w:bCs/>
          <w:color w:val="auto"/>
          <w:sz w:val="24"/>
          <w:szCs w:val="24"/>
          <w:highlight w:val="none"/>
        </w:rPr>
        <w:t>噪声监测结果表  单位：dB(A)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340"/>
        <w:gridCol w:w="1341"/>
        <w:gridCol w:w="1341"/>
        <w:gridCol w:w="1341"/>
        <w:gridCol w:w="1521"/>
      </w:tblGrid>
      <w:tr w14:paraId="71703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vMerge w:val="restart"/>
            <w:noWrap w:val="0"/>
            <w:vAlign w:val="center"/>
          </w:tcPr>
          <w:p w14:paraId="12AC8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2293" w:type="dxa"/>
            <w:vMerge w:val="restart"/>
            <w:noWrap w:val="0"/>
            <w:vAlign w:val="center"/>
          </w:tcPr>
          <w:p w14:paraId="09DF6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检测点位置</w:t>
            </w:r>
          </w:p>
        </w:tc>
        <w:tc>
          <w:tcPr>
            <w:tcW w:w="2628" w:type="dxa"/>
            <w:gridSpan w:val="2"/>
            <w:noWrap w:val="0"/>
            <w:vAlign w:val="center"/>
          </w:tcPr>
          <w:p w14:paraId="5DC53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   间</w:t>
            </w:r>
          </w:p>
        </w:tc>
        <w:tc>
          <w:tcPr>
            <w:tcW w:w="2804" w:type="dxa"/>
            <w:gridSpan w:val="2"/>
            <w:noWrap w:val="0"/>
            <w:vAlign w:val="center"/>
          </w:tcPr>
          <w:p w14:paraId="53B879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   间</w:t>
            </w:r>
          </w:p>
        </w:tc>
      </w:tr>
      <w:tr w14:paraId="441C8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vMerge w:val="continue"/>
            <w:noWrap w:val="0"/>
            <w:vAlign w:val="center"/>
          </w:tcPr>
          <w:p w14:paraId="743D4B8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highlight w:val="none"/>
              </w:rPr>
            </w:pPr>
          </w:p>
        </w:tc>
        <w:tc>
          <w:tcPr>
            <w:tcW w:w="2293" w:type="dxa"/>
            <w:vMerge w:val="continue"/>
            <w:noWrap w:val="0"/>
            <w:vAlign w:val="center"/>
          </w:tcPr>
          <w:p w14:paraId="5596799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highlight w:val="none"/>
              </w:rPr>
            </w:pPr>
          </w:p>
        </w:tc>
        <w:tc>
          <w:tcPr>
            <w:tcW w:w="1314" w:type="dxa"/>
            <w:noWrap w:val="0"/>
            <w:vAlign w:val="center"/>
          </w:tcPr>
          <w:p w14:paraId="72EDA3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rPr>
              <w:t>月</w:t>
            </w:r>
            <w:r>
              <w:rPr>
                <w:rFonts w:hint="eastAsia" w:eastAsia="宋体"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rPr>
              <w:t>日</w:t>
            </w:r>
          </w:p>
        </w:tc>
        <w:tc>
          <w:tcPr>
            <w:tcW w:w="1314" w:type="dxa"/>
            <w:noWrap w:val="0"/>
            <w:vAlign w:val="center"/>
          </w:tcPr>
          <w:p w14:paraId="0DBAB9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月</w:t>
            </w:r>
            <w:r>
              <w:rPr>
                <w:rFonts w:hint="eastAsia" w:eastAsia="宋体" w:cs="Times New Roman"/>
                <w:b/>
                <w:bCs/>
                <w:color w:val="auto"/>
                <w:sz w:val="21"/>
                <w:szCs w:val="21"/>
                <w:highlight w:val="none"/>
                <w:lang w:val="en-US" w:eastAsia="zh-CN"/>
              </w:rPr>
              <w:t>14</w:t>
            </w:r>
            <w:r>
              <w:rPr>
                <w:rFonts w:hint="default" w:ascii="Times New Roman" w:hAnsi="Times New Roman" w:eastAsia="宋体" w:cs="Times New Roman"/>
                <w:b/>
                <w:bCs/>
                <w:color w:val="auto"/>
                <w:sz w:val="21"/>
                <w:szCs w:val="21"/>
                <w:highlight w:val="none"/>
              </w:rPr>
              <w:t>日</w:t>
            </w:r>
          </w:p>
        </w:tc>
        <w:tc>
          <w:tcPr>
            <w:tcW w:w="1314" w:type="dxa"/>
            <w:shd w:val="clear" w:color="auto" w:fill="auto"/>
            <w:noWrap w:val="0"/>
            <w:vAlign w:val="center"/>
          </w:tcPr>
          <w:p w14:paraId="59566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rPr>
              <w:t>月</w:t>
            </w:r>
            <w:r>
              <w:rPr>
                <w:rFonts w:hint="eastAsia" w:eastAsia="宋体"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rPr>
              <w:t>日</w:t>
            </w:r>
          </w:p>
        </w:tc>
        <w:tc>
          <w:tcPr>
            <w:tcW w:w="1490" w:type="dxa"/>
            <w:shd w:val="clear" w:color="auto" w:fill="auto"/>
            <w:noWrap w:val="0"/>
            <w:vAlign w:val="center"/>
          </w:tcPr>
          <w:p w14:paraId="7E06FF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月</w:t>
            </w:r>
            <w:r>
              <w:rPr>
                <w:rFonts w:hint="eastAsia" w:eastAsia="宋体" w:cs="Times New Roman"/>
                <w:b/>
                <w:bCs/>
                <w:color w:val="auto"/>
                <w:sz w:val="21"/>
                <w:szCs w:val="21"/>
                <w:highlight w:val="none"/>
                <w:lang w:val="en-US" w:eastAsia="zh-CN"/>
              </w:rPr>
              <w:t>14</w:t>
            </w:r>
            <w:r>
              <w:rPr>
                <w:rFonts w:hint="default" w:ascii="Times New Roman" w:hAnsi="Times New Roman" w:eastAsia="宋体" w:cs="Times New Roman"/>
                <w:b/>
                <w:bCs/>
                <w:color w:val="auto"/>
                <w:sz w:val="21"/>
                <w:szCs w:val="21"/>
                <w:highlight w:val="none"/>
              </w:rPr>
              <w:t>日</w:t>
            </w:r>
          </w:p>
        </w:tc>
      </w:tr>
      <w:tr w14:paraId="4F1E8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14:paraId="66D300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w:t>
            </w:r>
          </w:p>
        </w:tc>
        <w:tc>
          <w:tcPr>
            <w:tcW w:w="2293" w:type="dxa"/>
            <w:noWrap w:val="0"/>
            <w:vAlign w:val="center"/>
          </w:tcPr>
          <w:p w14:paraId="7978BA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厂界</w:t>
            </w:r>
            <w:r>
              <w:rPr>
                <w:rFonts w:hint="eastAsia" w:eastAsia="宋体" w:cs="Times New Roman"/>
                <w:color w:val="auto"/>
                <w:sz w:val="21"/>
                <w:szCs w:val="21"/>
                <w:lang w:val="en-US" w:eastAsia="zh-CN"/>
              </w:rPr>
              <w:t>东</w:t>
            </w:r>
            <w:r>
              <w:rPr>
                <w:rFonts w:hint="default" w:ascii="Times New Roman" w:hAnsi="Times New Roman" w:eastAsia="宋体" w:cs="Times New Roman"/>
                <w:color w:val="auto"/>
                <w:sz w:val="21"/>
                <w:szCs w:val="21"/>
                <w:lang w:val="en-US" w:eastAsia="zh-CN"/>
              </w:rPr>
              <w:t>侧外1m处</w:t>
            </w:r>
          </w:p>
        </w:tc>
        <w:tc>
          <w:tcPr>
            <w:tcW w:w="1314" w:type="dxa"/>
            <w:noWrap w:val="0"/>
            <w:vAlign w:val="center"/>
          </w:tcPr>
          <w:p w14:paraId="741101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w:t>
            </w:r>
          </w:p>
        </w:tc>
        <w:tc>
          <w:tcPr>
            <w:tcW w:w="1314" w:type="dxa"/>
            <w:noWrap w:val="0"/>
            <w:vAlign w:val="center"/>
          </w:tcPr>
          <w:p w14:paraId="24AAE4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46</w:t>
            </w:r>
          </w:p>
        </w:tc>
        <w:tc>
          <w:tcPr>
            <w:tcW w:w="1314" w:type="dxa"/>
            <w:noWrap w:val="0"/>
            <w:vAlign w:val="center"/>
          </w:tcPr>
          <w:p w14:paraId="5F328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38</w:t>
            </w:r>
          </w:p>
        </w:tc>
        <w:tc>
          <w:tcPr>
            <w:tcW w:w="1490" w:type="dxa"/>
            <w:noWrap w:val="0"/>
            <w:vAlign w:val="center"/>
          </w:tcPr>
          <w:p w14:paraId="4CC0B4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39</w:t>
            </w:r>
          </w:p>
        </w:tc>
      </w:tr>
      <w:tr w14:paraId="74C35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14:paraId="2E1C24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w:t>
            </w:r>
          </w:p>
        </w:tc>
        <w:tc>
          <w:tcPr>
            <w:tcW w:w="2293" w:type="dxa"/>
            <w:noWrap w:val="0"/>
            <w:vAlign w:val="center"/>
          </w:tcPr>
          <w:p w14:paraId="32FA3F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厂界</w:t>
            </w:r>
            <w:r>
              <w:rPr>
                <w:rFonts w:hint="eastAsia" w:eastAsia="宋体" w:cs="Times New Roman"/>
                <w:color w:val="auto"/>
                <w:sz w:val="21"/>
                <w:szCs w:val="21"/>
                <w:lang w:val="en-US" w:eastAsia="zh-CN"/>
              </w:rPr>
              <w:t>南</w:t>
            </w:r>
            <w:r>
              <w:rPr>
                <w:rFonts w:hint="default" w:ascii="Times New Roman" w:hAnsi="Times New Roman" w:eastAsia="宋体" w:cs="Times New Roman"/>
                <w:color w:val="auto"/>
                <w:sz w:val="21"/>
                <w:szCs w:val="21"/>
                <w:lang w:val="en-US" w:eastAsia="zh-CN"/>
              </w:rPr>
              <w:t>侧外1m处</w:t>
            </w:r>
          </w:p>
        </w:tc>
        <w:tc>
          <w:tcPr>
            <w:tcW w:w="1314" w:type="dxa"/>
            <w:noWrap w:val="0"/>
            <w:vAlign w:val="center"/>
          </w:tcPr>
          <w:p w14:paraId="03019E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w:t>
            </w:r>
          </w:p>
        </w:tc>
        <w:tc>
          <w:tcPr>
            <w:tcW w:w="1314" w:type="dxa"/>
            <w:noWrap w:val="0"/>
            <w:vAlign w:val="center"/>
          </w:tcPr>
          <w:p w14:paraId="41CF5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w:t>
            </w:r>
          </w:p>
        </w:tc>
        <w:tc>
          <w:tcPr>
            <w:tcW w:w="1314" w:type="dxa"/>
            <w:noWrap w:val="0"/>
            <w:vAlign w:val="center"/>
          </w:tcPr>
          <w:p w14:paraId="7B2A35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37</w:t>
            </w:r>
          </w:p>
        </w:tc>
        <w:tc>
          <w:tcPr>
            <w:tcW w:w="1490" w:type="dxa"/>
            <w:noWrap w:val="0"/>
            <w:vAlign w:val="center"/>
          </w:tcPr>
          <w:p w14:paraId="30094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38</w:t>
            </w:r>
          </w:p>
        </w:tc>
      </w:tr>
      <w:tr w14:paraId="4DB19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14:paraId="63C1E6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w:t>
            </w:r>
          </w:p>
        </w:tc>
        <w:tc>
          <w:tcPr>
            <w:tcW w:w="2293" w:type="dxa"/>
            <w:noWrap w:val="0"/>
            <w:vAlign w:val="center"/>
          </w:tcPr>
          <w:p w14:paraId="20B49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厂界</w:t>
            </w:r>
            <w:r>
              <w:rPr>
                <w:rFonts w:hint="eastAsia" w:eastAsia="宋体" w:cs="Times New Roman"/>
                <w:color w:val="auto"/>
                <w:sz w:val="21"/>
                <w:szCs w:val="21"/>
                <w:lang w:val="en-US" w:eastAsia="zh-CN"/>
              </w:rPr>
              <w:t>西</w:t>
            </w:r>
            <w:r>
              <w:rPr>
                <w:rFonts w:hint="default" w:ascii="Times New Roman" w:hAnsi="Times New Roman" w:eastAsia="宋体" w:cs="Times New Roman"/>
                <w:color w:val="auto"/>
                <w:sz w:val="21"/>
                <w:szCs w:val="21"/>
                <w:lang w:val="en-US" w:eastAsia="zh-CN"/>
              </w:rPr>
              <w:t>侧外1m处</w:t>
            </w:r>
          </w:p>
        </w:tc>
        <w:tc>
          <w:tcPr>
            <w:tcW w:w="1314" w:type="dxa"/>
            <w:noWrap w:val="0"/>
            <w:vAlign w:val="center"/>
          </w:tcPr>
          <w:p w14:paraId="10A6F0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48</w:t>
            </w:r>
          </w:p>
        </w:tc>
        <w:tc>
          <w:tcPr>
            <w:tcW w:w="1314" w:type="dxa"/>
            <w:noWrap w:val="0"/>
            <w:vAlign w:val="center"/>
          </w:tcPr>
          <w:p w14:paraId="33DB8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46</w:t>
            </w:r>
          </w:p>
        </w:tc>
        <w:tc>
          <w:tcPr>
            <w:tcW w:w="1314" w:type="dxa"/>
            <w:noWrap w:val="0"/>
            <w:vAlign w:val="center"/>
          </w:tcPr>
          <w:p w14:paraId="3DC32F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w:t>
            </w:r>
          </w:p>
        </w:tc>
        <w:tc>
          <w:tcPr>
            <w:tcW w:w="1490" w:type="dxa"/>
            <w:noWrap w:val="0"/>
            <w:vAlign w:val="center"/>
          </w:tcPr>
          <w:p w14:paraId="23B37E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w:t>
            </w:r>
          </w:p>
        </w:tc>
      </w:tr>
      <w:tr w14:paraId="7043E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3" w:type="dxa"/>
            <w:noWrap w:val="0"/>
            <w:vAlign w:val="center"/>
          </w:tcPr>
          <w:p w14:paraId="32E849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w:t>
            </w:r>
          </w:p>
        </w:tc>
        <w:tc>
          <w:tcPr>
            <w:tcW w:w="2293" w:type="dxa"/>
            <w:noWrap w:val="0"/>
            <w:vAlign w:val="center"/>
          </w:tcPr>
          <w:p w14:paraId="373EFB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r>
              <w:rPr>
                <w:rFonts w:hint="eastAsia" w:eastAsia="宋体" w:cs="Times New Roman"/>
                <w:color w:val="auto"/>
                <w:sz w:val="21"/>
                <w:szCs w:val="21"/>
                <w:lang w:val="en-US" w:eastAsia="zh-CN"/>
              </w:rPr>
              <w:t>北</w:t>
            </w:r>
            <w:r>
              <w:rPr>
                <w:rFonts w:hint="default" w:ascii="Times New Roman" w:hAnsi="Times New Roman" w:eastAsia="宋体" w:cs="Times New Roman"/>
                <w:color w:val="auto"/>
                <w:sz w:val="21"/>
                <w:szCs w:val="21"/>
                <w:lang w:val="en-US" w:eastAsia="zh-CN"/>
              </w:rPr>
              <w:t>侧外1m处</w:t>
            </w:r>
          </w:p>
        </w:tc>
        <w:tc>
          <w:tcPr>
            <w:tcW w:w="1314" w:type="dxa"/>
            <w:noWrap w:val="0"/>
            <w:vAlign w:val="center"/>
          </w:tcPr>
          <w:p w14:paraId="480387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46</w:t>
            </w:r>
          </w:p>
        </w:tc>
        <w:tc>
          <w:tcPr>
            <w:tcW w:w="1314" w:type="dxa"/>
            <w:noWrap w:val="0"/>
            <w:vAlign w:val="center"/>
          </w:tcPr>
          <w:p w14:paraId="4D0D6E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w:t>
            </w:r>
          </w:p>
        </w:tc>
        <w:tc>
          <w:tcPr>
            <w:tcW w:w="1314" w:type="dxa"/>
            <w:noWrap w:val="0"/>
            <w:vAlign w:val="center"/>
          </w:tcPr>
          <w:p w14:paraId="6C598A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37</w:t>
            </w:r>
          </w:p>
        </w:tc>
        <w:tc>
          <w:tcPr>
            <w:tcW w:w="1490" w:type="dxa"/>
            <w:noWrap w:val="0"/>
            <w:vAlign w:val="center"/>
          </w:tcPr>
          <w:p w14:paraId="07B42C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38</w:t>
            </w:r>
          </w:p>
        </w:tc>
      </w:tr>
      <w:tr w14:paraId="35F8D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36" w:type="dxa"/>
            <w:gridSpan w:val="2"/>
            <w:noWrap w:val="0"/>
            <w:vAlign w:val="center"/>
          </w:tcPr>
          <w:p w14:paraId="1FD589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《声环境质量标准》（GB3096-2008）中的</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类标准值</w:t>
            </w:r>
          </w:p>
        </w:tc>
        <w:tc>
          <w:tcPr>
            <w:tcW w:w="2628" w:type="dxa"/>
            <w:gridSpan w:val="2"/>
            <w:noWrap w:val="0"/>
            <w:vAlign w:val="center"/>
          </w:tcPr>
          <w:p w14:paraId="68374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65</w:t>
            </w:r>
          </w:p>
        </w:tc>
        <w:tc>
          <w:tcPr>
            <w:tcW w:w="2804" w:type="dxa"/>
            <w:gridSpan w:val="2"/>
            <w:noWrap w:val="0"/>
            <w:vAlign w:val="center"/>
          </w:tcPr>
          <w:p w14:paraId="56EAC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55</w:t>
            </w:r>
          </w:p>
        </w:tc>
      </w:tr>
    </w:tbl>
    <w:p w14:paraId="657D66BC">
      <w:pPr>
        <w:bidi w:val="0"/>
        <w:rPr>
          <w:rFonts w:hint="default"/>
          <w:color w:val="auto"/>
          <w:lang w:val="en-US" w:eastAsia="zh-CN"/>
        </w:rPr>
      </w:pPr>
      <w:r>
        <w:rPr>
          <w:rFonts w:hint="eastAsia"/>
          <w:color w:val="auto"/>
          <w:lang w:val="en-US" w:eastAsia="zh-CN"/>
        </w:rPr>
        <w:t>由监测结果</w:t>
      </w:r>
      <w:r>
        <w:rPr>
          <w:rFonts w:hint="eastAsia"/>
          <w:color w:val="auto"/>
          <w:lang w:eastAsia="zh-CN"/>
        </w:rPr>
        <w:t>可知，项目厂界</w:t>
      </w:r>
      <w:r>
        <w:rPr>
          <w:rFonts w:hint="eastAsia"/>
          <w:color w:val="auto"/>
          <w:lang w:val="en-US" w:eastAsia="zh-CN"/>
        </w:rPr>
        <w:t>外</w:t>
      </w:r>
      <w:r>
        <w:rPr>
          <w:rFonts w:hint="eastAsia"/>
          <w:color w:val="auto"/>
          <w:lang w:eastAsia="zh-CN"/>
        </w:rPr>
        <w:t>各监测点昼间等效连续A声级在</w:t>
      </w:r>
      <w:r>
        <w:rPr>
          <w:rFonts w:hint="eastAsia"/>
          <w:color w:val="auto"/>
          <w:lang w:val="en-US" w:eastAsia="zh-CN"/>
        </w:rPr>
        <w:t>45</w:t>
      </w:r>
      <w:r>
        <w:rPr>
          <w:rFonts w:hint="eastAsia"/>
          <w:color w:val="auto"/>
          <w:lang w:eastAsia="zh-CN"/>
        </w:rPr>
        <w:t>~</w:t>
      </w:r>
      <w:r>
        <w:rPr>
          <w:rFonts w:hint="eastAsia"/>
          <w:color w:val="auto"/>
          <w:lang w:val="en-US" w:eastAsia="zh-CN"/>
        </w:rPr>
        <w:t>48</w:t>
      </w:r>
      <w:r>
        <w:rPr>
          <w:rFonts w:hint="eastAsia"/>
          <w:color w:val="auto"/>
          <w:lang w:eastAsia="zh-CN"/>
        </w:rPr>
        <w:t>dB（A），夜间等效连续A声级在</w:t>
      </w:r>
      <w:r>
        <w:rPr>
          <w:rFonts w:hint="eastAsia"/>
          <w:color w:val="auto"/>
          <w:lang w:val="en-US" w:eastAsia="zh-CN"/>
        </w:rPr>
        <w:t>36</w:t>
      </w:r>
      <w:r>
        <w:rPr>
          <w:rFonts w:hint="eastAsia"/>
          <w:color w:val="auto"/>
          <w:lang w:eastAsia="zh-CN"/>
        </w:rPr>
        <w:t>~</w:t>
      </w:r>
      <w:r>
        <w:rPr>
          <w:rFonts w:hint="eastAsia"/>
          <w:color w:val="auto"/>
          <w:lang w:val="en-US" w:eastAsia="zh-CN"/>
        </w:rPr>
        <w:t>39d</w:t>
      </w:r>
      <w:r>
        <w:rPr>
          <w:rFonts w:hint="eastAsia"/>
          <w:color w:val="auto"/>
          <w:lang w:eastAsia="zh-CN"/>
        </w:rPr>
        <w:t>B（A），噪声均符合《声环境质量标准》（GB3096-2008）</w:t>
      </w:r>
      <w:r>
        <w:rPr>
          <w:rFonts w:hint="eastAsia"/>
          <w:color w:val="auto"/>
          <w:lang w:val="en-US" w:eastAsia="zh-CN"/>
        </w:rPr>
        <w:t>3</w:t>
      </w:r>
      <w:r>
        <w:rPr>
          <w:rFonts w:hint="eastAsia"/>
          <w:color w:val="auto"/>
          <w:lang w:eastAsia="zh-CN"/>
        </w:rPr>
        <w:t>类</w:t>
      </w:r>
      <w:r>
        <w:rPr>
          <w:rFonts w:hint="eastAsia"/>
          <w:color w:val="auto"/>
          <w:lang w:val="en-US" w:eastAsia="zh-CN"/>
        </w:rPr>
        <w:t>标准限值</w:t>
      </w:r>
      <w:r>
        <w:rPr>
          <w:rFonts w:hint="eastAsia"/>
          <w:color w:val="auto"/>
          <w:lang w:eastAsia="zh-CN"/>
        </w:rPr>
        <w:t>。</w:t>
      </w:r>
    </w:p>
    <w:p w14:paraId="4B77A0CE">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3.2.</w:t>
      </w:r>
      <w:r>
        <w:rPr>
          <w:rFonts w:hint="eastAsia" w:ascii="Times New Roman" w:hAnsi="Times New Roman" w:eastAsia="黑体" w:cs="Times New Roman"/>
          <w:b/>
          <w:bCs w:val="0"/>
          <w:color w:val="auto"/>
          <w:sz w:val="28"/>
          <w:szCs w:val="28"/>
          <w:lang w:val="en-US" w:eastAsia="zh-CN"/>
        </w:rPr>
        <w:t>5生态环境质量现状</w:t>
      </w:r>
    </w:p>
    <w:p w14:paraId="2F5F0581">
      <w:pPr>
        <w:pageBreakBefore w:val="0"/>
        <w:kinsoku/>
        <w:wordWrap/>
        <w:topLinePunct w:val="0"/>
        <w:bidi w:val="0"/>
        <w:adjustRightInd/>
        <w:snapToGrid/>
        <w:ind w:left="0" w:leftChars="0"/>
        <w:rPr>
          <w:rFonts w:hint="eastAsia" w:ascii="Times New Roman" w:hAnsi="Times New Roman"/>
          <w:color w:val="auto"/>
        </w:rPr>
      </w:pPr>
      <w:r>
        <w:rPr>
          <w:rFonts w:hint="eastAsia"/>
          <w:color w:val="auto"/>
          <w:lang w:val="en-US" w:eastAsia="zh-CN"/>
        </w:rPr>
        <w:t>根据现场调查，项目用地范围内及周边主要以人工绿化、农田及天然牧草为主，项目所在区域植被稀疏、类型简单，以少量荒漠为主，未发现珍稀、濒危或国家及自治区级保护植物。</w:t>
      </w:r>
    </w:p>
    <w:p w14:paraId="2E5415AF">
      <w:pPr>
        <w:rPr>
          <w:rFonts w:hint="eastAsia" w:ascii="Times New Roman" w:hAnsi="Times New Roman"/>
          <w:color w:val="auto"/>
        </w:rPr>
      </w:pPr>
      <w:r>
        <w:rPr>
          <w:rFonts w:hint="eastAsia" w:ascii="Times New Roman" w:hAnsi="Times New Roman"/>
          <w:color w:val="auto"/>
        </w:rPr>
        <w:br w:type="page"/>
      </w:r>
    </w:p>
    <w:p w14:paraId="5C27560D">
      <w:pPr>
        <w:pStyle w:val="4"/>
        <w:keepNext/>
        <w:keepLines/>
        <w:pageBreakBefore w:val="0"/>
        <w:widowControl w:val="0"/>
        <w:kinsoku/>
        <w:wordWrap/>
        <w:overflowPunct/>
        <w:topLinePunct w:val="0"/>
        <w:autoSpaceDE/>
        <w:autoSpaceDN/>
        <w:bidi w:val="0"/>
        <w:adjustRightInd/>
        <w:snapToGrid/>
        <w:spacing w:before="0" w:line="360" w:lineRule="auto"/>
        <w:jc w:val="both"/>
        <w:textAlignment w:val="auto"/>
        <w:rPr>
          <w:rFonts w:hint="default" w:ascii="Times New Roman" w:hAnsi="Times New Roman" w:cs="Times New Roman"/>
          <w:color w:val="auto"/>
          <w:szCs w:val="30"/>
          <w:highlight w:val="none"/>
        </w:rPr>
      </w:pPr>
      <w:bookmarkStart w:id="345" w:name="_Toc5893"/>
      <w:bookmarkStart w:id="346" w:name="_Toc7291"/>
      <w:bookmarkStart w:id="347" w:name="_Toc400"/>
      <w:bookmarkStart w:id="348" w:name="_Toc900"/>
      <w:bookmarkStart w:id="349" w:name="_Toc22442"/>
      <w:bookmarkStart w:id="350" w:name="_Toc26137"/>
      <w:r>
        <w:rPr>
          <w:rFonts w:hint="default" w:ascii="Times New Roman" w:hAnsi="Times New Roman" w:eastAsia="黑体" w:cs="Times New Roman"/>
          <w:b/>
          <w:bCs/>
          <w:color w:val="auto"/>
          <w:kern w:val="0"/>
          <w:sz w:val="28"/>
          <w:szCs w:val="28"/>
          <w:highlight w:val="none"/>
          <w:lang w:val="en-US" w:eastAsia="zh-CN" w:bidi="ar-SA"/>
        </w:rPr>
        <w:t>4施工期环境影响预测与评价</w:t>
      </w:r>
      <w:bookmarkEnd w:id="345"/>
      <w:bookmarkEnd w:id="346"/>
      <w:bookmarkEnd w:id="347"/>
      <w:bookmarkEnd w:id="348"/>
      <w:bookmarkEnd w:id="349"/>
      <w:bookmarkEnd w:id="350"/>
    </w:p>
    <w:p w14:paraId="5762D87E">
      <w:pPr>
        <w:bidi w:val="0"/>
        <w:rPr>
          <w:rFonts w:hint="eastAsia"/>
          <w:color w:val="auto"/>
          <w:lang w:eastAsia="zh-CN"/>
        </w:rPr>
      </w:pPr>
      <w:r>
        <w:rPr>
          <w:rFonts w:hint="eastAsia"/>
          <w:color w:val="auto"/>
          <w:lang w:eastAsia="zh-CN"/>
        </w:rPr>
        <w:t>本项目施工期主要建设牛羊屠宰</w:t>
      </w:r>
      <w:r>
        <w:rPr>
          <w:rFonts w:hint="eastAsia"/>
          <w:color w:val="auto"/>
          <w:lang w:val="en-US" w:eastAsia="zh-CN"/>
        </w:rPr>
        <w:t>加工</w:t>
      </w:r>
      <w:r>
        <w:rPr>
          <w:rFonts w:hint="eastAsia"/>
          <w:color w:val="auto"/>
          <w:lang w:eastAsia="zh-CN"/>
        </w:rPr>
        <w:t>车间、</w:t>
      </w:r>
      <w:r>
        <w:rPr>
          <w:rFonts w:hint="eastAsia"/>
          <w:color w:val="auto"/>
          <w:lang w:val="en-US" w:eastAsia="zh-CN"/>
        </w:rPr>
        <w:t>研发中心、污水处理站</w:t>
      </w:r>
      <w:r>
        <w:rPr>
          <w:rFonts w:hint="eastAsia"/>
          <w:color w:val="auto"/>
          <w:lang w:eastAsia="zh-CN"/>
        </w:rPr>
        <w:t>等。项目在建设期间，各项施工活动会产生一定量的机械尾气、扬尘、噪声、固体废物、污水等，其中以扬尘和噪声对环境的影响较为显著。</w:t>
      </w:r>
    </w:p>
    <w:p w14:paraId="0EB6726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351" w:name="_Toc10087"/>
      <w:bookmarkStart w:id="352" w:name="_Toc6486"/>
      <w:bookmarkStart w:id="353" w:name="_Toc9901"/>
      <w:bookmarkStart w:id="354" w:name="_Toc24710"/>
      <w:bookmarkStart w:id="355" w:name="_Toc26211"/>
      <w:bookmarkStart w:id="356" w:name="_Toc18386"/>
      <w:r>
        <w:rPr>
          <w:rFonts w:hint="eastAsia" w:ascii="Times New Roman" w:hAnsi="Times New Roman" w:eastAsia="黑体" w:cs="Times New Roman"/>
          <w:b/>
          <w:color w:val="auto"/>
          <w:sz w:val="28"/>
          <w:szCs w:val="28"/>
          <w:highlight w:val="none"/>
          <w:lang w:val="en-US" w:eastAsia="zh-CN"/>
        </w:rPr>
        <w:t>4.1施工期大气环境影响评价</w:t>
      </w:r>
      <w:bookmarkEnd w:id="351"/>
      <w:bookmarkEnd w:id="352"/>
      <w:bookmarkEnd w:id="353"/>
      <w:bookmarkEnd w:id="354"/>
      <w:bookmarkEnd w:id="355"/>
      <w:bookmarkEnd w:id="356"/>
    </w:p>
    <w:p w14:paraId="7CB436A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eastAsia" w:ascii="Times New Roman" w:hAnsi="Times New Roman" w:eastAsia="黑体" w:cs="Times New Roman"/>
          <w:b/>
          <w:bCs w:val="0"/>
          <w:color w:val="auto"/>
          <w:sz w:val="28"/>
          <w:szCs w:val="28"/>
          <w:lang w:val="en-US" w:eastAsia="zh-CN"/>
        </w:rPr>
        <w:t>4.1.1施工期扬尘影响分析</w:t>
      </w:r>
    </w:p>
    <w:p w14:paraId="07E7B1A0">
      <w:pPr>
        <w:bidi w:val="0"/>
        <w:rPr>
          <w:rFonts w:hint="eastAsia"/>
          <w:color w:val="auto"/>
          <w:lang w:eastAsia="zh-CN"/>
        </w:rPr>
      </w:pPr>
      <w:r>
        <w:rPr>
          <w:rFonts w:hint="eastAsia"/>
          <w:color w:val="auto"/>
          <w:lang w:eastAsia="zh-CN"/>
        </w:rPr>
        <w:t>本项目施工期对大气环境产生的影响主要来自土方挖掘、堆积清运和建筑材料（如水泥、石灰、砂子）等装卸、堆放的扬尘；交通运输、搅拌机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w:t>
      </w:r>
    </w:p>
    <w:p w14:paraId="42499FF5">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eastAsia" w:ascii="Times New Roman" w:hAnsi="Times New Roman" w:eastAsia="黑体" w:cs="Times New Roman"/>
          <w:b/>
          <w:bCs w:val="0"/>
          <w:color w:val="auto"/>
          <w:sz w:val="28"/>
          <w:szCs w:val="28"/>
          <w:lang w:val="en-US" w:eastAsia="zh-CN"/>
        </w:rPr>
      </w:pPr>
      <w:bookmarkStart w:id="357" w:name="_Toc487010390"/>
      <w:bookmarkStart w:id="358" w:name="_Toc490495529"/>
      <w:bookmarkStart w:id="359" w:name="_Toc477763060"/>
      <w:bookmarkStart w:id="360" w:name="_Toc486955553"/>
      <w:bookmarkStart w:id="361" w:name="_Toc487036578"/>
      <w:bookmarkStart w:id="362" w:name="_Toc486955402"/>
      <w:bookmarkStart w:id="363" w:name="_Toc10125"/>
      <w:bookmarkStart w:id="364" w:name="_Toc32428"/>
      <w:r>
        <w:rPr>
          <w:rFonts w:hint="eastAsia" w:ascii="Times New Roman" w:hAnsi="Times New Roman" w:eastAsia="黑体" w:cs="Times New Roman"/>
          <w:b/>
          <w:bCs w:val="0"/>
          <w:color w:val="auto"/>
          <w:sz w:val="28"/>
          <w:szCs w:val="28"/>
          <w:lang w:val="en-US" w:eastAsia="zh-CN"/>
        </w:rPr>
        <w:t>4.1.</w:t>
      </w:r>
      <w:r>
        <w:rPr>
          <w:rFonts w:hint="eastAsia" w:eastAsia="黑体" w:cs="Times New Roman"/>
          <w:b/>
          <w:bCs w:val="0"/>
          <w:color w:val="auto"/>
          <w:sz w:val="28"/>
          <w:szCs w:val="28"/>
          <w:lang w:val="en-US" w:eastAsia="zh-CN"/>
        </w:rPr>
        <w:t>2</w:t>
      </w:r>
      <w:r>
        <w:rPr>
          <w:rFonts w:hint="eastAsia" w:ascii="Times New Roman" w:hAnsi="Times New Roman" w:eastAsia="黑体" w:cs="Times New Roman"/>
          <w:b/>
          <w:bCs w:val="0"/>
          <w:color w:val="auto"/>
          <w:sz w:val="28"/>
          <w:szCs w:val="28"/>
          <w:lang w:val="en-US" w:eastAsia="zh-CN"/>
        </w:rPr>
        <w:t>施工期机械废气影响分析</w:t>
      </w:r>
      <w:bookmarkEnd w:id="357"/>
      <w:bookmarkEnd w:id="358"/>
      <w:bookmarkEnd w:id="359"/>
      <w:bookmarkEnd w:id="360"/>
      <w:bookmarkEnd w:id="361"/>
      <w:bookmarkEnd w:id="362"/>
      <w:bookmarkEnd w:id="363"/>
      <w:bookmarkEnd w:id="364"/>
    </w:p>
    <w:p w14:paraId="3E312750">
      <w:pPr>
        <w:bidi w:val="0"/>
        <w:rPr>
          <w:rFonts w:hint="eastAsia"/>
          <w:color w:val="auto"/>
          <w:lang w:eastAsia="zh-CN"/>
        </w:rPr>
      </w:pPr>
      <w:r>
        <w:rPr>
          <w:rFonts w:hint="eastAsia"/>
          <w:color w:val="auto"/>
          <w:lang w:eastAsia="zh-CN"/>
        </w:rPr>
        <w:t>施工过程中施工机械、机动车辆将不可避免的排放车辆尾气，对周围环境空气质量</w:t>
      </w:r>
      <w:r>
        <w:rPr>
          <w:rFonts w:hint="eastAsia"/>
          <w:color w:val="auto"/>
          <w:lang w:val="en-US" w:eastAsia="zh-CN"/>
        </w:rPr>
        <w:t>产生</w:t>
      </w:r>
      <w:r>
        <w:rPr>
          <w:rFonts w:hint="eastAsia"/>
          <w:color w:val="auto"/>
          <w:lang w:eastAsia="zh-CN"/>
        </w:rPr>
        <w:t>影响。</w:t>
      </w:r>
    </w:p>
    <w:p w14:paraId="512E8DC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365" w:name="_Toc490495759"/>
      <w:bookmarkStart w:id="366" w:name="_Toc7279"/>
      <w:bookmarkStart w:id="367" w:name="_Toc20902"/>
      <w:bookmarkStart w:id="368" w:name="_Toc4445"/>
      <w:bookmarkStart w:id="369" w:name="_Toc15623"/>
      <w:bookmarkStart w:id="370" w:name="_Toc490495530"/>
      <w:bookmarkStart w:id="371" w:name="_Toc16213"/>
      <w:bookmarkStart w:id="372" w:name="_Toc9016"/>
      <w:bookmarkStart w:id="373" w:name="_Toc490495680"/>
      <w:r>
        <w:rPr>
          <w:rFonts w:hint="eastAsia" w:ascii="Times New Roman" w:hAnsi="Times New Roman" w:eastAsia="黑体" w:cs="Times New Roman"/>
          <w:b/>
          <w:color w:val="auto"/>
          <w:sz w:val="28"/>
          <w:szCs w:val="28"/>
          <w:highlight w:val="none"/>
          <w:lang w:val="en-US" w:eastAsia="zh-CN"/>
        </w:rPr>
        <w:t>4.2施工期声环境影响评价与分析</w:t>
      </w:r>
      <w:bookmarkEnd w:id="365"/>
      <w:bookmarkEnd w:id="366"/>
      <w:bookmarkEnd w:id="367"/>
      <w:bookmarkEnd w:id="368"/>
      <w:bookmarkEnd w:id="369"/>
      <w:bookmarkEnd w:id="370"/>
      <w:bookmarkEnd w:id="371"/>
      <w:bookmarkEnd w:id="372"/>
      <w:bookmarkEnd w:id="373"/>
    </w:p>
    <w:p w14:paraId="355F5F3A">
      <w:pPr>
        <w:bidi w:val="0"/>
        <w:rPr>
          <w:rFonts w:hint="eastAsia"/>
          <w:color w:val="auto"/>
          <w:lang w:eastAsia="zh-CN"/>
        </w:rPr>
      </w:pPr>
      <w:r>
        <w:rPr>
          <w:rFonts w:hint="eastAsia"/>
          <w:color w:val="auto"/>
          <w:lang w:eastAsia="zh-CN"/>
        </w:rPr>
        <w:t>噪声是施工期的主要污染因子之一，施工过程中使用的运输车辆及各种施工机械设备如升降机、吊车、电锯等都会产生噪声影响。</w:t>
      </w:r>
    </w:p>
    <w:p w14:paraId="4257C46B">
      <w:pPr>
        <w:bidi w:val="0"/>
        <w:rPr>
          <w:rFonts w:hint="eastAsia"/>
          <w:color w:val="auto"/>
          <w:lang w:eastAsia="zh-CN"/>
        </w:rPr>
      </w:pPr>
      <w:r>
        <w:rPr>
          <w:rFonts w:hint="eastAsia"/>
          <w:color w:val="auto"/>
          <w:lang w:eastAsia="zh-CN"/>
        </w:rPr>
        <w:t>通过相关资料的类比调查分析，估算施工期各机械设备的噪声源强。施工期主要机械设备的噪声源强见表4.2-1。</w:t>
      </w:r>
    </w:p>
    <w:p w14:paraId="205AE98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outlineLvl w:val="9"/>
        <w:rPr>
          <w:rFonts w:hint="default" w:ascii="Times New Roman" w:hAnsi="Times New Roman" w:eastAsia="宋体" w:cs="Times New Roman"/>
          <w:b/>
          <w:color w:val="auto"/>
        </w:rPr>
      </w:pPr>
      <w:r>
        <w:rPr>
          <w:rFonts w:hint="default" w:ascii="Times New Roman" w:hAnsi="Times New Roman" w:eastAsia="宋体" w:cs="Times New Roman"/>
          <w:b w:val="0"/>
          <w:bCs/>
          <w:color w:val="auto"/>
          <w:sz w:val="21"/>
          <w:szCs w:val="21"/>
        </w:rPr>
        <w:t>表</w:t>
      </w:r>
      <w:r>
        <w:rPr>
          <w:rFonts w:hint="default"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rPr>
        <w:t>-1</w:t>
      </w:r>
      <w:r>
        <w:rPr>
          <w:rFonts w:hint="default" w:ascii="Times New Roman" w:hAnsi="Times New Roman" w:eastAsia="宋体" w:cs="Times New Roman"/>
          <w:b/>
          <w:color w:val="auto"/>
          <w:sz w:val="24"/>
        </w:rPr>
        <w:t xml:space="preserve">              施工期主要设备产生的噪声强度一览表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4"/>
        <w:gridCol w:w="1349"/>
        <w:gridCol w:w="1237"/>
        <w:gridCol w:w="1815"/>
        <w:gridCol w:w="1928"/>
        <w:gridCol w:w="1795"/>
      </w:tblGrid>
      <w:tr w14:paraId="7E17F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807" w:type="dxa"/>
            <w:noWrap w:val="0"/>
            <w:vAlign w:val="center"/>
          </w:tcPr>
          <w:p w14:paraId="3DAB4EF6">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b/>
                <w:color w:val="auto"/>
                <w:sz w:val="21"/>
                <w:szCs w:val="21"/>
              </w:rPr>
            </w:pPr>
            <w:r>
              <w:rPr>
                <w:rFonts w:ascii="Times New Roman" w:hAnsi="Times New Roman" w:eastAsia="宋体"/>
                <w:b/>
                <w:color w:val="auto"/>
                <w:sz w:val="21"/>
                <w:szCs w:val="21"/>
              </w:rPr>
              <w:t>编号</w:t>
            </w:r>
          </w:p>
        </w:tc>
        <w:tc>
          <w:tcPr>
            <w:tcW w:w="1322" w:type="dxa"/>
            <w:noWrap w:val="0"/>
            <w:vAlign w:val="center"/>
          </w:tcPr>
          <w:p w14:paraId="3D30CCE0">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b/>
                <w:color w:val="auto"/>
                <w:sz w:val="21"/>
                <w:szCs w:val="21"/>
              </w:rPr>
            </w:pPr>
            <w:r>
              <w:rPr>
                <w:rFonts w:ascii="Times New Roman" w:hAnsi="Times New Roman" w:eastAsia="宋体"/>
                <w:b/>
                <w:color w:val="auto"/>
                <w:sz w:val="21"/>
                <w:szCs w:val="21"/>
              </w:rPr>
              <w:t>施工阶段</w:t>
            </w:r>
          </w:p>
        </w:tc>
        <w:tc>
          <w:tcPr>
            <w:tcW w:w="1212" w:type="dxa"/>
            <w:noWrap w:val="0"/>
            <w:vAlign w:val="center"/>
          </w:tcPr>
          <w:p w14:paraId="4A520256">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b/>
                <w:color w:val="auto"/>
                <w:sz w:val="21"/>
                <w:szCs w:val="21"/>
              </w:rPr>
            </w:pPr>
            <w:r>
              <w:rPr>
                <w:rFonts w:ascii="Times New Roman" w:hAnsi="Times New Roman" w:eastAsia="宋体"/>
                <w:b/>
                <w:color w:val="auto"/>
                <w:sz w:val="21"/>
                <w:szCs w:val="21"/>
              </w:rPr>
              <w:t>设备名称</w:t>
            </w:r>
          </w:p>
        </w:tc>
        <w:tc>
          <w:tcPr>
            <w:tcW w:w="1778" w:type="dxa"/>
            <w:noWrap w:val="0"/>
            <w:vAlign w:val="center"/>
          </w:tcPr>
          <w:p w14:paraId="33D32373">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b/>
                <w:color w:val="auto"/>
                <w:sz w:val="21"/>
                <w:szCs w:val="21"/>
              </w:rPr>
            </w:pPr>
            <w:r>
              <w:rPr>
                <w:rFonts w:ascii="Times New Roman" w:hAnsi="Times New Roman" w:eastAsia="宋体"/>
                <w:b/>
                <w:color w:val="auto"/>
                <w:sz w:val="21"/>
                <w:szCs w:val="21"/>
              </w:rPr>
              <w:t>源强（dB(A)）</w:t>
            </w:r>
          </w:p>
        </w:tc>
        <w:tc>
          <w:tcPr>
            <w:tcW w:w="1889" w:type="dxa"/>
            <w:noWrap w:val="0"/>
            <w:vAlign w:val="center"/>
          </w:tcPr>
          <w:p w14:paraId="6C94A153">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b/>
                <w:color w:val="auto"/>
                <w:sz w:val="21"/>
                <w:szCs w:val="21"/>
              </w:rPr>
            </w:pPr>
            <w:r>
              <w:rPr>
                <w:rFonts w:ascii="Times New Roman" w:hAnsi="Times New Roman" w:eastAsia="宋体"/>
                <w:b/>
                <w:color w:val="auto"/>
                <w:sz w:val="21"/>
                <w:szCs w:val="21"/>
              </w:rPr>
              <w:t>测量距离（m）</w:t>
            </w:r>
          </w:p>
        </w:tc>
        <w:tc>
          <w:tcPr>
            <w:tcW w:w="1759" w:type="dxa"/>
            <w:noWrap w:val="0"/>
            <w:vAlign w:val="center"/>
          </w:tcPr>
          <w:p w14:paraId="346B7D4F">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b/>
                <w:color w:val="auto"/>
                <w:sz w:val="21"/>
                <w:szCs w:val="21"/>
              </w:rPr>
            </w:pPr>
            <w:r>
              <w:rPr>
                <w:rFonts w:ascii="Times New Roman" w:hAnsi="Times New Roman" w:eastAsia="宋体"/>
                <w:b/>
                <w:color w:val="auto"/>
                <w:sz w:val="21"/>
                <w:szCs w:val="21"/>
              </w:rPr>
              <w:t>声源性质</w:t>
            </w:r>
          </w:p>
        </w:tc>
      </w:tr>
      <w:tr w14:paraId="6A677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07" w:type="dxa"/>
            <w:noWrap w:val="0"/>
            <w:vAlign w:val="center"/>
          </w:tcPr>
          <w:p w14:paraId="2008471E">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1322" w:type="dxa"/>
            <w:vMerge w:val="restart"/>
            <w:noWrap w:val="0"/>
            <w:vAlign w:val="center"/>
          </w:tcPr>
          <w:p w14:paraId="15DD1839">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屋面工程</w:t>
            </w:r>
          </w:p>
          <w:p w14:paraId="36EA7259">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施工和装</w:t>
            </w:r>
          </w:p>
          <w:p w14:paraId="1340D1EA">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饰工程施</w:t>
            </w:r>
          </w:p>
          <w:p w14:paraId="5C562033">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工阶段</w:t>
            </w:r>
          </w:p>
        </w:tc>
        <w:tc>
          <w:tcPr>
            <w:tcW w:w="1212" w:type="dxa"/>
            <w:noWrap w:val="0"/>
            <w:vAlign w:val="center"/>
          </w:tcPr>
          <w:p w14:paraId="78F036DE">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吊车</w:t>
            </w:r>
          </w:p>
        </w:tc>
        <w:tc>
          <w:tcPr>
            <w:tcW w:w="1778" w:type="dxa"/>
            <w:noWrap w:val="0"/>
            <w:vAlign w:val="center"/>
          </w:tcPr>
          <w:p w14:paraId="180E6D46">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75</w:t>
            </w:r>
          </w:p>
        </w:tc>
        <w:tc>
          <w:tcPr>
            <w:tcW w:w="1889" w:type="dxa"/>
            <w:noWrap w:val="0"/>
            <w:vAlign w:val="center"/>
          </w:tcPr>
          <w:p w14:paraId="4D54E75D">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5</w:t>
            </w:r>
          </w:p>
        </w:tc>
        <w:tc>
          <w:tcPr>
            <w:tcW w:w="1759" w:type="dxa"/>
            <w:noWrap w:val="0"/>
            <w:vAlign w:val="center"/>
          </w:tcPr>
          <w:p w14:paraId="4E0C9375">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间歇性声源</w:t>
            </w:r>
          </w:p>
        </w:tc>
      </w:tr>
      <w:tr w14:paraId="3DA95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07" w:type="dxa"/>
            <w:noWrap w:val="0"/>
            <w:vAlign w:val="center"/>
          </w:tcPr>
          <w:p w14:paraId="2FBFA773">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1322" w:type="dxa"/>
            <w:vMerge w:val="continue"/>
            <w:noWrap w:val="0"/>
            <w:vAlign w:val="center"/>
          </w:tcPr>
          <w:p w14:paraId="7FEF348C">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p>
        </w:tc>
        <w:tc>
          <w:tcPr>
            <w:tcW w:w="1212" w:type="dxa"/>
            <w:noWrap w:val="0"/>
            <w:vAlign w:val="center"/>
          </w:tcPr>
          <w:p w14:paraId="2A6AF0AC">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电钻</w:t>
            </w:r>
          </w:p>
        </w:tc>
        <w:tc>
          <w:tcPr>
            <w:tcW w:w="1778" w:type="dxa"/>
            <w:noWrap w:val="0"/>
            <w:vAlign w:val="center"/>
          </w:tcPr>
          <w:p w14:paraId="3B88A6D3">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92</w:t>
            </w:r>
          </w:p>
        </w:tc>
        <w:tc>
          <w:tcPr>
            <w:tcW w:w="1889" w:type="dxa"/>
            <w:noWrap w:val="0"/>
            <w:vAlign w:val="center"/>
          </w:tcPr>
          <w:p w14:paraId="1FBF2736">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5</w:t>
            </w:r>
          </w:p>
        </w:tc>
        <w:tc>
          <w:tcPr>
            <w:tcW w:w="1759" w:type="dxa"/>
            <w:noWrap w:val="0"/>
            <w:vAlign w:val="center"/>
          </w:tcPr>
          <w:p w14:paraId="4ACC7E4B">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间歇性声源</w:t>
            </w:r>
          </w:p>
        </w:tc>
      </w:tr>
      <w:tr w14:paraId="664F44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07" w:type="dxa"/>
            <w:noWrap w:val="0"/>
            <w:vAlign w:val="center"/>
          </w:tcPr>
          <w:p w14:paraId="059D90B0">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w:t>
            </w:r>
          </w:p>
        </w:tc>
        <w:tc>
          <w:tcPr>
            <w:tcW w:w="1322" w:type="dxa"/>
            <w:vMerge w:val="continue"/>
            <w:noWrap w:val="0"/>
            <w:vAlign w:val="center"/>
          </w:tcPr>
          <w:p w14:paraId="10668691">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p>
        </w:tc>
        <w:tc>
          <w:tcPr>
            <w:tcW w:w="1212" w:type="dxa"/>
            <w:noWrap w:val="0"/>
            <w:vAlign w:val="center"/>
          </w:tcPr>
          <w:p w14:paraId="4371E720">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电锯</w:t>
            </w:r>
          </w:p>
        </w:tc>
        <w:tc>
          <w:tcPr>
            <w:tcW w:w="1778" w:type="dxa"/>
            <w:noWrap w:val="0"/>
            <w:vAlign w:val="center"/>
          </w:tcPr>
          <w:p w14:paraId="1ED46AFC">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95</w:t>
            </w:r>
          </w:p>
        </w:tc>
        <w:tc>
          <w:tcPr>
            <w:tcW w:w="1889" w:type="dxa"/>
            <w:noWrap w:val="0"/>
            <w:vAlign w:val="center"/>
          </w:tcPr>
          <w:p w14:paraId="72E05A07">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5</w:t>
            </w:r>
          </w:p>
        </w:tc>
        <w:tc>
          <w:tcPr>
            <w:tcW w:w="1759" w:type="dxa"/>
            <w:noWrap w:val="0"/>
            <w:vAlign w:val="center"/>
          </w:tcPr>
          <w:p w14:paraId="3DB66C20">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pacing w:val="-14"/>
                <w:sz w:val="21"/>
                <w:szCs w:val="21"/>
              </w:rPr>
            </w:pPr>
            <w:r>
              <w:rPr>
                <w:rFonts w:ascii="Times New Roman" w:hAnsi="Times New Roman" w:eastAsia="宋体"/>
                <w:color w:val="auto"/>
                <w:spacing w:val="-14"/>
                <w:sz w:val="21"/>
                <w:szCs w:val="21"/>
              </w:rPr>
              <w:t>短期内连续声源</w:t>
            </w:r>
          </w:p>
        </w:tc>
      </w:tr>
      <w:tr w14:paraId="17656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07" w:type="dxa"/>
            <w:noWrap w:val="0"/>
            <w:vAlign w:val="center"/>
          </w:tcPr>
          <w:p w14:paraId="1EBC85DD">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1322" w:type="dxa"/>
            <w:vMerge w:val="continue"/>
            <w:noWrap w:val="0"/>
            <w:vAlign w:val="center"/>
          </w:tcPr>
          <w:p w14:paraId="45C1D866">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p>
        </w:tc>
        <w:tc>
          <w:tcPr>
            <w:tcW w:w="1212" w:type="dxa"/>
            <w:noWrap w:val="0"/>
            <w:vAlign w:val="center"/>
          </w:tcPr>
          <w:p w14:paraId="1DD7D89A">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木工机械</w:t>
            </w:r>
          </w:p>
        </w:tc>
        <w:tc>
          <w:tcPr>
            <w:tcW w:w="1778" w:type="dxa"/>
            <w:noWrap w:val="0"/>
            <w:vAlign w:val="center"/>
          </w:tcPr>
          <w:p w14:paraId="7EE6294A">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90</w:t>
            </w:r>
          </w:p>
        </w:tc>
        <w:tc>
          <w:tcPr>
            <w:tcW w:w="1889" w:type="dxa"/>
            <w:noWrap w:val="0"/>
            <w:vAlign w:val="center"/>
          </w:tcPr>
          <w:p w14:paraId="46F05363">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5</w:t>
            </w:r>
          </w:p>
        </w:tc>
        <w:tc>
          <w:tcPr>
            <w:tcW w:w="1759" w:type="dxa"/>
            <w:noWrap w:val="0"/>
            <w:vAlign w:val="center"/>
          </w:tcPr>
          <w:p w14:paraId="0C66D6D6">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间歇性声源</w:t>
            </w:r>
          </w:p>
        </w:tc>
      </w:tr>
      <w:tr w14:paraId="3C33A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07" w:type="dxa"/>
            <w:noWrap w:val="0"/>
            <w:vAlign w:val="center"/>
          </w:tcPr>
          <w:p w14:paraId="4D00FEF7">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w:t>
            </w:r>
          </w:p>
        </w:tc>
        <w:tc>
          <w:tcPr>
            <w:tcW w:w="1322" w:type="dxa"/>
            <w:vMerge w:val="continue"/>
            <w:noWrap w:val="0"/>
            <w:vAlign w:val="center"/>
          </w:tcPr>
          <w:p w14:paraId="4178A09B">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p>
        </w:tc>
        <w:tc>
          <w:tcPr>
            <w:tcW w:w="1212" w:type="dxa"/>
            <w:noWrap w:val="0"/>
            <w:vAlign w:val="center"/>
          </w:tcPr>
          <w:p w14:paraId="12020C82">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升降机</w:t>
            </w:r>
          </w:p>
        </w:tc>
        <w:tc>
          <w:tcPr>
            <w:tcW w:w="1778" w:type="dxa"/>
            <w:noWrap w:val="0"/>
            <w:vAlign w:val="center"/>
          </w:tcPr>
          <w:p w14:paraId="03234B1A">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76</w:t>
            </w:r>
          </w:p>
        </w:tc>
        <w:tc>
          <w:tcPr>
            <w:tcW w:w="1889" w:type="dxa"/>
            <w:noWrap w:val="0"/>
            <w:vAlign w:val="center"/>
          </w:tcPr>
          <w:p w14:paraId="138FDDE4">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5</w:t>
            </w:r>
          </w:p>
        </w:tc>
        <w:tc>
          <w:tcPr>
            <w:tcW w:w="1759" w:type="dxa"/>
            <w:noWrap w:val="0"/>
            <w:vAlign w:val="center"/>
          </w:tcPr>
          <w:p w14:paraId="091D73F9">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间歇性声源</w:t>
            </w:r>
          </w:p>
        </w:tc>
      </w:tr>
      <w:tr w14:paraId="3DF76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07" w:type="dxa"/>
            <w:noWrap w:val="0"/>
            <w:vAlign w:val="center"/>
          </w:tcPr>
          <w:p w14:paraId="79C711B3">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w:t>
            </w:r>
          </w:p>
        </w:tc>
        <w:tc>
          <w:tcPr>
            <w:tcW w:w="1322" w:type="dxa"/>
            <w:noWrap w:val="0"/>
            <w:vAlign w:val="center"/>
          </w:tcPr>
          <w:p w14:paraId="59C27732">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全过程</w:t>
            </w:r>
          </w:p>
        </w:tc>
        <w:tc>
          <w:tcPr>
            <w:tcW w:w="1212" w:type="dxa"/>
            <w:noWrap w:val="0"/>
            <w:vAlign w:val="center"/>
          </w:tcPr>
          <w:p w14:paraId="14357C89">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运输车辆</w:t>
            </w:r>
          </w:p>
        </w:tc>
        <w:tc>
          <w:tcPr>
            <w:tcW w:w="1778" w:type="dxa"/>
            <w:noWrap w:val="0"/>
            <w:vAlign w:val="center"/>
          </w:tcPr>
          <w:p w14:paraId="281F6F77">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80</w:t>
            </w:r>
          </w:p>
        </w:tc>
        <w:tc>
          <w:tcPr>
            <w:tcW w:w="1889" w:type="dxa"/>
            <w:noWrap w:val="0"/>
            <w:vAlign w:val="center"/>
          </w:tcPr>
          <w:p w14:paraId="775E4521">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5</w:t>
            </w:r>
          </w:p>
        </w:tc>
        <w:tc>
          <w:tcPr>
            <w:tcW w:w="1759" w:type="dxa"/>
            <w:noWrap w:val="0"/>
            <w:vAlign w:val="center"/>
          </w:tcPr>
          <w:p w14:paraId="5CC22823">
            <w:pPr>
              <w:pStyle w:val="45"/>
              <w:keepNext w:val="0"/>
              <w:keepLines w:val="0"/>
              <w:pageBreakBefore w:val="0"/>
              <w:widowControl w:val="0"/>
              <w:kinsoku/>
              <w:wordWrap/>
              <w:overflowPunct/>
              <w:topLinePunct w:val="0"/>
              <w:autoSpaceDE/>
              <w:autoSpaceDN/>
              <w:bidi w:val="0"/>
              <w:adjustRightInd w:val="0"/>
              <w:snapToGrid w:val="0"/>
              <w:spacing w:beforeLines="0"/>
              <w:jc w:val="center"/>
              <w:textAlignment w:val="auto"/>
              <w:outlineLvl w:val="9"/>
              <w:rPr>
                <w:rFonts w:ascii="Times New Roman" w:hAnsi="Times New Roman" w:eastAsia="宋体"/>
                <w:color w:val="auto"/>
                <w:sz w:val="21"/>
                <w:szCs w:val="21"/>
              </w:rPr>
            </w:pPr>
            <w:r>
              <w:rPr>
                <w:rFonts w:ascii="Times New Roman" w:hAnsi="Times New Roman" w:eastAsia="宋体"/>
                <w:color w:val="auto"/>
                <w:sz w:val="21"/>
                <w:szCs w:val="21"/>
              </w:rPr>
              <w:t>间歇性声源</w:t>
            </w:r>
          </w:p>
        </w:tc>
      </w:tr>
    </w:tbl>
    <w:p w14:paraId="55A6BD9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374" w:name="_Toc14973"/>
      <w:bookmarkStart w:id="375" w:name="_Toc20142"/>
      <w:bookmarkStart w:id="376" w:name="_Toc487010394"/>
      <w:bookmarkStart w:id="377" w:name="_Toc477763064"/>
      <w:bookmarkStart w:id="378" w:name="_Toc490495681"/>
      <w:bookmarkStart w:id="379" w:name="_Toc486955406"/>
      <w:bookmarkStart w:id="380" w:name="_Toc487036582"/>
      <w:bookmarkStart w:id="381" w:name="_Toc25390"/>
      <w:bookmarkStart w:id="382" w:name="_Toc490495760"/>
      <w:bookmarkStart w:id="383" w:name="_Toc1776"/>
      <w:bookmarkStart w:id="384" w:name="_Toc25692"/>
      <w:bookmarkStart w:id="385" w:name="_Toc29483"/>
      <w:bookmarkStart w:id="386" w:name="_Toc490495534"/>
      <w:r>
        <w:rPr>
          <w:rFonts w:hint="default" w:ascii="Times New Roman" w:hAnsi="Times New Roman" w:eastAsia="黑体" w:cs="Times New Roman"/>
          <w:b/>
          <w:color w:val="auto"/>
          <w:sz w:val="28"/>
          <w:szCs w:val="28"/>
          <w:highlight w:val="none"/>
          <w:lang w:val="en-US" w:eastAsia="zh-CN"/>
        </w:rPr>
        <w:t>4.3施工期水环境影响分析</w:t>
      </w:r>
      <w:bookmarkEnd w:id="374"/>
      <w:bookmarkEnd w:id="375"/>
      <w:bookmarkEnd w:id="376"/>
      <w:bookmarkEnd w:id="377"/>
      <w:bookmarkEnd w:id="378"/>
      <w:bookmarkEnd w:id="379"/>
      <w:bookmarkEnd w:id="380"/>
      <w:bookmarkEnd w:id="381"/>
      <w:bookmarkEnd w:id="382"/>
      <w:bookmarkEnd w:id="383"/>
      <w:bookmarkEnd w:id="384"/>
      <w:bookmarkEnd w:id="385"/>
      <w:bookmarkEnd w:id="386"/>
    </w:p>
    <w:p w14:paraId="02770CCC">
      <w:pPr>
        <w:bidi w:val="0"/>
        <w:rPr>
          <w:rFonts w:hint="eastAsia"/>
          <w:color w:val="auto"/>
          <w:lang w:eastAsia="zh-CN"/>
        </w:rPr>
      </w:pPr>
      <w:r>
        <w:rPr>
          <w:rFonts w:hint="eastAsia"/>
          <w:color w:val="auto"/>
          <w:lang w:eastAsia="zh-CN"/>
        </w:rPr>
        <w:t>本项目施工期废水主要是施工人员的日常生活污水和进出车辆除泥冲洗废水。</w:t>
      </w:r>
    </w:p>
    <w:p w14:paraId="6BB07EE8">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）施工生产废水</w:t>
      </w:r>
    </w:p>
    <w:p w14:paraId="6977EC5A">
      <w:pPr>
        <w:bidi w:val="0"/>
        <w:rPr>
          <w:rFonts w:hint="eastAsia"/>
          <w:color w:val="auto"/>
          <w:lang w:eastAsia="zh-CN"/>
        </w:rPr>
      </w:pPr>
      <w:r>
        <w:rPr>
          <w:rFonts w:hint="eastAsia"/>
          <w:color w:val="auto"/>
          <w:lang w:eastAsia="zh-CN"/>
        </w:rPr>
        <w:t>本项目使用商品混凝土，无建筑施工废水产生。施工期产生的废水主要为进出车辆除泥冲洗废水，主要污染物为SS，项目施工期在车辆出入口处设置车辆除泥冲洗平台，车辆冲洗废水经冲洗平台下方的沉淀池沉淀处理后，用于施工场地洒水抑尘，对周围环境影响较小。</w:t>
      </w:r>
    </w:p>
    <w:p w14:paraId="0149983F">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）施工人员生活污水</w:t>
      </w:r>
    </w:p>
    <w:p w14:paraId="02201DAD">
      <w:pPr>
        <w:bidi w:val="0"/>
        <w:rPr>
          <w:rFonts w:hint="eastAsia"/>
          <w:color w:val="auto"/>
          <w:lang w:eastAsia="zh-CN"/>
        </w:rPr>
      </w:pPr>
      <w:r>
        <w:rPr>
          <w:rFonts w:hint="eastAsia"/>
          <w:color w:val="auto"/>
          <w:lang w:eastAsia="zh-CN"/>
        </w:rPr>
        <w:t>本项目施工高峰期约有50人/天，项目施工期6个月（施工时间按照180d计），用水量按50L/人</w:t>
      </w:r>
      <w:r>
        <w:rPr>
          <w:rFonts w:hint="default" w:ascii="Times New Roman" w:hAnsi="Times New Roman" w:eastAsia="微软雅黑" w:cs="Times New Roman"/>
          <w:color w:val="auto"/>
          <w:lang w:eastAsia="zh-CN"/>
        </w:rPr>
        <w:t>·</w:t>
      </w:r>
      <w:r>
        <w:rPr>
          <w:rFonts w:hint="eastAsia"/>
          <w:color w:val="auto"/>
          <w:lang w:eastAsia="zh-CN"/>
        </w:rPr>
        <w:t>d计，则生活用水量为2.5m</w:t>
      </w:r>
      <w:r>
        <w:rPr>
          <w:rFonts w:hint="eastAsia"/>
          <w:color w:val="auto"/>
          <w:vertAlign w:val="superscript"/>
          <w:lang w:eastAsia="zh-CN"/>
        </w:rPr>
        <w:t>3</w:t>
      </w:r>
      <w:r>
        <w:rPr>
          <w:rFonts w:hint="eastAsia"/>
          <w:color w:val="auto"/>
          <w:lang w:eastAsia="zh-CN"/>
        </w:rPr>
        <w:t>/d，主要污染物为COD、BOD</w:t>
      </w:r>
      <w:r>
        <w:rPr>
          <w:rFonts w:hint="eastAsia"/>
          <w:color w:val="auto"/>
          <w:vertAlign w:val="subscript"/>
          <w:lang w:eastAsia="zh-CN"/>
        </w:rPr>
        <w:t>5</w:t>
      </w:r>
      <w:r>
        <w:rPr>
          <w:rFonts w:hint="eastAsia"/>
          <w:color w:val="auto"/>
          <w:lang w:eastAsia="zh-CN"/>
        </w:rPr>
        <w:t>、NH</w:t>
      </w:r>
      <w:r>
        <w:rPr>
          <w:rFonts w:hint="eastAsia"/>
          <w:color w:val="auto"/>
          <w:vertAlign w:val="subscript"/>
          <w:lang w:eastAsia="zh-CN"/>
        </w:rPr>
        <w:t>3</w:t>
      </w:r>
      <w:r>
        <w:rPr>
          <w:rFonts w:hint="eastAsia"/>
          <w:color w:val="auto"/>
          <w:lang w:eastAsia="zh-CN"/>
        </w:rPr>
        <w:t>-N、SS，项目施工场地设旱厕，定期清掏，用作农田施肥，施工人员产生的废水为盥洗水，洒水抑尘。</w:t>
      </w:r>
    </w:p>
    <w:p w14:paraId="2B7DFE5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387" w:name="_Toc487036585"/>
      <w:bookmarkStart w:id="388" w:name="_Toc3655"/>
      <w:bookmarkStart w:id="389" w:name="_Toc15481"/>
      <w:bookmarkStart w:id="390" w:name="_Toc477763067"/>
      <w:bookmarkStart w:id="391" w:name="_Toc490495761"/>
      <w:bookmarkStart w:id="392" w:name="_Toc487010397"/>
      <w:bookmarkStart w:id="393" w:name="_Toc486955409"/>
      <w:bookmarkStart w:id="394" w:name="_Toc10338"/>
      <w:bookmarkStart w:id="395" w:name="_Toc3933"/>
      <w:bookmarkStart w:id="396" w:name="_Toc21615"/>
      <w:bookmarkStart w:id="397" w:name="_Toc490495682"/>
      <w:bookmarkStart w:id="398" w:name="_Toc490495537"/>
      <w:bookmarkStart w:id="399" w:name="_Toc20547"/>
      <w:r>
        <w:rPr>
          <w:rFonts w:hint="eastAsia" w:ascii="Times New Roman" w:hAnsi="Times New Roman" w:eastAsia="黑体" w:cs="Times New Roman"/>
          <w:b/>
          <w:color w:val="auto"/>
          <w:sz w:val="28"/>
          <w:szCs w:val="28"/>
          <w:highlight w:val="none"/>
          <w:lang w:val="en-US" w:eastAsia="zh-CN"/>
        </w:rPr>
        <w:t>4.4施工期固体废物处理处置影响分析</w:t>
      </w:r>
      <w:bookmarkEnd w:id="387"/>
      <w:bookmarkEnd w:id="388"/>
      <w:bookmarkEnd w:id="389"/>
      <w:bookmarkEnd w:id="390"/>
      <w:bookmarkEnd w:id="391"/>
      <w:bookmarkEnd w:id="392"/>
      <w:bookmarkEnd w:id="393"/>
      <w:bookmarkEnd w:id="394"/>
      <w:bookmarkEnd w:id="395"/>
      <w:bookmarkEnd w:id="396"/>
      <w:bookmarkEnd w:id="397"/>
      <w:bookmarkEnd w:id="398"/>
      <w:bookmarkEnd w:id="399"/>
    </w:p>
    <w:p w14:paraId="6C2ED974">
      <w:pPr>
        <w:bidi w:val="0"/>
        <w:rPr>
          <w:rFonts w:hint="eastAsia"/>
          <w:color w:val="auto"/>
          <w:lang w:eastAsia="zh-CN"/>
        </w:rPr>
      </w:pPr>
      <w:r>
        <w:rPr>
          <w:rFonts w:hint="eastAsia"/>
          <w:color w:val="auto"/>
          <w:lang w:eastAsia="zh-CN"/>
        </w:rPr>
        <w:t>施工期固体废物主要为建筑施工活动产生的建筑垃圾（如废砖、废渣土等）、施工人员生活垃圾，如不及时清运并采取有效防治措施，会对周围环境产生一定影响。因此，建筑垃圾要及时清运至指定的建筑垃圾堆放地点，不得随意倾倒或堆放；施工人员产生的生活垃圾，施工高峰期约有50人/d，生活垃圾产生量为0.5kg/人·d，则生活垃圾产生量为25kg/d，施工场地设置生活垃圾收集设施，产生的生活垃圾收集后由环卫部门统一处置。</w:t>
      </w:r>
    </w:p>
    <w:p w14:paraId="3E9003A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400" w:name="_Toc15432"/>
      <w:bookmarkStart w:id="401" w:name="_Toc20473"/>
      <w:bookmarkStart w:id="402" w:name="_Toc26831"/>
      <w:bookmarkStart w:id="403" w:name="_Toc11940"/>
      <w:bookmarkStart w:id="404" w:name="_Toc32105"/>
      <w:bookmarkStart w:id="405" w:name="_Toc4999"/>
      <w:bookmarkStart w:id="406" w:name="_Toc305148666"/>
      <w:bookmarkStart w:id="407" w:name="_Toc31834"/>
      <w:bookmarkStart w:id="408" w:name="_Toc324171510"/>
      <w:r>
        <w:rPr>
          <w:rFonts w:hint="default" w:ascii="Times New Roman" w:hAnsi="Times New Roman" w:eastAsia="黑体" w:cs="Times New Roman"/>
          <w:b/>
          <w:color w:val="auto"/>
          <w:sz w:val="28"/>
          <w:szCs w:val="28"/>
          <w:highlight w:val="none"/>
          <w:lang w:val="en-US" w:eastAsia="zh-CN"/>
        </w:rPr>
        <w:t>4.5施工期生态环境影响分析</w:t>
      </w:r>
      <w:bookmarkEnd w:id="400"/>
      <w:bookmarkEnd w:id="401"/>
      <w:bookmarkEnd w:id="402"/>
      <w:bookmarkEnd w:id="403"/>
      <w:bookmarkEnd w:id="404"/>
      <w:bookmarkEnd w:id="405"/>
      <w:bookmarkEnd w:id="406"/>
      <w:bookmarkEnd w:id="407"/>
      <w:bookmarkEnd w:id="408"/>
    </w:p>
    <w:p w14:paraId="3C4AFBF6">
      <w:pPr>
        <w:bidi w:val="0"/>
        <w:rPr>
          <w:rFonts w:hint="eastAsia"/>
          <w:color w:val="auto"/>
          <w:lang w:eastAsia="zh-CN"/>
        </w:rPr>
      </w:pPr>
      <w:r>
        <w:rPr>
          <w:rFonts w:hint="eastAsia"/>
          <w:color w:val="auto"/>
          <w:lang w:eastAsia="zh-CN"/>
        </w:rPr>
        <w:t>在项目施工期内，项目占地范围内的部分地表将被清除，造成地表裸露，会对项目区域内的植被和动物造成一定的影响。</w:t>
      </w:r>
    </w:p>
    <w:p w14:paraId="3617E41F">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）施工期对土地功能变化</w:t>
      </w:r>
    </w:p>
    <w:p w14:paraId="08D2D03B">
      <w:pPr>
        <w:bidi w:val="0"/>
        <w:rPr>
          <w:rFonts w:hint="eastAsia"/>
          <w:color w:val="auto"/>
          <w:lang w:eastAsia="zh-CN"/>
        </w:rPr>
      </w:pPr>
      <w:r>
        <w:rPr>
          <w:rFonts w:hint="eastAsia"/>
          <w:color w:val="auto"/>
          <w:lang w:eastAsia="zh-CN"/>
        </w:rPr>
        <w:t>项目区建设前土地利用状况为建设用地，项目建成后不会改变土地的原有利用状况。</w:t>
      </w:r>
    </w:p>
    <w:p w14:paraId="06D39BBF">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）施工期对植被的影响分析</w:t>
      </w:r>
    </w:p>
    <w:p w14:paraId="329AA504">
      <w:pPr>
        <w:bidi w:val="0"/>
        <w:rPr>
          <w:rFonts w:hint="eastAsia"/>
          <w:color w:val="auto"/>
          <w:lang w:eastAsia="zh-CN"/>
        </w:rPr>
      </w:pPr>
      <w:r>
        <w:rPr>
          <w:rFonts w:hint="eastAsia"/>
          <w:color w:val="auto"/>
          <w:lang w:eastAsia="zh-CN"/>
        </w:rPr>
        <w:t>经现场调查，项目所在区域分布着猫头刺、油蒿等植被，项目施工期间由于各种施工机械、运输车辆进入施工现场，运输车辆产生的扬尘和排放的尾气将对该区域环境产生一定的影响。项目建设过程对施工区域植被影响较小，且项目建设完成后，将对场地周边及场地内种植绿植进行绿化，且建设完成后，所有施工废气将不再影响项目所在区域。</w:t>
      </w:r>
    </w:p>
    <w:p w14:paraId="529DCAFF">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）施工期对动物的影响分析</w:t>
      </w:r>
    </w:p>
    <w:p w14:paraId="62AE2D0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eastAsia"/>
          <w:color w:val="auto"/>
          <w:lang w:eastAsia="zh-CN"/>
        </w:rPr>
        <w:t>根据现场走访了解，项目区域范围内野生动物品种、数量均很少，主要是一些常见种类，兽类有野兔和鼠类，爬行类主要有沙蜥；鸟类主要有麻雀、喜鹊等常见种，没有国家级保护动物及珍稀濒危保护动物。项目施工影响范围较小，施工期不会对区域内的野生动物产生较大影响。</w:t>
      </w:r>
    </w:p>
    <w:p w14:paraId="33B81757">
      <w:pPr>
        <w:rPr>
          <w:rFonts w:hint="eastAsia" w:ascii="Times New Roman" w:hAnsi="Times New Roman"/>
          <w:color w:val="auto"/>
        </w:rPr>
      </w:pPr>
      <w:r>
        <w:rPr>
          <w:rFonts w:hint="eastAsia" w:ascii="Times New Roman" w:hAnsi="Times New Roman"/>
          <w:color w:val="auto"/>
        </w:rPr>
        <w:br w:type="page"/>
      </w:r>
    </w:p>
    <w:p w14:paraId="00F1E9C2">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0"/>
        <w:rPr>
          <w:rFonts w:hint="default" w:ascii="Times New Roman" w:hAnsi="Times New Roman" w:eastAsia="黑体" w:cs="Times New Roman"/>
          <w:b/>
          <w:bCs/>
          <w:color w:val="auto"/>
          <w:sz w:val="28"/>
          <w:szCs w:val="36"/>
          <w:lang w:val="en-US" w:eastAsia="zh-CN"/>
        </w:rPr>
      </w:pPr>
      <w:bookmarkStart w:id="409" w:name="_Toc16068"/>
      <w:bookmarkStart w:id="410" w:name="_Toc30366"/>
      <w:bookmarkStart w:id="411" w:name="_Toc29322"/>
      <w:bookmarkStart w:id="412" w:name="_Toc11102"/>
      <w:bookmarkStart w:id="413" w:name="_Toc2957"/>
      <w:bookmarkStart w:id="414" w:name="_Toc20179"/>
      <w:r>
        <w:rPr>
          <w:rFonts w:hint="eastAsia" w:ascii="Times New Roman" w:hAnsi="Times New Roman" w:eastAsia="黑体" w:cs="Times New Roman"/>
          <w:b/>
          <w:bCs/>
          <w:color w:val="auto"/>
          <w:kern w:val="0"/>
          <w:sz w:val="28"/>
          <w:szCs w:val="28"/>
          <w:highlight w:val="none"/>
          <w:lang w:val="en-US" w:eastAsia="zh-CN" w:bidi="ar-SA"/>
        </w:rPr>
        <w:t>5</w:t>
      </w:r>
      <w:r>
        <w:rPr>
          <w:rFonts w:hint="default" w:ascii="Times New Roman" w:hAnsi="Times New Roman" w:eastAsia="黑体" w:cs="Times New Roman"/>
          <w:b/>
          <w:bCs/>
          <w:color w:val="auto"/>
          <w:kern w:val="0"/>
          <w:sz w:val="28"/>
          <w:szCs w:val="28"/>
          <w:highlight w:val="none"/>
          <w:lang w:val="en-US" w:eastAsia="zh-CN" w:bidi="ar-SA"/>
        </w:rPr>
        <w:t>运营期环境影响预测与评价</w:t>
      </w:r>
      <w:bookmarkEnd w:id="409"/>
      <w:bookmarkEnd w:id="410"/>
      <w:bookmarkEnd w:id="411"/>
      <w:bookmarkEnd w:id="412"/>
      <w:bookmarkEnd w:id="413"/>
      <w:bookmarkEnd w:id="414"/>
    </w:p>
    <w:p w14:paraId="13BF2FF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415" w:name="_Toc2199"/>
      <w:bookmarkStart w:id="416" w:name="_Toc14583"/>
      <w:bookmarkStart w:id="417" w:name="_Toc17659"/>
      <w:bookmarkStart w:id="418" w:name="_Toc30797"/>
      <w:bookmarkStart w:id="419" w:name="_Toc32679"/>
      <w:bookmarkStart w:id="420" w:name="_Toc4593"/>
      <w:bookmarkStart w:id="421" w:name="_Toc30096"/>
      <w:r>
        <w:rPr>
          <w:rFonts w:hint="eastAsia" w:ascii="Times New Roman" w:hAnsi="Times New Roman" w:eastAsia="黑体" w:cs="Times New Roman"/>
          <w:b/>
          <w:color w:val="auto"/>
          <w:sz w:val="28"/>
          <w:szCs w:val="28"/>
          <w:highlight w:val="none"/>
          <w:lang w:val="en-US" w:eastAsia="zh-CN"/>
        </w:rPr>
        <w:t>5.1</w:t>
      </w:r>
      <w:bookmarkEnd w:id="415"/>
      <w:bookmarkEnd w:id="416"/>
      <w:bookmarkEnd w:id="417"/>
      <w:bookmarkEnd w:id="418"/>
      <w:bookmarkEnd w:id="419"/>
      <w:r>
        <w:rPr>
          <w:rFonts w:hint="eastAsia" w:ascii="Times New Roman" w:hAnsi="Times New Roman" w:eastAsia="黑体" w:cs="Times New Roman"/>
          <w:b/>
          <w:color w:val="auto"/>
          <w:sz w:val="28"/>
          <w:szCs w:val="28"/>
          <w:highlight w:val="none"/>
          <w:lang w:val="en-US" w:eastAsia="zh-CN"/>
        </w:rPr>
        <w:t>环境空气影响预测与评价</w:t>
      </w:r>
      <w:bookmarkEnd w:id="420"/>
    </w:p>
    <w:bookmarkEnd w:id="421"/>
    <w:p w14:paraId="034EB27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bookmarkStart w:id="422" w:name="_Toc21656"/>
      <w:r>
        <w:rPr>
          <w:rFonts w:hint="eastAsia" w:ascii="Times New Roman" w:hAnsi="Times New Roman" w:eastAsia="黑体" w:cs="Times New Roman"/>
          <w:b/>
          <w:bCs w:val="0"/>
          <w:color w:val="auto"/>
          <w:sz w:val="28"/>
          <w:szCs w:val="28"/>
          <w:lang w:val="en-US" w:eastAsia="zh-CN"/>
        </w:rPr>
        <w:t>5.1</w:t>
      </w:r>
      <w:r>
        <w:rPr>
          <w:rFonts w:hint="default" w:ascii="Times New Roman" w:hAnsi="Times New Roman" w:eastAsia="黑体" w:cs="Times New Roman"/>
          <w:b/>
          <w:bCs w:val="0"/>
          <w:color w:val="auto"/>
          <w:sz w:val="28"/>
          <w:szCs w:val="28"/>
          <w:lang w:val="en-US" w:eastAsia="zh-CN"/>
        </w:rPr>
        <w:t>.</w:t>
      </w:r>
      <w:r>
        <w:rPr>
          <w:rFonts w:hint="eastAsia" w:ascii="Times New Roman" w:hAnsi="Times New Roman" w:eastAsia="黑体" w:cs="Times New Roman"/>
          <w:b/>
          <w:bCs w:val="0"/>
          <w:color w:val="auto"/>
          <w:sz w:val="28"/>
          <w:szCs w:val="28"/>
          <w:lang w:val="en-US" w:eastAsia="zh-CN"/>
        </w:rPr>
        <w:t>1</w:t>
      </w:r>
      <w:r>
        <w:rPr>
          <w:rFonts w:hint="default" w:ascii="Times New Roman" w:hAnsi="Times New Roman" w:eastAsia="黑体" w:cs="Times New Roman"/>
          <w:b/>
          <w:bCs w:val="0"/>
          <w:color w:val="auto"/>
          <w:sz w:val="28"/>
          <w:szCs w:val="28"/>
          <w:lang w:val="en-US" w:eastAsia="zh-CN"/>
        </w:rPr>
        <w:t>运营期环境空气影响预测与评价</w:t>
      </w:r>
      <w:bookmarkEnd w:id="422"/>
    </w:p>
    <w:p w14:paraId="54125855">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）预测因子</w:t>
      </w:r>
    </w:p>
    <w:p w14:paraId="34DED1C9">
      <w:pPr>
        <w:bidi w:val="0"/>
        <w:rPr>
          <w:rFonts w:hint="eastAsia"/>
          <w:color w:val="auto"/>
          <w:lang w:eastAsia="zh-CN"/>
        </w:rPr>
      </w:pPr>
      <w:r>
        <w:rPr>
          <w:rFonts w:hint="eastAsia"/>
          <w:color w:val="auto"/>
          <w:lang w:eastAsia="zh-CN"/>
        </w:rPr>
        <w:t>根据工程分析，本项目大气污染物主要为屠宰</w:t>
      </w:r>
      <w:r>
        <w:rPr>
          <w:rFonts w:hint="eastAsia"/>
          <w:color w:val="auto"/>
          <w:lang w:val="en-US" w:eastAsia="zh-CN"/>
        </w:rPr>
        <w:t>加工</w:t>
      </w:r>
      <w:r>
        <w:rPr>
          <w:rFonts w:hint="eastAsia"/>
          <w:color w:val="auto"/>
          <w:lang w:eastAsia="zh-CN"/>
        </w:rPr>
        <w:t>车间恶臭以及污水处理站恶臭，确定本次环境空气预测因子主要为NH</w:t>
      </w:r>
      <w:r>
        <w:rPr>
          <w:rFonts w:hint="eastAsia"/>
          <w:color w:val="auto"/>
          <w:vertAlign w:val="subscript"/>
          <w:lang w:eastAsia="zh-CN"/>
        </w:rPr>
        <w:t>3</w:t>
      </w:r>
      <w:r>
        <w:rPr>
          <w:rFonts w:hint="eastAsia"/>
          <w:color w:val="auto"/>
          <w:lang w:eastAsia="zh-CN"/>
        </w:rPr>
        <w:t>、H</w:t>
      </w:r>
      <w:r>
        <w:rPr>
          <w:rFonts w:hint="eastAsia"/>
          <w:color w:val="auto"/>
          <w:vertAlign w:val="subscript"/>
          <w:lang w:eastAsia="zh-CN"/>
        </w:rPr>
        <w:t>2</w:t>
      </w:r>
      <w:r>
        <w:rPr>
          <w:rFonts w:hint="eastAsia"/>
          <w:color w:val="auto"/>
          <w:lang w:eastAsia="zh-CN"/>
        </w:rPr>
        <w:t>S。</w:t>
      </w:r>
    </w:p>
    <w:p w14:paraId="4E7BD9A5">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）评价等级及评价范围</w:t>
      </w:r>
    </w:p>
    <w:p w14:paraId="516D6E8B">
      <w:pPr>
        <w:bidi w:val="0"/>
        <w:rPr>
          <w:rFonts w:hint="eastAsia"/>
          <w:color w:val="auto"/>
          <w:lang w:eastAsia="zh-CN"/>
        </w:rPr>
      </w:pPr>
      <w:r>
        <w:rPr>
          <w:rFonts w:hint="eastAsia"/>
          <w:color w:val="auto"/>
          <w:lang w:eastAsia="zh-CN"/>
        </w:rPr>
        <w:t>根据《环境影响评价技术导则·大气环境》（HJ2.2-2018）的规定，</w:t>
      </w:r>
      <w:r>
        <w:rPr>
          <w:rFonts w:hint="eastAsia"/>
          <w:color w:val="auto"/>
          <w:lang w:val="en-US" w:eastAsia="zh-CN"/>
        </w:rPr>
        <w:t>确定本</w:t>
      </w:r>
      <w:r>
        <w:rPr>
          <w:rFonts w:hint="eastAsia"/>
          <w:color w:val="auto"/>
          <w:lang w:eastAsia="zh-CN"/>
        </w:rPr>
        <w:t>项目评价范围为以项目厂区为中心边长为5km的矩形区域。</w:t>
      </w:r>
    </w:p>
    <w:p w14:paraId="71867DEC">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）预测模式</w:t>
      </w:r>
    </w:p>
    <w:p w14:paraId="2B6B37CF">
      <w:pPr>
        <w:bidi w:val="0"/>
        <w:rPr>
          <w:rFonts w:hint="eastAsia"/>
          <w:color w:val="auto"/>
          <w:lang w:eastAsia="zh-CN"/>
        </w:rPr>
      </w:pPr>
      <w:r>
        <w:rPr>
          <w:rFonts w:hint="eastAsia"/>
          <w:color w:val="auto"/>
          <w:lang w:eastAsia="zh-CN"/>
        </w:rPr>
        <w:t>本项目大气评价等级为二级，因此采用《环境影响评价技术导则</w:t>
      </w:r>
      <w:r>
        <w:rPr>
          <w:rFonts w:hint="eastAsia"/>
          <w:color w:val="auto"/>
          <w:lang w:val="en-US" w:eastAsia="zh-CN"/>
        </w:rPr>
        <w:t xml:space="preserve"> </w:t>
      </w:r>
      <w:r>
        <w:rPr>
          <w:rFonts w:hint="eastAsia"/>
          <w:color w:val="auto"/>
          <w:lang w:eastAsia="zh-CN"/>
        </w:rPr>
        <w:t>大气环境》（HJ2.2-2018）附录B推荐模型中的估算模型AERSCREEN进行预测。</w:t>
      </w:r>
    </w:p>
    <w:p w14:paraId="19F622F2">
      <w:pPr>
        <w:bidi w:val="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）预测内容</w:t>
      </w:r>
    </w:p>
    <w:p w14:paraId="65BF6A2B">
      <w:pPr>
        <w:bidi w:val="0"/>
        <w:rPr>
          <w:rFonts w:hint="eastAsia"/>
          <w:color w:val="auto"/>
          <w:lang w:eastAsia="zh-CN"/>
        </w:rPr>
      </w:pPr>
      <w:r>
        <w:rPr>
          <w:rFonts w:hint="eastAsia"/>
          <w:color w:val="auto"/>
          <w:lang w:eastAsia="zh-CN"/>
        </w:rPr>
        <w:t>依据估算模式及参数，对建设项目投产后排放的NH</w:t>
      </w:r>
      <w:r>
        <w:rPr>
          <w:rFonts w:hint="eastAsia"/>
          <w:color w:val="auto"/>
          <w:vertAlign w:val="subscript"/>
          <w:lang w:eastAsia="zh-CN"/>
        </w:rPr>
        <w:t>3</w:t>
      </w:r>
      <w:r>
        <w:rPr>
          <w:rFonts w:hint="eastAsia"/>
          <w:color w:val="auto"/>
          <w:lang w:eastAsia="zh-CN"/>
        </w:rPr>
        <w:t>、H</w:t>
      </w:r>
      <w:r>
        <w:rPr>
          <w:rFonts w:hint="eastAsia"/>
          <w:color w:val="auto"/>
          <w:vertAlign w:val="subscript"/>
          <w:lang w:eastAsia="zh-CN"/>
        </w:rPr>
        <w:t>2</w:t>
      </w:r>
      <w:r>
        <w:rPr>
          <w:rFonts w:hint="eastAsia"/>
          <w:color w:val="auto"/>
          <w:lang w:eastAsia="zh-CN"/>
        </w:rPr>
        <w:t>S进行了最大落地浓度及其出现距离的计算，并将对照各污染物环境空气质量评价标准，对计算结果进行了环境影响分析。</w:t>
      </w:r>
    </w:p>
    <w:p w14:paraId="0B870648">
      <w:pPr>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）评价标准</w:t>
      </w:r>
    </w:p>
    <w:p w14:paraId="0309ED58">
      <w:pPr>
        <w:bidi w:val="0"/>
        <w:rPr>
          <w:rFonts w:hint="eastAsia"/>
          <w:color w:val="auto"/>
          <w:lang w:eastAsia="zh-CN"/>
        </w:rPr>
      </w:pPr>
      <w:r>
        <w:rPr>
          <w:rFonts w:hint="eastAsia"/>
          <w:color w:val="auto"/>
          <w:lang w:eastAsia="zh-CN"/>
        </w:rPr>
        <w:t>根据《环境影响评价技术导则・大气环境》（HJ2.2-2018）规定，选用《环境影响评价技术导则 大气环境》（HJ2.2-2018）中附录D中其他污染物空气质量浓度限值作为预测因子的评价标准，具体的标准值见表5.1-1。</w:t>
      </w:r>
    </w:p>
    <w:p w14:paraId="5022AB18">
      <w:pPr>
        <w:spacing w:line="240" w:lineRule="auto"/>
        <w:jc w:val="both"/>
        <w:rPr>
          <w:rFonts w:hint="default" w:ascii="Times New Roman" w:hAnsi="Times New Roman" w:eastAsia="宋体" w:cs="Times New Roman"/>
          <w:b/>
          <w:color w:val="auto"/>
          <w:sz w:val="24"/>
        </w:rPr>
      </w:pPr>
      <w:r>
        <w:rPr>
          <w:rFonts w:hint="default" w:ascii="Times New Roman" w:hAnsi="Times New Roman" w:eastAsia="宋体" w:cs="Times New Roman"/>
          <w:b w:val="0"/>
          <w:bCs/>
          <w:color w:val="auto"/>
          <w:sz w:val="21"/>
          <w:szCs w:val="21"/>
        </w:rPr>
        <w:t>表</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rPr>
        <w:t>-1</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eastAsia"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lang w:val="en-US" w:eastAsia="zh-CN"/>
        </w:rPr>
        <w:t xml:space="preserve">    </w:t>
      </w:r>
      <w:r>
        <w:rPr>
          <w:rFonts w:hint="eastAsia" w:eastAsia="宋体" w:cs="Times New Roman"/>
          <w:b/>
          <w:color w:val="auto"/>
          <w:sz w:val="24"/>
          <w:lang w:val="en-US" w:eastAsia="zh-CN"/>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大气环境影响预测评价标准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6"/>
        <w:gridCol w:w="4055"/>
        <w:gridCol w:w="1522"/>
        <w:gridCol w:w="883"/>
        <w:gridCol w:w="1962"/>
      </w:tblGrid>
      <w:tr w14:paraId="2B396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Merge w:val="restart"/>
            <w:tcBorders>
              <w:tl2br w:val="nil"/>
              <w:tr2bl w:val="nil"/>
            </w:tcBorders>
            <w:vAlign w:val="center"/>
          </w:tcPr>
          <w:p w14:paraId="4D1204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3969" w:type="dxa"/>
            <w:tcBorders>
              <w:tl2br w:val="nil"/>
              <w:tr2bl w:val="nil"/>
            </w:tcBorders>
            <w:vAlign w:val="center"/>
          </w:tcPr>
          <w:p w14:paraId="3FE56C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w:t>
            </w:r>
          </w:p>
        </w:tc>
        <w:tc>
          <w:tcPr>
            <w:tcW w:w="1490" w:type="dxa"/>
            <w:tcBorders>
              <w:tl2br w:val="nil"/>
              <w:tr2bl w:val="nil"/>
            </w:tcBorders>
            <w:vAlign w:val="center"/>
          </w:tcPr>
          <w:p w14:paraId="51844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污染因子</w:t>
            </w:r>
          </w:p>
        </w:tc>
        <w:tc>
          <w:tcPr>
            <w:tcW w:w="864" w:type="dxa"/>
            <w:tcBorders>
              <w:tl2br w:val="nil"/>
              <w:tr2bl w:val="nil"/>
            </w:tcBorders>
            <w:vAlign w:val="center"/>
          </w:tcPr>
          <w:p w14:paraId="314BC7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单位</w:t>
            </w:r>
          </w:p>
        </w:tc>
        <w:tc>
          <w:tcPr>
            <w:tcW w:w="1920" w:type="dxa"/>
            <w:tcBorders>
              <w:tl2br w:val="nil"/>
              <w:tr2bl w:val="nil"/>
            </w:tcBorders>
            <w:vAlign w:val="center"/>
          </w:tcPr>
          <w:p w14:paraId="6A2FFC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标准值</w:t>
            </w:r>
          </w:p>
        </w:tc>
      </w:tr>
      <w:tr w14:paraId="08405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Merge w:val="continue"/>
            <w:tcBorders>
              <w:tl2br w:val="nil"/>
              <w:tr2bl w:val="nil"/>
            </w:tcBorders>
            <w:vAlign w:val="center"/>
          </w:tcPr>
          <w:p w14:paraId="29002B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969" w:type="dxa"/>
            <w:vMerge w:val="restart"/>
            <w:tcBorders>
              <w:tl2br w:val="nil"/>
              <w:tr2bl w:val="nil"/>
            </w:tcBorders>
            <w:vAlign w:val="center"/>
          </w:tcPr>
          <w:p w14:paraId="7310E9ED">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eastAsia" w:eastAsia="宋体" w:cs="Times New Roman"/>
                <w:color w:val="auto"/>
                <w:sz w:val="21"/>
                <w:szCs w:val="21"/>
                <w:highlight w:val="none"/>
                <w:lang w:val="en-US" w:eastAsia="zh-CN"/>
              </w:rPr>
              <w:t>参照执行</w:t>
            </w:r>
            <w:r>
              <w:rPr>
                <w:rFonts w:hint="default" w:ascii="Times New Roman" w:hAnsi="Times New Roman" w:eastAsia="宋体" w:cs="Times New Roman"/>
                <w:color w:val="auto"/>
                <w:sz w:val="21"/>
                <w:szCs w:val="21"/>
                <w:highlight w:val="none"/>
              </w:rPr>
              <w:t>《环境影响评价技术导则</w:t>
            </w:r>
            <w:r>
              <w:rPr>
                <w:rFonts w:hint="eastAsia"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大气环境》HJ2.2-2018附录D</w:t>
            </w:r>
          </w:p>
        </w:tc>
        <w:tc>
          <w:tcPr>
            <w:tcW w:w="1490" w:type="dxa"/>
            <w:tcBorders>
              <w:tl2br w:val="nil"/>
              <w:tr2bl w:val="nil"/>
            </w:tcBorders>
            <w:vAlign w:val="center"/>
          </w:tcPr>
          <w:p w14:paraId="0C3E720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p>
        </w:tc>
        <w:tc>
          <w:tcPr>
            <w:tcW w:w="864" w:type="dxa"/>
            <w:vMerge w:val="restart"/>
            <w:tcBorders>
              <w:tl2br w:val="nil"/>
              <w:tr2bl w:val="nil"/>
            </w:tcBorders>
            <w:vAlign w:val="center"/>
          </w:tcPr>
          <w:p w14:paraId="587CEAE0">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μg/m</w:t>
            </w:r>
            <w:r>
              <w:rPr>
                <w:rFonts w:hint="default" w:ascii="Times New Roman" w:hAnsi="Times New Roman" w:eastAsia="宋体" w:cs="Times New Roman"/>
                <w:color w:val="auto"/>
                <w:kern w:val="2"/>
                <w:sz w:val="21"/>
                <w:szCs w:val="21"/>
                <w:vertAlign w:val="superscript"/>
              </w:rPr>
              <w:t>3</w:t>
            </w:r>
          </w:p>
        </w:tc>
        <w:tc>
          <w:tcPr>
            <w:tcW w:w="1920" w:type="dxa"/>
            <w:tcBorders>
              <w:tl2br w:val="nil"/>
              <w:tr2bl w:val="nil"/>
            </w:tcBorders>
            <w:vAlign w:val="center"/>
          </w:tcPr>
          <w:p w14:paraId="16A461C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200.0</w:t>
            </w:r>
            <w:r>
              <w:rPr>
                <w:rFonts w:hint="default" w:ascii="Times New Roman" w:hAnsi="Times New Roman" w:eastAsia="宋体" w:cs="Times New Roman"/>
                <w:color w:val="auto"/>
                <w:kern w:val="2"/>
                <w:sz w:val="21"/>
                <w:szCs w:val="21"/>
              </w:rPr>
              <w:t>（1h平均值）</w:t>
            </w:r>
          </w:p>
        </w:tc>
      </w:tr>
      <w:tr w14:paraId="41140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Merge w:val="continue"/>
            <w:tcBorders>
              <w:tl2br w:val="nil"/>
              <w:tr2bl w:val="nil"/>
            </w:tcBorders>
            <w:vAlign w:val="center"/>
          </w:tcPr>
          <w:p w14:paraId="5D30D2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969" w:type="dxa"/>
            <w:vMerge w:val="continue"/>
            <w:tcBorders>
              <w:tl2br w:val="nil"/>
              <w:tr2bl w:val="nil"/>
            </w:tcBorders>
            <w:vAlign w:val="center"/>
          </w:tcPr>
          <w:p w14:paraId="73AA8E1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rPr>
            </w:pPr>
          </w:p>
        </w:tc>
        <w:tc>
          <w:tcPr>
            <w:tcW w:w="1490" w:type="dxa"/>
            <w:tcBorders>
              <w:tl2br w:val="nil"/>
              <w:tr2bl w:val="nil"/>
            </w:tcBorders>
            <w:vAlign w:val="center"/>
          </w:tcPr>
          <w:p w14:paraId="736BB15D">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w:t>
            </w:r>
          </w:p>
        </w:tc>
        <w:tc>
          <w:tcPr>
            <w:tcW w:w="864" w:type="dxa"/>
            <w:vMerge w:val="continue"/>
            <w:tcBorders>
              <w:tl2br w:val="nil"/>
              <w:tr2bl w:val="nil"/>
            </w:tcBorders>
            <w:vAlign w:val="center"/>
          </w:tcPr>
          <w:p w14:paraId="12B4A029">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rPr>
            </w:pPr>
          </w:p>
        </w:tc>
        <w:tc>
          <w:tcPr>
            <w:tcW w:w="1920" w:type="dxa"/>
            <w:tcBorders>
              <w:tl2br w:val="nil"/>
              <w:tr2bl w:val="nil"/>
            </w:tcBorders>
            <w:vAlign w:val="center"/>
          </w:tcPr>
          <w:p w14:paraId="6514B317">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10.0</w:t>
            </w:r>
            <w:r>
              <w:rPr>
                <w:rFonts w:hint="default" w:ascii="Times New Roman" w:hAnsi="Times New Roman" w:eastAsia="宋体" w:cs="Times New Roman"/>
                <w:color w:val="auto"/>
                <w:kern w:val="2"/>
                <w:sz w:val="21"/>
                <w:szCs w:val="21"/>
              </w:rPr>
              <w:t>（1h平均值）</w:t>
            </w:r>
          </w:p>
        </w:tc>
      </w:tr>
    </w:tbl>
    <w:p w14:paraId="0D10557B">
      <w:pPr>
        <w:bidi w:val="0"/>
        <w:rPr>
          <w:rFonts w:hint="eastAsia"/>
          <w:color w:val="auto"/>
          <w:lang w:eastAsia="zh-CN"/>
        </w:rPr>
      </w:pPr>
      <w:r>
        <w:rPr>
          <w:rFonts w:hint="eastAsia"/>
          <w:color w:val="auto"/>
          <w:lang w:eastAsia="zh-CN"/>
        </w:rPr>
        <w:t>（6）大气污染源强分析</w:t>
      </w:r>
    </w:p>
    <w:p w14:paraId="53592CDF">
      <w:pPr>
        <w:bidi w:val="0"/>
        <w:rPr>
          <w:rFonts w:hint="eastAsia"/>
          <w:color w:val="auto"/>
          <w:lang w:eastAsia="zh-CN"/>
        </w:rPr>
      </w:pPr>
      <w:r>
        <w:rPr>
          <w:rFonts w:hint="eastAsia"/>
          <w:color w:val="auto"/>
          <w:lang w:eastAsia="zh-CN"/>
        </w:rPr>
        <w:t>根据工程分析，本项目主要污染因子为NH</w:t>
      </w:r>
      <w:r>
        <w:rPr>
          <w:rFonts w:hint="eastAsia"/>
          <w:color w:val="auto"/>
          <w:vertAlign w:val="subscript"/>
          <w:lang w:eastAsia="zh-CN"/>
        </w:rPr>
        <w:t>3</w:t>
      </w:r>
      <w:r>
        <w:rPr>
          <w:rFonts w:hint="eastAsia"/>
          <w:color w:val="auto"/>
          <w:lang w:eastAsia="zh-CN"/>
        </w:rPr>
        <w:t>和H</w:t>
      </w:r>
      <w:r>
        <w:rPr>
          <w:rFonts w:hint="eastAsia"/>
          <w:color w:val="auto"/>
          <w:vertAlign w:val="subscript"/>
          <w:lang w:eastAsia="zh-CN"/>
        </w:rPr>
        <w:t>2</w:t>
      </w:r>
      <w:r>
        <w:rPr>
          <w:rFonts w:hint="eastAsia"/>
          <w:color w:val="auto"/>
          <w:lang w:eastAsia="zh-CN"/>
        </w:rPr>
        <w:t>S，各项污染物排放源强及参数见表5.1-2</w:t>
      </w:r>
      <w:r>
        <w:rPr>
          <w:rFonts w:hint="eastAsia"/>
          <w:color w:val="auto"/>
          <w:lang w:val="en-US" w:eastAsia="zh-CN"/>
        </w:rPr>
        <w:t>及5.1-3</w:t>
      </w:r>
      <w:r>
        <w:rPr>
          <w:rFonts w:hint="eastAsia"/>
          <w:color w:val="auto"/>
          <w:lang w:eastAsia="zh-CN"/>
        </w:rPr>
        <w:t>。</w:t>
      </w:r>
    </w:p>
    <w:p w14:paraId="302513E8">
      <w:pPr>
        <w:spacing w:line="240" w:lineRule="auto"/>
        <w:jc w:val="both"/>
        <w:rPr>
          <w:rStyle w:val="37"/>
          <w:rFonts w:hint="default" w:ascii="Times New Roman" w:hAnsi="Times New Roman" w:eastAsia="宋体" w:cs="Times New Roman"/>
          <w:color w:val="auto"/>
          <w:kern w:val="2"/>
          <w:sz w:val="21"/>
          <w:szCs w:val="21"/>
          <w:highlight w:val="none"/>
          <w:lang w:val="en-US" w:eastAsia="zh-CN"/>
        </w:rPr>
      </w:pPr>
    </w:p>
    <w:p w14:paraId="41284127">
      <w:pPr>
        <w:spacing w:line="240" w:lineRule="auto"/>
        <w:jc w:val="both"/>
        <w:rPr>
          <w:rStyle w:val="37"/>
          <w:rFonts w:hint="default" w:ascii="Times New Roman" w:hAnsi="Times New Roman" w:eastAsia="宋体" w:cs="Times New Roman"/>
          <w:color w:val="auto"/>
          <w:kern w:val="2"/>
          <w:sz w:val="21"/>
          <w:szCs w:val="21"/>
          <w:highlight w:val="none"/>
          <w:lang w:val="en-US" w:eastAsia="zh-CN"/>
        </w:rPr>
      </w:pPr>
    </w:p>
    <w:p w14:paraId="443B63C3">
      <w:pPr>
        <w:spacing w:line="240" w:lineRule="auto"/>
        <w:jc w:val="both"/>
        <w:rPr>
          <w:rStyle w:val="37"/>
          <w:rFonts w:hint="default" w:ascii="Times New Roman" w:hAnsi="Times New Roman" w:eastAsia="宋体" w:cs="Times New Roman"/>
          <w:color w:val="auto"/>
          <w:kern w:val="2"/>
          <w:sz w:val="21"/>
          <w:szCs w:val="21"/>
          <w:highlight w:val="none"/>
          <w:lang w:val="en-US" w:eastAsia="zh-CN"/>
        </w:rPr>
      </w:pPr>
    </w:p>
    <w:p w14:paraId="2DB65F9B">
      <w:pPr>
        <w:spacing w:line="240" w:lineRule="auto"/>
        <w:jc w:val="both"/>
        <w:rPr>
          <w:rStyle w:val="37"/>
          <w:rFonts w:hint="default" w:ascii="Times New Roman" w:hAnsi="Times New Roman" w:eastAsia="宋体" w:cs="Times New Roman"/>
          <w:color w:val="auto"/>
          <w:kern w:val="2"/>
          <w:sz w:val="21"/>
          <w:szCs w:val="21"/>
          <w:highlight w:val="none"/>
          <w:lang w:val="en-US" w:eastAsia="zh-CN"/>
        </w:rPr>
      </w:pPr>
    </w:p>
    <w:p w14:paraId="5F6EB8C8">
      <w:pPr>
        <w:spacing w:line="240" w:lineRule="auto"/>
        <w:jc w:val="both"/>
        <w:rPr>
          <w:rFonts w:hint="default" w:ascii="Times New Roman" w:hAnsi="Times New Roman" w:cs="Times New Roman"/>
          <w:b/>
          <w:color w:val="auto"/>
          <w:sz w:val="24"/>
          <w:highlight w:val="none"/>
        </w:rPr>
      </w:pPr>
      <w:r>
        <w:rPr>
          <w:rStyle w:val="37"/>
          <w:rFonts w:hint="default" w:ascii="Times New Roman" w:hAnsi="Times New Roman" w:eastAsia="宋体" w:cs="Times New Roman"/>
          <w:color w:val="auto"/>
          <w:kern w:val="2"/>
          <w:sz w:val="21"/>
          <w:szCs w:val="21"/>
          <w:highlight w:val="none"/>
          <w:lang w:val="en-US" w:eastAsia="zh-CN"/>
        </w:rPr>
        <w:t>表</w:t>
      </w:r>
      <w:r>
        <w:rPr>
          <w:rStyle w:val="37"/>
          <w:rFonts w:hint="eastAsia" w:ascii="Times New Roman" w:hAnsi="Times New Roman" w:eastAsia="宋体" w:cs="Times New Roman"/>
          <w:color w:val="auto"/>
          <w:kern w:val="2"/>
          <w:sz w:val="21"/>
          <w:szCs w:val="21"/>
          <w:highlight w:val="none"/>
          <w:lang w:val="en-US" w:eastAsia="zh-CN"/>
        </w:rPr>
        <w:t>5.1-2</w:t>
      </w:r>
      <w:r>
        <w:rPr>
          <w:rStyle w:val="37"/>
          <w:rFonts w:hint="default" w:ascii="Times New Roman" w:hAnsi="Times New Roman" w:eastAsia="宋体" w:cs="Times New Roman"/>
          <w:color w:val="auto"/>
          <w:kern w:val="2"/>
          <w:sz w:val="21"/>
          <w:szCs w:val="21"/>
          <w:highlight w:val="none"/>
          <w:lang w:val="en-US" w:eastAsia="zh-CN"/>
        </w:rPr>
        <w:t xml:space="preserve"> </w:t>
      </w:r>
      <w:r>
        <w:rPr>
          <w:rStyle w:val="37"/>
          <w:rFonts w:hint="eastAsia" w:ascii="Times New Roman" w:hAnsi="Times New Roman" w:eastAsia="宋体" w:cs="Times New Roman"/>
          <w:color w:val="auto"/>
          <w:kern w:val="2"/>
          <w:sz w:val="21"/>
          <w:szCs w:val="21"/>
          <w:highlight w:val="none"/>
          <w:lang w:val="en-US" w:eastAsia="zh-CN"/>
        </w:rPr>
        <w:t xml:space="preserve">     </w:t>
      </w:r>
      <w:r>
        <w:rPr>
          <w:rFonts w:hint="default" w:ascii="Times New Roman" w:hAnsi="Times New Roman" w:eastAsia="仿宋＿GB2312" w:cs="Times New Roman"/>
          <w:bCs/>
          <w:color w:val="auto"/>
          <w:sz w:val="24"/>
          <w:highlight w:val="none"/>
        </w:rPr>
        <w:t xml:space="preserve"> </w:t>
      </w:r>
      <w:r>
        <w:rPr>
          <w:rFonts w:hint="eastAsia" w:eastAsia="仿宋＿GB2312" w:cs="Times New Roman"/>
          <w:bCs/>
          <w:color w:val="auto"/>
          <w:sz w:val="24"/>
          <w:highlight w:val="none"/>
          <w:lang w:val="en-US" w:eastAsia="zh-CN"/>
        </w:rPr>
        <w:t xml:space="preserve"> </w:t>
      </w:r>
      <w:r>
        <w:rPr>
          <w:rStyle w:val="37"/>
          <w:rFonts w:hint="default" w:ascii="Times New Roman" w:hAnsi="Times New Roman" w:eastAsia="宋体" w:cs="Times New Roman"/>
          <w:b/>
          <w:bCs/>
          <w:color w:val="auto"/>
          <w:kern w:val="2"/>
          <w:sz w:val="24"/>
          <w:szCs w:val="24"/>
          <w:highlight w:val="none"/>
          <w:lang w:val="en-US" w:eastAsia="zh-CN"/>
        </w:rPr>
        <w:t>（近）圆形面源污染物排放源强及参数一览表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8"/>
        <w:gridCol w:w="810"/>
        <w:gridCol w:w="833"/>
        <w:gridCol w:w="727"/>
        <w:gridCol w:w="1016"/>
        <w:gridCol w:w="1012"/>
        <w:gridCol w:w="690"/>
        <w:gridCol w:w="699"/>
        <w:gridCol w:w="722"/>
        <w:gridCol w:w="676"/>
        <w:gridCol w:w="765"/>
      </w:tblGrid>
      <w:tr w14:paraId="5D877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57" w:type="pct"/>
            <w:vMerge w:val="restart"/>
            <w:noWrap w:val="0"/>
            <w:vAlign w:val="center"/>
          </w:tcPr>
          <w:p w14:paraId="73529E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污染源名称</w:t>
            </w:r>
          </w:p>
        </w:tc>
        <w:tc>
          <w:tcPr>
            <w:tcW w:w="917" w:type="pct"/>
            <w:gridSpan w:val="2"/>
            <w:noWrap w:val="0"/>
            <w:vAlign w:val="center"/>
          </w:tcPr>
          <w:p w14:paraId="2360C0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面源中心点坐标</w:t>
            </w:r>
          </w:p>
        </w:tc>
        <w:tc>
          <w:tcPr>
            <w:tcW w:w="406" w:type="pct"/>
            <w:vMerge w:val="restart"/>
            <w:noWrap w:val="0"/>
            <w:vAlign w:val="center"/>
          </w:tcPr>
          <w:p w14:paraId="0FD4A4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海拔高度(m)</w:t>
            </w:r>
          </w:p>
        </w:tc>
        <w:tc>
          <w:tcPr>
            <w:tcW w:w="567" w:type="pct"/>
            <w:vMerge w:val="restart"/>
            <w:noWrap w:val="0"/>
            <w:vAlign w:val="center"/>
          </w:tcPr>
          <w:p w14:paraId="6F5FAE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面源有效排放高度(m)</w:t>
            </w:r>
          </w:p>
        </w:tc>
        <w:tc>
          <w:tcPr>
            <w:tcW w:w="565" w:type="pct"/>
            <w:vMerge w:val="restart"/>
            <w:noWrap w:val="0"/>
            <w:vAlign w:val="center"/>
          </w:tcPr>
          <w:p w14:paraId="4F2385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初始垂向扩散参数(m)</w:t>
            </w:r>
          </w:p>
        </w:tc>
        <w:tc>
          <w:tcPr>
            <w:tcW w:w="385" w:type="pct"/>
            <w:vMerge w:val="restart"/>
            <w:noWrap w:val="0"/>
            <w:vAlign w:val="center"/>
          </w:tcPr>
          <w:p w14:paraId="70951C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圆形面源半径(m)</w:t>
            </w:r>
          </w:p>
        </w:tc>
        <w:tc>
          <w:tcPr>
            <w:tcW w:w="390" w:type="pct"/>
            <w:vMerge w:val="restart"/>
            <w:noWrap w:val="0"/>
            <w:vAlign w:val="center"/>
          </w:tcPr>
          <w:p w14:paraId="3BBBD4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年排放小时数</w:t>
            </w:r>
          </w:p>
        </w:tc>
        <w:tc>
          <w:tcPr>
            <w:tcW w:w="403" w:type="pct"/>
            <w:vMerge w:val="restart"/>
            <w:noWrap w:val="0"/>
            <w:vAlign w:val="center"/>
          </w:tcPr>
          <w:p w14:paraId="50B6AE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排放工况</w:t>
            </w:r>
          </w:p>
        </w:tc>
        <w:tc>
          <w:tcPr>
            <w:tcW w:w="804" w:type="pct"/>
            <w:gridSpan w:val="2"/>
            <w:noWrap w:val="0"/>
            <w:vAlign w:val="center"/>
          </w:tcPr>
          <w:p w14:paraId="7CE3A1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污染物排放速率（kg/h）</w:t>
            </w:r>
          </w:p>
        </w:tc>
      </w:tr>
      <w:tr w14:paraId="4BA6E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7" w:type="pct"/>
            <w:vMerge w:val="continue"/>
            <w:noWrap w:val="0"/>
            <w:vAlign w:val="center"/>
          </w:tcPr>
          <w:p w14:paraId="47A7EA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452" w:type="pct"/>
            <w:noWrap w:val="0"/>
            <w:vAlign w:val="center"/>
          </w:tcPr>
          <w:p w14:paraId="7635C1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X</w:t>
            </w:r>
          </w:p>
        </w:tc>
        <w:tc>
          <w:tcPr>
            <w:tcW w:w="465" w:type="pct"/>
            <w:noWrap w:val="0"/>
            <w:vAlign w:val="center"/>
          </w:tcPr>
          <w:p w14:paraId="78822C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Y</w:t>
            </w:r>
          </w:p>
        </w:tc>
        <w:tc>
          <w:tcPr>
            <w:tcW w:w="406" w:type="pct"/>
            <w:vMerge w:val="continue"/>
            <w:noWrap w:val="0"/>
            <w:vAlign w:val="center"/>
          </w:tcPr>
          <w:p w14:paraId="3E5DCA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567" w:type="pct"/>
            <w:vMerge w:val="continue"/>
            <w:noWrap w:val="0"/>
            <w:vAlign w:val="center"/>
          </w:tcPr>
          <w:p w14:paraId="5A99F9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565" w:type="pct"/>
            <w:vMerge w:val="continue"/>
            <w:noWrap w:val="0"/>
            <w:vAlign w:val="center"/>
          </w:tcPr>
          <w:p w14:paraId="4AB7DB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385" w:type="pct"/>
            <w:vMerge w:val="continue"/>
            <w:noWrap w:val="0"/>
            <w:vAlign w:val="center"/>
          </w:tcPr>
          <w:p w14:paraId="64C730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390" w:type="pct"/>
            <w:vMerge w:val="continue"/>
            <w:noWrap w:val="0"/>
            <w:vAlign w:val="center"/>
          </w:tcPr>
          <w:p w14:paraId="1F9020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403" w:type="pct"/>
            <w:vMerge w:val="continue"/>
            <w:noWrap w:val="0"/>
            <w:vAlign w:val="center"/>
          </w:tcPr>
          <w:p w14:paraId="553CE0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377" w:type="pct"/>
            <w:noWrap w:val="0"/>
            <w:vAlign w:val="center"/>
          </w:tcPr>
          <w:p w14:paraId="50214C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427" w:type="pct"/>
            <w:noWrap w:val="0"/>
            <w:vAlign w:val="center"/>
          </w:tcPr>
          <w:p w14:paraId="6C62F6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r>
      <w:tr w14:paraId="3A6F6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7" w:type="pct"/>
            <w:noWrap w:val="0"/>
            <w:vAlign w:val="center"/>
          </w:tcPr>
          <w:p w14:paraId="46AD96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屠宰加工车间</w:t>
            </w:r>
          </w:p>
        </w:tc>
        <w:tc>
          <w:tcPr>
            <w:tcW w:w="452" w:type="pct"/>
            <w:noWrap w:val="0"/>
            <w:vAlign w:val="center"/>
          </w:tcPr>
          <w:p w14:paraId="0D2623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106.186605</w:t>
            </w:r>
          </w:p>
        </w:tc>
        <w:tc>
          <w:tcPr>
            <w:tcW w:w="465" w:type="pct"/>
            <w:noWrap w:val="0"/>
            <w:vAlign w:val="center"/>
          </w:tcPr>
          <w:p w14:paraId="30ECA6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36.004912</w:t>
            </w:r>
          </w:p>
        </w:tc>
        <w:tc>
          <w:tcPr>
            <w:tcW w:w="406" w:type="pct"/>
            <w:noWrap w:val="0"/>
            <w:vAlign w:val="center"/>
          </w:tcPr>
          <w:p w14:paraId="253753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567" w:type="pct"/>
            <w:noWrap w:val="0"/>
            <w:vAlign w:val="center"/>
          </w:tcPr>
          <w:p w14:paraId="77DDCA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12.5</w:t>
            </w:r>
          </w:p>
        </w:tc>
        <w:tc>
          <w:tcPr>
            <w:tcW w:w="565" w:type="pct"/>
            <w:noWrap w:val="0"/>
            <w:vAlign w:val="center"/>
          </w:tcPr>
          <w:p w14:paraId="3556A2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5.8140</w:t>
            </w:r>
          </w:p>
        </w:tc>
        <w:tc>
          <w:tcPr>
            <w:tcW w:w="385" w:type="pct"/>
            <w:noWrap w:val="0"/>
            <w:vAlign w:val="center"/>
          </w:tcPr>
          <w:p w14:paraId="6F8AE1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19.5</w:t>
            </w:r>
          </w:p>
        </w:tc>
        <w:tc>
          <w:tcPr>
            <w:tcW w:w="390" w:type="pct"/>
            <w:noWrap w:val="0"/>
            <w:vAlign w:val="center"/>
          </w:tcPr>
          <w:p w14:paraId="1B13A1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2640</w:t>
            </w:r>
          </w:p>
        </w:tc>
        <w:tc>
          <w:tcPr>
            <w:tcW w:w="403" w:type="pct"/>
            <w:noWrap w:val="0"/>
            <w:vAlign w:val="center"/>
          </w:tcPr>
          <w:p w14:paraId="177707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正常排放</w:t>
            </w:r>
          </w:p>
        </w:tc>
        <w:tc>
          <w:tcPr>
            <w:tcW w:w="377" w:type="pct"/>
            <w:noWrap w:val="0"/>
            <w:vAlign w:val="center"/>
          </w:tcPr>
          <w:p w14:paraId="47182C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0.00076</w:t>
            </w:r>
          </w:p>
        </w:tc>
        <w:tc>
          <w:tcPr>
            <w:tcW w:w="427" w:type="pct"/>
            <w:noWrap w:val="0"/>
            <w:vAlign w:val="center"/>
          </w:tcPr>
          <w:p w14:paraId="5B5A2B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0.011</w:t>
            </w:r>
          </w:p>
        </w:tc>
      </w:tr>
      <w:tr w14:paraId="0FD7B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7" w:type="pct"/>
            <w:noWrap w:val="0"/>
            <w:vAlign w:val="center"/>
          </w:tcPr>
          <w:p w14:paraId="56C184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待宰圈</w:t>
            </w:r>
          </w:p>
        </w:tc>
        <w:tc>
          <w:tcPr>
            <w:tcW w:w="452" w:type="pct"/>
            <w:noWrap w:val="0"/>
            <w:vAlign w:val="center"/>
          </w:tcPr>
          <w:p w14:paraId="15474F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106.186712</w:t>
            </w:r>
          </w:p>
        </w:tc>
        <w:tc>
          <w:tcPr>
            <w:tcW w:w="465" w:type="pct"/>
            <w:noWrap w:val="0"/>
            <w:vAlign w:val="center"/>
          </w:tcPr>
          <w:p w14:paraId="6CA249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36.004938</w:t>
            </w:r>
          </w:p>
        </w:tc>
        <w:tc>
          <w:tcPr>
            <w:tcW w:w="406" w:type="pct"/>
            <w:noWrap w:val="0"/>
            <w:vAlign w:val="center"/>
          </w:tcPr>
          <w:p w14:paraId="2D09C5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567" w:type="pct"/>
            <w:noWrap w:val="0"/>
            <w:vAlign w:val="center"/>
          </w:tcPr>
          <w:p w14:paraId="1BC51B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12.5</w:t>
            </w:r>
          </w:p>
        </w:tc>
        <w:tc>
          <w:tcPr>
            <w:tcW w:w="565" w:type="pct"/>
            <w:noWrap w:val="0"/>
            <w:vAlign w:val="center"/>
          </w:tcPr>
          <w:p w14:paraId="0381C7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5.8140</w:t>
            </w:r>
          </w:p>
        </w:tc>
        <w:tc>
          <w:tcPr>
            <w:tcW w:w="385" w:type="pct"/>
            <w:noWrap w:val="0"/>
            <w:vAlign w:val="center"/>
          </w:tcPr>
          <w:p w14:paraId="318A02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9.8</w:t>
            </w:r>
          </w:p>
        </w:tc>
        <w:tc>
          <w:tcPr>
            <w:tcW w:w="390" w:type="pct"/>
            <w:noWrap w:val="0"/>
            <w:vAlign w:val="center"/>
          </w:tcPr>
          <w:p w14:paraId="555FCA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7920</w:t>
            </w:r>
          </w:p>
        </w:tc>
        <w:tc>
          <w:tcPr>
            <w:tcW w:w="403" w:type="pct"/>
            <w:noWrap w:val="0"/>
            <w:vAlign w:val="center"/>
          </w:tcPr>
          <w:p w14:paraId="343DDB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正常排放</w:t>
            </w:r>
          </w:p>
        </w:tc>
        <w:tc>
          <w:tcPr>
            <w:tcW w:w="377" w:type="pct"/>
            <w:noWrap w:val="0"/>
            <w:vAlign w:val="center"/>
          </w:tcPr>
          <w:p w14:paraId="51303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0.000076</w:t>
            </w:r>
          </w:p>
        </w:tc>
        <w:tc>
          <w:tcPr>
            <w:tcW w:w="427" w:type="pct"/>
            <w:noWrap w:val="0"/>
            <w:vAlign w:val="center"/>
          </w:tcPr>
          <w:p w14:paraId="61BEFD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0.0011</w:t>
            </w:r>
          </w:p>
        </w:tc>
      </w:tr>
    </w:tbl>
    <w:p w14:paraId="794C84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highlight w:val="none"/>
        </w:rPr>
      </w:pPr>
      <w:r>
        <w:rPr>
          <w:rStyle w:val="37"/>
          <w:rFonts w:hint="default" w:ascii="Times New Roman" w:hAnsi="Times New Roman" w:eastAsia="宋体" w:cs="Times New Roman"/>
          <w:color w:val="auto"/>
          <w:kern w:val="2"/>
          <w:sz w:val="21"/>
          <w:szCs w:val="21"/>
          <w:highlight w:val="none"/>
          <w:lang w:val="en-US" w:eastAsia="zh-CN"/>
        </w:rPr>
        <w:t>表</w:t>
      </w:r>
      <w:r>
        <w:rPr>
          <w:rStyle w:val="37"/>
          <w:rFonts w:hint="eastAsia" w:ascii="Times New Roman" w:hAnsi="Times New Roman" w:eastAsia="宋体" w:cs="Times New Roman"/>
          <w:color w:val="auto"/>
          <w:kern w:val="2"/>
          <w:sz w:val="21"/>
          <w:szCs w:val="21"/>
          <w:highlight w:val="none"/>
          <w:lang w:val="en-US" w:eastAsia="zh-CN"/>
        </w:rPr>
        <w:t>5.1-3</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lang w:val="en-US" w:eastAsia="zh-CN"/>
        </w:rPr>
        <w:t xml:space="preserve">  </w:t>
      </w:r>
      <w:r>
        <w:rPr>
          <w:rFonts w:hint="eastAsia" w:cs="Times New Roman"/>
          <w:color w:val="auto"/>
          <w:sz w:val="24"/>
          <w:highlight w:val="none"/>
          <w:lang w:val="en-US" w:eastAsia="zh-CN"/>
        </w:rPr>
        <w:t xml:space="preserve">  </w:t>
      </w:r>
      <w:r>
        <w:rPr>
          <w:rFonts w:hint="eastAsia" w:ascii="Times New Roman" w:hAnsi="Times New Roman" w:cs="Times New Roman"/>
          <w:color w:val="auto"/>
          <w:sz w:val="24"/>
          <w:highlight w:val="none"/>
          <w:lang w:val="en-US" w:eastAsia="zh-CN"/>
        </w:rPr>
        <w:t xml:space="preserve">       </w:t>
      </w:r>
      <w:r>
        <w:rPr>
          <w:rStyle w:val="37"/>
          <w:rFonts w:hint="default" w:ascii="Times New Roman" w:hAnsi="Times New Roman" w:eastAsia="宋体" w:cs="Times New Roman"/>
          <w:b/>
          <w:bCs/>
          <w:color w:val="auto"/>
          <w:kern w:val="2"/>
          <w:sz w:val="24"/>
          <w:szCs w:val="24"/>
          <w:highlight w:val="none"/>
          <w:lang w:val="en-US" w:eastAsia="zh-CN"/>
        </w:rPr>
        <w:t>点源污染物排放源强及源参数一览表</w:t>
      </w:r>
    </w:p>
    <w:tbl>
      <w:tblPr>
        <w:tblStyle w:val="27"/>
        <w:tblW w:w="50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513"/>
        <w:gridCol w:w="1157"/>
        <w:gridCol w:w="1101"/>
        <w:gridCol w:w="926"/>
        <w:gridCol w:w="673"/>
        <w:gridCol w:w="612"/>
        <w:gridCol w:w="662"/>
        <w:gridCol w:w="678"/>
        <w:gridCol w:w="732"/>
        <w:gridCol w:w="800"/>
      </w:tblGrid>
      <w:tr w14:paraId="08A0B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71" w:type="dxa"/>
            <w:vMerge w:val="restart"/>
            <w:noWrap w:val="0"/>
            <w:vAlign w:val="center"/>
          </w:tcPr>
          <w:p w14:paraId="2A733F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p w14:paraId="3F5F9E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2345" w:type="dxa"/>
            <w:gridSpan w:val="2"/>
            <w:noWrap w:val="0"/>
            <w:vAlign w:val="center"/>
          </w:tcPr>
          <w:p w14:paraId="3C6351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排气筒底部中心坐标</w:t>
            </w:r>
          </w:p>
        </w:tc>
        <w:tc>
          <w:tcPr>
            <w:tcW w:w="962" w:type="dxa"/>
            <w:vMerge w:val="restart"/>
            <w:noWrap w:val="0"/>
            <w:vAlign w:val="center"/>
          </w:tcPr>
          <w:p w14:paraId="5E360E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排气筒底部海拔高度(m)</w:t>
            </w:r>
          </w:p>
        </w:tc>
        <w:tc>
          <w:tcPr>
            <w:tcW w:w="2727" w:type="dxa"/>
            <w:gridSpan w:val="4"/>
            <w:noWrap w:val="0"/>
            <w:vAlign w:val="center"/>
          </w:tcPr>
          <w:p w14:paraId="439710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排气筒参数</w:t>
            </w:r>
          </w:p>
        </w:tc>
        <w:tc>
          <w:tcPr>
            <w:tcW w:w="1591" w:type="dxa"/>
            <w:gridSpan w:val="2"/>
            <w:noWrap w:val="0"/>
            <w:vAlign w:val="center"/>
          </w:tcPr>
          <w:p w14:paraId="74665E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污染物排放速率（kg/h）</w:t>
            </w:r>
          </w:p>
        </w:tc>
      </w:tr>
      <w:tr w14:paraId="64794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71" w:type="dxa"/>
            <w:vMerge w:val="continue"/>
            <w:noWrap w:val="0"/>
            <w:vAlign w:val="center"/>
          </w:tcPr>
          <w:p w14:paraId="3BB4B2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02" w:type="dxa"/>
            <w:noWrap w:val="0"/>
            <w:vAlign w:val="center"/>
          </w:tcPr>
          <w:p w14:paraId="0FC763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eastAsia="宋体" w:cs="Times New Roman"/>
                <w:b/>
                <w:color w:val="auto"/>
                <w:sz w:val="21"/>
                <w:szCs w:val="21"/>
                <w:highlight w:val="none"/>
                <w:lang w:val="en-US" w:eastAsia="zh-CN"/>
              </w:rPr>
              <w:t>X</w:t>
            </w:r>
          </w:p>
        </w:tc>
        <w:tc>
          <w:tcPr>
            <w:tcW w:w="1143" w:type="dxa"/>
            <w:noWrap w:val="0"/>
            <w:vAlign w:val="center"/>
          </w:tcPr>
          <w:p w14:paraId="7E2BD4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eastAsia="宋体" w:cs="Times New Roman"/>
                <w:b/>
                <w:color w:val="auto"/>
                <w:sz w:val="21"/>
                <w:szCs w:val="21"/>
                <w:highlight w:val="none"/>
                <w:lang w:val="en-US" w:eastAsia="zh-CN"/>
              </w:rPr>
              <w:t>Y</w:t>
            </w:r>
          </w:p>
        </w:tc>
        <w:tc>
          <w:tcPr>
            <w:tcW w:w="962" w:type="dxa"/>
            <w:vMerge w:val="continue"/>
            <w:noWrap w:val="0"/>
            <w:vAlign w:val="center"/>
          </w:tcPr>
          <w:p w14:paraId="58D4B0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699" w:type="dxa"/>
            <w:noWrap w:val="0"/>
            <w:vAlign w:val="center"/>
          </w:tcPr>
          <w:p w14:paraId="4AB6D8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高度</w:t>
            </w:r>
          </w:p>
          <w:p w14:paraId="063124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w:t>
            </w:r>
          </w:p>
        </w:tc>
        <w:tc>
          <w:tcPr>
            <w:tcW w:w="636" w:type="dxa"/>
            <w:noWrap w:val="0"/>
            <w:vAlign w:val="center"/>
          </w:tcPr>
          <w:p w14:paraId="45DB45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内径</w:t>
            </w:r>
          </w:p>
          <w:p w14:paraId="515E37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w:t>
            </w:r>
          </w:p>
        </w:tc>
        <w:tc>
          <w:tcPr>
            <w:tcW w:w="688" w:type="dxa"/>
            <w:noWrap w:val="0"/>
            <w:vAlign w:val="center"/>
          </w:tcPr>
          <w:p w14:paraId="3D29D2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温度</w:t>
            </w:r>
          </w:p>
          <w:p w14:paraId="11E70B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w:t>
            </w:r>
          </w:p>
        </w:tc>
        <w:tc>
          <w:tcPr>
            <w:tcW w:w="704" w:type="dxa"/>
            <w:noWrap w:val="0"/>
            <w:vAlign w:val="center"/>
          </w:tcPr>
          <w:p w14:paraId="0BF2CE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流速</w:t>
            </w:r>
          </w:p>
          <w:p w14:paraId="3FFCD4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(m/s)</w:t>
            </w:r>
          </w:p>
        </w:tc>
        <w:tc>
          <w:tcPr>
            <w:tcW w:w="760" w:type="dxa"/>
            <w:noWrap w:val="0"/>
            <w:vAlign w:val="center"/>
          </w:tcPr>
          <w:p w14:paraId="64FDEB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831" w:type="dxa"/>
            <w:noWrap w:val="0"/>
            <w:vAlign w:val="center"/>
          </w:tcPr>
          <w:p w14:paraId="7EDAE0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r>
      <w:tr w14:paraId="4C52A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71" w:type="dxa"/>
            <w:noWrap w:val="0"/>
            <w:vAlign w:val="center"/>
          </w:tcPr>
          <w:p w14:paraId="632A75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待宰圈</w:t>
            </w:r>
            <w:r>
              <w:rPr>
                <w:rFonts w:hint="eastAsia" w:ascii="Times New Roman" w:hAnsi="Times New Roman" w:eastAsia="宋体" w:cs="Times New Roman"/>
                <w:color w:val="auto"/>
                <w:sz w:val="21"/>
                <w:szCs w:val="21"/>
                <w:highlight w:val="none"/>
                <w:lang w:val="en-US" w:eastAsia="zh-CN"/>
              </w:rPr>
              <w:t>DA001</w:t>
            </w:r>
          </w:p>
        </w:tc>
        <w:tc>
          <w:tcPr>
            <w:tcW w:w="1202" w:type="dxa"/>
            <w:noWrap w:val="0"/>
            <w:vAlign w:val="center"/>
          </w:tcPr>
          <w:p w14:paraId="3B4197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106.186594</w:t>
            </w:r>
          </w:p>
        </w:tc>
        <w:tc>
          <w:tcPr>
            <w:tcW w:w="1143" w:type="dxa"/>
            <w:noWrap w:val="0"/>
            <w:vAlign w:val="center"/>
          </w:tcPr>
          <w:p w14:paraId="21AA8E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36.004979</w:t>
            </w:r>
          </w:p>
        </w:tc>
        <w:tc>
          <w:tcPr>
            <w:tcW w:w="962" w:type="dxa"/>
            <w:noWrap w:val="0"/>
            <w:vAlign w:val="center"/>
          </w:tcPr>
          <w:p w14:paraId="08DAC5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699" w:type="dxa"/>
            <w:noWrap w:val="0"/>
            <w:vAlign w:val="center"/>
          </w:tcPr>
          <w:p w14:paraId="6F60B9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w:t>
            </w:r>
          </w:p>
        </w:tc>
        <w:tc>
          <w:tcPr>
            <w:tcW w:w="636" w:type="dxa"/>
            <w:noWrap w:val="0"/>
            <w:vAlign w:val="center"/>
          </w:tcPr>
          <w:p w14:paraId="7591FD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0.6</w:t>
            </w:r>
          </w:p>
        </w:tc>
        <w:tc>
          <w:tcPr>
            <w:tcW w:w="688" w:type="dxa"/>
            <w:noWrap w:val="0"/>
            <w:vAlign w:val="center"/>
          </w:tcPr>
          <w:p w14:paraId="6C4237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25</w:t>
            </w:r>
          </w:p>
        </w:tc>
        <w:tc>
          <w:tcPr>
            <w:tcW w:w="704" w:type="dxa"/>
            <w:noWrap w:val="0"/>
            <w:vAlign w:val="center"/>
          </w:tcPr>
          <w:p w14:paraId="16B0E9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13.76</w:t>
            </w:r>
          </w:p>
        </w:tc>
        <w:tc>
          <w:tcPr>
            <w:tcW w:w="760" w:type="dxa"/>
            <w:noWrap w:val="0"/>
            <w:vAlign w:val="center"/>
          </w:tcPr>
          <w:p w14:paraId="70240F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0.00027</w:t>
            </w:r>
          </w:p>
        </w:tc>
        <w:tc>
          <w:tcPr>
            <w:tcW w:w="831" w:type="dxa"/>
            <w:noWrap w:val="0"/>
            <w:vAlign w:val="center"/>
          </w:tcPr>
          <w:p w14:paraId="694313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0.0039</w:t>
            </w:r>
          </w:p>
        </w:tc>
      </w:tr>
      <w:tr w14:paraId="26F47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71" w:type="dxa"/>
            <w:noWrap w:val="0"/>
            <w:vAlign w:val="center"/>
          </w:tcPr>
          <w:p w14:paraId="5B1D93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污水处理站DA002</w:t>
            </w:r>
          </w:p>
        </w:tc>
        <w:tc>
          <w:tcPr>
            <w:tcW w:w="1202" w:type="dxa"/>
            <w:noWrap w:val="0"/>
            <w:vAlign w:val="center"/>
          </w:tcPr>
          <w:p w14:paraId="32CCA2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106.187039</w:t>
            </w:r>
          </w:p>
        </w:tc>
        <w:tc>
          <w:tcPr>
            <w:tcW w:w="1143" w:type="dxa"/>
            <w:noWrap w:val="0"/>
            <w:vAlign w:val="center"/>
          </w:tcPr>
          <w:p w14:paraId="5FA023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36.004768</w:t>
            </w:r>
          </w:p>
        </w:tc>
        <w:tc>
          <w:tcPr>
            <w:tcW w:w="962" w:type="dxa"/>
            <w:noWrap w:val="0"/>
            <w:vAlign w:val="center"/>
          </w:tcPr>
          <w:p w14:paraId="50DCBE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699" w:type="dxa"/>
            <w:noWrap w:val="0"/>
            <w:vAlign w:val="center"/>
          </w:tcPr>
          <w:p w14:paraId="559ADF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w:t>
            </w:r>
          </w:p>
        </w:tc>
        <w:tc>
          <w:tcPr>
            <w:tcW w:w="636" w:type="dxa"/>
            <w:noWrap w:val="0"/>
            <w:vAlign w:val="center"/>
          </w:tcPr>
          <w:p w14:paraId="06F774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0.2</w:t>
            </w:r>
          </w:p>
        </w:tc>
        <w:tc>
          <w:tcPr>
            <w:tcW w:w="688" w:type="dxa"/>
            <w:noWrap w:val="0"/>
            <w:vAlign w:val="center"/>
          </w:tcPr>
          <w:p w14:paraId="1EB542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25</w:t>
            </w:r>
          </w:p>
        </w:tc>
        <w:tc>
          <w:tcPr>
            <w:tcW w:w="704" w:type="dxa"/>
            <w:noWrap w:val="0"/>
            <w:vAlign w:val="center"/>
          </w:tcPr>
          <w:p w14:paraId="3533AD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8.85</w:t>
            </w:r>
          </w:p>
        </w:tc>
        <w:tc>
          <w:tcPr>
            <w:tcW w:w="760" w:type="dxa"/>
            <w:noWrap w:val="0"/>
            <w:vAlign w:val="center"/>
          </w:tcPr>
          <w:p w14:paraId="374C71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0.000053</w:t>
            </w:r>
          </w:p>
        </w:tc>
        <w:tc>
          <w:tcPr>
            <w:tcW w:w="831" w:type="dxa"/>
            <w:noWrap w:val="0"/>
            <w:vAlign w:val="center"/>
          </w:tcPr>
          <w:p w14:paraId="2A026C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0.0013</w:t>
            </w:r>
          </w:p>
        </w:tc>
      </w:tr>
    </w:tbl>
    <w:p w14:paraId="74024EBF">
      <w:pPr>
        <w:bidi w:val="0"/>
        <w:rPr>
          <w:rFonts w:hint="eastAsia"/>
          <w:color w:val="auto"/>
          <w:lang w:eastAsia="zh-CN"/>
        </w:rPr>
      </w:pPr>
      <w:r>
        <w:rPr>
          <w:rFonts w:hint="eastAsia"/>
          <w:color w:val="auto"/>
          <w:lang w:eastAsia="zh-CN"/>
        </w:rPr>
        <w:t>（7）估算模式计算结果</w:t>
      </w:r>
    </w:p>
    <w:p w14:paraId="34FC7201">
      <w:pPr>
        <w:bidi w:val="0"/>
        <w:rPr>
          <w:rFonts w:hint="eastAsia"/>
          <w:color w:val="auto"/>
          <w:lang w:eastAsia="zh-CN"/>
        </w:rPr>
      </w:pPr>
      <w:r>
        <w:rPr>
          <w:rFonts w:hint="eastAsia"/>
          <w:color w:val="auto"/>
          <w:lang w:eastAsia="zh-CN"/>
        </w:rPr>
        <w:t>根据《环境影响评价技术导则 大气环境》（HJ2.2-2018），大气环境影响评价等级判定采用AERSCREEN估算模式和污染物占标率进行计算，计算结果见表5.1-</w:t>
      </w:r>
      <w:r>
        <w:rPr>
          <w:rFonts w:hint="eastAsia"/>
          <w:color w:val="auto"/>
          <w:lang w:val="en-US" w:eastAsia="zh-CN"/>
        </w:rPr>
        <w:t>4~5.1-7</w:t>
      </w:r>
      <w:r>
        <w:rPr>
          <w:rFonts w:hint="eastAsia"/>
          <w:color w:val="auto"/>
          <w:lang w:eastAsia="zh-CN"/>
        </w:rPr>
        <w:t>。</w:t>
      </w:r>
    </w:p>
    <w:p w14:paraId="519B2CF2">
      <w:pPr>
        <w:bidi w:val="0"/>
        <w:spacing w:line="240" w:lineRule="auto"/>
        <w:rPr>
          <w:rFonts w:hint="default" w:ascii="Times New Roman" w:hAnsi="Times New Roman" w:eastAsia="宋体" w:cs="Times New Roman"/>
          <w:color w:val="auto"/>
          <w:lang w:eastAsia="zh-CN"/>
        </w:rPr>
      </w:pPr>
      <w:r>
        <w:rPr>
          <w:rFonts w:hint="default" w:ascii="Times New Roman" w:hAnsi="Times New Roman" w:eastAsia="宋体" w:cs="Times New Roman"/>
          <w:bCs/>
          <w:color w:val="auto"/>
          <w:sz w:val="21"/>
          <w:szCs w:val="21"/>
          <w:highlight w:val="none"/>
        </w:rPr>
        <w:t>表5.1-</w:t>
      </w:r>
      <w:r>
        <w:rPr>
          <w:rFonts w:hint="eastAsia" w:ascii="Times New Roman" w:hAnsi="Times New Roman" w:eastAsia="宋体" w:cs="Times New Roman"/>
          <w:bCs/>
          <w:color w:val="auto"/>
          <w:sz w:val="21"/>
          <w:szCs w:val="21"/>
          <w:highlight w:val="none"/>
          <w:lang w:val="en-US" w:eastAsia="zh-CN"/>
        </w:rPr>
        <w:t>4</w:t>
      </w:r>
      <w:r>
        <w:rPr>
          <w:rFonts w:hint="default"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
          <w:color w:val="auto"/>
          <w:sz w:val="24"/>
          <w:highlight w:val="none"/>
          <w:lang w:val="en-US" w:eastAsia="zh-CN"/>
        </w:rPr>
        <w:t>屠宰加工车间</w:t>
      </w:r>
      <w:r>
        <w:rPr>
          <w:rFonts w:hint="eastAsia" w:eastAsia="宋体" w:cs="Times New Roman"/>
          <w:b/>
          <w:color w:val="auto"/>
          <w:sz w:val="24"/>
          <w:highlight w:val="none"/>
          <w:lang w:val="en-US" w:eastAsia="zh-CN"/>
        </w:rPr>
        <w:t>无组织</w:t>
      </w:r>
      <w:r>
        <w:rPr>
          <w:rFonts w:hint="default" w:ascii="Times New Roman" w:hAnsi="Times New Roman" w:eastAsia="宋体" w:cs="Times New Roman"/>
          <w:b/>
          <w:color w:val="auto"/>
          <w:sz w:val="24"/>
          <w:highlight w:val="none"/>
        </w:rPr>
        <w:t>NH</w:t>
      </w:r>
      <w:r>
        <w:rPr>
          <w:rFonts w:hint="default" w:ascii="Times New Roman" w:hAnsi="Times New Roman" w:eastAsia="宋体" w:cs="Times New Roman"/>
          <w:b/>
          <w:color w:val="auto"/>
          <w:sz w:val="24"/>
          <w:highlight w:val="none"/>
          <w:vertAlign w:val="subscript"/>
        </w:rPr>
        <w:t>3</w:t>
      </w:r>
      <w:r>
        <w:rPr>
          <w:rFonts w:hint="default" w:ascii="Times New Roman" w:hAnsi="Times New Roman" w:eastAsia="宋体" w:cs="Times New Roman"/>
          <w:b/>
          <w:color w:val="auto"/>
          <w:sz w:val="24"/>
          <w:highlight w:val="none"/>
        </w:rPr>
        <w:t>和H</w:t>
      </w:r>
      <w:r>
        <w:rPr>
          <w:rFonts w:hint="default" w:ascii="Times New Roman" w:hAnsi="Times New Roman" w:eastAsia="宋体" w:cs="Times New Roman"/>
          <w:b/>
          <w:color w:val="auto"/>
          <w:sz w:val="24"/>
          <w:highlight w:val="none"/>
          <w:vertAlign w:val="subscript"/>
        </w:rPr>
        <w:t>2</w:t>
      </w:r>
      <w:r>
        <w:rPr>
          <w:rFonts w:hint="default" w:ascii="Times New Roman" w:hAnsi="Times New Roman" w:eastAsia="宋体" w:cs="Times New Roman"/>
          <w:b/>
          <w:color w:val="auto"/>
          <w:sz w:val="24"/>
          <w:highlight w:val="none"/>
        </w:rPr>
        <w:t>S估算模式计算结果一览表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7"/>
        <w:gridCol w:w="1819"/>
        <w:gridCol w:w="13"/>
        <w:gridCol w:w="1608"/>
        <w:gridCol w:w="19"/>
        <w:gridCol w:w="1791"/>
        <w:gridCol w:w="25"/>
        <w:gridCol w:w="1560"/>
      </w:tblGrid>
      <w:tr w14:paraId="62400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vMerge w:val="restart"/>
            <w:noWrap w:val="0"/>
            <w:vAlign w:val="center"/>
          </w:tcPr>
          <w:p w14:paraId="573072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距源中心下风向距离D（m）</w:t>
            </w:r>
          </w:p>
        </w:tc>
        <w:tc>
          <w:tcPr>
            <w:tcW w:w="3413" w:type="dxa"/>
            <w:gridSpan w:val="4"/>
            <w:noWrap w:val="0"/>
            <w:vAlign w:val="center"/>
          </w:tcPr>
          <w:p w14:paraId="013434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color w:val="auto"/>
                <w:sz w:val="21"/>
                <w:szCs w:val="21"/>
                <w:highlight w:val="none"/>
              </w:rPr>
              <w:t>NH</w:t>
            </w:r>
            <w:r>
              <w:rPr>
                <w:rFonts w:hint="default" w:ascii="Times New Roman" w:hAnsi="Times New Roman" w:eastAsia="宋体" w:cs="Times New Roman"/>
                <w:b/>
                <w:color w:val="auto"/>
                <w:sz w:val="21"/>
                <w:szCs w:val="21"/>
                <w:highlight w:val="none"/>
                <w:vertAlign w:val="subscript"/>
              </w:rPr>
              <w:t>3</w:t>
            </w:r>
          </w:p>
        </w:tc>
        <w:tc>
          <w:tcPr>
            <w:tcW w:w="3361" w:type="dxa"/>
            <w:gridSpan w:val="4"/>
            <w:noWrap w:val="0"/>
            <w:vAlign w:val="center"/>
          </w:tcPr>
          <w:p w14:paraId="330F8E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color w:val="auto"/>
                <w:sz w:val="21"/>
                <w:szCs w:val="21"/>
                <w:highlight w:val="none"/>
              </w:rPr>
              <w:t>H</w:t>
            </w:r>
            <w:r>
              <w:rPr>
                <w:rFonts w:hint="default" w:ascii="Times New Roman" w:hAnsi="Times New Roman" w:eastAsia="宋体" w:cs="Times New Roman"/>
                <w:b/>
                <w:color w:val="auto"/>
                <w:sz w:val="21"/>
                <w:szCs w:val="21"/>
                <w:highlight w:val="none"/>
                <w:vertAlign w:val="subscript"/>
              </w:rPr>
              <w:t>2</w:t>
            </w:r>
            <w:r>
              <w:rPr>
                <w:rFonts w:hint="default" w:ascii="Times New Roman" w:hAnsi="Times New Roman" w:eastAsia="宋体" w:cs="Times New Roman"/>
                <w:b/>
                <w:color w:val="auto"/>
                <w:sz w:val="21"/>
                <w:szCs w:val="21"/>
                <w:highlight w:val="none"/>
              </w:rPr>
              <w:t>S</w:t>
            </w:r>
          </w:p>
        </w:tc>
      </w:tr>
      <w:tr w14:paraId="56DE6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vMerge w:val="continue"/>
            <w:noWrap w:val="0"/>
            <w:vAlign w:val="center"/>
          </w:tcPr>
          <w:p w14:paraId="6D0BBA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p>
        </w:tc>
        <w:tc>
          <w:tcPr>
            <w:tcW w:w="1808" w:type="dxa"/>
            <w:gridSpan w:val="2"/>
            <w:noWrap w:val="0"/>
            <w:vAlign w:val="center"/>
          </w:tcPr>
          <w:p w14:paraId="02761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下风向预测浓度（μg/m</w:t>
            </w:r>
            <w:r>
              <w:rPr>
                <w:rFonts w:hint="default" w:ascii="Times New Roman" w:hAnsi="Times New Roman" w:eastAsia="宋体" w:cs="Times New Roman"/>
                <w:b/>
                <w:snapToGrid w:val="0"/>
                <w:color w:val="auto"/>
                <w:sz w:val="21"/>
                <w:szCs w:val="21"/>
                <w:highlight w:val="none"/>
                <w:vertAlign w:val="superscript"/>
              </w:rPr>
              <w:t>3</w:t>
            </w:r>
            <w:r>
              <w:rPr>
                <w:rFonts w:hint="default" w:ascii="Times New Roman" w:hAnsi="Times New Roman" w:eastAsia="宋体" w:cs="Times New Roman"/>
                <w:b/>
                <w:snapToGrid w:val="0"/>
                <w:color w:val="auto"/>
                <w:sz w:val="21"/>
                <w:szCs w:val="21"/>
                <w:highlight w:val="none"/>
              </w:rPr>
              <w:t>）</w:t>
            </w:r>
          </w:p>
        </w:tc>
        <w:tc>
          <w:tcPr>
            <w:tcW w:w="1605" w:type="dxa"/>
            <w:gridSpan w:val="2"/>
            <w:noWrap w:val="0"/>
            <w:vAlign w:val="center"/>
          </w:tcPr>
          <w:p w14:paraId="1AD5E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浓度占标率</w:t>
            </w:r>
          </w:p>
          <w:p w14:paraId="76F825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w:t>
            </w:r>
          </w:p>
        </w:tc>
        <w:tc>
          <w:tcPr>
            <w:tcW w:w="1792" w:type="dxa"/>
            <w:gridSpan w:val="2"/>
            <w:noWrap w:val="0"/>
            <w:vAlign w:val="center"/>
          </w:tcPr>
          <w:p w14:paraId="1E245D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下风向预测浓度（μg/m</w:t>
            </w:r>
            <w:r>
              <w:rPr>
                <w:rFonts w:hint="default" w:ascii="Times New Roman" w:hAnsi="Times New Roman" w:eastAsia="宋体" w:cs="Times New Roman"/>
                <w:b/>
                <w:snapToGrid w:val="0"/>
                <w:color w:val="auto"/>
                <w:sz w:val="21"/>
                <w:szCs w:val="21"/>
                <w:highlight w:val="none"/>
                <w:vertAlign w:val="superscript"/>
              </w:rPr>
              <w:t>3</w:t>
            </w:r>
            <w:r>
              <w:rPr>
                <w:rFonts w:hint="default" w:ascii="Times New Roman" w:hAnsi="Times New Roman" w:eastAsia="宋体" w:cs="Times New Roman"/>
                <w:b/>
                <w:snapToGrid w:val="0"/>
                <w:color w:val="auto"/>
                <w:sz w:val="21"/>
                <w:szCs w:val="21"/>
                <w:highlight w:val="none"/>
              </w:rPr>
              <w:t>）</w:t>
            </w:r>
          </w:p>
        </w:tc>
        <w:tc>
          <w:tcPr>
            <w:tcW w:w="1569" w:type="dxa"/>
            <w:gridSpan w:val="2"/>
            <w:noWrap w:val="0"/>
            <w:vAlign w:val="center"/>
          </w:tcPr>
          <w:p w14:paraId="262AC3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浓度占标率</w:t>
            </w:r>
          </w:p>
          <w:p w14:paraId="3FCD2F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w:t>
            </w:r>
          </w:p>
        </w:tc>
      </w:tr>
      <w:tr w14:paraId="2CDC8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0FDBA8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w:t>
            </w:r>
          </w:p>
        </w:tc>
        <w:tc>
          <w:tcPr>
            <w:tcW w:w="1808" w:type="dxa"/>
            <w:gridSpan w:val="2"/>
            <w:shd w:val="clear" w:color="auto" w:fill="auto"/>
            <w:noWrap w:val="0"/>
            <w:vAlign w:val="center"/>
          </w:tcPr>
          <w:p w14:paraId="38A102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6.4844</w:t>
            </w:r>
          </w:p>
        </w:tc>
        <w:tc>
          <w:tcPr>
            <w:tcW w:w="1605" w:type="dxa"/>
            <w:gridSpan w:val="2"/>
            <w:shd w:val="clear" w:color="auto" w:fill="auto"/>
            <w:noWrap w:val="0"/>
            <w:vAlign w:val="center"/>
          </w:tcPr>
          <w:p w14:paraId="1AA3F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3.2422</w:t>
            </w:r>
          </w:p>
        </w:tc>
        <w:tc>
          <w:tcPr>
            <w:tcW w:w="1792" w:type="dxa"/>
            <w:gridSpan w:val="2"/>
            <w:shd w:val="clear" w:color="auto" w:fill="auto"/>
            <w:noWrap w:val="0"/>
            <w:vAlign w:val="center"/>
          </w:tcPr>
          <w:p w14:paraId="0FC076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0.4480</w:t>
            </w:r>
          </w:p>
        </w:tc>
        <w:tc>
          <w:tcPr>
            <w:tcW w:w="1569" w:type="dxa"/>
            <w:gridSpan w:val="2"/>
            <w:shd w:val="clear" w:color="auto" w:fill="auto"/>
            <w:noWrap w:val="0"/>
            <w:vAlign w:val="center"/>
          </w:tcPr>
          <w:p w14:paraId="36CAB3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4.4801</w:t>
            </w:r>
          </w:p>
        </w:tc>
      </w:tr>
      <w:tr w14:paraId="279BF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51BBA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w:t>
            </w:r>
          </w:p>
        </w:tc>
        <w:tc>
          <w:tcPr>
            <w:tcW w:w="1808" w:type="dxa"/>
            <w:gridSpan w:val="2"/>
            <w:shd w:val="clear" w:color="auto" w:fill="auto"/>
            <w:noWrap w:val="0"/>
            <w:vAlign w:val="center"/>
          </w:tcPr>
          <w:p w14:paraId="260C27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3.8205</w:t>
            </w:r>
          </w:p>
        </w:tc>
        <w:tc>
          <w:tcPr>
            <w:tcW w:w="1605" w:type="dxa"/>
            <w:gridSpan w:val="2"/>
            <w:shd w:val="clear" w:color="auto" w:fill="auto"/>
            <w:noWrap w:val="0"/>
            <w:vAlign w:val="center"/>
          </w:tcPr>
          <w:p w14:paraId="1BA84D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1.9103</w:t>
            </w:r>
          </w:p>
        </w:tc>
        <w:tc>
          <w:tcPr>
            <w:tcW w:w="1792" w:type="dxa"/>
            <w:gridSpan w:val="2"/>
            <w:shd w:val="clear" w:color="auto" w:fill="auto"/>
            <w:noWrap w:val="0"/>
            <w:vAlign w:val="center"/>
          </w:tcPr>
          <w:p w14:paraId="0872FF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0.2640</w:t>
            </w:r>
          </w:p>
        </w:tc>
        <w:tc>
          <w:tcPr>
            <w:tcW w:w="1569" w:type="dxa"/>
            <w:gridSpan w:val="2"/>
            <w:shd w:val="clear" w:color="auto" w:fill="auto"/>
            <w:noWrap w:val="0"/>
            <w:vAlign w:val="center"/>
          </w:tcPr>
          <w:p w14:paraId="195C61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2.6396</w:t>
            </w:r>
          </w:p>
        </w:tc>
      </w:tr>
      <w:tr w14:paraId="6985E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5E5BF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200.0</w:t>
            </w:r>
          </w:p>
        </w:tc>
        <w:tc>
          <w:tcPr>
            <w:tcW w:w="1808" w:type="dxa"/>
            <w:gridSpan w:val="2"/>
            <w:shd w:val="clear" w:color="auto" w:fill="auto"/>
            <w:noWrap w:val="0"/>
            <w:vAlign w:val="center"/>
          </w:tcPr>
          <w:p w14:paraId="32BC29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1.9041</w:t>
            </w:r>
          </w:p>
        </w:tc>
        <w:tc>
          <w:tcPr>
            <w:tcW w:w="1605" w:type="dxa"/>
            <w:gridSpan w:val="2"/>
            <w:shd w:val="clear" w:color="auto" w:fill="auto"/>
            <w:noWrap w:val="0"/>
            <w:vAlign w:val="center"/>
          </w:tcPr>
          <w:p w14:paraId="6CA91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0.9520</w:t>
            </w:r>
          </w:p>
        </w:tc>
        <w:tc>
          <w:tcPr>
            <w:tcW w:w="1792" w:type="dxa"/>
            <w:gridSpan w:val="2"/>
            <w:shd w:val="clear" w:color="auto" w:fill="auto"/>
            <w:noWrap w:val="0"/>
            <w:vAlign w:val="center"/>
          </w:tcPr>
          <w:p w14:paraId="4059F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0.1316</w:t>
            </w:r>
          </w:p>
        </w:tc>
        <w:tc>
          <w:tcPr>
            <w:tcW w:w="1569" w:type="dxa"/>
            <w:gridSpan w:val="2"/>
            <w:shd w:val="clear" w:color="auto" w:fill="auto"/>
            <w:noWrap w:val="0"/>
            <w:vAlign w:val="center"/>
          </w:tcPr>
          <w:p w14:paraId="35B251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1.3156</w:t>
            </w:r>
          </w:p>
        </w:tc>
      </w:tr>
      <w:tr w14:paraId="1EC6B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0EF8F7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300.0</w:t>
            </w:r>
          </w:p>
        </w:tc>
        <w:tc>
          <w:tcPr>
            <w:tcW w:w="1808" w:type="dxa"/>
            <w:gridSpan w:val="2"/>
            <w:shd w:val="clear" w:color="auto" w:fill="auto"/>
            <w:noWrap w:val="0"/>
            <w:vAlign w:val="center"/>
          </w:tcPr>
          <w:p w14:paraId="41E401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1.2314</w:t>
            </w:r>
          </w:p>
        </w:tc>
        <w:tc>
          <w:tcPr>
            <w:tcW w:w="1605" w:type="dxa"/>
            <w:gridSpan w:val="2"/>
            <w:shd w:val="clear" w:color="auto" w:fill="auto"/>
            <w:noWrap w:val="0"/>
            <w:vAlign w:val="center"/>
          </w:tcPr>
          <w:p w14:paraId="407F92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0.6157</w:t>
            </w:r>
          </w:p>
        </w:tc>
        <w:tc>
          <w:tcPr>
            <w:tcW w:w="1792" w:type="dxa"/>
            <w:gridSpan w:val="2"/>
            <w:shd w:val="clear" w:color="auto" w:fill="auto"/>
            <w:noWrap w:val="0"/>
            <w:vAlign w:val="center"/>
          </w:tcPr>
          <w:p w14:paraId="1F8DCD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0.0851</w:t>
            </w:r>
          </w:p>
        </w:tc>
        <w:tc>
          <w:tcPr>
            <w:tcW w:w="1569" w:type="dxa"/>
            <w:gridSpan w:val="2"/>
            <w:shd w:val="clear" w:color="auto" w:fill="auto"/>
            <w:noWrap w:val="0"/>
            <w:vAlign w:val="center"/>
          </w:tcPr>
          <w:p w14:paraId="3B4982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0.8508</w:t>
            </w:r>
          </w:p>
        </w:tc>
      </w:tr>
      <w:tr w14:paraId="72BD8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31E410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400.0</w:t>
            </w:r>
          </w:p>
        </w:tc>
        <w:tc>
          <w:tcPr>
            <w:tcW w:w="1808" w:type="dxa"/>
            <w:gridSpan w:val="2"/>
            <w:shd w:val="clear" w:color="auto" w:fill="auto"/>
            <w:noWrap w:val="0"/>
            <w:vAlign w:val="center"/>
          </w:tcPr>
          <w:p w14:paraId="530F80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0.8959</w:t>
            </w:r>
          </w:p>
        </w:tc>
        <w:tc>
          <w:tcPr>
            <w:tcW w:w="1605" w:type="dxa"/>
            <w:gridSpan w:val="2"/>
            <w:shd w:val="clear" w:color="auto" w:fill="auto"/>
            <w:noWrap w:val="0"/>
            <w:vAlign w:val="center"/>
          </w:tcPr>
          <w:p w14:paraId="597244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0.4479</w:t>
            </w:r>
          </w:p>
        </w:tc>
        <w:tc>
          <w:tcPr>
            <w:tcW w:w="1792" w:type="dxa"/>
            <w:gridSpan w:val="2"/>
            <w:shd w:val="clear" w:color="auto" w:fill="auto"/>
            <w:noWrap w:val="0"/>
            <w:vAlign w:val="center"/>
          </w:tcPr>
          <w:p w14:paraId="6B7798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0.0619</w:t>
            </w:r>
          </w:p>
        </w:tc>
        <w:tc>
          <w:tcPr>
            <w:tcW w:w="1569" w:type="dxa"/>
            <w:gridSpan w:val="2"/>
            <w:shd w:val="clear" w:color="auto" w:fill="auto"/>
            <w:noWrap w:val="0"/>
            <w:vAlign w:val="center"/>
          </w:tcPr>
          <w:p w14:paraId="49344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0.6190</w:t>
            </w:r>
          </w:p>
        </w:tc>
      </w:tr>
      <w:tr w14:paraId="24A0A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48771B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500.0</w:t>
            </w:r>
          </w:p>
        </w:tc>
        <w:tc>
          <w:tcPr>
            <w:tcW w:w="1808" w:type="dxa"/>
            <w:gridSpan w:val="2"/>
            <w:shd w:val="clear" w:color="auto" w:fill="auto"/>
            <w:noWrap w:val="0"/>
            <w:vAlign w:val="center"/>
          </w:tcPr>
          <w:p w14:paraId="08C4A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0.6871</w:t>
            </w:r>
          </w:p>
        </w:tc>
        <w:tc>
          <w:tcPr>
            <w:tcW w:w="1605" w:type="dxa"/>
            <w:gridSpan w:val="2"/>
            <w:shd w:val="clear" w:color="auto" w:fill="auto"/>
            <w:noWrap w:val="0"/>
            <w:vAlign w:val="center"/>
          </w:tcPr>
          <w:p w14:paraId="38B947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0.3435</w:t>
            </w:r>
          </w:p>
        </w:tc>
        <w:tc>
          <w:tcPr>
            <w:tcW w:w="1792" w:type="dxa"/>
            <w:gridSpan w:val="2"/>
            <w:shd w:val="clear" w:color="auto" w:fill="auto"/>
            <w:noWrap w:val="0"/>
            <w:vAlign w:val="center"/>
          </w:tcPr>
          <w:p w14:paraId="230EB9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0.0475</w:t>
            </w:r>
          </w:p>
        </w:tc>
        <w:tc>
          <w:tcPr>
            <w:tcW w:w="1569" w:type="dxa"/>
            <w:gridSpan w:val="2"/>
            <w:shd w:val="clear" w:color="auto" w:fill="auto"/>
            <w:noWrap w:val="0"/>
            <w:vAlign w:val="center"/>
          </w:tcPr>
          <w:p w14:paraId="660FBC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0.4747</w:t>
            </w:r>
          </w:p>
        </w:tc>
      </w:tr>
      <w:tr w14:paraId="795FC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19D5A8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600.0</w:t>
            </w:r>
          </w:p>
        </w:tc>
        <w:tc>
          <w:tcPr>
            <w:tcW w:w="1808" w:type="dxa"/>
            <w:gridSpan w:val="2"/>
            <w:shd w:val="clear" w:color="auto" w:fill="auto"/>
            <w:noWrap w:val="0"/>
            <w:vAlign w:val="center"/>
          </w:tcPr>
          <w:p w14:paraId="4CE4F5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0.5622</w:t>
            </w:r>
          </w:p>
        </w:tc>
        <w:tc>
          <w:tcPr>
            <w:tcW w:w="1605" w:type="dxa"/>
            <w:gridSpan w:val="2"/>
            <w:shd w:val="clear" w:color="auto" w:fill="auto"/>
            <w:noWrap w:val="0"/>
            <w:vAlign w:val="center"/>
          </w:tcPr>
          <w:p w14:paraId="7B854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0.2811</w:t>
            </w:r>
          </w:p>
        </w:tc>
        <w:tc>
          <w:tcPr>
            <w:tcW w:w="1792" w:type="dxa"/>
            <w:gridSpan w:val="2"/>
            <w:shd w:val="clear" w:color="auto" w:fill="auto"/>
            <w:noWrap w:val="0"/>
            <w:vAlign w:val="center"/>
          </w:tcPr>
          <w:p w14:paraId="66002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0.0388</w:t>
            </w:r>
          </w:p>
        </w:tc>
        <w:tc>
          <w:tcPr>
            <w:tcW w:w="1569" w:type="dxa"/>
            <w:gridSpan w:val="2"/>
            <w:shd w:val="clear" w:color="auto" w:fill="auto"/>
            <w:noWrap w:val="0"/>
            <w:vAlign w:val="center"/>
          </w:tcPr>
          <w:p w14:paraId="187E9F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0.3884</w:t>
            </w:r>
          </w:p>
        </w:tc>
      </w:tr>
      <w:tr w14:paraId="45411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52A8C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700.0</w:t>
            </w:r>
          </w:p>
        </w:tc>
        <w:tc>
          <w:tcPr>
            <w:tcW w:w="1808" w:type="dxa"/>
            <w:gridSpan w:val="2"/>
            <w:shd w:val="clear" w:color="auto" w:fill="auto"/>
            <w:noWrap w:val="0"/>
            <w:vAlign w:val="center"/>
          </w:tcPr>
          <w:p w14:paraId="3807E6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0.4715</w:t>
            </w:r>
          </w:p>
        </w:tc>
        <w:tc>
          <w:tcPr>
            <w:tcW w:w="1605" w:type="dxa"/>
            <w:gridSpan w:val="2"/>
            <w:shd w:val="clear" w:color="auto" w:fill="auto"/>
            <w:noWrap w:val="0"/>
            <w:vAlign w:val="center"/>
          </w:tcPr>
          <w:p w14:paraId="73017C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0.2358</w:t>
            </w:r>
          </w:p>
        </w:tc>
        <w:tc>
          <w:tcPr>
            <w:tcW w:w="1792" w:type="dxa"/>
            <w:gridSpan w:val="2"/>
            <w:shd w:val="clear" w:color="auto" w:fill="auto"/>
            <w:noWrap w:val="0"/>
            <w:vAlign w:val="center"/>
          </w:tcPr>
          <w:p w14:paraId="29C0E8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0.0326</w:t>
            </w:r>
          </w:p>
        </w:tc>
        <w:tc>
          <w:tcPr>
            <w:tcW w:w="1569" w:type="dxa"/>
            <w:gridSpan w:val="2"/>
            <w:shd w:val="clear" w:color="auto" w:fill="auto"/>
            <w:noWrap w:val="0"/>
            <w:vAlign w:val="center"/>
          </w:tcPr>
          <w:p w14:paraId="171BF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0.3258</w:t>
            </w:r>
          </w:p>
        </w:tc>
      </w:tr>
      <w:tr w14:paraId="276B0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6E4A5B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800.0</w:t>
            </w:r>
          </w:p>
        </w:tc>
        <w:tc>
          <w:tcPr>
            <w:tcW w:w="1808" w:type="dxa"/>
            <w:gridSpan w:val="2"/>
            <w:shd w:val="clear" w:color="auto" w:fill="auto"/>
            <w:noWrap w:val="0"/>
            <w:vAlign w:val="center"/>
          </w:tcPr>
          <w:p w14:paraId="516958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0.4083</w:t>
            </w:r>
          </w:p>
        </w:tc>
        <w:tc>
          <w:tcPr>
            <w:tcW w:w="1605" w:type="dxa"/>
            <w:gridSpan w:val="2"/>
            <w:shd w:val="clear" w:color="auto" w:fill="auto"/>
            <w:noWrap w:val="0"/>
            <w:vAlign w:val="center"/>
          </w:tcPr>
          <w:p w14:paraId="780C8B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0.2042</w:t>
            </w:r>
          </w:p>
        </w:tc>
        <w:tc>
          <w:tcPr>
            <w:tcW w:w="1792" w:type="dxa"/>
            <w:gridSpan w:val="2"/>
            <w:shd w:val="clear" w:color="auto" w:fill="auto"/>
            <w:noWrap w:val="0"/>
            <w:vAlign w:val="center"/>
          </w:tcPr>
          <w:p w14:paraId="626E2D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0.0282</w:t>
            </w:r>
          </w:p>
        </w:tc>
        <w:tc>
          <w:tcPr>
            <w:tcW w:w="1569" w:type="dxa"/>
            <w:gridSpan w:val="2"/>
            <w:shd w:val="clear" w:color="auto" w:fill="auto"/>
            <w:noWrap w:val="0"/>
            <w:vAlign w:val="center"/>
          </w:tcPr>
          <w:p w14:paraId="77B69F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0.2821</w:t>
            </w:r>
          </w:p>
        </w:tc>
      </w:tr>
      <w:tr w14:paraId="091A2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348FA6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900.0</w:t>
            </w:r>
          </w:p>
        </w:tc>
        <w:tc>
          <w:tcPr>
            <w:tcW w:w="1808" w:type="dxa"/>
            <w:gridSpan w:val="2"/>
            <w:shd w:val="clear" w:color="auto" w:fill="auto"/>
            <w:noWrap w:val="0"/>
            <w:vAlign w:val="center"/>
          </w:tcPr>
          <w:p w14:paraId="6D8E9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0.3563</w:t>
            </w:r>
          </w:p>
        </w:tc>
        <w:tc>
          <w:tcPr>
            <w:tcW w:w="1605" w:type="dxa"/>
            <w:gridSpan w:val="2"/>
            <w:shd w:val="clear" w:color="auto" w:fill="auto"/>
            <w:noWrap w:val="0"/>
            <w:vAlign w:val="center"/>
          </w:tcPr>
          <w:p w14:paraId="30A7A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0.1781</w:t>
            </w:r>
          </w:p>
        </w:tc>
        <w:tc>
          <w:tcPr>
            <w:tcW w:w="1792" w:type="dxa"/>
            <w:gridSpan w:val="2"/>
            <w:shd w:val="clear" w:color="auto" w:fill="auto"/>
            <w:noWrap w:val="0"/>
            <w:vAlign w:val="center"/>
          </w:tcPr>
          <w:p w14:paraId="260343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0.0246</w:t>
            </w:r>
          </w:p>
        </w:tc>
        <w:tc>
          <w:tcPr>
            <w:tcW w:w="1569" w:type="dxa"/>
            <w:gridSpan w:val="2"/>
            <w:shd w:val="clear" w:color="auto" w:fill="auto"/>
            <w:noWrap w:val="0"/>
            <w:vAlign w:val="center"/>
          </w:tcPr>
          <w:p w14:paraId="3BB674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0.2461</w:t>
            </w:r>
          </w:p>
        </w:tc>
      </w:tr>
      <w:tr w14:paraId="2E18E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279256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1000.0</w:t>
            </w:r>
          </w:p>
        </w:tc>
        <w:tc>
          <w:tcPr>
            <w:tcW w:w="1808" w:type="dxa"/>
            <w:gridSpan w:val="2"/>
            <w:shd w:val="clear" w:color="auto" w:fill="auto"/>
            <w:noWrap w:val="0"/>
            <w:vAlign w:val="center"/>
          </w:tcPr>
          <w:p w14:paraId="286EA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0.3135</w:t>
            </w:r>
          </w:p>
        </w:tc>
        <w:tc>
          <w:tcPr>
            <w:tcW w:w="1605" w:type="dxa"/>
            <w:gridSpan w:val="2"/>
            <w:shd w:val="clear" w:color="auto" w:fill="auto"/>
            <w:noWrap w:val="0"/>
            <w:vAlign w:val="center"/>
          </w:tcPr>
          <w:p w14:paraId="4281BA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0.1567</w:t>
            </w:r>
          </w:p>
        </w:tc>
        <w:tc>
          <w:tcPr>
            <w:tcW w:w="1792" w:type="dxa"/>
            <w:gridSpan w:val="2"/>
            <w:shd w:val="clear" w:color="auto" w:fill="auto"/>
            <w:noWrap w:val="0"/>
            <w:vAlign w:val="center"/>
          </w:tcPr>
          <w:p w14:paraId="6E768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0.0217</w:t>
            </w:r>
          </w:p>
        </w:tc>
        <w:tc>
          <w:tcPr>
            <w:tcW w:w="1569" w:type="dxa"/>
            <w:gridSpan w:val="2"/>
            <w:shd w:val="clear" w:color="auto" w:fill="auto"/>
            <w:noWrap w:val="0"/>
            <w:vAlign w:val="center"/>
          </w:tcPr>
          <w:p w14:paraId="776437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0.2166</w:t>
            </w:r>
          </w:p>
        </w:tc>
      </w:tr>
      <w:tr w14:paraId="27971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40B24D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1200.0</w:t>
            </w:r>
          </w:p>
        </w:tc>
        <w:tc>
          <w:tcPr>
            <w:tcW w:w="1808" w:type="dxa"/>
            <w:gridSpan w:val="2"/>
            <w:shd w:val="clear" w:color="auto" w:fill="auto"/>
            <w:noWrap w:val="0"/>
            <w:vAlign w:val="center"/>
          </w:tcPr>
          <w:p w14:paraId="777C0E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0.2508</w:t>
            </w:r>
          </w:p>
        </w:tc>
        <w:tc>
          <w:tcPr>
            <w:tcW w:w="1605" w:type="dxa"/>
            <w:gridSpan w:val="2"/>
            <w:shd w:val="clear" w:color="auto" w:fill="auto"/>
            <w:noWrap w:val="0"/>
            <w:vAlign w:val="center"/>
          </w:tcPr>
          <w:p w14:paraId="78255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0.1254</w:t>
            </w:r>
          </w:p>
        </w:tc>
        <w:tc>
          <w:tcPr>
            <w:tcW w:w="1792" w:type="dxa"/>
            <w:gridSpan w:val="2"/>
            <w:shd w:val="clear" w:color="auto" w:fill="auto"/>
            <w:noWrap w:val="0"/>
            <w:vAlign w:val="center"/>
          </w:tcPr>
          <w:p w14:paraId="1FAFE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0.0173</w:t>
            </w:r>
          </w:p>
        </w:tc>
        <w:tc>
          <w:tcPr>
            <w:tcW w:w="1569" w:type="dxa"/>
            <w:gridSpan w:val="2"/>
            <w:shd w:val="clear" w:color="auto" w:fill="auto"/>
            <w:noWrap w:val="0"/>
            <w:vAlign w:val="center"/>
          </w:tcPr>
          <w:p w14:paraId="00557B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0.1733</w:t>
            </w:r>
          </w:p>
        </w:tc>
      </w:tr>
      <w:tr w14:paraId="67F75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41EF1F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1400.0</w:t>
            </w:r>
          </w:p>
        </w:tc>
        <w:tc>
          <w:tcPr>
            <w:tcW w:w="1808" w:type="dxa"/>
            <w:gridSpan w:val="2"/>
            <w:shd w:val="clear" w:color="auto" w:fill="auto"/>
            <w:noWrap w:val="0"/>
            <w:vAlign w:val="center"/>
          </w:tcPr>
          <w:p w14:paraId="64336E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0.2071</w:t>
            </w:r>
          </w:p>
        </w:tc>
        <w:tc>
          <w:tcPr>
            <w:tcW w:w="1605" w:type="dxa"/>
            <w:gridSpan w:val="2"/>
            <w:shd w:val="clear" w:color="auto" w:fill="auto"/>
            <w:noWrap w:val="0"/>
            <w:vAlign w:val="center"/>
          </w:tcPr>
          <w:p w14:paraId="3CC56F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0.1036</w:t>
            </w:r>
          </w:p>
        </w:tc>
        <w:tc>
          <w:tcPr>
            <w:tcW w:w="1792" w:type="dxa"/>
            <w:gridSpan w:val="2"/>
            <w:shd w:val="clear" w:color="auto" w:fill="auto"/>
            <w:noWrap w:val="0"/>
            <w:vAlign w:val="center"/>
          </w:tcPr>
          <w:p w14:paraId="3A39B9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0.0143</w:t>
            </w:r>
          </w:p>
        </w:tc>
        <w:tc>
          <w:tcPr>
            <w:tcW w:w="1569" w:type="dxa"/>
            <w:gridSpan w:val="2"/>
            <w:shd w:val="clear" w:color="auto" w:fill="auto"/>
            <w:noWrap w:val="0"/>
            <w:vAlign w:val="center"/>
          </w:tcPr>
          <w:p w14:paraId="4E73E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0.1431</w:t>
            </w:r>
          </w:p>
        </w:tc>
      </w:tr>
      <w:tr w14:paraId="3422D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85" w:type="dxa"/>
            <w:shd w:val="clear" w:color="auto" w:fill="auto"/>
            <w:noWrap w:val="0"/>
            <w:vAlign w:val="center"/>
          </w:tcPr>
          <w:p w14:paraId="6B1B0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1600.0</w:t>
            </w:r>
          </w:p>
        </w:tc>
        <w:tc>
          <w:tcPr>
            <w:tcW w:w="1808" w:type="dxa"/>
            <w:gridSpan w:val="2"/>
            <w:shd w:val="clear" w:color="auto" w:fill="auto"/>
            <w:noWrap w:val="0"/>
            <w:vAlign w:val="center"/>
          </w:tcPr>
          <w:p w14:paraId="7320D0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0.1752</w:t>
            </w:r>
          </w:p>
        </w:tc>
        <w:tc>
          <w:tcPr>
            <w:tcW w:w="1605" w:type="dxa"/>
            <w:gridSpan w:val="2"/>
            <w:shd w:val="clear" w:color="auto" w:fill="auto"/>
            <w:noWrap w:val="0"/>
            <w:vAlign w:val="center"/>
          </w:tcPr>
          <w:p w14:paraId="5EAE9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0.0876</w:t>
            </w:r>
          </w:p>
        </w:tc>
        <w:tc>
          <w:tcPr>
            <w:tcW w:w="1792" w:type="dxa"/>
            <w:gridSpan w:val="2"/>
            <w:shd w:val="clear" w:color="auto" w:fill="auto"/>
            <w:noWrap w:val="0"/>
            <w:vAlign w:val="center"/>
          </w:tcPr>
          <w:p w14:paraId="699490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0.0121</w:t>
            </w:r>
          </w:p>
        </w:tc>
        <w:tc>
          <w:tcPr>
            <w:tcW w:w="1569" w:type="dxa"/>
            <w:gridSpan w:val="2"/>
            <w:shd w:val="clear" w:color="auto" w:fill="auto"/>
            <w:noWrap w:val="0"/>
            <w:vAlign w:val="center"/>
          </w:tcPr>
          <w:p w14:paraId="449AC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0.1211</w:t>
            </w:r>
          </w:p>
        </w:tc>
      </w:tr>
      <w:tr w14:paraId="04919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gridSpan w:val="2"/>
            <w:shd w:val="clear" w:color="auto" w:fill="auto"/>
            <w:noWrap w:val="0"/>
            <w:vAlign w:val="center"/>
          </w:tcPr>
          <w:p w14:paraId="490100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1800.0</w:t>
            </w:r>
          </w:p>
        </w:tc>
        <w:tc>
          <w:tcPr>
            <w:tcW w:w="1814" w:type="dxa"/>
            <w:gridSpan w:val="2"/>
            <w:shd w:val="clear" w:color="auto" w:fill="auto"/>
            <w:noWrap w:val="0"/>
            <w:vAlign w:val="center"/>
          </w:tcPr>
          <w:p w14:paraId="4E4002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0.1511</w:t>
            </w:r>
          </w:p>
        </w:tc>
        <w:tc>
          <w:tcPr>
            <w:tcW w:w="1611" w:type="dxa"/>
            <w:gridSpan w:val="2"/>
            <w:shd w:val="clear" w:color="auto" w:fill="auto"/>
            <w:noWrap w:val="0"/>
            <w:vAlign w:val="center"/>
          </w:tcPr>
          <w:p w14:paraId="770082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0.0755</w:t>
            </w:r>
          </w:p>
        </w:tc>
        <w:tc>
          <w:tcPr>
            <w:tcW w:w="1798" w:type="dxa"/>
            <w:gridSpan w:val="2"/>
            <w:shd w:val="clear" w:color="auto" w:fill="auto"/>
            <w:noWrap w:val="0"/>
            <w:vAlign w:val="center"/>
          </w:tcPr>
          <w:p w14:paraId="057851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0.0104</w:t>
            </w:r>
          </w:p>
        </w:tc>
        <w:tc>
          <w:tcPr>
            <w:tcW w:w="1544" w:type="dxa"/>
            <w:shd w:val="clear" w:color="auto" w:fill="auto"/>
            <w:noWrap w:val="0"/>
            <w:vAlign w:val="center"/>
          </w:tcPr>
          <w:p w14:paraId="7F32B6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0.1044</w:t>
            </w:r>
          </w:p>
        </w:tc>
      </w:tr>
      <w:tr w14:paraId="6660D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gridSpan w:val="2"/>
            <w:shd w:val="clear" w:color="auto" w:fill="auto"/>
            <w:noWrap w:val="0"/>
            <w:vAlign w:val="center"/>
          </w:tcPr>
          <w:p w14:paraId="58669C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2000.0</w:t>
            </w:r>
          </w:p>
        </w:tc>
        <w:tc>
          <w:tcPr>
            <w:tcW w:w="1814" w:type="dxa"/>
            <w:gridSpan w:val="2"/>
            <w:shd w:val="clear" w:color="auto" w:fill="auto"/>
            <w:noWrap w:val="0"/>
            <w:vAlign w:val="center"/>
          </w:tcPr>
          <w:p w14:paraId="10C90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0.1323</w:t>
            </w:r>
          </w:p>
        </w:tc>
        <w:tc>
          <w:tcPr>
            <w:tcW w:w="1611" w:type="dxa"/>
            <w:gridSpan w:val="2"/>
            <w:shd w:val="clear" w:color="auto" w:fill="auto"/>
            <w:noWrap w:val="0"/>
            <w:vAlign w:val="center"/>
          </w:tcPr>
          <w:p w14:paraId="2DB62F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0.0662</w:t>
            </w:r>
          </w:p>
        </w:tc>
        <w:tc>
          <w:tcPr>
            <w:tcW w:w="1798" w:type="dxa"/>
            <w:gridSpan w:val="2"/>
            <w:shd w:val="clear" w:color="auto" w:fill="auto"/>
            <w:noWrap w:val="0"/>
            <w:vAlign w:val="center"/>
          </w:tcPr>
          <w:p w14:paraId="0DC366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0.0091</w:t>
            </w:r>
          </w:p>
        </w:tc>
        <w:tc>
          <w:tcPr>
            <w:tcW w:w="1544" w:type="dxa"/>
            <w:shd w:val="clear" w:color="auto" w:fill="auto"/>
            <w:noWrap w:val="0"/>
            <w:vAlign w:val="center"/>
          </w:tcPr>
          <w:p w14:paraId="3B876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0.0914</w:t>
            </w:r>
          </w:p>
        </w:tc>
      </w:tr>
      <w:tr w14:paraId="746A1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gridSpan w:val="2"/>
            <w:shd w:val="clear" w:color="auto" w:fill="auto"/>
            <w:noWrap w:val="0"/>
            <w:vAlign w:val="center"/>
          </w:tcPr>
          <w:p w14:paraId="67D498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2500.0</w:t>
            </w:r>
          </w:p>
        </w:tc>
        <w:tc>
          <w:tcPr>
            <w:tcW w:w="1814" w:type="dxa"/>
            <w:gridSpan w:val="2"/>
            <w:shd w:val="clear" w:color="auto" w:fill="auto"/>
            <w:noWrap w:val="0"/>
            <w:vAlign w:val="center"/>
          </w:tcPr>
          <w:p w14:paraId="7E9D6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0.0995</w:t>
            </w:r>
          </w:p>
        </w:tc>
        <w:tc>
          <w:tcPr>
            <w:tcW w:w="1611" w:type="dxa"/>
            <w:gridSpan w:val="2"/>
            <w:shd w:val="clear" w:color="auto" w:fill="auto"/>
            <w:noWrap w:val="0"/>
            <w:vAlign w:val="center"/>
          </w:tcPr>
          <w:p w14:paraId="4E34B2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0.0497</w:t>
            </w:r>
          </w:p>
        </w:tc>
        <w:tc>
          <w:tcPr>
            <w:tcW w:w="1798" w:type="dxa"/>
            <w:gridSpan w:val="2"/>
            <w:shd w:val="clear" w:color="auto" w:fill="auto"/>
            <w:noWrap w:val="0"/>
            <w:vAlign w:val="center"/>
          </w:tcPr>
          <w:p w14:paraId="5A62A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0.0069</w:t>
            </w:r>
          </w:p>
        </w:tc>
        <w:tc>
          <w:tcPr>
            <w:tcW w:w="1544" w:type="dxa"/>
            <w:shd w:val="clear" w:color="auto" w:fill="auto"/>
            <w:noWrap w:val="0"/>
            <w:vAlign w:val="center"/>
          </w:tcPr>
          <w:p w14:paraId="762A3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0.0687</w:t>
            </w:r>
          </w:p>
        </w:tc>
      </w:tr>
      <w:tr w14:paraId="0B684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gridSpan w:val="2"/>
            <w:noWrap w:val="0"/>
            <w:vAlign w:val="center"/>
          </w:tcPr>
          <w:p w14:paraId="7D69C7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w:t>
            </w:r>
          </w:p>
        </w:tc>
        <w:tc>
          <w:tcPr>
            <w:tcW w:w="1814" w:type="dxa"/>
            <w:gridSpan w:val="2"/>
            <w:shd w:val="clear" w:color="auto" w:fill="auto"/>
            <w:noWrap w:val="0"/>
            <w:vAlign w:val="center"/>
          </w:tcPr>
          <w:p w14:paraId="3777F1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6.9833</w:t>
            </w:r>
          </w:p>
        </w:tc>
        <w:tc>
          <w:tcPr>
            <w:tcW w:w="1611" w:type="dxa"/>
            <w:gridSpan w:val="2"/>
            <w:shd w:val="clear" w:color="auto" w:fill="auto"/>
            <w:noWrap w:val="0"/>
            <w:vAlign w:val="center"/>
          </w:tcPr>
          <w:p w14:paraId="3DF9D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3.4916</w:t>
            </w:r>
          </w:p>
        </w:tc>
        <w:tc>
          <w:tcPr>
            <w:tcW w:w="1798" w:type="dxa"/>
            <w:gridSpan w:val="2"/>
            <w:shd w:val="clear" w:color="auto" w:fill="auto"/>
            <w:noWrap w:val="0"/>
            <w:vAlign w:val="center"/>
          </w:tcPr>
          <w:p w14:paraId="48CA7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0.4825</w:t>
            </w:r>
          </w:p>
        </w:tc>
        <w:tc>
          <w:tcPr>
            <w:tcW w:w="1544" w:type="dxa"/>
            <w:shd w:val="clear" w:color="auto" w:fill="auto"/>
            <w:noWrap w:val="0"/>
            <w:vAlign w:val="center"/>
          </w:tcPr>
          <w:p w14:paraId="4F968C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4.8248</w:t>
            </w:r>
          </w:p>
        </w:tc>
      </w:tr>
      <w:tr w14:paraId="4CDC5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gridSpan w:val="2"/>
            <w:noWrap w:val="0"/>
            <w:vAlign w:val="center"/>
          </w:tcPr>
          <w:p w14:paraId="59741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下风向最大距离</w:t>
            </w:r>
          </w:p>
        </w:tc>
        <w:tc>
          <w:tcPr>
            <w:tcW w:w="1814" w:type="dxa"/>
            <w:gridSpan w:val="2"/>
            <w:shd w:val="clear" w:color="auto" w:fill="auto"/>
            <w:noWrap w:val="0"/>
            <w:vAlign w:val="center"/>
          </w:tcPr>
          <w:p w14:paraId="380016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32.0</w:t>
            </w:r>
          </w:p>
        </w:tc>
        <w:tc>
          <w:tcPr>
            <w:tcW w:w="1611" w:type="dxa"/>
            <w:gridSpan w:val="2"/>
            <w:shd w:val="clear" w:color="auto" w:fill="auto"/>
            <w:noWrap w:val="0"/>
            <w:vAlign w:val="center"/>
          </w:tcPr>
          <w:p w14:paraId="76B048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32.0</w:t>
            </w:r>
          </w:p>
        </w:tc>
        <w:tc>
          <w:tcPr>
            <w:tcW w:w="1798" w:type="dxa"/>
            <w:gridSpan w:val="2"/>
            <w:shd w:val="clear" w:color="auto" w:fill="auto"/>
            <w:noWrap w:val="0"/>
            <w:vAlign w:val="center"/>
          </w:tcPr>
          <w:p w14:paraId="01FEEB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32.0</w:t>
            </w:r>
          </w:p>
        </w:tc>
        <w:tc>
          <w:tcPr>
            <w:tcW w:w="1544" w:type="dxa"/>
            <w:shd w:val="clear" w:color="auto" w:fill="auto"/>
            <w:noWrap w:val="0"/>
            <w:vAlign w:val="center"/>
          </w:tcPr>
          <w:p w14:paraId="5400C5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32.0</w:t>
            </w:r>
          </w:p>
        </w:tc>
      </w:tr>
      <w:tr w14:paraId="5BD03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gridSpan w:val="2"/>
            <w:noWrap w:val="0"/>
            <w:vAlign w:val="center"/>
          </w:tcPr>
          <w:p w14:paraId="719D45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D10%最远距离</w:t>
            </w:r>
          </w:p>
        </w:tc>
        <w:tc>
          <w:tcPr>
            <w:tcW w:w="1814" w:type="dxa"/>
            <w:gridSpan w:val="2"/>
            <w:noWrap w:val="0"/>
            <w:vAlign w:val="center"/>
          </w:tcPr>
          <w:p w14:paraId="3F54E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11" w:type="dxa"/>
            <w:gridSpan w:val="2"/>
            <w:noWrap w:val="0"/>
            <w:vAlign w:val="center"/>
          </w:tcPr>
          <w:p w14:paraId="6F65F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98" w:type="dxa"/>
            <w:gridSpan w:val="2"/>
            <w:noWrap w:val="0"/>
            <w:vAlign w:val="center"/>
          </w:tcPr>
          <w:p w14:paraId="2443F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44" w:type="dxa"/>
            <w:noWrap w:val="0"/>
            <w:vAlign w:val="center"/>
          </w:tcPr>
          <w:p w14:paraId="3CF1FC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780832E6">
      <w:pPr>
        <w:bidi w:val="0"/>
        <w:spacing w:line="240" w:lineRule="auto"/>
        <w:rPr>
          <w:rFonts w:hint="default" w:ascii="Times New Roman" w:hAnsi="Times New Roman" w:eastAsia="宋体" w:cs="Times New Roman"/>
          <w:color w:val="auto"/>
          <w:lang w:eastAsia="zh-CN"/>
        </w:rPr>
      </w:pPr>
      <w:r>
        <w:rPr>
          <w:rFonts w:hint="default" w:ascii="Times New Roman" w:hAnsi="Times New Roman" w:eastAsia="宋体" w:cs="Times New Roman"/>
          <w:bCs/>
          <w:color w:val="auto"/>
          <w:sz w:val="21"/>
          <w:szCs w:val="21"/>
          <w:highlight w:val="none"/>
        </w:rPr>
        <w:t>表5.1-</w:t>
      </w:r>
      <w:r>
        <w:rPr>
          <w:rFonts w:hint="eastAsia" w:eastAsia="宋体" w:cs="Times New Roman"/>
          <w:bCs/>
          <w:color w:val="auto"/>
          <w:sz w:val="21"/>
          <w:szCs w:val="21"/>
          <w:highlight w:val="none"/>
          <w:lang w:val="en-US" w:eastAsia="zh-CN"/>
        </w:rPr>
        <w:t>5</w:t>
      </w:r>
      <w:r>
        <w:rPr>
          <w:rFonts w:hint="default" w:ascii="Times New Roman" w:hAnsi="Times New Roman" w:eastAsia="宋体" w:cs="Times New Roman"/>
          <w:bCs/>
          <w:color w:val="auto"/>
          <w:szCs w:val="21"/>
          <w:highlight w:val="none"/>
          <w:lang w:val="en-US" w:eastAsia="zh-CN"/>
        </w:rPr>
        <w:t xml:space="preserve">  </w:t>
      </w:r>
      <w:r>
        <w:rPr>
          <w:rFonts w:hint="eastAsia"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
          <w:color w:val="auto"/>
          <w:sz w:val="24"/>
          <w:highlight w:val="none"/>
          <w:lang w:val="en-US" w:eastAsia="zh-CN"/>
        </w:rPr>
        <w:t>待宰圈</w:t>
      </w:r>
      <w:r>
        <w:rPr>
          <w:rFonts w:hint="eastAsia" w:eastAsia="宋体" w:cs="Times New Roman"/>
          <w:b/>
          <w:color w:val="auto"/>
          <w:sz w:val="24"/>
          <w:highlight w:val="none"/>
          <w:lang w:val="en-US" w:eastAsia="zh-CN"/>
        </w:rPr>
        <w:t>无组织</w:t>
      </w:r>
      <w:r>
        <w:rPr>
          <w:rFonts w:hint="default" w:ascii="Times New Roman" w:hAnsi="Times New Roman" w:eastAsia="宋体" w:cs="Times New Roman"/>
          <w:b/>
          <w:color w:val="auto"/>
          <w:sz w:val="24"/>
          <w:highlight w:val="none"/>
        </w:rPr>
        <w:t>NH</w:t>
      </w:r>
      <w:r>
        <w:rPr>
          <w:rFonts w:hint="default" w:ascii="Times New Roman" w:hAnsi="Times New Roman" w:eastAsia="宋体" w:cs="Times New Roman"/>
          <w:b/>
          <w:color w:val="auto"/>
          <w:sz w:val="24"/>
          <w:highlight w:val="none"/>
          <w:vertAlign w:val="subscript"/>
        </w:rPr>
        <w:t>3</w:t>
      </w:r>
      <w:r>
        <w:rPr>
          <w:rFonts w:hint="default" w:ascii="Times New Roman" w:hAnsi="Times New Roman" w:eastAsia="宋体" w:cs="Times New Roman"/>
          <w:b/>
          <w:color w:val="auto"/>
          <w:sz w:val="24"/>
          <w:highlight w:val="none"/>
        </w:rPr>
        <w:t>和H</w:t>
      </w:r>
      <w:r>
        <w:rPr>
          <w:rFonts w:hint="default" w:ascii="Times New Roman" w:hAnsi="Times New Roman" w:eastAsia="宋体" w:cs="Times New Roman"/>
          <w:b/>
          <w:color w:val="auto"/>
          <w:sz w:val="24"/>
          <w:highlight w:val="none"/>
          <w:vertAlign w:val="subscript"/>
        </w:rPr>
        <w:t>2</w:t>
      </w:r>
      <w:r>
        <w:rPr>
          <w:rFonts w:hint="default" w:ascii="Times New Roman" w:hAnsi="Times New Roman" w:eastAsia="宋体" w:cs="Times New Roman"/>
          <w:b/>
          <w:color w:val="auto"/>
          <w:sz w:val="24"/>
          <w:highlight w:val="none"/>
        </w:rPr>
        <w:t>S估算模式计算结果一览表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5"/>
        <w:gridCol w:w="1826"/>
        <w:gridCol w:w="1622"/>
        <w:gridCol w:w="1810"/>
        <w:gridCol w:w="1585"/>
      </w:tblGrid>
      <w:tr w14:paraId="36015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vMerge w:val="restart"/>
            <w:noWrap w:val="0"/>
            <w:vAlign w:val="center"/>
          </w:tcPr>
          <w:p w14:paraId="31EE2F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距源中心下风向距离D（m）</w:t>
            </w:r>
          </w:p>
        </w:tc>
        <w:tc>
          <w:tcPr>
            <w:tcW w:w="3444" w:type="dxa"/>
            <w:gridSpan w:val="2"/>
            <w:noWrap w:val="0"/>
            <w:vAlign w:val="center"/>
          </w:tcPr>
          <w:p w14:paraId="60CE33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color w:val="auto"/>
                <w:sz w:val="21"/>
                <w:szCs w:val="21"/>
                <w:highlight w:val="none"/>
              </w:rPr>
              <w:t>NH</w:t>
            </w:r>
            <w:r>
              <w:rPr>
                <w:rFonts w:hint="default" w:ascii="Times New Roman" w:hAnsi="Times New Roman" w:eastAsia="宋体" w:cs="Times New Roman"/>
                <w:b/>
                <w:color w:val="auto"/>
                <w:sz w:val="21"/>
                <w:szCs w:val="21"/>
                <w:highlight w:val="none"/>
                <w:vertAlign w:val="subscript"/>
              </w:rPr>
              <w:t>3</w:t>
            </w:r>
          </w:p>
        </w:tc>
        <w:tc>
          <w:tcPr>
            <w:tcW w:w="3391" w:type="dxa"/>
            <w:gridSpan w:val="2"/>
            <w:noWrap w:val="0"/>
            <w:vAlign w:val="center"/>
          </w:tcPr>
          <w:p w14:paraId="07DD4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color w:val="auto"/>
                <w:sz w:val="21"/>
                <w:szCs w:val="21"/>
                <w:highlight w:val="none"/>
              </w:rPr>
              <w:t>H</w:t>
            </w:r>
            <w:r>
              <w:rPr>
                <w:rFonts w:hint="default" w:ascii="Times New Roman" w:hAnsi="Times New Roman" w:eastAsia="宋体" w:cs="Times New Roman"/>
                <w:b/>
                <w:color w:val="auto"/>
                <w:sz w:val="21"/>
                <w:szCs w:val="21"/>
                <w:highlight w:val="none"/>
                <w:vertAlign w:val="subscript"/>
              </w:rPr>
              <w:t>2</w:t>
            </w:r>
            <w:r>
              <w:rPr>
                <w:rFonts w:hint="default" w:ascii="Times New Roman" w:hAnsi="Times New Roman" w:eastAsia="宋体" w:cs="Times New Roman"/>
                <w:b/>
                <w:color w:val="auto"/>
                <w:sz w:val="21"/>
                <w:szCs w:val="21"/>
                <w:highlight w:val="none"/>
              </w:rPr>
              <w:t>S</w:t>
            </w:r>
          </w:p>
        </w:tc>
      </w:tr>
      <w:tr w14:paraId="4E19C6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vMerge w:val="continue"/>
            <w:noWrap w:val="0"/>
            <w:vAlign w:val="center"/>
          </w:tcPr>
          <w:p w14:paraId="798128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p>
        </w:tc>
        <w:tc>
          <w:tcPr>
            <w:tcW w:w="1824" w:type="dxa"/>
            <w:noWrap w:val="0"/>
            <w:vAlign w:val="center"/>
          </w:tcPr>
          <w:p w14:paraId="1C2333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下风向预测浓度（μg/m</w:t>
            </w:r>
            <w:r>
              <w:rPr>
                <w:rFonts w:hint="default" w:ascii="Times New Roman" w:hAnsi="Times New Roman" w:eastAsia="宋体" w:cs="Times New Roman"/>
                <w:b/>
                <w:snapToGrid w:val="0"/>
                <w:color w:val="auto"/>
                <w:sz w:val="21"/>
                <w:szCs w:val="21"/>
                <w:highlight w:val="none"/>
                <w:vertAlign w:val="superscript"/>
              </w:rPr>
              <w:t>3</w:t>
            </w:r>
            <w:r>
              <w:rPr>
                <w:rFonts w:hint="default" w:ascii="Times New Roman" w:hAnsi="Times New Roman" w:eastAsia="宋体" w:cs="Times New Roman"/>
                <w:b/>
                <w:snapToGrid w:val="0"/>
                <w:color w:val="auto"/>
                <w:sz w:val="21"/>
                <w:szCs w:val="21"/>
                <w:highlight w:val="none"/>
              </w:rPr>
              <w:t>）</w:t>
            </w:r>
          </w:p>
        </w:tc>
        <w:tc>
          <w:tcPr>
            <w:tcW w:w="1620" w:type="dxa"/>
            <w:noWrap w:val="0"/>
            <w:vAlign w:val="center"/>
          </w:tcPr>
          <w:p w14:paraId="69991B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浓度占标率</w:t>
            </w:r>
          </w:p>
          <w:p w14:paraId="472F9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w:t>
            </w:r>
          </w:p>
        </w:tc>
        <w:tc>
          <w:tcPr>
            <w:tcW w:w="1808" w:type="dxa"/>
            <w:noWrap w:val="0"/>
            <w:vAlign w:val="center"/>
          </w:tcPr>
          <w:p w14:paraId="480DD5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下风向预测浓度（μg/m</w:t>
            </w:r>
            <w:r>
              <w:rPr>
                <w:rFonts w:hint="default" w:ascii="Times New Roman" w:hAnsi="Times New Roman" w:eastAsia="宋体" w:cs="Times New Roman"/>
                <w:b/>
                <w:snapToGrid w:val="0"/>
                <w:color w:val="auto"/>
                <w:sz w:val="21"/>
                <w:szCs w:val="21"/>
                <w:highlight w:val="none"/>
                <w:vertAlign w:val="superscript"/>
              </w:rPr>
              <w:t>3</w:t>
            </w:r>
            <w:r>
              <w:rPr>
                <w:rFonts w:hint="default" w:ascii="Times New Roman" w:hAnsi="Times New Roman" w:eastAsia="宋体" w:cs="Times New Roman"/>
                <w:b/>
                <w:snapToGrid w:val="0"/>
                <w:color w:val="auto"/>
                <w:sz w:val="21"/>
                <w:szCs w:val="21"/>
                <w:highlight w:val="none"/>
              </w:rPr>
              <w:t>）</w:t>
            </w:r>
          </w:p>
        </w:tc>
        <w:tc>
          <w:tcPr>
            <w:tcW w:w="1583" w:type="dxa"/>
            <w:noWrap w:val="0"/>
            <w:vAlign w:val="center"/>
          </w:tcPr>
          <w:p w14:paraId="3C32B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浓度占标率</w:t>
            </w:r>
          </w:p>
          <w:p w14:paraId="61D02C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w:t>
            </w:r>
          </w:p>
        </w:tc>
      </w:tr>
      <w:tr w14:paraId="6CEDA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0D6166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w:t>
            </w:r>
          </w:p>
        </w:tc>
        <w:tc>
          <w:tcPr>
            <w:tcW w:w="1824" w:type="dxa"/>
            <w:shd w:val="clear" w:color="auto" w:fill="auto"/>
            <w:noWrap w:val="0"/>
            <w:vAlign w:val="center"/>
          </w:tcPr>
          <w:p w14:paraId="797C4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0.7275</w:t>
            </w:r>
          </w:p>
        </w:tc>
        <w:tc>
          <w:tcPr>
            <w:tcW w:w="1620" w:type="dxa"/>
            <w:shd w:val="clear" w:color="auto" w:fill="auto"/>
            <w:noWrap w:val="0"/>
            <w:vAlign w:val="center"/>
          </w:tcPr>
          <w:p w14:paraId="75A042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0.3638</w:t>
            </w:r>
          </w:p>
        </w:tc>
        <w:tc>
          <w:tcPr>
            <w:tcW w:w="1808" w:type="dxa"/>
            <w:shd w:val="clear" w:color="auto" w:fill="auto"/>
            <w:noWrap w:val="0"/>
            <w:vAlign w:val="center"/>
          </w:tcPr>
          <w:p w14:paraId="5567E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0.0503</w:t>
            </w:r>
          </w:p>
        </w:tc>
        <w:tc>
          <w:tcPr>
            <w:tcW w:w="1583" w:type="dxa"/>
            <w:shd w:val="clear" w:color="auto" w:fill="auto"/>
            <w:noWrap w:val="0"/>
            <w:vAlign w:val="center"/>
          </w:tcPr>
          <w:p w14:paraId="4BDD1A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0.5026</w:t>
            </w:r>
          </w:p>
        </w:tc>
      </w:tr>
      <w:tr w14:paraId="0C6FD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043590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w:t>
            </w:r>
          </w:p>
        </w:tc>
        <w:tc>
          <w:tcPr>
            <w:tcW w:w="1824" w:type="dxa"/>
            <w:shd w:val="clear" w:color="auto" w:fill="auto"/>
            <w:noWrap w:val="0"/>
            <w:vAlign w:val="center"/>
          </w:tcPr>
          <w:p w14:paraId="37D475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0.3995</w:t>
            </w:r>
          </w:p>
        </w:tc>
        <w:tc>
          <w:tcPr>
            <w:tcW w:w="1620" w:type="dxa"/>
            <w:shd w:val="clear" w:color="auto" w:fill="auto"/>
            <w:noWrap w:val="0"/>
            <w:vAlign w:val="center"/>
          </w:tcPr>
          <w:p w14:paraId="59F0B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0.1997</w:t>
            </w:r>
          </w:p>
        </w:tc>
        <w:tc>
          <w:tcPr>
            <w:tcW w:w="1808" w:type="dxa"/>
            <w:shd w:val="clear" w:color="auto" w:fill="auto"/>
            <w:noWrap w:val="0"/>
            <w:vAlign w:val="center"/>
          </w:tcPr>
          <w:p w14:paraId="2A5E83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0.0276</w:t>
            </w:r>
          </w:p>
        </w:tc>
        <w:tc>
          <w:tcPr>
            <w:tcW w:w="1583" w:type="dxa"/>
            <w:shd w:val="clear" w:color="auto" w:fill="auto"/>
            <w:noWrap w:val="0"/>
            <w:vAlign w:val="center"/>
          </w:tcPr>
          <w:p w14:paraId="3653A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0.2760</w:t>
            </w:r>
          </w:p>
        </w:tc>
      </w:tr>
      <w:tr w14:paraId="399F7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3D62E8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200.0</w:t>
            </w:r>
          </w:p>
        </w:tc>
        <w:tc>
          <w:tcPr>
            <w:tcW w:w="1824" w:type="dxa"/>
            <w:shd w:val="clear" w:color="auto" w:fill="auto"/>
            <w:noWrap w:val="0"/>
            <w:vAlign w:val="center"/>
          </w:tcPr>
          <w:p w14:paraId="5E305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0.1947</w:t>
            </w:r>
          </w:p>
        </w:tc>
        <w:tc>
          <w:tcPr>
            <w:tcW w:w="1620" w:type="dxa"/>
            <w:shd w:val="clear" w:color="auto" w:fill="auto"/>
            <w:noWrap w:val="0"/>
            <w:vAlign w:val="center"/>
          </w:tcPr>
          <w:p w14:paraId="213FF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0.0973</w:t>
            </w:r>
          </w:p>
        </w:tc>
        <w:tc>
          <w:tcPr>
            <w:tcW w:w="1808" w:type="dxa"/>
            <w:shd w:val="clear" w:color="auto" w:fill="auto"/>
            <w:noWrap w:val="0"/>
            <w:vAlign w:val="center"/>
          </w:tcPr>
          <w:p w14:paraId="06ADC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0.0134</w:t>
            </w:r>
          </w:p>
        </w:tc>
        <w:tc>
          <w:tcPr>
            <w:tcW w:w="1583" w:type="dxa"/>
            <w:shd w:val="clear" w:color="auto" w:fill="auto"/>
            <w:noWrap w:val="0"/>
            <w:vAlign w:val="center"/>
          </w:tcPr>
          <w:p w14:paraId="19FCD5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0.1345</w:t>
            </w:r>
          </w:p>
        </w:tc>
      </w:tr>
      <w:tr w14:paraId="5034E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2DF01C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300.0</w:t>
            </w:r>
          </w:p>
        </w:tc>
        <w:tc>
          <w:tcPr>
            <w:tcW w:w="1824" w:type="dxa"/>
            <w:shd w:val="clear" w:color="auto" w:fill="auto"/>
            <w:noWrap w:val="0"/>
            <w:vAlign w:val="center"/>
          </w:tcPr>
          <w:p w14:paraId="1131F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0.1250</w:t>
            </w:r>
          </w:p>
        </w:tc>
        <w:tc>
          <w:tcPr>
            <w:tcW w:w="1620" w:type="dxa"/>
            <w:shd w:val="clear" w:color="auto" w:fill="auto"/>
            <w:noWrap w:val="0"/>
            <w:vAlign w:val="center"/>
          </w:tcPr>
          <w:p w14:paraId="104378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0.0625</w:t>
            </w:r>
          </w:p>
        </w:tc>
        <w:tc>
          <w:tcPr>
            <w:tcW w:w="1808" w:type="dxa"/>
            <w:shd w:val="clear" w:color="auto" w:fill="auto"/>
            <w:noWrap w:val="0"/>
            <w:vAlign w:val="center"/>
          </w:tcPr>
          <w:p w14:paraId="208BAE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0.0086</w:t>
            </w:r>
          </w:p>
        </w:tc>
        <w:tc>
          <w:tcPr>
            <w:tcW w:w="1583" w:type="dxa"/>
            <w:shd w:val="clear" w:color="auto" w:fill="auto"/>
            <w:noWrap w:val="0"/>
            <w:vAlign w:val="center"/>
          </w:tcPr>
          <w:p w14:paraId="12613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0.0864</w:t>
            </w:r>
          </w:p>
        </w:tc>
      </w:tr>
      <w:tr w14:paraId="02D8A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5461C0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400.0</w:t>
            </w:r>
          </w:p>
        </w:tc>
        <w:tc>
          <w:tcPr>
            <w:tcW w:w="1824" w:type="dxa"/>
            <w:shd w:val="clear" w:color="auto" w:fill="auto"/>
            <w:noWrap w:val="0"/>
            <w:vAlign w:val="center"/>
          </w:tcPr>
          <w:p w14:paraId="2BB2D5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0.0910</w:t>
            </w:r>
          </w:p>
        </w:tc>
        <w:tc>
          <w:tcPr>
            <w:tcW w:w="1620" w:type="dxa"/>
            <w:shd w:val="clear" w:color="auto" w:fill="auto"/>
            <w:noWrap w:val="0"/>
            <w:vAlign w:val="center"/>
          </w:tcPr>
          <w:p w14:paraId="4F79F5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0.0455</w:t>
            </w:r>
          </w:p>
        </w:tc>
        <w:tc>
          <w:tcPr>
            <w:tcW w:w="1808" w:type="dxa"/>
            <w:shd w:val="clear" w:color="auto" w:fill="auto"/>
            <w:noWrap w:val="0"/>
            <w:vAlign w:val="center"/>
          </w:tcPr>
          <w:p w14:paraId="726B81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0.0063</w:t>
            </w:r>
          </w:p>
        </w:tc>
        <w:tc>
          <w:tcPr>
            <w:tcW w:w="1583" w:type="dxa"/>
            <w:shd w:val="clear" w:color="auto" w:fill="auto"/>
            <w:noWrap w:val="0"/>
            <w:vAlign w:val="center"/>
          </w:tcPr>
          <w:p w14:paraId="7768FC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0.0629</w:t>
            </w:r>
          </w:p>
        </w:tc>
      </w:tr>
      <w:tr w14:paraId="56469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1FF828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500.0</w:t>
            </w:r>
          </w:p>
        </w:tc>
        <w:tc>
          <w:tcPr>
            <w:tcW w:w="1824" w:type="dxa"/>
            <w:shd w:val="clear" w:color="auto" w:fill="auto"/>
            <w:noWrap w:val="0"/>
            <w:vAlign w:val="center"/>
          </w:tcPr>
          <w:p w14:paraId="223E7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0.0695</w:t>
            </w:r>
          </w:p>
        </w:tc>
        <w:tc>
          <w:tcPr>
            <w:tcW w:w="1620" w:type="dxa"/>
            <w:shd w:val="clear" w:color="auto" w:fill="auto"/>
            <w:noWrap w:val="0"/>
            <w:vAlign w:val="center"/>
          </w:tcPr>
          <w:p w14:paraId="7F1040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0.0348</w:t>
            </w:r>
          </w:p>
        </w:tc>
        <w:tc>
          <w:tcPr>
            <w:tcW w:w="1808" w:type="dxa"/>
            <w:shd w:val="clear" w:color="auto" w:fill="auto"/>
            <w:noWrap w:val="0"/>
            <w:vAlign w:val="center"/>
          </w:tcPr>
          <w:p w14:paraId="6B924A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0.0048</w:t>
            </w:r>
          </w:p>
        </w:tc>
        <w:tc>
          <w:tcPr>
            <w:tcW w:w="1583" w:type="dxa"/>
            <w:shd w:val="clear" w:color="auto" w:fill="auto"/>
            <w:noWrap w:val="0"/>
            <w:vAlign w:val="center"/>
          </w:tcPr>
          <w:p w14:paraId="1EC92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0.0480</w:t>
            </w:r>
          </w:p>
        </w:tc>
      </w:tr>
      <w:tr w14:paraId="2F8DD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59F0A9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600.0</w:t>
            </w:r>
          </w:p>
        </w:tc>
        <w:tc>
          <w:tcPr>
            <w:tcW w:w="1824" w:type="dxa"/>
            <w:shd w:val="clear" w:color="auto" w:fill="auto"/>
            <w:noWrap w:val="0"/>
            <w:vAlign w:val="center"/>
          </w:tcPr>
          <w:p w14:paraId="1D8AE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0.0568</w:t>
            </w:r>
          </w:p>
        </w:tc>
        <w:tc>
          <w:tcPr>
            <w:tcW w:w="1620" w:type="dxa"/>
            <w:shd w:val="clear" w:color="auto" w:fill="auto"/>
            <w:noWrap w:val="0"/>
            <w:vAlign w:val="center"/>
          </w:tcPr>
          <w:p w14:paraId="2E10A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0.0284</w:t>
            </w:r>
          </w:p>
        </w:tc>
        <w:tc>
          <w:tcPr>
            <w:tcW w:w="1808" w:type="dxa"/>
            <w:shd w:val="clear" w:color="auto" w:fill="auto"/>
            <w:noWrap w:val="0"/>
            <w:vAlign w:val="center"/>
          </w:tcPr>
          <w:p w14:paraId="130D55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0.0039</w:t>
            </w:r>
          </w:p>
        </w:tc>
        <w:tc>
          <w:tcPr>
            <w:tcW w:w="1583" w:type="dxa"/>
            <w:shd w:val="clear" w:color="auto" w:fill="auto"/>
            <w:noWrap w:val="0"/>
            <w:vAlign w:val="center"/>
          </w:tcPr>
          <w:p w14:paraId="2300E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0.0392</w:t>
            </w:r>
          </w:p>
        </w:tc>
      </w:tr>
      <w:tr w14:paraId="2C9A1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019E37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700.0</w:t>
            </w:r>
          </w:p>
        </w:tc>
        <w:tc>
          <w:tcPr>
            <w:tcW w:w="1824" w:type="dxa"/>
            <w:shd w:val="clear" w:color="auto" w:fill="auto"/>
            <w:noWrap w:val="0"/>
            <w:vAlign w:val="center"/>
          </w:tcPr>
          <w:p w14:paraId="1E3F8C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0.0476</w:t>
            </w:r>
          </w:p>
        </w:tc>
        <w:tc>
          <w:tcPr>
            <w:tcW w:w="1620" w:type="dxa"/>
            <w:shd w:val="clear" w:color="auto" w:fill="auto"/>
            <w:noWrap w:val="0"/>
            <w:vAlign w:val="center"/>
          </w:tcPr>
          <w:p w14:paraId="0CD222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0.0238</w:t>
            </w:r>
          </w:p>
        </w:tc>
        <w:tc>
          <w:tcPr>
            <w:tcW w:w="1808" w:type="dxa"/>
            <w:shd w:val="clear" w:color="auto" w:fill="auto"/>
            <w:noWrap w:val="0"/>
            <w:vAlign w:val="center"/>
          </w:tcPr>
          <w:p w14:paraId="5BB51C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0.0033</w:t>
            </w:r>
          </w:p>
        </w:tc>
        <w:tc>
          <w:tcPr>
            <w:tcW w:w="1583" w:type="dxa"/>
            <w:shd w:val="clear" w:color="auto" w:fill="auto"/>
            <w:noWrap w:val="0"/>
            <w:vAlign w:val="center"/>
          </w:tcPr>
          <w:p w14:paraId="1C78F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0.0329</w:t>
            </w:r>
          </w:p>
        </w:tc>
      </w:tr>
      <w:tr w14:paraId="500AE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346899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800.0</w:t>
            </w:r>
          </w:p>
        </w:tc>
        <w:tc>
          <w:tcPr>
            <w:tcW w:w="1824" w:type="dxa"/>
            <w:shd w:val="clear" w:color="auto" w:fill="auto"/>
            <w:noWrap w:val="0"/>
            <w:vAlign w:val="center"/>
          </w:tcPr>
          <w:p w14:paraId="611DE4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0.0408</w:t>
            </w:r>
          </w:p>
        </w:tc>
        <w:tc>
          <w:tcPr>
            <w:tcW w:w="1620" w:type="dxa"/>
            <w:shd w:val="clear" w:color="auto" w:fill="auto"/>
            <w:noWrap w:val="0"/>
            <w:vAlign w:val="center"/>
          </w:tcPr>
          <w:p w14:paraId="60B4B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0.0204</w:t>
            </w:r>
          </w:p>
        </w:tc>
        <w:tc>
          <w:tcPr>
            <w:tcW w:w="1808" w:type="dxa"/>
            <w:shd w:val="clear" w:color="auto" w:fill="auto"/>
            <w:noWrap w:val="0"/>
            <w:vAlign w:val="center"/>
          </w:tcPr>
          <w:p w14:paraId="6C068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0.0028</w:t>
            </w:r>
          </w:p>
        </w:tc>
        <w:tc>
          <w:tcPr>
            <w:tcW w:w="1583" w:type="dxa"/>
            <w:shd w:val="clear" w:color="auto" w:fill="auto"/>
            <w:noWrap w:val="0"/>
            <w:vAlign w:val="center"/>
          </w:tcPr>
          <w:p w14:paraId="7269B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0.0282</w:t>
            </w:r>
          </w:p>
        </w:tc>
      </w:tr>
      <w:tr w14:paraId="6348F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7F238F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900.0</w:t>
            </w:r>
          </w:p>
        </w:tc>
        <w:tc>
          <w:tcPr>
            <w:tcW w:w="1824" w:type="dxa"/>
            <w:shd w:val="clear" w:color="auto" w:fill="auto"/>
            <w:noWrap w:val="0"/>
            <w:vAlign w:val="center"/>
          </w:tcPr>
          <w:p w14:paraId="1E60BC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0.0356</w:t>
            </w:r>
          </w:p>
        </w:tc>
        <w:tc>
          <w:tcPr>
            <w:tcW w:w="1620" w:type="dxa"/>
            <w:shd w:val="clear" w:color="auto" w:fill="auto"/>
            <w:noWrap w:val="0"/>
            <w:vAlign w:val="center"/>
          </w:tcPr>
          <w:p w14:paraId="41FDEF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0.0178</w:t>
            </w:r>
          </w:p>
        </w:tc>
        <w:tc>
          <w:tcPr>
            <w:tcW w:w="1808" w:type="dxa"/>
            <w:shd w:val="clear" w:color="auto" w:fill="auto"/>
            <w:noWrap w:val="0"/>
            <w:vAlign w:val="center"/>
          </w:tcPr>
          <w:p w14:paraId="69666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0.0025</w:t>
            </w:r>
          </w:p>
        </w:tc>
        <w:tc>
          <w:tcPr>
            <w:tcW w:w="1583" w:type="dxa"/>
            <w:shd w:val="clear" w:color="auto" w:fill="auto"/>
            <w:noWrap w:val="0"/>
            <w:vAlign w:val="center"/>
          </w:tcPr>
          <w:p w14:paraId="7BA8FC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0.0246</w:t>
            </w:r>
          </w:p>
        </w:tc>
      </w:tr>
      <w:tr w14:paraId="239C6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37CDE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1000.0</w:t>
            </w:r>
          </w:p>
        </w:tc>
        <w:tc>
          <w:tcPr>
            <w:tcW w:w="1824" w:type="dxa"/>
            <w:shd w:val="clear" w:color="auto" w:fill="auto"/>
            <w:noWrap w:val="0"/>
            <w:vAlign w:val="center"/>
          </w:tcPr>
          <w:p w14:paraId="78ED3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0.0313</w:t>
            </w:r>
          </w:p>
        </w:tc>
        <w:tc>
          <w:tcPr>
            <w:tcW w:w="1620" w:type="dxa"/>
            <w:shd w:val="clear" w:color="auto" w:fill="auto"/>
            <w:noWrap w:val="0"/>
            <w:vAlign w:val="center"/>
          </w:tcPr>
          <w:p w14:paraId="214BB3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0.0157</w:t>
            </w:r>
          </w:p>
        </w:tc>
        <w:tc>
          <w:tcPr>
            <w:tcW w:w="1808" w:type="dxa"/>
            <w:shd w:val="clear" w:color="auto" w:fill="auto"/>
            <w:noWrap w:val="0"/>
            <w:vAlign w:val="center"/>
          </w:tcPr>
          <w:p w14:paraId="7DACA2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0.0022</w:t>
            </w:r>
          </w:p>
        </w:tc>
        <w:tc>
          <w:tcPr>
            <w:tcW w:w="1583" w:type="dxa"/>
            <w:shd w:val="clear" w:color="auto" w:fill="auto"/>
            <w:noWrap w:val="0"/>
            <w:vAlign w:val="center"/>
          </w:tcPr>
          <w:p w14:paraId="682D7E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0.0217</w:t>
            </w:r>
          </w:p>
        </w:tc>
      </w:tr>
      <w:tr w14:paraId="5C236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noWrap w:val="0"/>
            <w:vAlign w:val="center"/>
          </w:tcPr>
          <w:p w14:paraId="3B481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1200.0</w:t>
            </w:r>
          </w:p>
        </w:tc>
        <w:tc>
          <w:tcPr>
            <w:tcW w:w="1824" w:type="dxa"/>
            <w:shd w:val="clear" w:color="auto" w:fill="auto"/>
            <w:noWrap w:val="0"/>
            <w:vAlign w:val="center"/>
          </w:tcPr>
          <w:p w14:paraId="79D747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0.0251</w:t>
            </w:r>
          </w:p>
        </w:tc>
        <w:tc>
          <w:tcPr>
            <w:tcW w:w="1620" w:type="dxa"/>
            <w:shd w:val="clear" w:color="auto" w:fill="auto"/>
            <w:noWrap w:val="0"/>
            <w:vAlign w:val="center"/>
          </w:tcPr>
          <w:p w14:paraId="6DA011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0.0125</w:t>
            </w:r>
          </w:p>
        </w:tc>
        <w:tc>
          <w:tcPr>
            <w:tcW w:w="1808" w:type="dxa"/>
            <w:shd w:val="clear" w:color="auto" w:fill="auto"/>
            <w:noWrap w:val="0"/>
            <w:vAlign w:val="center"/>
          </w:tcPr>
          <w:p w14:paraId="4F2F3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0.0017</w:t>
            </w:r>
          </w:p>
        </w:tc>
        <w:tc>
          <w:tcPr>
            <w:tcW w:w="1583" w:type="dxa"/>
            <w:shd w:val="clear" w:color="auto" w:fill="auto"/>
            <w:noWrap w:val="0"/>
            <w:vAlign w:val="center"/>
          </w:tcPr>
          <w:p w14:paraId="74EE71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0.0173</w:t>
            </w:r>
          </w:p>
        </w:tc>
      </w:tr>
      <w:tr w14:paraId="206AC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vAlign w:val="center"/>
          </w:tcPr>
          <w:p w14:paraId="5AC4D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1400.0</w:t>
            </w:r>
          </w:p>
        </w:tc>
        <w:tc>
          <w:tcPr>
            <w:tcW w:w="1824" w:type="dxa"/>
            <w:shd w:val="clear" w:color="auto" w:fill="auto"/>
            <w:vAlign w:val="center"/>
          </w:tcPr>
          <w:p w14:paraId="0A7AD6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0.0207</w:t>
            </w:r>
          </w:p>
        </w:tc>
        <w:tc>
          <w:tcPr>
            <w:tcW w:w="1620" w:type="dxa"/>
            <w:shd w:val="clear" w:color="auto" w:fill="auto"/>
            <w:vAlign w:val="center"/>
          </w:tcPr>
          <w:p w14:paraId="219709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0.0104</w:t>
            </w:r>
          </w:p>
        </w:tc>
        <w:tc>
          <w:tcPr>
            <w:tcW w:w="1808" w:type="dxa"/>
            <w:shd w:val="clear" w:color="auto" w:fill="auto"/>
            <w:vAlign w:val="center"/>
          </w:tcPr>
          <w:p w14:paraId="3F0799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0.0014</w:t>
            </w:r>
          </w:p>
        </w:tc>
        <w:tc>
          <w:tcPr>
            <w:tcW w:w="1583" w:type="dxa"/>
            <w:shd w:val="clear" w:color="auto" w:fill="auto"/>
            <w:vAlign w:val="center"/>
          </w:tcPr>
          <w:p w14:paraId="57CE5B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0.0143</w:t>
            </w:r>
          </w:p>
        </w:tc>
      </w:tr>
      <w:tr w14:paraId="2EF54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vAlign w:val="center"/>
          </w:tcPr>
          <w:p w14:paraId="60EC9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1600.0</w:t>
            </w:r>
          </w:p>
        </w:tc>
        <w:tc>
          <w:tcPr>
            <w:tcW w:w="1824" w:type="dxa"/>
            <w:shd w:val="clear" w:color="auto" w:fill="auto"/>
            <w:vAlign w:val="center"/>
          </w:tcPr>
          <w:p w14:paraId="729DF3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0.0175</w:t>
            </w:r>
          </w:p>
        </w:tc>
        <w:tc>
          <w:tcPr>
            <w:tcW w:w="1620" w:type="dxa"/>
            <w:shd w:val="clear" w:color="auto" w:fill="auto"/>
            <w:vAlign w:val="center"/>
          </w:tcPr>
          <w:p w14:paraId="1330D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0.0088</w:t>
            </w:r>
          </w:p>
        </w:tc>
        <w:tc>
          <w:tcPr>
            <w:tcW w:w="1808" w:type="dxa"/>
            <w:shd w:val="clear" w:color="auto" w:fill="auto"/>
            <w:vAlign w:val="center"/>
          </w:tcPr>
          <w:p w14:paraId="399B64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0.0012</w:t>
            </w:r>
          </w:p>
        </w:tc>
        <w:tc>
          <w:tcPr>
            <w:tcW w:w="1583" w:type="dxa"/>
            <w:shd w:val="clear" w:color="auto" w:fill="auto"/>
            <w:vAlign w:val="center"/>
          </w:tcPr>
          <w:p w14:paraId="3EB3A1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0.0121</w:t>
            </w:r>
          </w:p>
        </w:tc>
      </w:tr>
      <w:tr w14:paraId="0E0F2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vAlign w:val="center"/>
          </w:tcPr>
          <w:p w14:paraId="64A432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1800.0</w:t>
            </w:r>
          </w:p>
        </w:tc>
        <w:tc>
          <w:tcPr>
            <w:tcW w:w="1824" w:type="dxa"/>
            <w:shd w:val="clear" w:color="auto" w:fill="auto"/>
            <w:vAlign w:val="center"/>
          </w:tcPr>
          <w:p w14:paraId="501635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0.0151</w:t>
            </w:r>
          </w:p>
        </w:tc>
        <w:tc>
          <w:tcPr>
            <w:tcW w:w="1620" w:type="dxa"/>
            <w:shd w:val="clear" w:color="auto" w:fill="auto"/>
            <w:vAlign w:val="center"/>
          </w:tcPr>
          <w:p w14:paraId="61179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0.0076</w:t>
            </w:r>
          </w:p>
        </w:tc>
        <w:tc>
          <w:tcPr>
            <w:tcW w:w="1808" w:type="dxa"/>
            <w:shd w:val="clear" w:color="auto" w:fill="auto"/>
            <w:vAlign w:val="center"/>
          </w:tcPr>
          <w:p w14:paraId="1663EE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0.0010</w:t>
            </w:r>
          </w:p>
        </w:tc>
        <w:tc>
          <w:tcPr>
            <w:tcW w:w="1583" w:type="dxa"/>
            <w:shd w:val="clear" w:color="auto" w:fill="auto"/>
            <w:vAlign w:val="center"/>
          </w:tcPr>
          <w:p w14:paraId="488C10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0.0104</w:t>
            </w:r>
          </w:p>
        </w:tc>
      </w:tr>
      <w:tr w14:paraId="247A6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vAlign w:val="center"/>
          </w:tcPr>
          <w:p w14:paraId="089B0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2000.0</w:t>
            </w:r>
          </w:p>
        </w:tc>
        <w:tc>
          <w:tcPr>
            <w:tcW w:w="1824" w:type="dxa"/>
            <w:shd w:val="clear" w:color="auto" w:fill="auto"/>
            <w:vAlign w:val="center"/>
          </w:tcPr>
          <w:p w14:paraId="53875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0.0132</w:t>
            </w:r>
          </w:p>
        </w:tc>
        <w:tc>
          <w:tcPr>
            <w:tcW w:w="1620" w:type="dxa"/>
            <w:shd w:val="clear" w:color="auto" w:fill="auto"/>
            <w:vAlign w:val="center"/>
          </w:tcPr>
          <w:p w14:paraId="4E3FDC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0.0066</w:t>
            </w:r>
          </w:p>
        </w:tc>
        <w:tc>
          <w:tcPr>
            <w:tcW w:w="1808" w:type="dxa"/>
            <w:shd w:val="clear" w:color="auto" w:fill="auto"/>
            <w:vAlign w:val="center"/>
          </w:tcPr>
          <w:p w14:paraId="394261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0.0009</w:t>
            </w:r>
          </w:p>
        </w:tc>
        <w:tc>
          <w:tcPr>
            <w:tcW w:w="1583" w:type="dxa"/>
            <w:shd w:val="clear" w:color="auto" w:fill="auto"/>
            <w:vAlign w:val="center"/>
          </w:tcPr>
          <w:p w14:paraId="39B6FB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0.0091</w:t>
            </w:r>
          </w:p>
        </w:tc>
      </w:tr>
      <w:tr w14:paraId="180E5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shd w:val="clear" w:color="auto" w:fill="auto"/>
            <w:vAlign w:val="center"/>
          </w:tcPr>
          <w:p w14:paraId="559E55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2500.0</w:t>
            </w:r>
          </w:p>
        </w:tc>
        <w:tc>
          <w:tcPr>
            <w:tcW w:w="1824" w:type="dxa"/>
            <w:shd w:val="clear" w:color="auto" w:fill="auto"/>
            <w:vAlign w:val="center"/>
          </w:tcPr>
          <w:p w14:paraId="79A67D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0.0099</w:t>
            </w:r>
          </w:p>
        </w:tc>
        <w:tc>
          <w:tcPr>
            <w:tcW w:w="1620" w:type="dxa"/>
            <w:shd w:val="clear" w:color="auto" w:fill="auto"/>
            <w:vAlign w:val="center"/>
          </w:tcPr>
          <w:p w14:paraId="273EDE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0.0050</w:t>
            </w:r>
          </w:p>
        </w:tc>
        <w:tc>
          <w:tcPr>
            <w:tcW w:w="1808" w:type="dxa"/>
            <w:shd w:val="clear" w:color="auto" w:fill="auto"/>
            <w:vAlign w:val="center"/>
          </w:tcPr>
          <w:p w14:paraId="1BEF9F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0.0007</w:t>
            </w:r>
          </w:p>
        </w:tc>
        <w:tc>
          <w:tcPr>
            <w:tcW w:w="1583" w:type="dxa"/>
            <w:shd w:val="clear" w:color="auto" w:fill="auto"/>
            <w:vAlign w:val="center"/>
          </w:tcPr>
          <w:p w14:paraId="33372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0.0069</w:t>
            </w:r>
          </w:p>
        </w:tc>
      </w:tr>
      <w:tr w14:paraId="6AE42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noWrap w:val="0"/>
            <w:vAlign w:val="center"/>
          </w:tcPr>
          <w:p w14:paraId="443406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w:t>
            </w:r>
          </w:p>
        </w:tc>
        <w:tc>
          <w:tcPr>
            <w:tcW w:w="1824" w:type="dxa"/>
            <w:shd w:val="clear" w:color="auto" w:fill="auto"/>
            <w:noWrap w:val="0"/>
            <w:vAlign w:val="center"/>
          </w:tcPr>
          <w:p w14:paraId="454B33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0.9972</w:t>
            </w:r>
          </w:p>
        </w:tc>
        <w:tc>
          <w:tcPr>
            <w:tcW w:w="1620" w:type="dxa"/>
            <w:shd w:val="clear" w:color="auto" w:fill="auto"/>
            <w:noWrap w:val="0"/>
            <w:vAlign w:val="center"/>
          </w:tcPr>
          <w:p w14:paraId="699F1C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0.4986</w:t>
            </w:r>
          </w:p>
        </w:tc>
        <w:tc>
          <w:tcPr>
            <w:tcW w:w="1808" w:type="dxa"/>
            <w:shd w:val="clear" w:color="auto" w:fill="auto"/>
            <w:noWrap w:val="0"/>
            <w:vAlign w:val="center"/>
          </w:tcPr>
          <w:p w14:paraId="710E6C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0.0689</w:t>
            </w:r>
          </w:p>
        </w:tc>
        <w:tc>
          <w:tcPr>
            <w:tcW w:w="1583" w:type="dxa"/>
            <w:shd w:val="clear" w:color="auto" w:fill="auto"/>
            <w:noWrap w:val="0"/>
            <w:vAlign w:val="center"/>
          </w:tcPr>
          <w:p w14:paraId="752941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0.6890</w:t>
            </w:r>
          </w:p>
        </w:tc>
      </w:tr>
      <w:tr w14:paraId="56CCC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noWrap w:val="0"/>
            <w:vAlign w:val="center"/>
          </w:tcPr>
          <w:p w14:paraId="7C579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下风向最大距离</w:t>
            </w:r>
          </w:p>
        </w:tc>
        <w:tc>
          <w:tcPr>
            <w:tcW w:w="1824" w:type="dxa"/>
            <w:shd w:val="clear" w:color="auto" w:fill="auto"/>
            <w:noWrap w:val="0"/>
            <w:vAlign w:val="center"/>
          </w:tcPr>
          <w:p w14:paraId="54D285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11.0</w:t>
            </w:r>
          </w:p>
        </w:tc>
        <w:tc>
          <w:tcPr>
            <w:tcW w:w="1620" w:type="dxa"/>
            <w:shd w:val="clear" w:color="auto" w:fill="auto"/>
            <w:noWrap w:val="0"/>
            <w:vAlign w:val="center"/>
          </w:tcPr>
          <w:p w14:paraId="716DFE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11.0</w:t>
            </w:r>
          </w:p>
        </w:tc>
        <w:tc>
          <w:tcPr>
            <w:tcW w:w="1808" w:type="dxa"/>
            <w:shd w:val="clear" w:color="auto" w:fill="auto"/>
            <w:noWrap w:val="0"/>
            <w:vAlign w:val="center"/>
          </w:tcPr>
          <w:p w14:paraId="34551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11.0</w:t>
            </w:r>
          </w:p>
        </w:tc>
        <w:tc>
          <w:tcPr>
            <w:tcW w:w="1583" w:type="dxa"/>
            <w:shd w:val="clear" w:color="auto" w:fill="auto"/>
            <w:noWrap w:val="0"/>
            <w:vAlign w:val="center"/>
          </w:tcPr>
          <w:p w14:paraId="3F58B4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11.0</w:t>
            </w:r>
          </w:p>
        </w:tc>
      </w:tr>
      <w:tr w14:paraId="2574B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3" w:type="dxa"/>
            <w:noWrap w:val="0"/>
            <w:vAlign w:val="center"/>
          </w:tcPr>
          <w:p w14:paraId="3FFAF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D10%最远距离</w:t>
            </w:r>
          </w:p>
        </w:tc>
        <w:tc>
          <w:tcPr>
            <w:tcW w:w="1824" w:type="dxa"/>
            <w:noWrap w:val="0"/>
            <w:vAlign w:val="center"/>
          </w:tcPr>
          <w:p w14:paraId="34435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w:t>
            </w:r>
          </w:p>
        </w:tc>
        <w:tc>
          <w:tcPr>
            <w:tcW w:w="1620" w:type="dxa"/>
            <w:noWrap w:val="0"/>
            <w:vAlign w:val="center"/>
          </w:tcPr>
          <w:p w14:paraId="2E86DC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w:t>
            </w:r>
          </w:p>
        </w:tc>
        <w:tc>
          <w:tcPr>
            <w:tcW w:w="1808" w:type="dxa"/>
            <w:noWrap w:val="0"/>
            <w:vAlign w:val="center"/>
          </w:tcPr>
          <w:p w14:paraId="07F830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w:t>
            </w:r>
          </w:p>
        </w:tc>
        <w:tc>
          <w:tcPr>
            <w:tcW w:w="1583" w:type="dxa"/>
            <w:noWrap w:val="0"/>
            <w:vAlign w:val="center"/>
          </w:tcPr>
          <w:p w14:paraId="04A190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w:t>
            </w:r>
          </w:p>
        </w:tc>
      </w:tr>
    </w:tbl>
    <w:p w14:paraId="657D73CF">
      <w:pPr>
        <w:bidi w:val="0"/>
        <w:spacing w:line="240" w:lineRule="auto"/>
        <w:rPr>
          <w:rFonts w:hint="eastAsia"/>
          <w:color w:val="auto"/>
          <w:lang w:eastAsia="zh-CN"/>
        </w:rPr>
      </w:pPr>
      <w:r>
        <w:rPr>
          <w:rFonts w:hint="default" w:ascii="Times New Roman" w:hAnsi="Times New Roman" w:eastAsia="宋体" w:cs="Times New Roman"/>
          <w:bCs/>
          <w:color w:val="auto"/>
          <w:sz w:val="21"/>
          <w:szCs w:val="21"/>
          <w:highlight w:val="none"/>
        </w:rPr>
        <w:t>表5.1-</w:t>
      </w:r>
      <w:r>
        <w:rPr>
          <w:rFonts w:hint="eastAsia" w:eastAsia="宋体" w:cs="Times New Roman"/>
          <w:bCs/>
          <w:color w:val="auto"/>
          <w:sz w:val="21"/>
          <w:szCs w:val="21"/>
          <w:highlight w:val="none"/>
          <w:lang w:val="en-US" w:eastAsia="zh-CN"/>
        </w:rPr>
        <w:t>6</w:t>
      </w:r>
      <w:r>
        <w:rPr>
          <w:rFonts w:hint="default" w:ascii="Times New Roman" w:hAnsi="Times New Roman" w:eastAsia="宋体" w:cs="Times New Roman"/>
          <w:bCs/>
          <w:color w:val="auto"/>
          <w:szCs w:val="21"/>
          <w:highlight w:val="none"/>
          <w:lang w:val="en-US" w:eastAsia="zh-CN"/>
        </w:rPr>
        <w:t xml:space="preserve">   </w:t>
      </w:r>
      <w:r>
        <w:rPr>
          <w:rFonts w:hint="eastAsia" w:eastAsia="宋体" w:cs="Times New Roman"/>
          <w:bCs/>
          <w:color w:val="auto"/>
          <w:szCs w:val="21"/>
          <w:highlight w:val="none"/>
          <w:lang w:val="en-US" w:eastAsia="zh-CN"/>
        </w:rPr>
        <w:t xml:space="preserve">  </w:t>
      </w:r>
      <w:r>
        <w:rPr>
          <w:rFonts w:hint="eastAsia" w:eastAsia="宋体" w:cs="Times New Roman"/>
          <w:b/>
          <w:color w:val="auto"/>
          <w:sz w:val="24"/>
          <w:highlight w:val="none"/>
          <w:lang w:val="en-US" w:eastAsia="zh-CN"/>
        </w:rPr>
        <w:t>待宰圈DA001</w:t>
      </w:r>
      <w:r>
        <w:rPr>
          <w:rFonts w:hint="default" w:ascii="Times New Roman" w:hAnsi="Times New Roman" w:eastAsia="宋体" w:cs="Times New Roman"/>
          <w:b/>
          <w:color w:val="auto"/>
          <w:sz w:val="24"/>
          <w:highlight w:val="none"/>
        </w:rPr>
        <w:t>NH</w:t>
      </w:r>
      <w:r>
        <w:rPr>
          <w:rFonts w:hint="default" w:ascii="Times New Roman" w:hAnsi="Times New Roman" w:eastAsia="宋体" w:cs="Times New Roman"/>
          <w:b/>
          <w:color w:val="auto"/>
          <w:sz w:val="24"/>
          <w:highlight w:val="none"/>
          <w:vertAlign w:val="subscript"/>
        </w:rPr>
        <w:t>3</w:t>
      </w:r>
      <w:r>
        <w:rPr>
          <w:rFonts w:hint="default" w:ascii="Times New Roman" w:hAnsi="Times New Roman" w:eastAsia="宋体" w:cs="Times New Roman"/>
          <w:b/>
          <w:color w:val="auto"/>
          <w:sz w:val="24"/>
          <w:highlight w:val="none"/>
        </w:rPr>
        <w:t>和H</w:t>
      </w:r>
      <w:r>
        <w:rPr>
          <w:rFonts w:hint="default" w:ascii="Times New Roman" w:hAnsi="Times New Roman" w:eastAsia="宋体" w:cs="Times New Roman"/>
          <w:b/>
          <w:color w:val="auto"/>
          <w:sz w:val="24"/>
          <w:highlight w:val="none"/>
          <w:vertAlign w:val="subscript"/>
        </w:rPr>
        <w:t>2</w:t>
      </w:r>
      <w:r>
        <w:rPr>
          <w:rFonts w:hint="default" w:ascii="Times New Roman" w:hAnsi="Times New Roman" w:eastAsia="宋体" w:cs="Times New Roman"/>
          <w:b/>
          <w:color w:val="auto"/>
          <w:sz w:val="24"/>
          <w:highlight w:val="none"/>
        </w:rPr>
        <w:t>S估算模式计算结果一览表</w:t>
      </w:r>
    </w:p>
    <w:tbl>
      <w:tblPr>
        <w:tblStyle w:val="27"/>
        <w:tblW w:w="89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832"/>
        <w:gridCol w:w="1627"/>
        <w:gridCol w:w="1816"/>
        <w:gridCol w:w="1591"/>
      </w:tblGrid>
      <w:tr w14:paraId="1EAF6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vMerge w:val="restart"/>
            <w:noWrap w:val="0"/>
            <w:vAlign w:val="center"/>
          </w:tcPr>
          <w:p w14:paraId="29B3AD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距源中心下风向距离D（m）</w:t>
            </w:r>
          </w:p>
        </w:tc>
        <w:tc>
          <w:tcPr>
            <w:tcW w:w="3459" w:type="dxa"/>
            <w:gridSpan w:val="2"/>
            <w:noWrap w:val="0"/>
            <w:vAlign w:val="center"/>
          </w:tcPr>
          <w:p w14:paraId="445B4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color w:val="auto"/>
                <w:sz w:val="21"/>
                <w:szCs w:val="21"/>
                <w:highlight w:val="none"/>
              </w:rPr>
              <w:t>NH</w:t>
            </w:r>
            <w:r>
              <w:rPr>
                <w:rFonts w:hint="default" w:ascii="Times New Roman" w:hAnsi="Times New Roman" w:eastAsia="宋体" w:cs="Times New Roman"/>
                <w:b/>
                <w:color w:val="auto"/>
                <w:sz w:val="21"/>
                <w:szCs w:val="21"/>
                <w:highlight w:val="none"/>
                <w:vertAlign w:val="subscript"/>
              </w:rPr>
              <w:t>3</w:t>
            </w:r>
          </w:p>
        </w:tc>
        <w:tc>
          <w:tcPr>
            <w:tcW w:w="3407" w:type="dxa"/>
            <w:gridSpan w:val="2"/>
            <w:noWrap w:val="0"/>
            <w:vAlign w:val="center"/>
          </w:tcPr>
          <w:p w14:paraId="5F4C47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color w:val="auto"/>
                <w:sz w:val="21"/>
                <w:szCs w:val="21"/>
                <w:highlight w:val="none"/>
              </w:rPr>
              <w:t>H</w:t>
            </w:r>
            <w:r>
              <w:rPr>
                <w:rFonts w:hint="default" w:ascii="Times New Roman" w:hAnsi="Times New Roman" w:eastAsia="宋体" w:cs="Times New Roman"/>
                <w:b/>
                <w:color w:val="auto"/>
                <w:sz w:val="21"/>
                <w:szCs w:val="21"/>
                <w:highlight w:val="none"/>
                <w:vertAlign w:val="subscript"/>
              </w:rPr>
              <w:t>2</w:t>
            </w:r>
            <w:r>
              <w:rPr>
                <w:rFonts w:hint="default" w:ascii="Times New Roman" w:hAnsi="Times New Roman" w:eastAsia="宋体" w:cs="Times New Roman"/>
                <w:b/>
                <w:color w:val="auto"/>
                <w:sz w:val="21"/>
                <w:szCs w:val="21"/>
                <w:highlight w:val="none"/>
              </w:rPr>
              <w:t>S</w:t>
            </w:r>
          </w:p>
        </w:tc>
      </w:tr>
      <w:tr w14:paraId="39DB6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vMerge w:val="continue"/>
            <w:noWrap w:val="0"/>
            <w:vAlign w:val="center"/>
          </w:tcPr>
          <w:p w14:paraId="5B795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p>
        </w:tc>
        <w:tc>
          <w:tcPr>
            <w:tcW w:w="1832" w:type="dxa"/>
            <w:noWrap w:val="0"/>
            <w:vAlign w:val="center"/>
          </w:tcPr>
          <w:p w14:paraId="2497E2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下风向预测浓度（μg/m</w:t>
            </w:r>
            <w:r>
              <w:rPr>
                <w:rFonts w:hint="default" w:ascii="Times New Roman" w:hAnsi="Times New Roman" w:eastAsia="宋体" w:cs="Times New Roman"/>
                <w:b/>
                <w:snapToGrid w:val="0"/>
                <w:color w:val="auto"/>
                <w:sz w:val="21"/>
                <w:szCs w:val="21"/>
                <w:highlight w:val="none"/>
                <w:vertAlign w:val="superscript"/>
              </w:rPr>
              <w:t>3</w:t>
            </w:r>
            <w:r>
              <w:rPr>
                <w:rFonts w:hint="default" w:ascii="Times New Roman" w:hAnsi="Times New Roman" w:eastAsia="宋体" w:cs="Times New Roman"/>
                <w:b/>
                <w:snapToGrid w:val="0"/>
                <w:color w:val="auto"/>
                <w:sz w:val="21"/>
                <w:szCs w:val="21"/>
                <w:highlight w:val="none"/>
              </w:rPr>
              <w:t>）</w:t>
            </w:r>
          </w:p>
        </w:tc>
        <w:tc>
          <w:tcPr>
            <w:tcW w:w="1627" w:type="dxa"/>
            <w:noWrap w:val="0"/>
            <w:vAlign w:val="center"/>
          </w:tcPr>
          <w:p w14:paraId="29EB11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浓度占标率</w:t>
            </w:r>
          </w:p>
          <w:p w14:paraId="00EAA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w:t>
            </w:r>
          </w:p>
        </w:tc>
        <w:tc>
          <w:tcPr>
            <w:tcW w:w="1816" w:type="dxa"/>
            <w:noWrap w:val="0"/>
            <w:vAlign w:val="center"/>
          </w:tcPr>
          <w:p w14:paraId="51AB64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下风向预测浓度（μg/m</w:t>
            </w:r>
            <w:r>
              <w:rPr>
                <w:rFonts w:hint="default" w:ascii="Times New Roman" w:hAnsi="Times New Roman" w:eastAsia="宋体" w:cs="Times New Roman"/>
                <w:b/>
                <w:snapToGrid w:val="0"/>
                <w:color w:val="auto"/>
                <w:sz w:val="21"/>
                <w:szCs w:val="21"/>
                <w:highlight w:val="none"/>
                <w:vertAlign w:val="superscript"/>
              </w:rPr>
              <w:t>3</w:t>
            </w:r>
            <w:r>
              <w:rPr>
                <w:rFonts w:hint="default" w:ascii="Times New Roman" w:hAnsi="Times New Roman" w:eastAsia="宋体" w:cs="Times New Roman"/>
                <w:b/>
                <w:snapToGrid w:val="0"/>
                <w:color w:val="auto"/>
                <w:sz w:val="21"/>
                <w:szCs w:val="21"/>
                <w:highlight w:val="none"/>
              </w:rPr>
              <w:t>）</w:t>
            </w:r>
          </w:p>
        </w:tc>
        <w:tc>
          <w:tcPr>
            <w:tcW w:w="1591" w:type="dxa"/>
            <w:noWrap w:val="0"/>
            <w:vAlign w:val="center"/>
          </w:tcPr>
          <w:p w14:paraId="31E95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浓度占标率</w:t>
            </w:r>
          </w:p>
          <w:p w14:paraId="48FA5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w:t>
            </w:r>
          </w:p>
        </w:tc>
      </w:tr>
      <w:tr w14:paraId="10B6A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7ECD5A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w:t>
            </w:r>
          </w:p>
        </w:tc>
        <w:tc>
          <w:tcPr>
            <w:tcW w:w="1832" w:type="dxa"/>
            <w:shd w:val="clear" w:color="auto" w:fill="auto"/>
            <w:noWrap w:val="0"/>
            <w:vAlign w:val="center"/>
          </w:tcPr>
          <w:p w14:paraId="31D244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0.0820</w:t>
            </w:r>
          </w:p>
        </w:tc>
        <w:tc>
          <w:tcPr>
            <w:tcW w:w="1627" w:type="dxa"/>
            <w:shd w:val="clear" w:color="auto" w:fill="auto"/>
            <w:noWrap w:val="0"/>
            <w:vAlign w:val="center"/>
          </w:tcPr>
          <w:p w14:paraId="394E77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0.0410</w:t>
            </w:r>
          </w:p>
        </w:tc>
        <w:tc>
          <w:tcPr>
            <w:tcW w:w="1816" w:type="dxa"/>
            <w:shd w:val="clear" w:color="auto" w:fill="auto"/>
            <w:noWrap w:val="0"/>
            <w:vAlign w:val="center"/>
          </w:tcPr>
          <w:p w14:paraId="6AA86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0.0057</w:t>
            </w:r>
          </w:p>
        </w:tc>
        <w:tc>
          <w:tcPr>
            <w:tcW w:w="1591" w:type="dxa"/>
            <w:shd w:val="clear" w:color="auto" w:fill="auto"/>
            <w:noWrap w:val="0"/>
            <w:vAlign w:val="center"/>
          </w:tcPr>
          <w:p w14:paraId="1498ED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0.0568</w:t>
            </w:r>
          </w:p>
        </w:tc>
      </w:tr>
      <w:tr w14:paraId="30E20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67ACD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w:t>
            </w:r>
          </w:p>
        </w:tc>
        <w:tc>
          <w:tcPr>
            <w:tcW w:w="1832" w:type="dxa"/>
            <w:shd w:val="clear" w:color="auto" w:fill="auto"/>
            <w:noWrap w:val="0"/>
            <w:vAlign w:val="center"/>
          </w:tcPr>
          <w:p w14:paraId="4D3A4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0.4134</w:t>
            </w:r>
          </w:p>
        </w:tc>
        <w:tc>
          <w:tcPr>
            <w:tcW w:w="1627" w:type="dxa"/>
            <w:shd w:val="clear" w:color="auto" w:fill="auto"/>
            <w:noWrap w:val="0"/>
            <w:vAlign w:val="center"/>
          </w:tcPr>
          <w:p w14:paraId="38887E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0.2067</w:t>
            </w:r>
          </w:p>
        </w:tc>
        <w:tc>
          <w:tcPr>
            <w:tcW w:w="1816" w:type="dxa"/>
            <w:shd w:val="clear" w:color="auto" w:fill="auto"/>
            <w:noWrap w:val="0"/>
            <w:vAlign w:val="center"/>
          </w:tcPr>
          <w:p w14:paraId="1065FB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0.0286</w:t>
            </w:r>
          </w:p>
        </w:tc>
        <w:tc>
          <w:tcPr>
            <w:tcW w:w="1591" w:type="dxa"/>
            <w:shd w:val="clear" w:color="auto" w:fill="auto"/>
            <w:noWrap w:val="0"/>
            <w:vAlign w:val="center"/>
          </w:tcPr>
          <w:p w14:paraId="37288D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0.2862</w:t>
            </w:r>
          </w:p>
        </w:tc>
      </w:tr>
      <w:tr w14:paraId="54A16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3005B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200.0</w:t>
            </w:r>
          </w:p>
        </w:tc>
        <w:tc>
          <w:tcPr>
            <w:tcW w:w="1832" w:type="dxa"/>
            <w:shd w:val="clear" w:color="auto" w:fill="auto"/>
            <w:noWrap w:val="0"/>
            <w:vAlign w:val="center"/>
          </w:tcPr>
          <w:p w14:paraId="0F4DFE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0.3445</w:t>
            </w:r>
          </w:p>
        </w:tc>
        <w:tc>
          <w:tcPr>
            <w:tcW w:w="1627" w:type="dxa"/>
            <w:shd w:val="clear" w:color="auto" w:fill="auto"/>
            <w:noWrap w:val="0"/>
            <w:vAlign w:val="center"/>
          </w:tcPr>
          <w:p w14:paraId="2E0285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0.1723</w:t>
            </w:r>
          </w:p>
        </w:tc>
        <w:tc>
          <w:tcPr>
            <w:tcW w:w="1816" w:type="dxa"/>
            <w:shd w:val="clear" w:color="auto" w:fill="auto"/>
            <w:noWrap w:val="0"/>
            <w:vAlign w:val="center"/>
          </w:tcPr>
          <w:p w14:paraId="661CB2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0.0239</w:t>
            </w:r>
          </w:p>
        </w:tc>
        <w:tc>
          <w:tcPr>
            <w:tcW w:w="1591" w:type="dxa"/>
            <w:shd w:val="clear" w:color="auto" w:fill="auto"/>
            <w:noWrap w:val="0"/>
            <w:vAlign w:val="center"/>
          </w:tcPr>
          <w:p w14:paraId="53B9B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0.2385</w:t>
            </w:r>
          </w:p>
        </w:tc>
      </w:tr>
      <w:tr w14:paraId="1B1EE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4C02E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300.0</w:t>
            </w:r>
          </w:p>
        </w:tc>
        <w:tc>
          <w:tcPr>
            <w:tcW w:w="1832" w:type="dxa"/>
            <w:shd w:val="clear" w:color="auto" w:fill="auto"/>
            <w:noWrap w:val="0"/>
            <w:vAlign w:val="center"/>
          </w:tcPr>
          <w:p w14:paraId="4915A7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0.2599</w:t>
            </w:r>
          </w:p>
        </w:tc>
        <w:tc>
          <w:tcPr>
            <w:tcW w:w="1627" w:type="dxa"/>
            <w:shd w:val="clear" w:color="auto" w:fill="auto"/>
            <w:noWrap w:val="0"/>
            <w:vAlign w:val="center"/>
          </w:tcPr>
          <w:p w14:paraId="0B6F1B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0.1299</w:t>
            </w:r>
          </w:p>
        </w:tc>
        <w:tc>
          <w:tcPr>
            <w:tcW w:w="1816" w:type="dxa"/>
            <w:shd w:val="clear" w:color="auto" w:fill="auto"/>
            <w:noWrap w:val="0"/>
            <w:vAlign w:val="center"/>
          </w:tcPr>
          <w:p w14:paraId="70E8E4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0.0180</w:t>
            </w:r>
          </w:p>
        </w:tc>
        <w:tc>
          <w:tcPr>
            <w:tcW w:w="1591" w:type="dxa"/>
            <w:shd w:val="clear" w:color="auto" w:fill="auto"/>
            <w:noWrap w:val="0"/>
            <w:vAlign w:val="center"/>
          </w:tcPr>
          <w:p w14:paraId="3E0A6A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0.1799</w:t>
            </w:r>
          </w:p>
        </w:tc>
      </w:tr>
      <w:tr w14:paraId="3F3C8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46AA00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400.0</w:t>
            </w:r>
          </w:p>
        </w:tc>
        <w:tc>
          <w:tcPr>
            <w:tcW w:w="1832" w:type="dxa"/>
            <w:shd w:val="clear" w:color="auto" w:fill="auto"/>
            <w:noWrap w:val="0"/>
            <w:vAlign w:val="center"/>
          </w:tcPr>
          <w:p w14:paraId="74FD0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0.2034</w:t>
            </w:r>
          </w:p>
        </w:tc>
        <w:tc>
          <w:tcPr>
            <w:tcW w:w="1627" w:type="dxa"/>
            <w:shd w:val="clear" w:color="auto" w:fill="auto"/>
            <w:noWrap w:val="0"/>
            <w:vAlign w:val="center"/>
          </w:tcPr>
          <w:p w14:paraId="753F2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0.1017</w:t>
            </w:r>
          </w:p>
        </w:tc>
        <w:tc>
          <w:tcPr>
            <w:tcW w:w="1816" w:type="dxa"/>
            <w:shd w:val="clear" w:color="auto" w:fill="auto"/>
            <w:noWrap w:val="0"/>
            <w:vAlign w:val="center"/>
          </w:tcPr>
          <w:p w14:paraId="7C0436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0.0141</w:t>
            </w:r>
          </w:p>
        </w:tc>
        <w:tc>
          <w:tcPr>
            <w:tcW w:w="1591" w:type="dxa"/>
            <w:shd w:val="clear" w:color="auto" w:fill="auto"/>
            <w:noWrap w:val="0"/>
            <w:vAlign w:val="center"/>
          </w:tcPr>
          <w:p w14:paraId="1921B1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0.1408</w:t>
            </w:r>
          </w:p>
        </w:tc>
      </w:tr>
      <w:tr w14:paraId="5697A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25C13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500.0</w:t>
            </w:r>
          </w:p>
        </w:tc>
        <w:tc>
          <w:tcPr>
            <w:tcW w:w="1832" w:type="dxa"/>
            <w:shd w:val="clear" w:color="auto" w:fill="auto"/>
            <w:noWrap w:val="0"/>
            <w:vAlign w:val="center"/>
          </w:tcPr>
          <w:p w14:paraId="0042D2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0.1621</w:t>
            </w:r>
          </w:p>
        </w:tc>
        <w:tc>
          <w:tcPr>
            <w:tcW w:w="1627" w:type="dxa"/>
            <w:shd w:val="clear" w:color="auto" w:fill="auto"/>
            <w:noWrap w:val="0"/>
            <w:vAlign w:val="center"/>
          </w:tcPr>
          <w:p w14:paraId="40ABE4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0.0811</w:t>
            </w:r>
          </w:p>
        </w:tc>
        <w:tc>
          <w:tcPr>
            <w:tcW w:w="1816" w:type="dxa"/>
            <w:shd w:val="clear" w:color="auto" w:fill="auto"/>
            <w:noWrap w:val="0"/>
            <w:vAlign w:val="center"/>
          </w:tcPr>
          <w:p w14:paraId="287F4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0.0112</w:t>
            </w:r>
          </w:p>
        </w:tc>
        <w:tc>
          <w:tcPr>
            <w:tcW w:w="1591" w:type="dxa"/>
            <w:shd w:val="clear" w:color="auto" w:fill="auto"/>
            <w:noWrap w:val="0"/>
            <w:vAlign w:val="center"/>
          </w:tcPr>
          <w:p w14:paraId="36ED8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0.1123</w:t>
            </w:r>
          </w:p>
        </w:tc>
      </w:tr>
      <w:tr w14:paraId="5ED30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46010F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600.0</w:t>
            </w:r>
          </w:p>
        </w:tc>
        <w:tc>
          <w:tcPr>
            <w:tcW w:w="1832" w:type="dxa"/>
            <w:shd w:val="clear" w:color="auto" w:fill="auto"/>
            <w:noWrap w:val="0"/>
            <w:vAlign w:val="center"/>
          </w:tcPr>
          <w:p w14:paraId="45F8A5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0.1362</w:t>
            </w:r>
          </w:p>
        </w:tc>
        <w:tc>
          <w:tcPr>
            <w:tcW w:w="1627" w:type="dxa"/>
            <w:shd w:val="clear" w:color="auto" w:fill="auto"/>
            <w:noWrap w:val="0"/>
            <w:vAlign w:val="center"/>
          </w:tcPr>
          <w:p w14:paraId="12BF6D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0.0681</w:t>
            </w:r>
          </w:p>
        </w:tc>
        <w:tc>
          <w:tcPr>
            <w:tcW w:w="1816" w:type="dxa"/>
            <w:shd w:val="clear" w:color="auto" w:fill="auto"/>
            <w:noWrap w:val="0"/>
            <w:vAlign w:val="center"/>
          </w:tcPr>
          <w:p w14:paraId="362D6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0.0094</w:t>
            </w:r>
          </w:p>
        </w:tc>
        <w:tc>
          <w:tcPr>
            <w:tcW w:w="1591" w:type="dxa"/>
            <w:shd w:val="clear" w:color="auto" w:fill="auto"/>
            <w:noWrap w:val="0"/>
            <w:vAlign w:val="center"/>
          </w:tcPr>
          <w:p w14:paraId="70BF90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0.0943</w:t>
            </w:r>
          </w:p>
        </w:tc>
      </w:tr>
      <w:tr w14:paraId="4DEF5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1754D6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700.0</w:t>
            </w:r>
          </w:p>
        </w:tc>
        <w:tc>
          <w:tcPr>
            <w:tcW w:w="1832" w:type="dxa"/>
            <w:shd w:val="clear" w:color="auto" w:fill="auto"/>
            <w:noWrap w:val="0"/>
            <w:vAlign w:val="center"/>
          </w:tcPr>
          <w:p w14:paraId="52FFE1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0.1166</w:t>
            </w:r>
          </w:p>
        </w:tc>
        <w:tc>
          <w:tcPr>
            <w:tcW w:w="1627" w:type="dxa"/>
            <w:shd w:val="clear" w:color="auto" w:fill="auto"/>
            <w:noWrap w:val="0"/>
            <w:vAlign w:val="center"/>
          </w:tcPr>
          <w:p w14:paraId="344481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0.0583</w:t>
            </w:r>
          </w:p>
        </w:tc>
        <w:tc>
          <w:tcPr>
            <w:tcW w:w="1816" w:type="dxa"/>
            <w:shd w:val="clear" w:color="auto" w:fill="auto"/>
            <w:noWrap w:val="0"/>
            <w:vAlign w:val="center"/>
          </w:tcPr>
          <w:p w14:paraId="432742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0.0081</w:t>
            </w:r>
          </w:p>
        </w:tc>
        <w:tc>
          <w:tcPr>
            <w:tcW w:w="1591" w:type="dxa"/>
            <w:shd w:val="clear" w:color="auto" w:fill="auto"/>
            <w:noWrap w:val="0"/>
            <w:vAlign w:val="center"/>
          </w:tcPr>
          <w:p w14:paraId="4B995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0.0807</w:t>
            </w:r>
          </w:p>
        </w:tc>
      </w:tr>
      <w:tr w14:paraId="0CACA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0175B3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800.0</w:t>
            </w:r>
          </w:p>
        </w:tc>
        <w:tc>
          <w:tcPr>
            <w:tcW w:w="1832" w:type="dxa"/>
            <w:shd w:val="clear" w:color="auto" w:fill="auto"/>
            <w:noWrap w:val="0"/>
            <w:vAlign w:val="center"/>
          </w:tcPr>
          <w:p w14:paraId="3A4F15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0.1018</w:t>
            </w:r>
          </w:p>
        </w:tc>
        <w:tc>
          <w:tcPr>
            <w:tcW w:w="1627" w:type="dxa"/>
            <w:shd w:val="clear" w:color="auto" w:fill="auto"/>
            <w:noWrap w:val="0"/>
            <w:vAlign w:val="center"/>
          </w:tcPr>
          <w:p w14:paraId="286F6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0.0509</w:t>
            </w:r>
          </w:p>
        </w:tc>
        <w:tc>
          <w:tcPr>
            <w:tcW w:w="1816" w:type="dxa"/>
            <w:shd w:val="clear" w:color="auto" w:fill="auto"/>
            <w:noWrap w:val="0"/>
            <w:vAlign w:val="center"/>
          </w:tcPr>
          <w:p w14:paraId="65000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0.0070</w:t>
            </w:r>
          </w:p>
        </w:tc>
        <w:tc>
          <w:tcPr>
            <w:tcW w:w="1591" w:type="dxa"/>
            <w:shd w:val="clear" w:color="auto" w:fill="auto"/>
            <w:noWrap w:val="0"/>
            <w:vAlign w:val="center"/>
          </w:tcPr>
          <w:p w14:paraId="17338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0.0705</w:t>
            </w:r>
          </w:p>
        </w:tc>
      </w:tr>
      <w:tr w14:paraId="63D6B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5BC0A3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900.0</w:t>
            </w:r>
          </w:p>
        </w:tc>
        <w:tc>
          <w:tcPr>
            <w:tcW w:w="1832" w:type="dxa"/>
            <w:shd w:val="clear" w:color="auto" w:fill="auto"/>
            <w:noWrap w:val="0"/>
            <w:vAlign w:val="center"/>
          </w:tcPr>
          <w:p w14:paraId="293C3D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0.0896</w:t>
            </w:r>
          </w:p>
        </w:tc>
        <w:tc>
          <w:tcPr>
            <w:tcW w:w="1627" w:type="dxa"/>
            <w:shd w:val="clear" w:color="auto" w:fill="auto"/>
            <w:noWrap w:val="0"/>
            <w:vAlign w:val="center"/>
          </w:tcPr>
          <w:p w14:paraId="789917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0.0448</w:t>
            </w:r>
          </w:p>
        </w:tc>
        <w:tc>
          <w:tcPr>
            <w:tcW w:w="1816" w:type="dxa"/>
            <w:shd w:val="clear" w:color="auto" w:fill="auto"/>
            <w:noWrap w:val="0"/>
            <w:vAlign w:val="center"/>
          </w:tcPr>
          <w:p w14:paraId="0B2DC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0.0062</w:t>
            </w:r>
          </w:p>
        </w:tc>
        <w:tc>
          <w:tcPr>
            <w:tcW w:w="1591" w:type="dxa"/>
            <w:shd w:val="clear" w:color="auto" w:fill="auto"/>
            <w:noWrap w:val="0"/>
            <w:vAlign w:val="center"/>
          </w:tcPr>
          <w:p w14:paraId="6AFAA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0.0620</w:t>
            </w:r>
          </w:p>
        </w:tc>
      </w:tr>
      <w:tr w14:paraId="3CAFC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1006C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1000.0</w:t>
            </w:r>
          </w:p>
        </w:tc>
        <w:tc>
          <w:tcPr>
            <w:tcW w:w="1832" w:type="dxa"/>
            <w:shd w:val="clear" w:color="auto" w:fill="auto"/>
            <w:noWrap w:val="0"/>
            <w:vAlign w:val="center"/>
          </w:tcPr>
          <w:p w14:paraId="1A6B04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0.0795</w:t>
            </w:r>
          </w:p>
        </w:tc>
        <w:tc>
          <w:tcPr>
            <w:tcW w:w="1627" w:type="dxa"/>
            <w:shd w:val="clear" w:color="auto" w:fill="auto"/>
            <w:noWrap w:val="0"/>
            <w:vAlign w:val="center"/>
          </w:tcPr>
          <w:p w14:paraId="59A60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0.0397</w:t>
            </w:r>
          </w:p>
        </w:tc>
        <w:tc>
          <w:tcPr>
            <w:tcW w:w="1816" w:type="dxa"/>
            <w:shd w:val="clear" w:color="auto" w:fill="auto"/>
            <w:noWrap w:val="0"/>
            <w:vAlign w:val="center"/>
          </w:tcPr>
          <w:p w14:paraId="5D34A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0.0055</w:t>
            </w:r>
          </w:p>
        </w:tc>
        <w:tc>
          <w:tcPr>
            <w:tcW w:w="1591" w:type="dxa"/>
            <w:shd w:val="clear" w:color="auto" w:fill="auto"/>
            <w:noWrap w:val="0"/>
            <w:vAlign w:val="center"/>
          </w:tcPr>
          <w:p w14:paraId="532861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0.0550</w:t>
            </w:r>
          </w:p>
        </w:tc>
      </w:tr>
      <w:tr w14:paraId="029FD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7D09C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1200.0</w:t>
            </w:r>
          </w:p>
        </w:tc>
        <w:tc>
          <w:tcPr>
            <w:tcW w:w="1832" w:type="dxa"/>
            <w:shd w:val="clear" w:color="auto" w:fill="auto"/>
            <w:noWrap w:val="0"/>
            <w:vAlign w:val="center"/>
          </w:tcPr>
          <w:p w14:paraId="76D7AA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0.0641</w:t>
            </w:r>
          </w:p>
        </w:tc>
        <w:tc>
          <w:tcPr>
            <w:tcW w:w="1627" w:type="dxa"/>
            <w:shd w:val="clear" w:color="auto" w:fill="auto"/>
            <w:noWrap w:val="0"/>
            <w:vAlign w:val="center"/>
          </w:tcPr>
          <w:p w14:paraId="2EE54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0.0320</w:t>
            </w:r>
          </w:p>
        </w:tc>
        <w:tc>
          <w:tcPr>
            <w:tcW w:w="1816" w:type="dxa"/>
            <w:shd w:val="clear" w:color="auto" w:fill="auto"/>
            <w:noWrap w:val="0"/>
            <w:vAlign w:val="center"/>
          </w:tcPr>
          <w:p w14:paraId="2E53F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0.0044</w:t>
            </w:r>
          </w:p>
        </w:tc>
        <w:tc>
          <w:tcPr>
            <w:tcW w:w="1591" w:type="dxa"/>
            <w:shd w:val="clear" w:color="auto" w:fill="auto"/>
            <w:noWrap w:val="0"/>
            <w:vAlign w:val="center"/>
          </w:tcPr>
          <w:p w14:paraId="116FD7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0.0444</w:t>
            </w:r>
          </w:p>
        </w:tc>
      </w:tr>
      <w:tr w14:paraId="74850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51CC76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1400.0</w:t>
            </w:r>
          </w:p>
        </w:tc>
        <w:tc>
          <w:tcPr>
            <w:tcW w:w="1832" w:type="dxa"/>
            <w:shd w:val="clear" w:color="auto" w:fill="auto"/>
            <w:noWrap w:val="0"/>
            <w:vAlign w:val="center"/>
          </w:tcPr>
          <w:p w14:paraId="68413C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0.0532</w:t>
            </w:r>
          </w:p>
        </w:tc>
        <w:tc>
          <w:tcPr>
            <w:tcW w:w="1627" w:type="dxa"/>
            <w:shd w:val="clear" w:color="auto" w:fill="auto"/>
            <w:noWrap w:val="0"/>
            <w:vAlign w:val="center"/>
          </w:tcPr>
          <w:p w14:paraId="58048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0.0266</w:t>
            </w:r>
          </w:p>
        </w:tc>
        <w:tc>
          <w:tcPr>
            <w:tcW w:w="1816" w:type="dxa"/>
            <w:shd w:val="clear" w:color="auto" w:fill="auto"/>
            <w:noWrap w:val="0"/>
            <w:vAlign w:val="center"/>
          </w:tcPr>
          <w:p w14:paraId="20172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0.0037</w:t>
            </w:r>
          </w:p>
        </w:tc>
        <w:tc>
          <w:tcPr>
            <w:tcW w:w="1591" w:type="dxa"/>
            <w:shd w:val="clear" w:color="auto" w:fill="auto"/>
            <w:noWrap w:val="0"/>
            <w:vAlign w:val="center"/>
          </w:tcPr>
          <w:p w14:paraId="63F6D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0.0368</w:t>
            </w:r>
          </w:p>
        </w:tc>
      </w:tr>
      <w:tr w14:paraId="4F26B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76A19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1600.0</w:t>
            </w:r>
          </w:p>
        </w:tc>
        <w:tc>
          <w:tcPr>
            <w:tcW w:w="1832" w:type="dxa"/>
            <w:shd w:val="clear" w:color="auto" w:fill="auto"/>
            <w:noWrap w:val="0"/>
            <w:vAlign w:val="center"/>
          </w:tcPr>
          <w:p w14:paraId="27CF2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0.0452</w:t>
            </w:r>
          </w:p>
        </w:tc>
        <w:tc>
          <w:tcPr>
            <w:tcW w:w="1627" w:type="dxa"/>
            <w:shd w:val="clear" w:color="auto" w:fill="auto"/>
            <w:noWrap w:val="0"/>
            <w:vAlign w:val="center"/>
          </w:tcPr>
          <w:p w14:paraId="1820C3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0.0226</w:t>
            </w:r>
          </w:p>
        </w:tc>
        <w:tc>
          <w:tcPr>
            <w:tcW w:w="1816" w:type="dxa"/>
            <w:shd w:val="clear" w:color="auto" w:fill="auto"/>
            <w:noWrap w:val="0"/>
            <w:vAlign w:val="center"/>
          </w:tcPr>
          <w:p w14:paraId="69115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0.0031</w:t>
            </w:r>
          </w:p>
        </w:tc>
        <w:tc>
          <w:tcPr>
            <w:tcW w:w="1591" w:type="dxa"/>
            <w:shd w:val="clear" w:color="auto" w:fill="auto"/>
            <w:noWrap w:val="0"/>
            <w:vAlign w:val="center"/>
          </w:tcPr>
          <w:p w14:paraId="01BF2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0.0313</w:t>
            </w:r>
          </w:p>
        </w:tc>
      </w:tr>
      <w:tr w14:paraId="38BC1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4B466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1800.0</w:t>
            </w:r>
          </w:p>
        </w:tc>
        <w:tc>
          <w:tcPr>
            <w:tcW w:w="1832" w:type="dxa"/>
            <w:shd w:val="clear" w:color="auto" w:fill="auto"/>
            <w:noWrap w:val="0"/>
            <w:vAlign w:val="center"/>
          </w:tcPr>
          <w:p w14:paraId="21413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0.0390</w:t>
            </w:r>
          </w:p>
        </w:tc>
        <w:tc>
          <w:tcPr>
            <w:tcW w:w="1627" w:type="dxa"/>
            <w:shd w:val="clear" w:color="auto" w:fill="auto"/>
            <w:noWrap w:val="0"/>
            <w:vAlign w:val="center"/>
          </w:tcPr>
          <w:p w14:paraId="0D5A92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0.0195</w:t>
            </w:r>
          </w:p>
        </w:tc>
        <w:tc>
          <w:tcPr>
            <w:tcW w:w="1816" w:type="dxa"/>
            <w:shd w:val="clear" w:color="auto" w:fill="auto"/>
            <w:noWrap w:val="0"/>
            <w:vAlign w:val="center"/>
          </w:tcPr>
          <w:p w14:paraId="2B8129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0.0027</w:t>
            </w:r>
          </w:p>
        </w:tc>
        <w:tc>
          <w:tcPr>
            <w:tcW w:w="1591" w:type="dxa"/>
            <w:shd w:val="clear" w:color="auto" w:fill="auto"/>
            <w:noWrap w:val="0"/>
            <w:vAlign w:val="center"/>
          </w:tcPr>
          <w:p w14:paraId="16A57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0.0270</w:t>
            </w:r>
          </w:p>
        </w:tc>
      </w:tr>
      <w:tr w14:paraId="72D16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13EE4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2000.0</w:t>
            </w:r>
          </w:p>
        </w:tc>
        <w:tc>
          <w:tcPr>
            <w:tcW w:w="1832" w:type="dxa"/>
            <w:shd w:val="clear" w:color="auto" w:fill="auto"/>
            <w:noWrap w:val="0"/>
            <w:vAlign w:val="center"/>
          </w:tcPr>
          <w:p w14:paraId="09CD25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0.0341</w:t>
            </w:r>
          </w:p>
        </w:tc>
        <w:tc>
          <w:tcPr>
            <w:tcW w:w="1627" w:type="dxa"/>
            <w:shd w:val="clear" w:color="auto" w:fill="auto"/>
            <w:noWrap w:val="0"/>
            <w:vAlign w:val="center"/>
          </w:tcPr>
          <w:p w14:paraId="1E1C44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0.0170</w:t>
            </w:r>
          </w:p>
        </w:tc>
        <w:tc>
          <w:tcPr>
            <w:tcW w:w="1816" w:type="dxa"/>
            <w:shd w:val="clear" w:color="auto" w:fill="auto"/>
            <w:noWrap w:val="0"/>
            <w:vAlign w:val="center"/>
          </w:tcPr>
          <w:p w14:paraId="17BF20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0.0024</w:t>
            </w:r>
          </w:p>
        </w:tc>
        <w:tc>
          <w:tcPr>
            <w:tcW w:w="1591" w:type="dxa"/>
            <w:shd w:val="clear" w:color="auto" w:fill="auto"/>
            <w:noWrap w:val="0"/>
            <w:vAlign w:val="center"/>
          </w:tcPr>
          <w:p w14:paraId="2D73D4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0.0236</w:t>
            </w:r>
          </w:p>
        </w:tc>
      </w:tr>
      <w:tr w14:paraId="77DD3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shd w:val="clear" w:color="auto" w:fill="auto"/>
            <w:noWrap w:val="0"/>
            <w:vAlign w:val="center"/>
          </w:tcPr>
          <w:p w14:paraId="76A3F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2500.0</w:t>
            </w:r>
          </w:p>
        </w:tc>
        <w:tc>
          <w:tcPr>
            <w:tcW w:w="1832" w:type="dxa"/>
            <w:shd w:val="clear" w:color="auto" w:fill="auto"/>
            <w:noWrap w:val="0"/>
            <w:vAlign w:val="center"/>
          </w:tcPr>
          <w:p w14:paraId="47BE1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0.0256</w:t>
            </w:r>
          </w:p>
        </w:tc>
        <w:tc>
          <w:tcPr>
            <w:tcW w:w="1627" w:type="dxa"/>
            <w:shd w:val="clear" w:color="auto" w:fill="auto"/>
            <w:noWrap w:val="0"/>
            <w:vAlign w:val="center"/>
          </w:tcPr>
          <w:p w14:paraId="33813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0.0128</w:t>
            </w:r>
          </w:p>
        </w:tc>
        <w:tc>
          <w:tcPr>
            <w:tcW w:w="1816" w:type="dxa"/>
            <w:shd w:val="clear" w:color="auto" w:fill="auto"/>
            <w:noWrap w:val="0"/>
            <w:vAlign w:val="center"/>
          </w:tcPr>
          <w:p w14:paraId="061F41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0.0018</w:t>
            </w:r>
          </w:p>
        </w:tc>
        <w:tc>
          <w:tcPr>
            <w:tcW w:w="1591" w:type="dxa"/>
            <w:shd w:val="clear" w:color="auto" w:fill="auto"/>
            <w:noWrap w:val="0"/>
            <w:vAlign w:val="center"/>
          </w:tcPr>
          <w:p w14:paraId="21ACB8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0.0177</w:t>
            </w:r>
          </w:p>
        </w:tc>
      </w:tr>
      <w:tr w14:paraId="23860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noWrap w:val="0"/>
            <w:vAlign w:val="center"/>
          </w:tcPr>
          <w:p w14:paraId="1BE0B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w:t>
            </w:r>
          </w:p>
        </w:tc>
        <w:tc>
          <w:tcPr>
            <w:tcW w:w="1832" w:type="dxa"/>
            <w:shd w:val="clear" w:color="auto" w:fill="auto"/>
            <w:noWrap w:val="0"/>
            <w:vAlign w:val="center"/>
          </w:tcPr>
          <w:p w14:paraId="52DD33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0.4194</w:t>
            </w:r>
          </w:p>
        </w:tc>
        <w:tc>
          <w:tcPr>
            <w:tcW w:w="1627" w:type="dxa"/>
            <w:shd w:val="clear" w:color="auto" w:fill="auto"/>
            <w:noWrap w:val="0"/>
            <w:vAlign w:val="center"/>
          </w:tcPr>
          <w:p w14:paraId="2795F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0.2097</w:t>
            </w:r>
          </w:p>
        </w:tc>
        <w:tc>
          <w:tcPr>
            <w:tcW w:w="1816" w:type="dxa"/>
            <w:shd w:val="clear" w:color="auto" w:fill="auto"/>
            <w:noWrap w:val="0"/>
            <w:vAlign w:val="center"/>
          </w:tcPr>
          <w:p w14:paraId="43478F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0.0290</w:t>
            </w:r>
          </w:p>
        </w:tc>
        <w:tc>
          <w:tcPr>
            <w:tcW w:w="1591" w:type="dxa"/>
            <w:shd w:val="clear" w:color="auto" w:fill="auto"/>
            <w:noWrap w:val="0"/>
            <w:vAlign w:val="center"/>
          </w:tcPr>
          <w:p w14:paraId="67DC89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0.2904</w:t>
            </w:r>
          </w:p>
        </w:tc>
      </w:tr>
      <w:tr w14:paraId="26E01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noWrap w:val="0"/>
            <w:vAlign w:val="center"/>
          </w:tcPr>
          <w:p w14:paraId="16F09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下风向最大距离</w:t>
            </w:r>
          </w:p>
        </w:tc>
        <w:tc>
          <w:tcPr>
            <w:tcW w:w="1832" w:type="dxa"/>
            <w:shd w:val="clear" w:color="auto" w:fill="auto"/>
            <w:noWrap w:val="0"/>
            <w:vAlign w:val="center"/>
          </w:tcPr>
          <w:p w14:paraId="74531F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112.0</w:t>
            </w:r>
          </w:p>
        </w:tc>
        <w:tc>
          <w:tcPr>
            <w:tcW w:w="1627" w:type="dxa"/>
            <w:shd w:val="clear" w:color="auto" w:fill="auto"/>
            <w:noWrap w:val="0"/>
            <w:vAlign w:val="center"/>
          </w:tcPr>
          <w:p w14:paraId="281164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112.0</w:t>
            </w:r>
          </w:p>
        </w:tc>
        <w:tc>
          <w:tcPr>
            <w:tcW w:w="1816" w:type="dxa"/>
            <w:shd w:val="clear" w:color="auto" w:fill="auto"/>
            <w:noWrap w:val="0"/>
            <w:vAlign w:val="center"/>
          </w:tcPr>
          <w:p w14:paraId="6F7537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112.0</w:t>
            </w:r>
          </w:p>
        </w:tc>
        <w:tc>
          <w:tcPr>
            <w:tcW w:w="1591" w:type="dxa"/>
            <w:shd w:val="clear" w:color="auto" w:fill="auto"/>
            <w:noWrap w:val="0"/>
            <w:vAlign w:val="center"/>
          </w:tcPr>
          <w:p w14:paraId="1CAF13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112.0</w:t>
            </w:r>
          </w:p>
        </w:tc>
      </w:tr>
      <w:tr w14:paraId="2D9EF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13" w:type="dxa"/>
            <w:noWrap w:val="0"/>
            <w:vAlign w:val="center"/>
          </w:tcPr>
          <w:p w14:paraId="17B14B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D10%最远距离</w:t>
            </w:r>
          </w:p>
        </w:tc>
        <w:tc>
          <w:tcPr>
            <w:tcW w:w="1832" w:type="dxa"/>
            <w:noWrap w:val="0"/>
            <w:vAlign w:val="center"/>
          </w:tcPr>
          <w:p w14:paraId="3D57A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w:t>
            </w:r>
          </w:p>
        </w:tc>
        <w:tc>
          <w:tcPr>
            <w:tcW w:w="1627" w:type="dxa"/>
            <w:noWrap w:val="0"/>
            <w:vAlign w:val="center"/>
          </w:tcPr>
          <w:p w14:paraId="483EBA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w:t>
            </w:r>
          </w:p>
        </w:tc>
        <w:tc>
          <w:tcPr>
            <w:tcW w:w="1816" w:type="dxa"/>
            <w:noWrap w:val="0"/>
            <w:vAlign w:val="center"/>
          </w:tcPr>
          <w:p w14:paraId="27C919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w:t>
            </w:r>
          </w:p>
        </w:tc>
        <w:tc>
          <w:tcPr>
            <w:tcW w:w="1591" w:type="dxa"/>
            <w:noWrap w:val="0"/>
            <w:vAlign w:val="center"/>
          </w:tcPr>
          <w:p w14:paraId="5013C8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w:t>
            </w:r>
          </w:p>
        </w:tc>
      </w:tr>
    </w:tbl>
    <w:p w14:paraId="783C56D2">
      <w:pPr>
        <w:bidi w:val="0"/>
        <w:spacing w:line="240" w:lineRule="auto"/>
        <w:rPr>
          <w:rFonts w:hint="eastAsia"/>
          <w:color w:val="auto"/>
          <w:lang w:eastAsia="zh-CN"/>
        </w:rPr>
      </w:pPr>
      <w:r>
        <w:rPr>
          <w:rFonts w:hint="default" w:ascii="Times New Roman" w:hAnsi="Times New Roman" w:eastAsia="宋体" w:cs="Times New Roman"/>
          <w:bCs/>
          <w:color w:val="auto"/>
          <w:sz w:val="21"/>
          <w:szCs w:val="21"/>
          <w:highlight w:val="none"/>
        </w:rPr>
        <w:t>表5.1-</w:t>
      </w:r>
      <w:r>
        <w:rPr>
          <w:rFonts w:hint="eastAsia" w:eastAsia="宋体" w:cs="Times New Roman"/>
          <w:bCs/>
          <w:color w:val="auto"/>
          <w:sz w:val="21"/>
          <w:szCs w:val="21"/>
          <w:highlight w:val="none"/>
          <w:lang w:val="en-US" w:eastAsia="zh-CN"/>
        </w:rPr>
        <w:t>7</w:t>
      </w:r>
      <w:r>
        <w:rPr>
          <w:rFonts w:hint="default" w:ascii="Times New Roman" w:hAnsi="Times New Roman" w:eastAsia="宋体" w:cs="Times New Roman"/>
          <w:bCs/>
          <w:color w:val="auto"/>
          <w:szCs w:val="21"/>
          <w:highlight w:val="none"/>
          <w:lang w:val="en-US" w:eastAsia="zh-CN"/>
        </w:rPr>
        <w:t xml:space="preserve">   </w:t>
      </w:r>
      <w:r>
        <w:rPr>
          <w:rFonts w:hint="eastAsia" w:eastAsia="宋体" w:cs="Times New Roman"/>
          <w:b/>
          <w:color w:val="auto"/>
          <w:sz w:val="24"/>
          <w:highlight w:val="none"/>
          <w:lang w:val="en-US" w:eastAsia="zh-CN"/>
        </w:rPr>
        <w:t>污水处理站DA002</w:t>
      </w:r>
      <w:r>
        <w:rPr>
          <w:rFonts w:hint="default" w:ascii="Times New Roman" w:hAnsi="Times New Roman" w:eastAsia="宋体" w:cs="Times New Roman"/>
          <w:b/>
          <w:color w:val="auto"/>
          <w:sz w:val="24"/>
          <w:highlight w:val="none"/>
        </w:rPr>
        <w:t>NH</w:t>
      </w:r>
      <w:r>
        <w:rPr>
          <w:rFonts w:hint="default" w:ascii="Times New Roman" w:hAnsi="Times New Roman" w:eastAsia="宋体" w:cs="Times New Roman"/>
          <w:b/>
          <w:color w:val="auto"/>
          <w:sz w:val="24"/>
          <w:highlight w:val="none"/>
          <w:vertAlign w:val="subscript"/>
        </w:rPr>
        <w:t>3</w:t>
      </w:r>
      <w:r>
        <w:rPr>
          <w:rFonts w:hint="default" w:ascii="Times New Roman" w:hAnsi="Times New Roman" w:eastAsia="宋体" w:cs="Times New Roman"/>
          <w:b/>
          <w:color w:val="auto"/>
          <w:sz w:val="24"/>
          <w:highlight w:val="none"/>
        </w:rPr>
        <w:t>和H</w:t>
      </w:r>
      <w:r>
        <w:rPr>
          <w:rFonts w:hint="default" w:ascii="Times New Roman" w:hAnsi="Times New Roman" w:eastAsia="宋体" w:cs="Times New Roman"/>
          <w:b/>
          <w:color w:val="auto"/>
          <w:sz w:val="24"/>
          <w:highlight w:val="none"/>
          <w:vertAlign w:val="subscript"/>
        </w:rPr>
        <w:t>2</w:t>
      </w:r>
      <w:r>
        <w:rPr>
          <w:rFonts w:hint="default" w:ascii="Times New Roman" w:hAnsi="Times New Roman" w:eastAsia="宋体" w:cs="Times New Roman"/>
          <w:b/>
          <w:color w:val="auto"/>
          <w:sz w:val="24"/>
          <w:highlight w:val="none"/>
        </w:rPr>
        <w:t>S估算模式计算结果一览表</w:t>
      </w:r>
    </w:p>
    <w:tbl>
      <w:tblPr>
        <w:tblStyle w:val="27"/>
        <w:tblW w:w="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1826"/>
        <w:gridCol w:w="1621"/>
        <w:gridCol w:w="1810"/>
        <w:gridCol w:w="1585"/>
      </w:tblGrid>
      <w:tr w14:paraId="1DE6F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vMerge w:val="restart"/>
            <w:noWrap w:val="0"/>
            <w:vAlign w:val="center"/>
          </w:tcPr>
          <w:p w14:paraId="6B2B16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距源中心下风向距离D（m）</w:t>
            </w:r>
          </w:p>
        </w:tc>
        <w:tc>
          <w:tcPr>
            <w:tcW w:w="3447" w:type="dxa"/>
            <w:gridSpan w:val="2"/>
            <w:noWrap w:val="0"/>
            <w:vAlign w:val="center"/>
          </w:tcPr>
          <w:p w14:paraId="62C999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color w:val="auto"/>
                <w:sz w:val="21"/>
                <w:szCs w:val="21"/>
                <w:highlight w:val="none"/>
              </w:rPr>
              <w:t>NH</w:t>
            </w:r>
            <w:r>
              <w:rPr>
                <w:rFonts w:hint="default" w:ascii="Times New Roman" w:hAnsi="Times New Roman" w:eastAsia="宋体" w:cs="Times New Roman"/>
                <w:b/>
                <w:color w:val="auto"/>
                <w:sz w:val="21"/>
                <w:szCs w:val="21"/>
                <w:highlight w:val="none"/>
                <w:vertAlign w:val="subscript"/>
              </w:rPr>
              <w:t>3</w:t>
            </w:r>
          </w:p>
        </w:tc>
        <w:tc>
          <w:tcPr>
            <w:tcW w:w="3395" w:type="dxa"/>
            <w:gridSpan w:val="2"/>
            <w:noWrap w:val="0"/>
            <w:vAlign w:val="center"/>
          </w:tcPr>
          <w:p w14:paraId="6325C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color w:val="auto"/>
                <w:sz w:val="21"/>
                <w:szCs w:val="21"/>
                <w:highlight w:val="none"/>
              </w:rPr>
              <w:t>H</w:t>
            </w:r>
            <w:r>
              <w:rPr>
                <w:rFonts w:hint="default" w:ascii="Times New Roman" w:hAnsi="Times New Roman" w:eastAsia="宋体" w:cs="Times New Roman"/>
                <w:b/>
                <w:color w:val="auto"/>
                <w:sz w:val="21"/>
                <w:szCs w:val="21"/>
                <w:highlight w:val="none"/>
                <w:vertAlign w:val="subscript"/>
              </w:rPr>
              <w:t>2</w:t>
            </w:r>
            <w:r>
              <w:rPr>
                <w:rFonts w:hint="default" w:ascii="Times New Roman" w:hAnsi="Times New Roman" w:eastAsia="宋体" w:cs="Times New Roman"/>
                <w:b/>
                <w:color w:val="auto"/>
                <w:sz w:val="21"/>
                <w:szCs w:val="21"/>
                <w:highlight w:val="none"/>
              </w:rPr>
              <w:t>S</w:t>
            </w:r>
          </w:p>
        </w:tc>
      </w:tr>
      <w:tr w14:paraId="0D6B6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vMerge w:val="continue"/>
            <w:noWrap w:val="0"/>
            <w:vAlign w:val="center"/>
          </w:tcPr>
          <w:p w14:paraId="506B76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p>
        </w:tc>
        <w:tc>
          <w:tcPr>
            <w:tcW w:w="1826" w:type="dxa"/>
            <w:noWrap w:val="0"/>
            <w:vAlign w:val="center"/>
          </w:tcPr>
          <w:p w14:paraId="591345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下风向预测浓度（μg/m</w:t>
            </w:r>
            <w:r>
              <w:rPr>
                <w:rFonts w:hint="default" w:ascii="Times New Roman" w:hAnsi="Times New Roman" w:eastAsia="宋体" w:cs="Times New Roman"/>
                <w:b/>
                <w:snapToGrid w:val="0"/>
                <w:color w:val="auto"/>
                <w:sz w:val="21"/>
                <w:szCs w:val="21"/>
                <w:highlight w:val="none"/>
                <w:vertAlign w:val="superscript"/>
              </w:rPr>
              <w:t>3</w:t>
            </w:r>
            <w:r>
              <w:rPr>
                <w:rFonts w:hint="default" w:ascii="Times New Roman" w:hAnsi="Times New Roman" w:eastAsia="宋体" w:cs="Times New Roman"/>
                <w:b/>
                <w:snapToGrid w:val="0"/>
                <w:color w:val="auto"/>
                <w:sz w:val="21"/>
                <w:szCs w:val="21"/>
                <w:highlight w:val="none"/>
              </w:rPr>
              <w:t>）</w:t>
            </w:r>
          </w:p>
        </w:tc>
        <w:tc>
          <w:tcPr>
            <w:tcW w:w="1621" w:type="dxa"/>
            <w:noWrap w:val="0"/>
            <w:vAlign w:val="center"/>
          </w:tcPr>
          <w:p w14:paraId="1ACF76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浓度占标率</w:t>
            </w:r>
          </w:p>
          <w:p w14:paraId="22A7ED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w:t>
            </w:r>
          </w:p>
        </w:tc>
        <w:tc>
          <w:tcPr>
            <w:tcW w:w="1810" w:type="dxa"/>
            <w:noWrap w:val="0"/>
            <w:vAlign w:val="center"/>
          </w:tcPr>
          <w:p w14:paraId="6976E7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下风向预测浓度（μg/m</w:t>
            </w:r>
            <w:r>
              <w:rPr>
                <w:rFonts w:hint="default" w:ascii="Times New Roman" w:hAnsi="Times New Roman" w:eastAsia="宋体" w:cs="Times New Roman"/>
                <w:b/>
                <w:snapToGrid w:val="0"/>
                <w:color w:val="auto"/>
                <w:sz w:val="21"/>
                <w:szCs w:val="21"/>
                <w:highlight w:val="none"/>
                <w:vertAlign w:val="superscript"/>
              </w:rPr>
              <w:t>3</w:t>
            </w:r>
            <w:r>
              <w:rPr>
                <w:rFonts w:hint="default" w:ascii="Times New Roman" w:hAnsi="Times New Roman" w:eastAsia="宋体" w:cs="Times New Roman"/>
                <w:b/>
                <w:snapToGrid w:val="0"/>
                <w:color w:val="auto"/>
                <w:sz w:val="21"/>
                <w:szCs w:val="21"/>
                <w:highlight w:val="none"/>
              </w:rPr>
              <w:t>）</w:t>
            </w:r>
          </w:p>
        </w:tc>
        <w:tc>
          <w:tcPr>
            <w:tcW w:w="1585" w:type="dxa"/>
            <w:noWrap w:val="0"/>
            <w:vAlign w:val="center"/>
          </w:tcPr>
          <w:p w14:paraId="148A70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浓度占标率</w:t>
            </w:r>
          </w:p>
          <w:p w14:paraId="15462C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w:t>
            </w:r>
          </w:p>
        </w:tc>
      </w:tr>
      <w:tr w14:paraId="36DD4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1E15D0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w:t>
            </w:r>
          </w:p>
        </w:tc>
        <w:tc>
          <w:tcPr>
            <w:tcW w:w="1826" w:type="dxa"/>
            <w:shd w:val="clear" w:color="auto" w:fill="auto"/>
            <w:noWrap w:val="0"/>
            <w:vAlign w:val="center"/>
          </w:tcPr>
          <w:p w14:paraId="378FB1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0.0571</w:t>
            </w:r>
          </w:p>
        </w:tc>
        <w:tc>
          <w:tcPr>
            <w:tcW w:w="1621" w:type="dxa"/>
            <w:shd w:val="clear" w:color="auto" w:fill="auto"/>
            <w:noWrap w:val="0"/>
            <w:vAlign w:val="center"/>
          </w:tcPr>
          <w:p w14:paraId="3DD056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0.0285</w:t>
            </w:r>
          </w:p>
        </w:tc>
        <w:tc>
          <w:tcPr>
            <w:tcW w:w="1810" w:type="dxa"/>
            <w:shd w:val="clear" w:color="auto" w:fill="auto"/>
            <w:noWrap w:val="0"/>
            <w:vAlign w:val="center"/>
          </w:tcPr>
          <w:p w14:paraId="240A7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0.0023</w:t>
            </w:r>
          </w:p>
        </w:tc>
        <w:tc>
          <w:tcPr>
            <w:tcW w:w="1585" w:type="dxa"/>
            <w:shd w:val="clear" w:color="auto" w:fill="auto"/>
            <w:noWrap w:val="0"/>
            <w:vAlign w:val="center"/>
          </w:tcPr>
          <w:p w14:paraId="61EB9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0.0233</w:t>
            </w:r>
          </w:p>
        </w:tc>
      </w:tr>
      <w:tr w14:paraId="2D899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10ADB9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w:t>
            </w:r>
          </w:p>
        </w:tc>
        <w:tc>
          <w:tcPr>
            <w:tcW w:w="1826" w:type="dxa"/>
            <w:shd w:val="clear" w:color="auto" w:fill="auto"/>
            <w:noWrap w:val="0"/>
            <w:vAlign w:val="center"/>
          </w:tcPr>
          <w:p w14:paraId="5BE8EF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0.1378</w:t>
            </w:r>
          </w:p>
        </w:tc>
        <w:tc>
          <w:tcPr>
            <w:tcW w:w="1621" w:type="dxa"/>
            <w:shd w:val="clear" w:color="auto" w:fill="auto"/>
            <w:noWrap w:val="0"/>
            <w:vAlign w:val="center"/>
          </w:tcPr>
          <w:p w14:paraId="0A5FF3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0.0689</w:t>
            </w:r>
          </w:p>
        </w:tc>
        <w:tc>
          <w:tcPr>
            <w:tcW w:w="1810" w:type="dxa"/>
            <w:shd w:val="clear" w:color="auto" w:fill="auto"/>
            <w:noWrap w:val="0"/>
            <w:vAlign w:val="center"/>
          </w:tcPr>
          <w:p w14:paraId="73E1D7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0.0056</w:t>
            </w:r>
          </w:p>
        </w:tc>
        <w:tc>
          <w:tcPr>
            <w:tcW w:w="1585" w:type="dxa"/>
            <w:shd w:val="clear" w:color="auto" w:fill="auto"/>
            <w:noWrap w:val="0"/>
            <w:vAlign w:val="center"/>
          </w:tcPr>
          <w:p w14:paraId="585B85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0.0562</w:t>
            </w:r>
          </w:p>
        </w:tc>
      </w:tr>
      <w:tr w14:paraId="5E79C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26F71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200.0</w:t>
            </w:r>
          </w:p>
        </w:tc>
        <w:tc>
          <w:tcPr>
            <w:tcW w:w="1826" w:type="dxa"/>
            <w:shd w:val="clear" w:color="auto" w:fill="auto"/>
            <w:noWrap w:val="0"/>
            <w:vAlign w:val="center"/>
          </w:tcPr>
          <w:p w14:paraId="581FD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0.1143</w:t>
            </w:r>
          </w:p>
        </w:tc>
        <w:tc>
          <w:tcPr>
            <w:tcW w:w="1621" w:type="dxa"/>
            <w:shd w:val="clear" w:color="auto" w:fill="auto"/>
            <w:noWrap w:val="0"/>
            <w:vAlign w:val="center"/>
          </w:tcPr>
          <w:p w14:paraId="70343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0.0571</w:t>
            </w:r>
          </w:p>
        </w:tc>
        <w:tc>
          <w:tcPr>
            <w:tcW w:w="1810" w:type="dxa"/>
            <w:shd w:val="clear" w:color="auto" w:fill="auto"/>
            <w:noWrap w:val="0"/>
            <w:vAlign w:val="center"/>
          </w:tcPr>
          <w:p w14:paraId="660133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0.0047</w:t>
            </w:r>
          </w:p>
        </w:tc>
        <w:tc>
          <w:tcPr>
            <w:tcW w:w="1585" w:type="dxa"/>
            <w:shd w:val="clear" w:color="auto" w:fill="auto"/>
            <w:noWrap w:val="0"/>
            <w:vAlign w:val="center"/>
          </w:tcPr>
          <w:p w14:paraId="3A4277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0.0466</w:t>
            </w:r>
          </w:p>
        </w:tc>
      </w:tr>
      <w:tr w14:paraId="77ED0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596CC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300.0</w:t>
            </w:r>
          </w:p>
        </w:tc>
        <w:tc>
          <w:tcPr>
            <w:tcW w:w="1826" w:type="dxa"/>
            <w:shd w:val="clear" w:color="auto" w:fill="auto"/>
            <w:noWrap w:val="0"/>
            <w:vAlign w:val="center"/>
          </w:tcPr>
          <w:p w14:paraId="413DD1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0.0854</w:t>
            </w:r>
          </w:p>
        </w:tc>
        <w:tc>
          <w:tcPr>
            <w:tcW w:w="1621" w:type="dxa"/>
            <w:shd w:val="clear" w:color="auto" w:fill="auto"/>
            <w:noWrap w:val="0"/>
            <w:vAlign w:val="center"/>
          </w:tcPr>
          <w:p w14:paraId="588BE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0.0427</w:t>
            </w:r>
          </w:p>
        </w:tc>
        <w:tc>
          <w:tcPr>
            <w:tcW w:w="1810" w:type="dxa"/>
            <w:shd w:val="clear" w:color="auto" w:fill="auto"/>
            <w:noWrap w:val="0"/>
            <w:vAlign w:val="center"/>
          </w:tcPr>
          <w:p w14:paraId="57943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0.0035</w:t>
            </w:r>
          </w:p>
        </w:tc>
        <w:tc>
          <w:tcPr>
            <w:tcW w:w="1585" w:type="dxa"/>
            <w:shd w:val="clear" w:color="auto" w:fill="auto"/>
            <w:noWrap w:val="0"/>
            <w:vAlign w:val="center"/>
          </w:tcPr>
          <w:p w14:paraId="3BF1C5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0.0348</w:t>
            </w:r>
          </w:p>
        </w:tc>
      </w:tr>
      <w:tr w14:paraId="3A005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5E807E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400.0</w:t>
            </w:r>
          </w:p>
        </w:tc>
        <w:tc>
          <w:tcPr>
            <w:tcW w:w="1826" w:type="dxa"/>
            <w:shd w:val="clear" w:color="auto" w:fill="auto"/>
            <w:noWrap w:val="0"/>
            <w:vAlign w:val="center"/>
          </w:tcPr>
          <w:p w14:paraId="2DD53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0.0671</w:t>
            </w:r>
          </w:p>
        </w:tc>
        <w:tc>
          <w:tcPr>
            <w:tcW w:w="1621" w:type="dxa"/>
            <w:shd w:val="clear" w:color="auto" w:fill="auto"/>
            <w:noWrap w:val="0"/>
            <w:vAlign w:val="center"/>
          </w:tcPr>
          <w:p w14:paraId="14B265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0.0335</w:t>
            </w:r>
          </w:p>
        </w:tc>
        <w:tc>
          <w:tcPr>
            <w:tcW w:w="1810" w:type="dxa"/>
            <w:shd w:val="clear" w:color="auto" w:fill="auto"/>
            <w:noWrap w:val="0"/>
            <w:vAlign w:val="center"/>
          </w:tcPr>
          <w:p w14:paraId="4B4BA7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0.0027</w:t>
            </w:r>
          </w:p>
        </w:tc>
        <w:tc>
          <w:tcPr>
            <w:tcW w:w="1585" w:type="dxa"/>
            <w:shd w:val="clear" w:color="auto" w:fill="auto"/>
            <w:noWrap w:val="0"/>
            <w:vAlign w:val="center"/>
          </w:tcPr>
          <w:p w14:paraId="3F5D6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0.0274</w:t>
            </w:r>
          </w:p>
        </w:tc>
      </w:tr>
      <w:tr w14:paraId="60A14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785D8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500.0</w:t>
            </w:r>
          </w:p>
        </w:tc>
        <w:tc>
          <w:tcPr>
            <w:tcW w:w="1826" w:type="dxa"/>
            <w:shd w:val="clear" w:color="auto" w:fill="auto"/>
            <w:noWrap w:val="0"/>
            <w:vAlign w:val="center"/>
          </w:tcPr>
          <w:p w14:paraId="16633B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0.0540</w:t>
            </w:r>
          </w:p>
        </w:tc>
        <w:tc>
          <w:tcPr>
            <w:tcW w:w="1621" w:type="dxa"/>
            <w:shd w:val="clear" w:color="auto" w:fill="auto"/>
            <w:noWrap w:val="0"/>
            <w:vAlign w:val="center"/>
          </w:tcPr>
          <w:p w14:paraId="7E75F9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0.0270</w:t>
            </w:r>
          </w:p>
        </w:tc>
        <w:tc>
          <w:tcPr>
            <w:tcW w:w="1810" w:type="dxa"/>
            <w:shd w:val="clear" w:color="auto" w:fill="auto"/>
            <w:noWrap w:val="0"/>
            <w:vAlign w:val="center"/>
          </w:tcPr>
          <w:p w14:paraId="458D1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0.0022</w:t>
            </w:r>
          </w:p>
        </w:tc>
        <w:tc>
          <w:tcPr>
            <w:tcW w:w="1585" w:type="dxa"/>
            <w:shd w:val="clear" w:color="auto" w:fill="auto"/>
            <w:noWrap w:val="0"/>
            <w:vAlign w:val="center"/>
          </w:tcPr>
          <w:p w14:paraId="434152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0.0220</w:t>
            </w:r>
          </w:p>
        </w:tc>
      </w:tr>
      <w:tr w14:paraId="710A5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059B3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600.0</w:t>
            </w:r>
          </w:p>
        </w:tc>
        <w:tc>
          <w:tcPr>
            <w:tcW w:w="1826" w:type="dxa"/>
            <w:shd w:val="clear" w:color="auto" w:fill="auto"/>
            <w:noWrap w:val="0"/>
            <w:vAlign w:val="center"/>
          </w:tcPr>
          <w:p w14:paraId="6F2123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0.0449</w:t>
            </w:r>
          </w:p>
        </w:tc>
        <w:tc>
          <w:tcPr>
            <w:tcW w:w="1621" w:type="dxa"/>
            <w:shd w:val="clear" w:color="auto" w:fill="auto"/>
            <w:noWrap w:val="0"/>
            <w:vAlign w:val="center"/>
          </w:tcPr>
          <w:p w14:paraId="228526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0.0225</w:t>
            </w:r>
          </w:p>
        </w:tc>
        <w:tc>
          <w:tcPr>
            <w:tcW w:w="1810" w:type="dxa"/>
            <w:shd w:val="clear" w:color="auto" w:fill="auto"/>
            <w:noWrap w:val="0"/>
            <w:vAlign w:val="center"/>
          </w:tcPr>
          <w:p w14:paraId="4E8F3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0.0018</w:t>
            </w:r>
          </w:p>
        </w:tc>
        <w:tc>
          <w:tcPr>
            <w:tcW w:w="1585" w:type="dxa"/>
            <w:shd w:val="clear" w:color="auto" w:fill="auto"/>
            <w:noWrap w:val="0"/>
            <w:vAlign w:val="center"/>
          </w:tcPr>
          <w:p w14:paraId="6BD8A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0.0183</w:t>
            </w:r>
          </w:p>
        </w:tc>
      </w:tr>
      <w:tr w14:paraId="50C4F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4E5130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700.0</w:t>
            </w:r>
          </w:p>
        </w:tc>
        <w:tc>
          <w:tcPr>
            <w:tcW w:w="1826" w:type="dxa"/>
            <w:shd w:val="clear" w:color="auto" w:fill="auto"/>
            <w:noWrap w:val="0"/>
            <w:vAlign w:val="center"/>
          </w:tcPr>
          <w:p w14:paraId="1D43C6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0.0386</w:t>
            </w:r>
          </w:p>
        </w:tc>
        <w:tc>
          <w:tcPr>
            <w:tcW w:w="1621" w:type="dxa"/>
            <w:shd w:val="clear" w:color="auto" w:fill="auto"/>
            <w:noWrap w:val="0"/>
            <w:vAlign w:val="center"/>
          </w:tcPr>
          <w:p w14:paraId="0EF22B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0.0193</w:t>
            </w:r>
          </w:p>
        </w:tc>
        <w:tc>
          <w:tcPr>
            <w:tcW w:w="1810" w:type="dxa"/>
            <w:shd w:val="clear" w:color="auto" w:fill="auto"/>
            <w:noWrap w:val="0"/>
            <w:vAlign w:val="center"/>
          </w:tcPr>
          <w:p w14:paraId="205A80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0.0016</w:t>
            </w:r>
          </w:p>
        </w:tc>
        <w:tc>
          <w:tcPr>
            <w:tcW w:w="1585" w:type="dxa"/>
            <w:shd w:val="clear" w:color="auto" w:fill="auto"/>
            <w:noWrap w:val="0"/>
            <w:vAlign w:val="center"/>
          </w:tcPr>
          <w:p w14:paraId="32023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0.0158</w:t>
            </w:r>
          </w:p>
        </w:tc>
      </w:tr>
      <w:tr w14:paraId="1CE41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3B214A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800.0</w:t>
            </w:r>
          </w:p>
        </w:tc>
        <w:tc>
          <w:tcPr>
            <w:tcW w:w="1826" w:type="dxa"/>
            <w:shd w:val="clear" w:color="auto" w:fill="auto"/>
            <w:noWrap w:val="0"/>
            <w:vAlign w:val="center"/>
          </w:tcPr>
          <w:p w14:paraId="09EC6B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0.0339</w:t>
            </w:r>
          </w:p>
        </w:tc>
        <w:tc>
          <w:tcPr>
            <w:tcW w:w="1621" w:type="dxa"/>
            <w:shd w:val="clear" w:color="auto" w:fill="auto"/>
            <w:noWrap w:val="0"/>
            <w:vAlign w:val="center"/>
          </w:tcPr>
          <w:p w14:paraId="21F17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0.0170</w:t>
            </w:r>
          </w:p>
        </w:tc>
        <w:tc>
          <w:tcPr>
            <w:tcW w:w="1810" w:type="dxa"/>
            <w:shd w:val="clear" w:color="auto" w:fill="auto"/>
            <w:noWrap w:val="0"/>
            <w:vAlign w:val="center"/>
          </w:tcPr>
          <w:p w14:paraId="31BD7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0.0014</w:t>
            </w:r>
          </w:p>
        </w:tc>
        <w:tc>
          <w:tcPr>
            <w:tcW w:w="1585" w:type="dxa"/>
            <w:shd w:val="clear" w:color="auto" w:fill="auto"/>
            <w:noWrap w:val="0"/>
            <w:vAlign w:val="center"/>
          </w:tcPr>
          <w:p w14:paraId="1A78FB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0.0138</w:t>
            </w:r>
          </w:p>
        </w:tc>
      </w:tr>
      <w:tr w14:paraId="5237D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04D23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900.0</w:t>
            </w:r>
          </w:p>
        </w:tc>
        <w:tc>
          <w:tcPr>
            <w:tcW w:w="1826" w:type="dxa"/>
            <w:shd w:val="clear" w:color="auto" w:fill="auto"/>
            <w:noWrap w:val="0"/>
            <w:vAlign w:val="center"/>
          </w:tcPr>
          <w:p w14:paraId="6DB084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0.0299</w:t>
            </w:r>
          </w:p>
        </w:tc>
        <w:tc>
          <w:tcPr>
            <w:tcW w:w="1621" w:type="dxa"/>
            <w:shd w:val="clear" w:color="auto" w:fill="auto"/>
            <w:noWrap w:val="0"/>
            <w:vAlign w:val="center"/>
          </w:tcPr>
          <w:p w14:paraId="6AD5A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0.0149</w:t>
            </w:r>
          </w:p>
        </w:tc>
        <w:tc>
          <w:tcPr>
            <w:tcW w:w="1810" w:type="dxa"/>
            <w:shd w:val="clear" w:color="auto" w:fill="auto"/>
            <w:noWrap w:val="0"/>
            <w:vAlign w:val="center"/>
          </w:tcPr>
          <w:p w14:paraId="4A5F08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0.0012</w:t>
            </w:r>
          </w:p>
        </w:tc>
        <w:tc>
          <w:tcPr>
            <w:tcW w:w="1585" w:type="dxa"/>
            <w:shd w:val="clear" w:color="auto" w:fill="auto"/>
            <w:noWrap w:val="0"/>
            <w:vAlign w:val="center"/>
          </w:tcPr>
          <w:p w14:paraId="2E1888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0.0122</w:t>
            </w:r>
          </w:p>
        </w:tc>
      </w:tr>
      <w:tr w14:paraId="24CFB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102680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1000.0</w:t>
            </w:r>
          </w:p>
        </w:tc>
        <w:tc>
          <w:tcPr>
            <w:tcW w:w="1826" w:type="dxa"/>
            <w:shd w:val="clear" w:color="auto" w:fill="auto"/>
            <w:noWrap w:val="0"/>
            <w:vAlign w:val="center"/>
          </w:tcPr>
          <w:p w14:paraId="68AE3D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0.0265</w:t>
            </w:r>
          </w:p>
        </w:tc>
        <w:tc>
          <w:tcPr>
            <w:tcW w:w="1621" w:type="dxa"/>
            <w:shd w:val="clear" w:color="auto" w:fill="auto"/>
            <w:noWrap w:val="0"/>
            <w:vAlign w:val="center"/>
          </w:tcPr>
          <w:p w14:paraId="0D7CAE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0.0133</w:t>
            </w:r>
          </w:p>
        </w:tc>
        <w:tc>
          <w:tcPr>
            <w:tcW w:w="1810" w:type="dxa"/>
            <w:shd w:val="clear" w:color="auto" w:fill="auto"/>
            <w:noWrap w:val="0"/>
            <w:vAlign w:val="center"/>
          </w:tcPr>
          <w:p w14:paraId="27C3B3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0.0011</w:t>
            </w:r>
          </w:p>
        </w:tc>
        <w:tc>
          <w:tcPr>
            <w:tcW w:w="1585" w:type="dxa"/>
            <w:shd w:val="clear" w:color="auto" w:fill="auto"/>
            <w:noWrap w:val="0"/>
            <w:vAlign w:val="center"/>
          </w:tcPr>
          <w:p w14:paraId="2F79CE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0.0108</w:t>
            </w:r>
          </w:p>
        </w:tc>
      </w:tr>
      <w:tr w14:paraId="31D31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0156E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1200.0</w:t>
            </w:r>
          </w:p>
        </w:tc>
        <w:tc>
          <w:tcPr>
            <w:tcW w:w="1826" w:type="dxa"/>
            <w:shd w:val="clear" w:color="auto" w:fill="auto"/>
            <w:noWrap w:val="0"/>
            <w:vAlign w:val="center"/>
          </w:tcPr>
          <w:p w14:paraId="0E1F55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0.0213</w:t>
            </w:r>
          </w:p>
        </w:tc>
        <w:tc>
          <w:tcPr>
            <w:tcW w:w="1621" w:type="dxa"/>
            <w:shd w:val="clear" w:color="auto" w:fill="auto"/>
            <w:noWrap w:val="0"/>
            <w:vAlign w:val="center"/>
          </w:tcPr>
          <w:p w14:paraId="6DD519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0.0107</w:t>
            </w:r>
          </w:p>
        </w:tc>
        <w:tc>
          <w:tcPr>
            <w:tcW w:w="1810" w:type="dxa"/>
            <w:shd w:val="clear" w:color="auto" w:fill="auto"/>
            <w:noWrap w:val="0"/>
            <w:vAlign w:val="center"/>
          </w:tcPr>
          <w:p w14:paraId="547E55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0.0009</w:t>
            </w:r>
          </w:p>
        </w:tc>
        <w:tc>
          <w:tcPr>
            <w:tcW w:w="1585" w:type="dxa"/>
            <w:shd w:val="clear" w:color="auto" w:fill="auto"/>
            <w:noWrap w:val="0"/>
            <w:vAlign w:val="center"/>
          </w:tcPr>
          <w:p w14:paraId="167C2B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0.0087</w:t>
            </w:r>
          </w:p>
        </w:tc>
      </w:tr>
      <w:tr w14:paraId="3FAC5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35486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1400.0</w:t>
            </w:r>
          </w:p>
        </w:tc>
        <w:tc>
          <w:tcPr>
            <w:tcW w:w="1826" w:type="dxa"/>
            <w:shd w:val="clear" w:color="auto" w:fill="auto"/>
            <w:noWrap w:val="0"/>
            <w:vAlign w:val="center"/>
          </w:tcPr>
          <w:p w14:paraId="3C625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0.0177</w:t>
            </w:r>
          </w:p>
        </w:tc>
        <w:tc>
          <w:tcPr>
            <w:tcW w:w="1621" w:type="dxa"/>
            <w:shd w:val="clear" w:color="auto" w:fill="auto"/>
            <w:noWrap w:val="0"/>
            <w:vAlign w:val="center"/>
          </w:tcPr>
          <w:p w14:paraId="07255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0.0089</w:t>
            </w:r>
          </w:p>
        </w:tc>
        <w:tc>
          <w:tcPr>
            <w:tcW w:w="1810" w:type="dxa"/>
            <w:shd w:val="clear" w:color="auto" w:fill="auto"/>
            <w:noWrap w:val="0"/>
            <w:vAlign w:val="center"/>
          </w:tcPr>
          <w:p w14:paraId="327B6C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0.0007</w:t>
            </w:r>
          </w:p>
        </w:tc>
        <w:tc>
          <w:tcPr>
            <w:tcW w:w="1585" w:type="dxa"/>
            <w:shd w:val="clear" w:color="auto" w:fill="auto"/>
            <w:noWrap w:val="0"/>
            <w:vAlign w:val="center"/>
          </w:tcPr>
          <w:p w14:paraId="4ACF3E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0.0072</w:t>
            </w:r>
          </w:p>
        </w:tc>
      </w:tr>
      <w:tr w14:paraId="5D5B1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4D06FD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1600.0</w:t>
            </w:r>
          </w:p>
        </w:tc>
        <w:tc>
          <w:tcPr>
            <w:tcW w:w="1826" w:type="dxa"/>
            <w:shd w:val="clear" w:color="auto" w:fill="auto"/>
            <w:noWrap w:val="0"/>
            <w:vAlign w:val="center"/>
          </w:tcPr>
          <w:p w14:paraId="7A2A3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0.0150</w:t>
            </w:r>
          </w:p>
        </w:tc>
        <w:tc>
          <w:tcPr>
            <w:tcW w:w="1621" w:type="dxa"/>
            <w:shd w:val="clear" w:color="auto" w:fill="auto"/>
            <w:noWrap w:val="0"/>
            <w:vAlign w:val="center"/>
          </w:tcPr>
          <w:p w14:paraId="65C229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0.0075</w:t>
            </w:r>
          </w:p>
        </w:tc>
        <w:tc>
          <w:tcPr>
            <w:tcW w:w="1810" w:type="dxa"/>
            <w:shd w:val="clear" w:color="auto" w:fill="auto"/>
            <w:noWrap w:val="0"/>
            <w:vAlign w:val="center"/>
          </w:tcPr>
          <w:p w14:paraId="3445B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0.0006</w:t>
            </w:r>
          </w:p>
        </w:tc>
        <w:tc>
          <w:tcPr>
            <w:tcW w:w="1585" w:type="dxa"/>
            <w:shd w:val="clear" w:color="auto" w:fill="auto"/>
            <w:noWrap w:val="0"/>
            <w:vAlign w:val="center"/>
          </w:tcPr>
          <w:p w14:paraId="5857CD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0.0061</w:t>
            </w:r>
          </w:p>
        </w:tc>
      </w:tr>
      <w:tr w14:paraId="348D8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75E3F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1800.0</w:t>
            </w:r>
          </w:p>
        </w:tc>
        <w:tc>
          <w:tcPr>
            <w:tcW w:w="1826" w:type="dxa"/>
            <w:shd w:val="clear" w:color="auto" w:fill="auto"/>
            <w:noWrap w:val="0"/>
            <w:vAlign w:val="center"/>
          </w:tcPr>
          <w:p w14:paraId="4FF99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0.0129</w:t>
            </w:r>
          </w:p>
        </w:tc>
        <w:tc>
          <w:tcPr>
            <w:tcW w:w="1621" w:type="dxa"/>
            <w:shd w:val="clear" w:color="auto" w:fill="auto"/>
            <w:noWrap w:val="0"/>
            <w:vAlign w:val="center"/>
          </w:tcPr>
          <w:p w14:paraId="14BE4B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0.0065</w:t>
            </w:r>
          </w:p>
        </w:tc>
        <w:tc>
          <w:tcPr>
            <w:tcW w:w="1810" w:type="dxa"/>
            <w:shd w:val="clear" w:color="auto" w:fill="auto"/>
            <w:noWrap w:val="0"/>
            <w:vAlign w:val="center"/>
          </w:tcPr>
          <w:p w14:paraId="73BC24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0.0005</w:t>
            </w:r>
          </w:p>
        </w:tc>
        <w:tc>
          <w:tcPr>
            <w:tcW w:w="1585" w:type="dxa"/>
            <w:shd w:val="clear" w:color="auto" w:fill="auto"/>
            <w:noWrap w:val="0"/>
            <w:vAlign w:val="center"/>
          </w:tcPr>
          <w:p w14:paraId="35A625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0.0053</w:t>
            </w:r>
          </w:p>
        </w:tc>
      </w:tr>
      <w:tr w14:paraId="6481A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4B3515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2000.0</w:t>
            </w:r>
          </w:p>
        </w:tc>
        <w:tc>
          <w:tcPr>
            <w:tcW w:w="1826" w:type="dxa"/>
            <w:shd w:val="clear" w:color="auto" w:fill="auto"/>
            <w:noWrap w:val="0"/>
            <w:vAlign w:val="center"/>
          </w:tcPr>
          <w:p w14:paraId="1D1EE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0.0113</w:t>
            </w:r>
          </w:p>
        </w:tc>
        <w:tc>
          <w:tcPr>
            <w:tcW w:w="1621" w:type="dxa"/>
            <w:shd w:val="clear" w:color="auto" w:fill="auto"/>
            <w:noWrap w:val="0"/>
            <w:vAlign w:val="center"/>
          </w:tcPr>
          <w:p w14:paraId="1F377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0.0057</w:t>
            </w:r>
          </w:p>
        </w:tc>
        <w:tc>
          <w:tcPr>
            <w:tcW w:w="1810" w:type="dxa"/>
            <w:shd w:val="clear" w:color="auto" w:fill="auto"/>
            <w:noWrap w:val="0"/>
            <w:vAlign w:val="center"/>
          </w:tcPr>
          <w:p w14:paraId="56858F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0.0005</w:t>
            </w:r>
          </w:p>
        </w:tc>
        <w:tc>
          <w:tcPr>
            <w:tcW w:w="1585" w:type="dxa"/>
            <w:shd w:val="clear" w:color="auto" w:fill="auto"/>
            <w:noWrap w:val="0"/>
            <w:vAlign w:val="center"/>
          </w:tcPr>
          <w:p w14:paraId="2F030E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0.0046</w:t>
            </w:r>
          </w:p>
        </w:tc>
      </w:tr>
      <w:tr w14:paraId="23888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shd w:val="clear" w:color="auto" w:fill="auto"/>
            <w:noWrap w:val="0"/>
            <w:vAlign w:val="center"/>
          </w:tcPr>
          <w:p w14:paraId="2C7569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2500.0</w:t>
            </w:r>
          </w:p>
        </w:tc>
        <w:tc>
          <w:tcPr>
            <w:tcW w:w="1826" w:type="dxa"/>
            <w:shd w:val="clear" w:color="auto" w:fill="auto"/>
            <w:noWrap w:val="0"/>
            <w:vAlign w:val="center"/>
          </w:tcPr>
          <w:p w14:paraId="7DE45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0.0085</w:t>
            </w:r>
          </w:p>
        </w:tc>
        <w:tc>
          <w:tcPr>
            <w:tcW w:w="1621" w:type="dxa"/>
            <w:shd w:val="clear" w:color="auto" w:fill="auto"/>
            <w:noWrap w:val="0"/>
            <w:vAlign w:val="center"/>
          </w:tcPr>
          <w:p w14:paraId="4DEB82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0.0042</w:t>
            </w:r>
          </w:p>
        </w:tc>
        <w:tc>
          <w:tcPr>
            <w:tcW w:w="1810" w:type="dxa"/>
            <w:shd w:val="clear" w:color="auto" w:fill="auto"/>
            <w:noWrap w:val="0"/>
            <w:vAlign w:val="center"/>
          </w:tcPr>
          <w:p w14:paraId="164593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0.0003</w:t>
            </w:r>
          </w:p>
        </w:tc>
        <w:tc>
          <w:tcPr>
            <w:tcW w:w="1585" w:type="dxa"/>
            <w:shd w:val="clear" w:color="auto" w:fill="auto"/>
            <w:noWrap w:val="0"/>
            <w:vAlign w:val="center"/>
          </w:tcPr>
          <w:p w14:paraId="621FFF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0.0035</w:t>
            </w:r>
          </w:p>
        </w:tc>
      </w:tr>
      <w:tr w14:paraId="0BE3F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noWrap w:val="0"/>
            <w:vAlign w:val="center"/>
          </w:tcPr>
          <w:p w14:paraId="06BE7B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w:t>
            </w:r>
          </w:p>
        </w:tc>
        <w:tc>
          <w:tcPr>
            <w:tcW w:w="1826" w:type="dxa"/>
            <w:shd w:val="clear" w:color="auto" w:fill="auto"/>
            <w:noWrap w:val="0"/>
            <w:vAlign w:val="center"/>
          </w:tcPr>
          <w:p w14:paraId="46D1FB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0.1405</w:t>
            </w:r>
          </w:p>
        </w:tc>
        <w:tc>
          <w:tcPr>
            <w:tcW w:w="1621" w:type="dxa"/>
            <w:shd w:val="clear" w:color="auto" w:fill="auto"/>
            <w:noWrap w:val="0"/>
            <w:vAlign w:val="center"/>
          </w:tcPr>
          <w:p w14:paraId="1E96E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0.0702</w:t>
            </w:r>
          </w:p>
        </w:tc>
        <w:tc>
          <w:tcPr>
            <w:tcW w:w="1810" w:type="dxa"/>
            <w:shd w:val="clear" w:color="auto" w:fill="auto"/>
            <w:noWrap w:val="0"/>
            <w:vAlign w:val="center"/>
          </w:tcPr>
          <w:p w14:paraId="45118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0.0057</w:t>
            </w:r>
          </w:p>
        </w:tc>
        <w:tc>
          <w:tcPr>
            <w:tcW w:w="1585" w:type="dxa"/>
            <w:shd w:val="clear" w:color="auto" w:fill="auto"/>
            <w:noWrap w:val="0"/>
            <w:vAlign w:val="center"/>
          </w:tcPr>
          <w:p w14:paraId="5FDB0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0.0573</w:t>
            </w:r>
          </w:p>
        </w:tc>
      </w:tr>
      <w:tr w14:paraId="3E541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noWrap w:val="0"/>
            <w:vAlign w:val="center"/>
          </w:tcPr>
          <w:p w14:paraId="728A92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下风向最大距离</w:t>
            </w:r>
          </w:p>
        </w:tc>
        <w:tc>
          <w:tcPr>
            <w:tcW w:w="1826" w:type="dxa"/>
            <w:shd w:val="clear" w:color="auto" w:fill="auto"/>
            <w:noWrap w:val="0"/>
            <w:vAlign w:val="center"/>
          </w:tcPr>
          <w:p w14:paraId="15D6D8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108.0</w:t>
            </w:r>
          </w:p>
        </w:tc>
        <w:tc>
          <w:tcPr>
            <w:tcW w:w="1621" w:type="dxa"/>
            <w:shd w:val="clear" w:color="auto" w:fill="auto"/>
            <w:noWrap w:val="0"/>
            <w:vAlign w:val="center"/>
          </w:tcPr>
          <w:p w14:paraId="78AC1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108.0</w:t>
            </w:r>
          </w:p>
        </w:tc>
        <w:tc>
          <w:tcPr>
            <w:tcW w:w="1810" w:type="dxa"/>
            <w:shd w:val="clear" w:color="auto" w:fill="auto"/>
            <w:noWrap w:val="0"/>
            <w:vAlign w:val="center"/>
          </w:tcPr>
          <w:p w14:paraId="50E65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108.0</w:t>
            </w:r>
          </w:p>
        </w:tc>
        <w:tc>
          <w:tcPr>
            <w:tcW w:w="1585" w:type="dxa"/>
            <w:shd w:val="clear" w:color="auto" w:fill="auto"/>
            <w:noWrap w:val="0"/>
            <w:vAlign w:val="center"/>
          </w:tcPr>
          <w:p w14:paraId="082C51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108.0</w:t>
            </w:r>
          </w:p>
        </w:tc>
      </w:tr>
      <w:tr w14:paraId="6CD9B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noWrap w:val="0"/>
            <w:vAlign w:val="center"/>
          </w:tcPr>
          <w:p w14:paraId="71E4C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D10%最远距离</w:t>
            </w:r>
          </w:p>
        </w:tc>
        <w:tc>
          <w:tcPr>
            <w:tcW w:w="1826" w:type="dxa"/>
            <w:noWrap w:val="0"/>
            <w:vAlign w:val="center"/>
          </w:tcPr>
          <w:p w14:paraId="69DBAA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21" w:type="dxa"/>
            <w:noWrap w:val="0"/>
            <w:vAlign w:val="center"/>
          </w:tcPr>
          <w:p w14:paraId="6C5FA3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810" w:type="dxa"/>
            <w:noWrap w:val="0"/>
            <w:vAlign w:val="center"/>
          </w:tcPr>
          <w:p w14:paraId="4524EA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85" w:type="dxa"/>
            <w:noWrap w:val="0"/>
            <w:vAlign w:val="center"/>
          </w:tcPr>
          <w:p w14:paraId="02A385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5908E6C1">
      <w:pPr>
        <w:bidi w:val="0"/>
        <w:rPr>
          <w:rFonts w:hint="eastAsia"/>
          <w:color w:val="auto"/>
          <w:lang w:eastAsia="zh-CN"/>
        </w:rPr>
      </w:pPr>
      <w:r>
        <w:rPr>
          <w:rFonts w:hint="eastAsia" w:cs="Times New Roman"/>
          <w:color w:val="auto"/>
          <w:sz w:val="24"/>
          <w:highlight w:val="none"/>
          <w:lang w:val="en-US" w:eastAsia="zh-CN"/>
        </w:rPr>
        <w:t>屠宰加工车间</w:t>
      </w:r>
      <w:r>
        <w:rPr>
          <w:rFonts w:hint="default" w:ascii="Times New Roman" w:hAnsi="Times New Roman" w:eastAsia="仿宋_GB2312" w:cs="Times New Roman"/>
          <w:color w:val="auto"/>
          <w:sz w:val="24"/>
          <w:highlight w:val="none"/>
        </w:rPr>
        <w:t>NH</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和H</w:t>
      </w:r>
      <w:r>
        <w:rPr>
          <w:rFonts w:hint="default" w:ascii="Times New Roman" w:hAnsi="Times New Roman" w:eastAsia="仿宋_GB2312" w:cs="Times New Roman"/>
          <w:color w:val="auto"/>
          <w:sz w:val="24"/>
          <w:highlight w:val="none"/>
          <w:vertAlign w:val="subscript"/>
        </w:rPr>
        <w:t>2</w:t>
      </w:r>
      <w:r>
        <w:rPr>
          <w:rFonts w:hint="default" w:ascii="Times New Roman" w:hAnsi="Times New Roman" w:eastAsia="仿宋_GB2312" w:cs="Times New Roman"/>
          <w:color w:val="auto"/>
          <w:sz w:val="24"/>
          <w:highlight w:val="none"/>
        </w:rPr>
        <w:t>S的最大落地浓度分别为6.9833μg/m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、0.4825μg/m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，最大浓度占标率分别为3.4916%、4.8248%；</w:t>
      </w:r>
      <w:r>
        <w:rPr>
          <w:rFonts w:hint="eastAsia" w:cs="Times New Roman"/>
          <w:color w:val="auto"/>
          <w:sz w:val="24"/>
          <w:highlight w:val="none"/>
          <w:lang w:val="en-US" w:eastAsia="zh-CN"/>
        </w:rPr>
        <w:t>待宰圈</w:t>
      </w:r>
      <w:r>
        <w:rPr>
          <w:rFonts w:hint="default" w:ascii="Times New Roman" w:hAnsi="Times New Roman" w:eastAsia="仿宋_GB2312" w:cs="Times New Roman"/>
          <w:color w:val="auto"/>
          <w:sz w:val="24"/>
          <w:highlight w:val="none"/>
        </w:rPr>
        <w:t>NH</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和H</w:t>
      </w:r>
      <w:r>
        <w:rPr>
          <w:rFonts w:hint="default" w:ascii="Times New Roman" w:hAnsi="Times New Roman" w:eastAsia="仿宋_GB2312" w:cs="Times New Roman"/>
          <w:color w:val="auto"/>
          <w:sz w:val="24"/>
          <w:highlight w:val="none"/>
          <w:vertAlign w:val="subscript"/>
        </w:rPr>
        <w:t>2</w:t>
      </w:r>
      <w:r>
        <w:rPr>
          <w:rFonts w:hint="default" w:ascii="Times New Roman" w:hAnsi="Times New Roman" w:eastAsia="仿宋_GB2312" w:cs="Times New Roman"/>
          <w:color w:val="auto"/>
          <w:sz w:val="24"/>
          <w:highlight w:val="none"/>
        </w:rPr>
        <w:t>S的最大落地浓度分别为0.9972μg/m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、0.0689μg/m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，最大浓度占标率分别为0.4986%、0.6890%；</w:t>
      </w:r>
      <w:r>
        <w:rPr>
          <w:rFonts w:hint="eastAsia" w:cs="Times New Roman"/>
          <w:color w:val="auto"/>
          <w:sz w:val="24"/>
          <w:highlight w:val="none"/>
          <w:lang w:val="en-US" w:eastAsia="zh-CN"/>
        </w:rPr>
        <w:t>待宰圈排气筒DA001</w:t>
      </w:r>
      <w:r>
        <w:rPr>
          <w:rFonts w:hint="default" w:ascii="Times New Roman" w:hAnsi="Times New Roman" w:eastAsia="仿宋_GB2312" w:cs="Times New Roman"/>
          <w:color w:val="auto"/>
          <w:sz w:val="24"/>
          <w:highlight w:val="none"/>
        </w:rPr>
        <w:t>NH</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和H</w:t>
      </w:r>
      <w:r>
        <w:rPr>
          <w:rFonts w:hint="default" w:ascii="Times New Roman" w:hAnsi="Times New Roman" w:eastAsia="仿宋_GB2312" w:cs="Times New Roman"/>
          <w:color w:val="auto"/>
          <w:sz w:val="24"/>
          <w:highlight w:val="none"/>
          <w:vertAlign w:val="subscript"/>
        </w:rPr>
        <w:t>2</w:t>
      </w:r>
      <w:r>
        <w:rPr>
          <w:rFonts w:hint="default" w:ascii="Times New Roman" w:hAnsi="Times New Roman" w:eastAsia="仿宋_GB2312" w:cs="Times New Roman"/>
          <w:color w:val="auto"/>
          <w:sz w:val="24"/>
          <w:highlight w:val="none"/>
        </w:rPr>
        <w:t>S的最大落地浓度分别为0.4194μg/m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、0.0290μg/m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，最大浓度占标率分别为0.2097%、0.2904%；</w:t>
      </w:r>
      <w:r>
        <w:rPr>
          <w:rFonts w:hint="eastAsia" w:cs="Times New Roman"/>
          <w:color w:val="auto"/>
          <w:sz w:val="24"/>
          <w:highlight w:val="none"/>
          <w:lang w:val="en-US" w:eastAsia="zh-CN"/>
        </w:rPr>
        <w:t>污水处理站排气筒DA002</w:t>
      </w:r>
      <w:r>
        <w:rPr>
          <w:rFonts w:hint="default" w:ascii="Times New Roman" w:hAnsi="Times New Roman" w:eastAsia="仿宋_GB2312" w:cs="Times New Roman"/>
          <w:color w:val="auto"/>
          <w:sz w:val="24"/>
          <w:highlight w:val="none"/>
        </w:rPr>
        <w:t>NH</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和H</w:t>
      </w:r>
      <w:r>
        <w:rPr>
          <w:rFonts w:hint="default" w:ascii="Times New Roman" w:hAnsi="Times New Roman" w:eastAsia="仿宋_GB2312" w:cs="Times New Roman"/>
          <w:color w:val="auto"/>
          <w:sz w:val="24"/>
          <w:highlight w:val="none"/>
          <w:vertAlign w:val="subscript"/>
        </w:rPr>
        <w:t>2</w:t>
      </w:r>
      <w:r>
        <w:rPr>
          <w:rFonts w:hint="default" w:ascii="Times New Roman" w:hAnsi="Times New Roman" w:eastAsia="仿宋_GB2312" w:cs="Times New Roman"/>
          <w:color w:val="auto"/>
          <w:sz w:val="24"/>
          <w:highlight w:val="none"/>
        </w:rPr>
        <w:t>S的最大落地浓度分别为0.1405μg/m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、0.0057μg/m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，最大浓度占标率分别为0.0702%、0.0573%</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NH</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和H</w:t>
      </w:r>
      <w:r>
        <w:rPr>
          <w:rFonts w:hint="default" w:ascii="Times New Roman" w:hAnsi="Times New Roman" w:eastAsia="仿宋_GB2312" w:cs="Times New Roman"/>
          <w:color w:val="auto"/>
          <w:sz w:val="24"/>
          <w:highlight w:val="none"/>
          <w:vertAlign w:val="subscript"/>
        </w:rPr>
        <w:t>2</w:t>
      </w:r>
      <w:r>
        <w:rPr>
          <w:rFonts w:hint="default" w:ascii="Times New Roman" w:hAnsi="Times New Roman" w:eastAsia="仿宋_GB2312" w:cs="Times New Roman"/>
          <w:color w:val="auto"/>
          <w:sz w:val="24"/>
          <w:highlight w:val="none"/>
        </w:rPr>
        <w:t>S的最大落地浓度小于《环境影响评价技术导则 大气环境》（HJ2.2-2018）中附录D中其他污染物空气质量浓度限值。</w:t>
      </w:r>
    </w:p>
    <w:p w14:paraId="0414F501">
      <w:pPr>
        <w:bidi w:val="0"/>
        <w:rPr>
          <w:rFonts w:hint="eastAsia"/>
          <w:color w:val="auto"/>
          <w:lang w:eastAsia="zh-CN"/>
        </w:rPr>
      </w:pPr>
      <w:r>
        <w:rPr>
          <w:rFonts w:hint="eastAsia"/>
          <w:color w:val="auto"/>
          <w:lang w:eastAsia="zh-CN"/>
        </w:rPr>
        <w:t>本项目所在区域主导风向为SE，屠宰车间</w:t>
      </w:r>
      <w:r>
        <w:rPr>
          <w:rFonts w:hint="eastAsia"/>
          <w:color w:val="auto"/>
          <w:lang w:val="en-US" w:eastAsia="zh-CN"/>
        </w:rPr>
        <w:t>及待宰圈均采取相应废气防治措施</w:t>
      </w:r>
      <w:r>
        <w:rPr>
          <w:rFonts w:hint="eastAsia"/>
          <w:color w:val="auto"/>
          <w:lang w:eastAsia="zh-CN"/>
        </w:rPr>
        <w:t>，</w:t>
      </w:r>
      <w:r>
        <w:rPr>
          <w:rFonts w:hint="eastAsia"/>
          <w:color w:val="auto"/>
          <w:lang w:val="en-US" w:eastAsia="zh-CN"/>
        </w:rPr>
        <w:t>厂区设</w:t>
      </w:r>
      <w:r>
        <w:rPr>
          <w:rFonts w:hint="eastAsia"/>
          <w:color w:val="auto"/>
          <w:lang w:eastAsia="zh-CN"/>
        </w:rPr>
        <w:t>绿化带等，可有效减轻恶臭气体对场区内的影响。通过加强恶臭污染源管理并严格执行评价提出的污染防治措施，本项目产生的恶臭</w:t>
      </w:r>
      <w:r>
        <w:rPr>
          <w:rFonts w:hint="eastAsia"/>
          <w:color w:val="auto"/>
          <w:lang w:val="en-US" w:eastAsia="zh-CN"/>
        </w:rPr>
        <w:t>满足《恶臭污染物排放标准》（GB14554-93）表2排放标准</w:t>
      </w:r>
      <w:r>
        <w:rPr>
          <w:rFonts w:hint="eastAsia"/>
          <w:color w:val="auto"/>
          <w:lang w:eastAsia="zh-CN"/>
        </w:rPr>
        <w:t>限值要求，对周围环境空气质量的影响是可以接受的。</w:t>
      </w:r>
    </w:p>
    <w:p w14:paraId="78D94F9B">
      <w:pPr>
        <w:bidi w:val="0"/>
        <w:rPr>
          <w:rFonts w:hint="eastAsia"/>
          <w:color w:val="auto"/>
          <w:lang w:eastAsia="zh-CN"/>
        </w:rPr>
      </w:pPr>
      <w:r>
        <w:rPr>
          <w:rFonts w:hint="eastAsia"/>
          <w:color w:val="auto"/>
          <w:lang w:eastAsia="zh-CN"/>
        </w:rPr>
        <w:t>通过加强废气污染源管理并严格执行评价提出的污染防治措施，本项目产生的废气对周围环境空气质量的影响是可以接受的。</w:t>
      </w:r>
    </w:p>
    <w:p w14:paraId="35F8902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eastAsia" w:ascii="Times New Roman" w:hAnsi="Times New Roman" w:eastAsia="黑体" w:cs="Times New Roman"/>
          <w:b/>
          <w:bCs w:val="0"/>
          <w:color w:val="auto"/>
          <w:sz w:val="28"/>
          <w:szCs w:val="28"/>
          <w:lang w:val="en-US" w:eastAsia="zh-CN"/>
        </w:rPr>
      </w:pPr>
      <w:bookmarkStart w:id="423" w:name="_Toc31177"/>
      <w:bookmarkStart w:id="424" w:name="_Toc3854"/>
      <w:r>
        <w:rPr>
          <w:rFonts w:hint="eastAsia" w:ascii="Times New Roman" w:hAnsi="Times New Roman" w:eastAsia="黑体" w:cs="Times New Roman"/>
          <w:b/>
          <w:bCs w:val="0"/>
          <w:color w:val="auto"/>
          <w:sz w:val="28"/>
          <w:szCs w:val="28"/>
          <w:lang w:val="en-US" w:eastAsia="zh-CN"/>
        </w:rPr>
        <w:t>5.1.</w:t>
      </w:r>
      <w:r>
        <w:rPr>
          <w:rFonts w:hint="eastAsia" w:eastAsia="黑体" w:cs="Times New Roman"/>
          <w:b/>
          <w:bCs w:val="0"/>
          <w:color w:val="auto"/>
          <w:sz w:val="28"/>
          <w:szCs w:val="28"/>
          <w:lang w:val="en-US" w:eastAsia="zh-CN"/>
        </w:rPr>
        <w:t>2</w:t>
      </w:r>
      <w:r>
        <w:rPr>
          <w:rFonts w:hint="eastAsia" w:ascii="Times New Roman" w:hAnsi="Times New Roman" w:eastAsia="黑体" w:cs="Times New Roman"/>
          <w:b/>
          <w:bCs w:val="0"/>
          <w:color w:val="auto"/>
          <w:sz w:val="28"/>
          <w:szCs w:val="28"/>
          <w:lang w:val="en-US" w:eastAsia="zh-CN"/>
        </w:rPr>
        <w:t>污染物排放量核算</w:t>
      </w:r>
      <w:bookmarkEnd w:id="423"/>
      <w:bookmarkEnd w:id="424"/>
    </w:p>
    <w:p w14:paraId="67CAE721">
      <w:pPr>
        <w:pageBreakBefore w:val="0"/>
        <w:kinsoku/>
        <w:wordWrap/>
        <w:topLinePunct w:val="0"/>
        <w:bidi w:val="0"/>
        <w:adjustRightInd/>
        <w:ind w:left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）污染物核算</w:t>
      </w:r>
    </w:p>
    <w:p w14:paraId="1ED54F0D">
      <w:pPr>
        <w:bidi w:val="0"/>
        <w:rPr>
          <w:rFonts w:hint="eastAsia"/>
          <w:color w:val="auto"/>
          <w:lang w:eastAsia="zh-CN"/>
        </w:rPr>
      </w:pPr>
      <w:r>
        <w:rPr>
          <w:rFonts w:hint="eastAsia"/>
          <w:color w:val="000000" w:themeColor="text1"/>
          <w:lang w:eastAsia="zh-CN"/>
          <w14:textFill>
            <w14:solidFill>
              <w14:schemeClr w14:val="tx1"/>
            </w14:solidFill>
          </w14:textFill>
        </w:rPr>
        <w:t>本项目有组织污染物排放量核算见表5.1-</w:t>
      </w:r>
      <w:r>
        <w:rPr>
          <w:rFonts w:hint="eastAsia"/>
          <w:color w:val="000000" w:themeColor="text1"/>
          <w:lang w:val="en-US" w:eastAsia="zh-CN"/>
          <w14:textFill>
            <w14:solidFill>
              <w14:schemeClr w14:val="tx1"/>
            </w14:solidFill>
          </w14:textFill>
        </w:rPr>
        <w:t>8</w:t>
      </w:r>
      <w:r>
        <w:rPr>
          <w:rFonts w:hint="eastAsia"/>
          <w:color w:val="000000" w:themeColor="text1"/>
          <w:lang w:eastAsia="zh-CN"/>
          <w14:textFill>
            <w14:solidFill>
              <w14:schemeClr w14:val="tx1"/>
            </w14:solidFill>
          </w14:textFill>
        </w:rPr>
        <w:t>，无组织污染物排放量核算见表5.1-</w:t>
      </w:r>
      <w:r>
        <w:rPr>
          <w:rFonts w:hint="eastAsia"/>
          <w:color w:val="000000" w:themeColor="text1"/>
          <w:lang w:val="en-US" w:eastAsia="zh-CN"/>
          <w14:textFill>
            <w14:solidFill>
              <w14:schemeClr w14:val="tx1"/>
            </w14:solidFill>
          </w14:textFill>
        </w:rPr>
        <w:t>9</w:t>
      </w:r>
      <w:r>
        <w:rPr>
          <w:rFonts w:hint="eastAsia"/>
          <w:color w:val="000000" w:themeColor="text1"/>
          <w:lang w:eastAsia="zh-CN"/>
          <w14:textFill>
            <w14:solidFill>
              <w14:schemeClr w14:val="tx1"/>
            </w14:solidFill>
          </w14:textFill>
        </w:rPr>
        <w:t>。</w:t>
      </w:r>
    </w:p>
    <w:p w14:paraId="7238579F">
      <w:pPr>
        <w:pageBreakBefore w:val="0"/>
        <w:kinsoku/>
        <w:wordWrap/>
        <w:topLinePunct w:val="0"/>
        <w:bidi w:val="0"/>
        <w:adjustRightInd/>
        <w:spacing w:line="240" w:lineRule="auto"/>
        <w:ind w:leftChars="0"/>
        <w:rPr>
          <w:rFonts w:hint="eastAsia" w:ascii="Times New Roman" w:hAnsi="Times New Roman"/>
          <w:color w:val="000000" w:themeColor="text1"/>
          <w:lang w:eastAsia="zh-CN"/>
          <w14:textFill>
            <w14:solidFill>
              <w14:schemeClr w14:val="tx1"/>
            </w14:solidFill>
          </w14:textFill>
        </w:rPr>
      </w:pPr>
      <w:r>
        <w:rPr>
          <w:rFonts w:hint="eastAsia" w:ascii="Times New Roman" w:eastAsia="宋体" w:cs="Times New Roman"/>
          <w:b w:val="0"/>
          <w:bCs w:val="0"/>
          <w:color w:val="000000" w:themeColor="text1"/>
          <w:kern w:val="2"/>
          <w:sz w:val="21"/>
          <w:szCs w:val="21"/>
          <w:lang w:val="en-US" w:eastAsia="zh-CN" w:bidi="ar-SA"/>
          <w14:textFill>
            <w14:solidFill>
              <w14:schemeClr w14:val="tx1"/>
            </w14:solidFill>
          </w14:textFill>
        </w:rPr>
        <w:t>表5.1-</w:t>
      </w:r>
      <w:r>
        <w:rPr>
          <w:rFonts w:hint="eastAsia" w:eastAsia="宋体" w:cs="Times New Roman"/>
          <w:b w:val="0"/>
          <w:bCs w:val="0"/>
          <w:color w:val="000000" w:themeColor="text1"/>
          <w:kern w:val="2"/>
          <w:sz w:val="21"/>
          <w:szCs w:val="21"/>
          <w:lang w:val="en-US" w:eastAsia="zh-CN" w:bidi="ar-SA"/>
          <w14:textFill>
            <w14:solidFill>
              <w14:schemeClr w14:val="tx1"/>
            </w14:solidFill>
          </w14:textFill>
        </w:rPr>
        <w:t>8</w:t>
      </w:r>
      <w:r>
        <w:rPr>
          <w:rFonts w:hint="eastAsia" w:ascii="Times New Roman" w:eastAsia="宋体" w:cs="Times New Roman"/>
          <w:b/>
          <w:bCs/>
          <w:color w:val="000000" w:themeColor="text1"/>
          <w:kern w:val="2"/>
          <w:sz w:val="24"/>
          <w:szCs w:val="24"/>
          <w:lang w:val="en-US" w:eastAsia="zh-CN" w:bidi="ar-SA"/>
          <w14:textFill>
            <w14:solidFill>
              <w14:schemeClr w14:val="tx1"/>
            </w14:solidFill>
          </w14:textFill>
        </w:rPr>
        <w:t xml:space="preserve">            本项目大气污染物有组织排放量核算表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489"/>
        <w:gridCol w:w="1817"/>
        <w:gridCol w:w="1563"/>
        <w:gridCol w:w="1743"/>
        <w:gridCol w:w="1429"/>
      </w:tblGrid>
      <w:tr w14:paraId="436E9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7" w:type="dxa"/>
            <w:tcBorders>
              <w:tl2br w:val="nil"/>
              <w:tr2bl w:val="nil"/>
            </w:tcBorders>
            <w:noWrap w:val="0"/>
            <w:vAlign w:val="center"/>
          </w:tcPr>
          <w:p w14:paraId="3B07D108">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序号</w:t>
            </w:r>
          </w:p>
        </w:tc>
        <w:tc>
          <w:tcPr>
            <w:tcW w:w="1489" w:type="dxa"/>
            <w:tcBorders>
              <w:tl2br w:val="nil"/>
              <w:tr2bl w:val="nil"/>
            </w:tcBorders>
            <w:noWrap w:val="0"/>
            <w:vAlign w:val="center"/>
          </w:tcPr>
          <w:p w14:paraId="3F76251F">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排放口编号</w:t>
            </w:r>
          </w:p>
        </w:tc>
        <w:tc>
          <w:tcPr>
            <w:tcW w:w="1817" w:type="dxa"/>
            <w:tcBorders>
              <w:tl2br w:val="nil"/>
              <w:tr2bl w:val="nil"/>
            </w:tcBorders>
            <w:noWrap w:val="0"/>
            <w:vAlign w:val="center"/>
          </w:tcPr>
          <w:p w14:paraId="0D718DB4">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污染物</w:t>
            </w:r>
          </w:p>
        </w:tc>
        <w:tc>
          <w:tcPr>
            <w:tcW w:w="1563" w:type="dxa"/>
            <w:tcBorders>
              <w:tl2br w:val="nil"/>
              <w:tr2bl w:val="nil"/>
            </w:tcBorders>
            <w:noWrap w:val="0"/>
            <w:vAlign w:val="center"/>
          </w:tcPr>
          <w:p w14:paraId="0356EF13">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核算排放浓度</w:t>
            </w: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1743" w:type="dxa"/>
            <w:tcBorders>
              <w:tl2br w:val="nil"/>
              <w:tr2bl w:val="nil"/>
            </w:tcBorders>
            <w:noWrap w:val="0"/>
            <w:vAlign w:val="center"/>
          </w:tcPr>
          <w:p w14:paraId="6C6D2F2A">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核算排放速率</w:t>
            </w:r>
            <w:r>
              <w:rPr>
                <w:rFonts w:hint="default" w:ascii="Times New Roman" w:hAnsi="Times New Roman" w:eastAsia="宋体" w:cs="Times New Roman"/>
                <w:b/>
                <w:bCs/>
                <w:color w:val="000000" w:themeColor="text1"/>
                <w:sz w:val="21"/>
                <w:szCs w:val="21"/>
                <w14:textFill>
                  <w14:solidFill>
                    <w14:schemeClr w14:val="tx1"/>
                  </w14:solidFill>
                </w14:textFill>
              </w:rPr>
              <w:t>kg/h</w:t>
            </w:r>
          </w:p>
        </w:tc>
        <w:tc>
          <w:tcPr>
            <w:tcW w:w="1429" w:type="dxa"/>
            <w:tcBorders>
              <w:tl2br w:val="nil"/>
              <w:tr2bl w:val="nil"/>
            </w:tcBorders>
            <w:noWrap w:val="0"/>
            <w:vAlign w:val="center"/>
          </w:tcPr>
          <w:p w14:paraId="6626DAA8">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核算排放量</w:t>
            </w:r>
            <w:r>
              <w:rPr>
                <w:rFonts w:hint="default" w:ascii="Times New Roman" w:hAnsi="Times New Roman" w:eastAsia="宋体" w:cs="Times New Roman"/>
                <w:b/>
                <w:bCs/>
                <w:color w:val="000000" w:themeColor="text1"/>
                <w:sz w:val="21"/>
                <w:szCs w:val="21"/>
                <w14:textFill>
                  <w14:solidFill>
                    <w14:schemeClr w14:val="tx1"/>
                  </w14:solidFill>
                </w14:textFill>
              </w:rPr>
              <w:t>t/a</w:t>
            </w:r>
          </w:p>
        </w:tc>
      </w:tr>
      <w:tr w14:paraId="7398A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8" w:type="dxa"/>
            <w:gridSpan w:val="6"/>
            <w:tcBorders>
              <w:tl2br w:val="nil"/>
              <w:tr2bl w:val="nil"/>
            </w:tcBorders>
            <w:noWrap w:val="0"/>
            <w:vAlign w:val="center"/>
          </w:tcPr>
          <w:p w14:paraId="3AE7DFF1">
            <w:pPr>
              <w:pStyle w:val="6"/>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eastAsiaTheme="minorEastAsia"/>
                <w:color w:val="000000" w:themeColor="text1"/>
                <w:kern w:val="0"/>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0"/>
                <w:sz w:val="21"/>
                <w:szCs w:val="21"/>
                <w:vertAlign w:val="baseline"/>
                <w:lang w:val="en-US" w:eastAsia="zh-CN"/>
                <w14:textFill>
                  <w14:solidFill>
                    <w14:schemeClr w14:val="tx1"/>
                  </w14:solidFill>
                </w14:textFill>
              </w:rPr>
              <w:t>一般排放口</w:t>
            </w:r>
          </w:p>
        </w:tc>
      </w:tr>
      <w:tr w14:paraId="759EB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7" w:type="dxa"/>
            <w:vMerge w:val="restart"/>
            <w:tcBorders>
              <w:tl2br w:val="nil"/>
              <w:tr2bl w:val="nil"/>
            </w:tcBorders>
            <w:noWrap w:val="0"/>
            <w:vAlign w:val="center"/>
          </w:tcPr>
          <w:p w14:paraId="3DE74EE8">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1"/>
                <w:vertAlign w:val="baseline"/>
                <w:lang w:val="en-US" w:eastAsia="zh-CN" w:bidi="ar-SA"/>
                <w14:textFill>
                  <w14:solidFill>
                    <w14:schemeClr w14:val="tx1"/>
                  </w14:solidFill>
                </w14:textFill>
              </w:rPr>
              <w:t>1</w:t>
            </w:r>
          </w:p>
        </w:tc>
        <w:tc>
          <w:tcPr>
            <w:tcW w:w="1489" w:type="dxa"/>
            <w:vMerge w:val="restart"/>
            <w:tcBorders>
              <w:tl2br w:val="nil"/>
              <w:tr2bl w:val="nil"/>
            </w:tcBorders>
            <w:noWrap w:val="0"/>
            <w:vAlign w:val="center"/>
          </w:tcPr>
          <w:p w14:paraId="0732C43A">
            <w:pPr>
              <w:keepNext w:val="0"/>
              <w:keepLines w:val="0"/>
              <w:pageBreakBefore w:val="0"/>
              <w:kinsoku/>
              <w:wordWrap/>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DA001</w:t>
            </w:r>
          </w:p>
        </w:tc>
        <w:tc>
          <w:tcPr>
            <w:tcW w:w="1817" w:type="dxa"/>
            <w:tcBorders>
              <w:tl2br w:val="nil"/>
              <w:tr2bl w:val="nil"/>
            </w:tcBorders>
            <w:shd w:val="clear" w:color="auto" w:fill="auto"/>
            <w:noWrap w:val="0"/>
            <w:vAlign w:val="center"/>
          </w:tcPr>
          <w:p w14:paraId="02707AF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1563" w:type="dxa"/>
            <w:tcBorders>
              <w:tl2br w:val="nil"/>
              <w:tr2bl w:val="nil"/>
            </w:tcBorders>
            <w:shd w:val="clear" w:color="auto" w:fill="auto"/>
            <w:noWrap w:val="0"/>
            <w:vAlign w:val="center"/>
          </w:tcPr>
          <w:p w14:paraId="1CF5F5C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0.28</w:t>
            </w:r>
          </w:p>
        </w:tc>
        <w:tc>
          <w:tcPr>
            <w:tcW w:w="1743" w:type="dxa"/>
            <w:tcBorders>
              <w:tl2br w:val="nil"/>
              <w:tr2bl w:val="nil"/>
            </w:tcBorders>
            <w:shd w:val="clear" w:color="auto" w:fill="auto"/>
            <w:noWrap w:val="0"/>
            <w:vAlign w:val="center"/>
          </w:tcPr>
          <w:p w14:paraId="7ED8E352">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0.0039</w:t>
            </w:r>
          </w:p>
        </w:tc>
        <w:tc>
          <w:tcPr>
            <w:tcW w:w="1429" w:type="dxa"/>
            <w:tcBorders>
              <w:tl2br w:val="nil"/>
              <w:tr2bl w:val="nil"/>
            </w:tcBorders>
            <w:shd w:val="clear" w:color="auto" w:fill="auto"/>
            <w:noWrap w:val="0"/>
            <w:vAlign w:val="center"/>
          </w:tcPr>
          <w:p w14:paraId="18C77A53">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0.031</w:t>
            </w:r>
          </w:p>
        </w:tc>
      </w:tr>
      <w:tr w14:paraId="4BC23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7" w:type="dxa"/>
            <w:vMerge w:val="continue"/>
            <w:tcBorders>
              <w:tl2br w:val="nil"/>
              <w:tr2bl w:val="nil"/>
            </w:tcBorders>
            <w:noWrap w:val="0"/>
            <w:vAlign w:val="center"/>
          </w:tcPr>
          <w:p w14:paraId="0EAB9C81">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val="0"/>
                <w:color w:val="000000" w:themeColor="text1"/>
                <w:kern w:val="2"/>
                <w:sz w:val="21"/>
                <w:szCs w:val="21"/>
                <w:vertAlign w:val="baseline"/>
                <w:lang w:val="en-US" w:eastAsia="zh-CN" w:bidi="ar-SA"/>
                <w14:textFill>
                  <w14:solidFill>
                    <w14:schemeClr w14:val="tx1"/>
                  </w14:solidFill>
                </w14:textFill>
              </w:rPr>
            </w:pPr>
          </w:p>
        </w:tc>
        <w:tc>
          <w:tcPr>
            <w:tcW w:w="1489" w:type="dxa"/>
            <w:vMerge w:val="continue"/>
            <w:tcBorders>
              <w:tl2br w:val="nil"/>
              <w:tr2bl w:val="nil"/>
            </w:tcBorders>
            <w:noWrap w:val="0"/>
            <w:vAlign w:val="center"/>
          </w:tcPr>
          <w:p w14:paraId="2A7A4B60">
            <w:pPr>
              <w:keepNext w:val="0"/>
              <w:keepLines w:val="0"/>
              <w:pageBreakBefore w:val="0"/>
              <w:kinsoku/>
              <w:wordWrap/>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17" w:type="dxa"/>
            <w:tcBorders>
              <w:tl2br w:val="nil"/>
              <w:tr2bl w:val="nil"/>
            </w:tcBorders>
            <w:shd w:val="clear" w:color="auto" w:fill="auto"/>
            <w:noWrap w:val="0"/>
            <w:vAlign w:val="center"/>
          </w:tcPr>
          <w:p w14:paraId="7F6AE6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1563" w:type="dxa"/>
            <w:tcBorders>
              <w:tl2br w:val="nil"/>
              <w:tr2bl w:val="nil"/>
            </w:tcBorders>
            <w:shd w:val="clear" w:color="auto" w:fill="auto"/>
            <w:noWrap w:val="0"/>
            <w:vAlign w:val="center"/>
          </w:tcPr>
          <w:p w14:paraId="4C5C196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0.02</w:t>
            </w:r>
          </w:p>
        </w:tc>
        <w:tc>
          <w:tcPr>
            <w:tcW w:w="1743" w:type="dxa"/>
            <w:tcBorders>
              <w:tl2br w:val="nil"/>
              <w:tr2bl w:val="nil"/>
            </w:tcBorders>
            <w:shd w:val="clear" w:color="auto" w:fill="auto"/>
            <w:noWrap w:val="0"/>
            <w:vAlign w:val="center"/>
          </w:tcPr>
          <w:p w14:paraId="55554DCB">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0.00027</w:t>
            </w:r>
          </w:p>
        </w:tc>
        <w:tc>
          <w:tcPr>
            <w:tcW w:w="1429" w:type="dxa"/>
            <w:tcBorders>
              <w:tl2br w:val="nil"/>
              <w:tr2bl w:val="nil"/>
            </w:tcBorders>
            <w:shd w:val="clear" w:color="auto" w:fill="auto"/>
            <w:noWrap w:val="0"/>
            <w:vAlign w:val="center"/>
          </w:tcPr>
          <w:p w14:paraId="5B3D1048">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0.0022</w:t>
            </w:r>
          </w:p>
        </w:tc>
      </w:tr>
      <w:tr w14:paraId="5AFEE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7" w:type="dxa"/>
            <w:vMerge w:val="restart"/>
            <w:tcBorders>
              <w:tl2br w:val="nil"/>
              <w:tr2bl w:val="nil"/>
            </w:tcBorders>
            <w:noWrap w:val="0"/>
            <w:vAlign w:val="center"/>
          </w:tcPr>
          <w:p w14:paraId="0ADCF16A">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1"/>
                <w:vertAlign w:val="baseline"/>
                <w:lang w:val="en-US" w:eastAsia="zh-CN" w:bidi="ar-SA"/>
                <w14:textFill>
                  <w14:solidFill>
                    <w14:schemeClr w14:val="tx1"/>
                  </w14:solidFill>
                </w14:textFill>
              </w:rPr>
              <w:t>2</w:t>
            </w:r>
          </w:p>
        </w:tc>
        <w:tc>
          <w:tcPr>
            <w:tcW w:w="1489" w:type="dxa"/>
            <w:vMerge w:val="restart"/>
            <w:tcBorders>
              <w:tl2br w:val="nil"/>
              <w:tr2bl w:val="nil"/>
            </w:tcBorders>
            <w:noWrap w:val="0"/>
            <w:vAlign w:val="center"/>
          </w:tcPr>
          <w:p w14:paraId="734E3433">
            <w:pPr>
              <w:keepNext w:val="0"/>
              <w:keepLines w:val="0"/>
              <w:pageBreakBefore w:val="0"/>
              <w:kinsoku/>
              <w:wordWrap/>
              <w:overflowPunct/>
              <w:topLinePunct w:val="0"/>
              <w:autoSpaceDE/>
              <w:autoSpaceDN/>
              <w:bidi w:val="0"/>
              <w:adjustRightInd/>
              <w:snapToGrid/>
              <w:spacing w:line="240" w:lineRule="auto"/>
              <w:ind w:leftChars="0" w:firstLine="0" w:firstLineChars="0"/>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DA002</w:t>
            </w:r>
          </w:p>
        </w:tc>
        <w:tc>
          <w:tcPr>
            <w:tcW w:w="1817" w:type="dxa"/>
            <w:tcBorders>
              <w:tl2br w:val="nil"/>
              <w:tr2bl w:val="nil"/>
            </w:tcBorders>
            <w:shd w:val="clear" w:color="auto" w:fill="auto"/>
            <w:noWrap w:val="0"/>
            <w:vAlign w:val="center"/>
          </w:tcPr>
          <w:p w14:paraId="4FCAA3F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1563" w:type="dxa"/>
            <w:tcBorders>
              <w:tl2br w:val="nil"/>
              <w:tr2bl w:val="nil"/>
            </w:tcBorders>
            <w:shd w:val="clear" w:color="auto" w:fill="auto"/>
            <w:noWrap w:val="0"/>
            <w:vAlign w:val="center"/>
          </w:tcPr>
          <w:p w14:paraId="3AFD33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1.3</w:t>
            </w:r>
          </w:p>
        </w:tc>
        <w:tc>
          <w:tcPr>
            <w:tcW w:w="1743" w:type="dxa"/>
            <w:tcBorders>
              <w:tl2br w:val="nil"/>
              <w:tr2bl w:val="nil"/>
            </w:tcBorders>
            <w:shd w:val="clear" w:color="auto" w:fill="auto"/>
            <w:noWrap w:val="0"/>
            <w:vAlign w:val="center"/>
          </w:tcPr>
          <w:p w14:paraId="7F38AD27">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0.0013</w:t>
            </w:r>
          </w:p>
        </w:tc>
        <w:tc>
          <w:tcPr>
            <w:tcW w:w="1429" w:type="dxa"/>
            <w:tcBorders>
              <w:tl2br w:val="nil"/>
              <w:tr2bl w:val="nil"/>
            </w:tcBorders>
            <w:shd w:val="clear" w:color="auto" w:fill="auto"/>
            <w:noWrap w:val="0"/>
            <w:vAlign w:val="center"/>
          </w:tcPr>
          <w:p w14:paraId="7377B490">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0.0106</w:t>
            </w:r>
          </w:p>
        </w:tc>
      </w:tr>
      <w:tr w14:paraId="2C0E7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7" w:type="dxa"/>
            <w:vMerge w:val="continue"/>
            <w:tcBorders>
              <w:tl2br w:val="nil"/>
              <w:tr2bl w:val="nil"/>
            </w:tcBorders>
            <w:noWrap w:val="0"/>
            <w:vAlign w:val="center"/>
          </w:tcPr>
          <w:p w14:paraId="082E9A98">
            <w:pPr>
              <w:pStyle w:val="34"/>
              <w:keepNext w:val="0"/>
              <w:keepLines w:val="0"/>
              <w:pageBreakBefore w:val="0"/>
              <w:widowControl w:val="0"/>
              <w:kinsoku/>
              <w:wordWrap/>
              <w:overflowPunct/>
              <w:topLinePunct w:val="0"/>
              <w:autoSpaceDE w:val="0"/>
              <w:autoSpaceDN w:val="0"/>
              <w:bidi w:val="0"/>
              <w:adjustRightInd/>
              <w:snapToGrid/>
              <w:spacing w:line="240" w:lineRule="auto"/>
              <w:ind w:leftChars="0" w:firstLine="0" w:firstLineChars="0"/>
              <w:jc w:val="center"/>
              <w:textAlignment w:val="auto"/>
              <w:outlineLvl w:val="9"/>
              <w:rPr>
                <w:rFonts w:hint="default" w:ascii="Times New Roman" w:hAnsi="Times New Roman" w:eastAsia="宋体" w:cs="Times New Roman"/>
                <w:b w:val="0"/>
                <w:color w:val="000000" w:themeColor="text1"/>
                <w:kern w:val="2"/>
                <w:sz w:val="21"/>
                <w:szCs w:val="21"/>
                <w:vertAlign w:val="baseline"/>
                <w:lang w:val="en-US" w:eastAsia="zh-CN" w:bidi="ar-SA"/>
                <w14:textFill>
                  <w14:solidFill>
                    <w14:schemeClr w14:val="tx1"/>
                  </w14:solidFill>
                </w14:textFill>
              </w:rPr>
            </w:pPr>
          </w:p>
        </w:tc>
        <w:tc>
          <w:tcPr>
            <w:tcW w:w="1489" w:type="dxa"/>
            <w:vMerge w:val="continue"/>
            <w:tcBorders>
              <w:tl2br w:val="nil"/>
              <w:tr2bl w:val="nil"/>
            </w:tcBorders>
            <w:noWrap w:val="0"/>
            <w:vAlign w:val="center"/>
          </w:tcPr>
          <w:p w14:paraId="0954C591">
            <w:pPr>
              <w:keepNext w:val="0"/>
              <w:keepLines w:val="0"/>
              <w:pageBreakBefore w:val="0"/>
              <w:kinsoku/>
              <w:wordWrap/>
              <w:overflowPunct/>
              <w:topLinePunct w:val="0"/>
              <w:autoSpaceDE/>
              <w:autoSpaceDN/>
              <w:bidi w:val="0"/>
              <w:adjustRightInd/>
              <w:snapToGrid/>
              <w:spacing w:line="240" w:lineRule="auto"/>
              <w:ind w:leftChars="0" w:firstLine="0" w:firstLineChars="0"/>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p>
        </w:tc>
        <w:tc>
          <w:tcPr>
            <w:tcW w:w="1817" w:type="dxa"/>
            <w:tcBorders>
              <w:tl2br w:val="nil"/>
              <w:tr2bl w:val="nil"/>
            </w:tcBorders>
            <w:shd w:val="clear" w:color="auto" w:fill="auto"/>
            <w:noWrap w:val="0"/>
            <w:vAlign w:val="center"/>
          </w:tcPr>
          <w:p w14:paraId="548573F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1563" w:type="dxa"/>
            <w:tcBorders>
              <w:tl2br w:val="nil"/>
              <w:tr2bl w:val="nil"/>
            </w:tcBorders>
            <w:shd w:val="clear" w:color="auto" w:fill="auto"/>
            <w:noWrap w:val="0"/>
            <w:vAlign w:val="center"/>
          </w:tcPr>
          <w:p w14:paraId="02233A0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0.053</w:t>
            </w:r>
          </w:p>
        </w:tc>
        <w:tc>
          <w:tcPr>
            <w:tcW w:w="1743" w:type="dxa"/>
            <w:tcBorders>
              <w:tl2br w:val="nil"/>
              <w:tr2bl w:val="nil"/>
            </w:tcBorders>
            <w:shd w:val="clear" w:color="auto" w:fill="auto"/>
            <w:noWrap w:val="0"/>
            <w:vAlign w:val="center"/>
          </w:tcPr>
          <w:p w14:paraId="636B79A8">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0.000053</w:t>
            </w:r>
          </w:p>
        </w:tc>
        <w:tc>
          <w:tcPr>
            <w:tcW w:w="1429" w:type="dxa"/>
            <w:tcBorders>
              <w:tl2br w:val="nil"/>
              <w:tr2bl w:val="nil"/>
            </w:tcBorders>
            <w:shd w:val="clear" w:color="auto" w:fill="auto"/>
            <w:noWrap w:val="0"/>
            <w:vAlign w:val="center"/>
          </w:tcPr>
          <w:p w14:paraId="782D9DAC">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0.00042</w:t>
            </w:r>
          </w:p>
        </w:tc>
      </w:tr>
      <w:tr w14:paraId="643F4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96" w:type="dxa"/>
            <w:gridSpan w:val="2"/>
            <w:vMerge w:val="restart"/>
            <w:tcBorders>
              <w:tl2br w:val="nil"/>
              <w:tr2bl w:val="nil"/>
            </w:tcBorders>
            <w:noWrap w:val="0"/>
            <w:vAlign w:val="center"/>
          </w:tcPr>
          <w:p w14:paraId="1AE535A8">
            <w:pPr>
              <w:keepNext w:val="0"/>
              <w:keepLines w:val="0"/>
              <w:pageBreakBefore w:val="0"/>
              <w:kinsoku/>
              <w:wordWrap/>
              <w:overflowPunct/>
              <w:topLinePunct w:val="0"/>
              <w:autoSpaceDE/>
              <w:autoSpaceDN/>
              <w:bidi w:val="0"/>
              <w:adjustRightInd/>
              <w:snapToGrid/>
              <w:spacing w:line="240" w:lineRule="auto"/>
              <w:ind w:leftChars="0" w:firstLine="0" w:firstLineChars="0"/>
              <w:jc w:val="center"/>
              <w:textAlignment w:val="auto"/>
              <w:rPr>
                <w:rFonts w:hint="default"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一般排放口合计</w:t>
            </w:r>
          </w:p>
        </w:tc>
        <w:tc>
          <w:tcPr>
            <w:tcW w:w="5123" w:type="dxa"/>
            <w:gridSpan w:val="3"/>
            <w:tcBorders>
              <w:tl2br w:val="nil"/>
              <w:tr2bl w:val="nil"/>
            </w:tcBorders>
            <w:shd w:val="clear" w:color="auto" w:fill="auto"/>
            <w:noWrap w:val="0"/>
            <w:vAlign w:val="center"/>
          </w:tcPr>
          <w:p w14:paraId="2CAABA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1429" w:type="dxa"/>
            <w:tcBorders>
              <w:tl2br w:val="nil"/>
              <w:tr2bl w:val="nil"/>
            </w:tcBorders>
            <w:shd w:val="clear" w:color="auto" w:fill="auto"/>
            <w:noWrap w:val="0"/>
            <w:vAlign w:val="center"/>
          </w:tcPr>
          <w:p w14:paraId="5EE01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0.0416</w:t>
            </w:r>
          </w:p>
        </w:tc>
      </w:tr>
      <w:tr w14:paraId="170B3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96" w:type="dxa"/>
            <w:gridSpan w:val="2"/>
            <w:vMerge w:val="continue"/>
            <w:tcBorders>
              <w:tl2br w:val="nil"/>
              <w:tr2bl w:val="nil"/>
            </w:tcBorders>
            <w:noWrap w:val="0"/>
            <w:vAlign w:val="center"/>
          </w:tcPr>
          <w:p w14:paraId="52B738F9">
            <w:pPr>
              <w:keepNext w:val="0"/>
              <w:keepLines w:val="0"/>
              <w:pageBreakBefore w:val="0"/>
              <w:kinsoku/>
              <w:wordWrap/>
              <w:overflowPunct/>
              <w:topLinePunct w:val="0"/>
              <w:autoSpaceDE/>
              <w:autoSpaceDN/>
              <w:bidi w:val="0"/>
              <w:adjustRightInd/>
              <w:snapToGrid/>
              <w:spacing w:line="240" w:lineRule="auto"/>
              <w:ind w:leftChars="0" w:firstLine="0" w:firstLineChars="0"/>
              <w:jc w:val="center"/>
              <w:textAlignment w:val="auto"/>
              <w:rPr>
                <w:rFonts w:hint="eastAsia" w:eastAsia="宋体" w:cs="Times New Roman"/>
                <w:color w:val="000000" w:themeColor="text1"/>
                <w:kern w:val="0"/>
                <w:sz w:val="21"/>
                <w:szCs w:val="21"/>
                <w:highlight w:val="none"/>
                <w:lang w:val="en-US" w:eastAsia="zh-CN"/>
                <w14:textFill>
                  <w14:solidFill>
                    <w14:schemeClr w14:val="tx1"/>
                  </w14:solidFill>
                </w14:textFill>
              </w:rPr>
            </w:pPr>
          </w:p>
        </w:tc>
        <w:tc>
          <w:tcPr>
            <w:tcW w:w="5123" w:type="dxa"/>
            <w:gridSpan w:val="3"/>
            <w:tcBorders>
              <w:tl2br w:val="nil"/>
              <w:tr2bl w:val="nil"/>
            </w:tcBorders>
            <w:shd w:val="clear" w:color="auto" w:fill="auto"/>
            <w:noWrap w:val="0"/>
            <w:vAlign w:val="center"/>
          </w:tcPr>
          <w:p w14:paraId="747BE46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1429" w:type="dxa"/>
            <w:tcBorders>
              <w:tl2br w:val="nil"/>
              <w:tr2bl w:val="nil"/>
            </w:tcBorders>
            <w:shd w:val="clear" w:color="auto" w:fill="auto"/>
            <w:noWrap w:val="0"/>
            <w:vAlign w:val="center"/>
          </w:tcPr>
          <w:p w14:paraId="30FA5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0.00262</w:t>
            </w:r>
          </w:p>
        </w:tc>
      </w:tr>
    </w:tbl>
    <w:p w14:paraId="3D4F581E">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黑体" w:cs="Times New Roman"/>
          <w:b/>
          <w:bCs/>
          <w:color w:val="auto"/>
          <w:kern w:val="0"/>
          <w:sz w:val="24"/>
          <w:szCs w:val="24"/>
          <w:highlight w:val="none"/>
        </w:rPr>
      </w:pPr>
      <w:r>
        <w:rPr>
          <w:rFonts w:hint="eastAsia" w:asciiTheme="minorEastAsia" w:hAnsiTheme="minorEastAsia" w:eastAsiaTheme="minorEastAsia" w:cstheme="minorEastAsia"/>
          <w:color w:val="auto"/>
          <w:kern w:val="0"/>
          <w:sz w:val="21"/>
          <w:szCs w:val="21"/>
          <w:highlight w:val="none"/>
        </w:rPr>
        <w:t>表</w:t>
      </w: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.1-</w:t>
      </w:r>
      <w:r>
        <w:rPr>
          <w:rFonts w:hint="eastAsia" w:cs="Times New Roman"/>
          <w:color w:val="auto"/>
          <w:kern w:val="0"/>
          <w:sz w:val="21"/>
          <w:szCs w:val="21"/>
          <w:highlight w:val="none"/>
          <w:lang w:val="en-US" w:eastAsia="zh-CN"/>
        </w:rPr>
        <w:t>9</w:t>
      </w:r>
      <w:r>
        <w:rPr>
          <w:rFonts w:hint="default" w:ascii="Times New Roman" w:hAnsi="Times New Roman" w:cs="Times New Roman"/>
          <w:color w:val="auto"/>
          <w:kern w:val="0"/>
          <w:sz w:val="24"/>
          <w:szCs w:val="24"/>
          <w:highlight w:val="none"/>
        </w:rPr>
        <w:t xml:space="preserve">          </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本</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项目大气污染物无组织排放量核算表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150"/>
        <w:gridCol w:w="715"/>
        <w:gridCol w:w="796"/>
        <w:gridCol w:w="1500"/>
        <w:gridCol w:w="1373"/>
        <w:gridCol w:w="1939"/>
        <w:gridCol w:w="985"/>
      </w:tblGrid>
      <w:tr w14:paraId="7A1AD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0" w:type="dxa"/>
            <w:vMerge w:val="restart"/>
            <w:noWrap w:val="0"/>
            <w:vAlign w:val="center"/>
          </w:tcPr>
          <w:p w14:paraId="6109A9F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序号</w:t>
            </w:r>
          </w:p>
        </w:tc>
        <w:tc>
          <w:tcPr>
            <w:tcW w:w="1150" w:type="dxa"/>
            <w:vMerge w:val="restart"/>
            <w:noWrap w:val="0"/>
            <w:vAlign w:val="center"/>
          </w:tcPr>
          <w:p w14:paraId="2CAB8DC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排放口编号</w:t>
            </w:r>
          </w:p>
        </w:tc>
        <w:tc>
          <w:tcPr>
            <w:tcW w:w="715" w:type="dxa"/>
            <w:vMerge w:val="restart"/>
            <w:noWrap w:val="0"/>
            <w:vAlign w:val="center"/>
          </w:tcPr>
          <w:p w14:paraId="6B2A5AF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产污环节</w:t>
            </w:r>
          </w:p>
        </w:tc>
        <w:tc>
          <w:tcPr>
            <w:tcW w:w="796" w:type="dxa"/>
            <w:vMerge w:val="restart"/>
            <w:noWrap w:val="0"/>
            <w:vAlign w:val="center"/>
          </w:tcPr>
          <w:p w14:paraId="1619827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污染物</w:t>
            </w:r>
          </w:p>
        </w:tc>
        <w:tc>
          <w:tcPr>
            <w:tcW w:w="1500" w:type="dxa"/>
            <w:vMerge w:val="restart"/>
            <w:noWrap w:val="0"/>
            <w:vAlign w:val="center"/>
          </w:tcPr>
          <w:p w14:paraId="1584969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主要污染防治措施</w:t>
            </w:r>
          </w:p>
        </w:tc>
        <w:tc>
          <w:tcPr>
            <w:tcW w:w="3312" w:type="dxa"/>
            <w:gridSpan w:val="2"/>
            <w:noWrap w:val="0"/>
            <w:vAlign w:val="center"/>
          </w:tcPr>
          <w:p w14:paraId="5D2CC87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国家或地方污染物排放标准</w:t>
            </w:r>
          </w:p>
        </w:tc>
        <w:tc>
          <w:tcPr>
            <w:tcW w:w="985" w:type="dxa"/>
            <w:vMerge w:val="restart"/>
            <w:noWrap w:val="0"/>
            <w:vAlign w:val="center"/>
          </w:tcPr>
          <w:p w14:paraId="1A9A284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年排放量（t/a）</w:t>
            </w:r>
          </w:p>
        </w:tc>
      </w:tr>
      <w:tr w14:paraId="5AA95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0" w:type="dxa"/>
            <w:vMerge w:val="continue"/>
            <w:noWrap w:val="0"/>
            <w:vAlign w:val="center"/>
          </w:tcPr>
          <w:p w14:paraId="6D7E3ED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1150" w:type="dxa"/>
            <w:vMerge w:val="continue"/>
            <w:noWrap w:val="0"/>
            <w:vAlign w:val="center"/>
          </w:tcPr>
          <w:p w14:paraId="2D87DA2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715" w:type="dxa"/>
            <w:vMerge w:val="continue"/>
            <w:noWrap w:val="0"/>
            <w:vAlign w:val="center"/>
          </w:tcPr>
          <w:p w14:paraId="6C2E5D1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796" w:type="dxa"/>
            <w:vMerge w:val="continue"/>
            <w:noWrap w:val="0"/>
            <w:vAlign w:val="center"/>
          </w:tcPr>
          <w:p w14:paraId="7A95188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1500" w:type="dxa"/>
            <w:vMerge w:val="continue"/>
            <w:noWrap w:val="0"/>
            <w:vAlign w:val="center"/>
          </w:tcPr>
          <w:p w14:paraId="1C96655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1373" w:type="dxa"/>
            <w:noWrap w:val="0"/>
            <w:vAlign w:val="center"/>
          </w:tcPr>
          <w:p w14:paraId="2F5A980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标准名称</w:t>
            </w:r>
          </w:p>
        </w:tc>
        <w:tc>
          <w:tcPr>
            <w:tcW w:w="1939" w:type="dxa"/>
            <w:noWrap w:val="0"/>
            <w:vAlign w:val="center"/>
          </w:tcPr>
          <w:p w14:paraId="0B421F2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浓度限值（</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r>
              <w:rPr>
                <w:rFonts w:hint="eastAsia"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w:t>
            </w:r>
          </w:p>
        </w:tc>
        <w:tc>
          <w:tcPr>
            <w:tcW w:w="985" w:type="dxa"/>
            <w:vMerge w:val="continue"/>
            <w:noWrap w:val="0"/>
            <w:vAlign w:val="center"/>
          </w:tcPr>
          <w:p w14:paraId="70B5AAC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p>
        </w:tc>
      </w:tr>
      <w:tr w14:paraId="15F6B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0" w:type="dxa"/>
            <w:vMerge w:val="restart"/>
            <w:noWrap w:val="0"/>
            <w:vAlign w:val="center"/>
          </w:tcPr>
          <w:p w14:paraId="49E745D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1</w:t>
            </w:r>
          </w:p>
        </w:tc>
        <w:tc>
          <w:tcPr>
            <w:tcW w:w="1150" w:type="dxa"/>
            <w:vMerge w:val="restart"/>
            <w:shd w:val="clear" w:color="auto" w:fill="auto"/>
            <w:noWrap w:val="0"/>
            <w:vAlign w:val="center"/>
          </w:tcPr>
          <w:p w14:paraId="259D1D6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kern w:val="0"/>
                <w:sz w:val="21"/>
                <w:szCs w:val="21"/>
                <w:highlight w:val="none"/>
                <w:lang w:val="en-US" w:eastAsia="zh-CN"/>
              </w:rPr>
              <w:t>屠宰加工车间</w:t>
            </w:r>
            <w:r>
              <w:rPr>
                <w:rFonts w:hint="default" w:ascii="Times New Roman" w:hAnsi="Times New Roman" w:eastAsia="宋体" w:cs="Times New Roman"/>
                <w:color w:val="auto"/>
                <w:kern w:val="0"/>
                <w:sz w:val="21"/>
                <w:szCs w:val="21"/>
                <w:highlight w:val="none"/>
              </w:rPr>
              <w:t>（A1）</w:t>
            </w:r>
          </w:p>
        </w:tc>
        <w:tc>
          <w:tcPr>
            <w:tcW w:w="715" w:type="dxa"/>
            <w:vMerge w:val="restart"/>
            <w:noWrap w:val="0"/>
            <w:vAlign w:val="center"/>
          </w:tcPr>
          <w:p w14:paraId="4024E82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屠宰加工</w:t>
            </w:r>
          </w:p>
        </w:tc>
        <w:tc>
          <w:tcPr>
            <w:tcW w:w="796" w:type="dxa"/>
            <w:shd w:val="clear" w:color="auto" w:fill="auto"/>
            <w:noWrap w:val="0"/>
            <w:vAlign w:val="center"/>
          </w:tcPr>
          <w:p w14:paraId="1ED3E1B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1500" w:type="dxa"/>
            <w:vMerge w:val="restart"/>
            <w:shd w:val="clear" w:color="auto" w:fill="auto"/>
            <w:noWrap w:val="0"/>
            <w:vAlign w:val="center"/>
          </w:tcPr>
          <w:p w14:paraId="33C1207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eastAsia" w:eastAsia="宋体" w:cs="Times New Roman"/>
                <w:color w:val="auto"/>
                <w:sz w:val="21"/>
                <w:szCs w:val="21"/>
                <w:highlight w:val="none"/>
                <w:lang w:val="en-US" w:eastAsia="zh-CN"/>
              </w:rPr>
              <w:t>机械通风系统</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喷洒除臭剂</w:t>
            </w:r>
          </w:p>
        </w:tc>
        <w:tc>
          <w:tcPr>
            <w:tcW w:w="1373" w:type="dxa"/>
            <w:vMerge w:val="restart"/>
            <w:shd w:val="clear" w:color="auto" w:fill="auto"/>
            <w:noWrap w:val="0"/>
            <w:vAlign w:val="center"/>
          </w:tcPr>
          <w:p w14:paraId="469C53A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《恶臭污染物排放标准》（GB14554-93）表2排放标准</w:t>
            </w:r>
          </w:p>
        </w:tc>
        <w:tc>
          <w:tcPr>
            <w:tcW w:w="1939" w:type="dxa"/>
            <w:shd w:val="clear" w:color="auto" w:fill="auto"/>
            <w:noWrap w:val="0"/>
            <w:vAlign w:val="center"/>
          </w:tcPr>
          <w:p w14:paraId="4FBB70A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1.5</w:t>
            </w:r>
          </w:p>
        </w:tc>
        <w:tc>
          <w:tcPr>
            <w:tcW w:w="985" w:type="dxa"/>
            <w:shd w:val="clear" w:color="auto" w:fill="auto"/>
            <w:noWrap w:val="0"/>
            <w:vAlign w:val="center"/>
          </w:tcPr>
          <w:p w14:paraId="52436D11">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0.029</w:t>
            </w:r>
          </w:p>
        </w:tc>
      </w:tr>
      <w:tr w14:paraId="291E4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0" w:type="dxa"/>
            <w:vMerge w:val="continue"/>
            <w:noWrap w:val="0"/>
            <w:vAlign w:val="center"/>
          </w:tcPr>
          <w:p w14:paraId="05E4CBA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1150" w:type="dxa"/>
            <w:vMerge w:val="continue"/>
            <w:noWrap w:val="0"/>
            <w:vAlign w:val="center"/>
          </w:tcPr>
          <w:p w14:paraId="2D20831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715" w:type="dxa"/>
            <w:vMerge w:val="continue"/>
            <w:noWrap w:val="0"/>
            <w:vAlign w:val="center"/>
          </w:tcPr>
          <w:p w14:paraId="09A7259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796" w:type="dxa"/>
            <w:shd w:val="clear" w:color="auto" w:fill="auto"/>
            <w:noWrap w:val="0"/>
            <w:vAlign w:val="center"/>
          </w:tcPr>
          <w:p w14:paraId="4AC7B66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1500" w:type="dxa"/>
            <w:vMerge w:val="continue"/>
            <w:noWrap w:val="0"/>
            <w:vAlign w:val="center"/>
          </w:tcPr>
          <w:p w14:paraId="3BC6A33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1373" w:type="dxa"/>
            <w:vMerge w:val="continue"/>
            <w:noWrap w:val="0"/>
            <w:vAlign w:val="center"/>
          </w:tcPr>
          <w:p w14:paraId="1DD52E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1939" w:type="dxa"/>
            <w:noWrap w:val="0"/>
            <w:vAlign w:val="center"/>
          </w:tcPr>
          <w:p w14:paraId="10599F3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0.06</w:t>
            </w:r>
          </w:p>
        </w:tc>
        <w:tc>
          <w:tcPr>
            <w:tcW w:w="985" w:type="dxa"/>
            <w:shd w:val="clear" w:color="auto" w:fill="auto"/>
            <w:noWrap w:val="0"/>
            <w:vAlign w:val="center"/>
          </w:tcPr>
          <w:p w14:paraId="36CD613C">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0.002</w:t>
            </w:r>
          </w:p>
        </w:tc>
      </w:tr>
      <w:tr w14:paraId="0A145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0" w:type="dxa"/>
            <w:vMerge w:val="restart"/>
            <w:noWrap w:val="0"/>
            <w:vAlign w:val="center"/>
          </w:tcPr>
          <w:p w14:paraId="1BD6F29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2</w:t>
            </w:r>
          </w:p>
        </w:tc>
        <w:tc>
          <w:tcPr>
            <w:tcW w:w="1150" w:type="dxa"/>
            <w:vMerge w:val="restart"/>
            <w:shd w:val="clear" w:color="auto" w:fill="auto"/>
            <w:noWrap w:val="0"/>
            <w:vAlign w:val="center"/>
          </w:tcPr>
          <w:p w14:paraId="30CA4DF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待宰圈</w:t>
            </w:r>
            <w:r>
              <w:rPr>
                <w:rFonts w:hint="default" w:ascii="Times New Roman" w:hAnsi="Times New Roman" w:eastAsia="宋体" w:cs="Times New Roman"/>
                <w:color w:val="auto"/>
                <w:kern w:val="0"/>
                <w:sz w:val="21"/>
                <w:szCs w:val="21"/>
                <w:highlight w:val="none"/>
              </w:rPr>
              <w:t>（A</w:t>
            </w:r>
            <w:r>
              <w:rPr>
                <w:rFonts w:hint="eastAsia"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w:t>
            </w:r>
          </w:p>
        </w:tc>
        <w:tc>
          <w:tcPr>
            <w:tcW w:w="715" w:type="dxa"/>
            <w:vMerge w:val="restart"/>
            <w:noWrap w:val="0"/>
            <w:vAlign w:val="center"/>
          </w:tcPr>
          <w:p w14:paraId="3828293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eastAsia" w:eastAsia="宋体" w:cs="Times New Roman"/>
                <w:color w:val="auto"/>
                <w:kern w:val="0"/>
                <w:sz w:val="21"/>
                <w:szCs w:val="21"/>
                <w:highlight w:val="none"/>
                <w:lang w:val="en-US" w:eastAsia="zh-CN"/>
              </w:rPr>
              <w:t>待宰圈</w:t>
            </w:r>
          </w:p>
        </w:tc>
        <w:tc>
          <w:tcPr>
            <w:tcW w:w="796" w:type="dxa"/>
            <w:shd w:val="clear" w:color="auto" w:fill="auto"/>
            <w:noWrap w:val="0"/>
            <w:vAlign w:val="center"/>
          </w:tcPr>
          <w:p w14:paraId="3AFC7C4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1500" w:type="dxa"/>
            <w:vMerge w:val="restart"/>
            <w:shd w:val="clear" w:color="auto" w:fill="auto"/>
            <w:noWrap w:val="0"/>
            <w:vAlign w:val="center"/>
          </w:tcPr>
          <w:p w14:paraId="507EC41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喷洒除臭剂</w:t>
            </w:r>
          </w:p>
        </w:tc>
        <w:tc>
          <w:tcPr>
            <w:tcW w:w="1373" w:type="dxa"/>
            <w:vMerge w:val="continue"/>
            <w:shd w:val="clear" w:color="auto" w:fill="auto"/>
            <w:noWrap w:val="0"/>
            <w:vAlign w:val="center"/>
          </w:tcPr>
          <w:p w14:paraId="2E2F50D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939" w:type="dxa"/>
            <w:shd w:val="clear" w:color="auto" w:fill="auto"/>
            <w:noWrap w:val="0"/>
            <w:vAlign w:val="center"/>
          </w:tcPr>
          <w:p w14:paraId="3B9B17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1.5</w:t>
            </w:r>
          </w:p>
        </w:tc>
        <w:tc>
          <w:tcPr>
            <w:tcW w:w="985" w:type="dxa"/>
            <w:shd w:val="clear" w:color="auto" w:fill="auto"/>
            <w:noWrap w:val="0"/>
            <w:vAlign w:val="center"/>
          </w:tcPr>
          <w:p w14:paraId="2583BD05">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0.0087</w:t>
            </w:r>
          </w:p>
        </w:tc>
      </w:tr>
      <w:tr w14:paraId="166FF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0" w:type="dxa"/>
            <w:vMerge w:val="continue"/>
            <w:noWrap w:val="0"/>
            <w:vAlign w:val="center"/>
          </w:tcPr>
          <w:p w14:paraId="55197BD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1150" w:type="dxa"/>
            <w:vMerge w:val="continue"/>
            <w:noWrap w:val="0"/>
            <w:vAlign w:val="center"/>
          </w:tcPr>
          <w:p w14:paraId="101109D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715" w:type="dxa"/>
            <w:vMerge w:val="continue"/>
            <w:noWrap w:val="0"/>
            <w:vAlign w:val="center"/>
          </w:tcPr>
          <w:p w14:paraId="719B3BF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796" w:type="dxa"/>
            <w:shd w:val="clear" w:color="auto" w:fill="auto"/>
            <w:noWrap w:val="0"/>
            <w:vAlign w:val="center"/>
          </w:tcPr>
          <w:p w14:paraId="08B4641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1500" w:type="dxa"/>
            <w:vMerge w:val="continue"/>
            <w:noWrap w:val="0"/>
            <w:vAlign w:val="center"/>
          </w:tcPr>
          <w:p w14:paraId="654AA0C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1373" w:type="dxa"/>
            <w:vMerge w:val="continue"/>
            <w:noWrap w:val="0"/>
            <w:vAlign w:val="center"/>
          </w:tcPr>
          <w:p w14:paraId="62D0923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1939" w:type="dxa"/>
            <w:shd w:val="clear" w:color="auto" w:fill="auto"/>
            <w:noWrap w:val="0"/>
            <w:vAlign w:val="center"/>
          </w:tcPr>
          <w:p w14:paraId="0E94BF6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0.06</w:t>
            </w:r>
          </w:p>
        </w:tc>
        <w:tc>
          <w:tcPr>
            <w:tcW w:w="985" w:type="dxa"/>
            <w:shd w:val="clear" w:color="auto" w:fill="auto"/>
            <w:noWrap w:val="0"/>
            <w:vAlign w:val="center"/>
          </w:tcPr>
          <w:p w14:paraId="066BEF0C">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0.0006</w:t>
            </w:r>
          </w:p>
        </w:tc>
      </w:tr>
      <w:tr w14:paraId="3DAC1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8" w:type="dxa"/>
            <w:gridSpan w:val="8"/>
            <w:noWrap w:val="0"/>
            <w:vAlign w:val="center"/>
          </w:tcPr>
          <w:p w14:paraId="28B55BB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无组织排放总计</w:t>
            </w:r>
          </w:p>
        </w:tc>
      </w:tr>
      <w:tr w14:paraId="7B3F6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0" w:type="dxa"/>
            <w:gridSpan w:val="2"/>
            <w:vMerge w:val="restart"/>
            <w:noWrap w:val="0"/>
            <w:vAlign w:val="center"/>
          </w:tcPr>
          <w:p w14:paraId="25EADFA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无组织排放总计</w:t>
            </w:r>
          </w:p>
        </w:tc>
        <w:tc>
          <w:tcPr>
            <w:tcW w:w="6323" w:type="dxa"/>
            <w:gridSpan w:val="5"/>
            <w:shd w:val="clear" w:color="auto" w:fill="auto"/>
            <w:noWrap w:val="0"/>
            <w:vAlign w:val="center"/>
          </w:tcPr>
          <w:p w14:paraId="7A79CF5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985" w:type="dxa"/>
            <w:shd w:val="clear" w:color="auto" w:fill="auto"/>
            <w:noWrap w:val="0"/>
            <w:vAlign w:val="center"/>
          </w:tcPr>
          <w:p w14:paraId="4197544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t>0.0377</w:t>
            </w:r>
          </w:p>
        </w:tc>
      </w:tr>
      <w:tr w14:paraId="10D7B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0" w:type="dxa"/>
            <w:gridSpan w:val="2"/>
            <w:vMerge w:val="continue"/>
            <w:noWrap w:val="0"/>
            <w:vAlign w:val="center"/>
          </w:tcPr>
          <w:p w14:paraId="37B736A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p>
        </w:tc>
        <w:tc>
          <w:tcPr>
            <w:tcW w:w="6323" w:type="dxa"/>
            <w:gridSpan w:val="5"/>
            <w:shd w:val="clear" w:color="auto" w:fill="auto"/>
            <w:noWrap w:val="0"/>
            <w:vAlign w:val="center"/>
          </w:tcPr>
          <w:p w14:paraId="2D0D218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985" w:type="dxa"/>
            <w:shd w:val="clear" w:color="auto" w:fill="auto"/>
            <w:noWrap w:val="0"/>
            <w:vAlign w:val="center"/>
          </w:tcPr>
          <w:p w14:paraId="058756B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vertAlign w:val="baseline"/>
                <w:lang w:val="en-US" w:eastAsia="zh-CN" w:bidi="ar-SA"/>
                <w14:textFill>
                  <w14:solidFill>
                    <w14:schemeClr w14:val="tx1"/>
                  </w14:solidFill>
                </w14:textFill>
              </w:rPr>
              <w:t>0.0026</w:t>
            </w:r>
          </w:p>
        </w:tc>
      </w:tr>
    </w:tbl>
    <w:p w14:paraId="7F8821BB">
      <w:pPr>
        <w:pageBreakBefore w:val="0"/>
        <w:kinsoku/>
        <w:wordWrap/>
        <w:topLinePunct w:val="0"/>
        <w:bidi w:val="0"/>
        <w:adjustRightInd/>
        <w:ind w:leftChars="0"/>
        <w:rPr>
          <w:rFonts w:hint="eastAsia"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2</w:t>
      </w:r>
      <w:r>
        <w:rPr>
          <w:rFonts w:hint="eastAsia" w:ascii="Times New Roman" w:hAnsi="Times New Roman"/>
          <w:color w:val="000000" w:themeColor="text1"/>
          <w:lang w:eastAsia="zh-CN"/>
          <w14:textFill>
            <w14:solidFill>
              <w14:schemeClr w14:val="tx1"/>
            </w14:solidFill>
          </w14:textFill>
        </w:rPr>
        <w:t>）项目大气污染物年排放量核算</w:t>
      </w:r>
    </w:p>
    <w:p w14:paraId="6DA0D918">
      <w:pPr>
        <w:pageBreakBefore w:val="0"/>
        <w:kinsoku/>
        <w:wordWrap/>
        <w:topLinePunct w:val="0"/>
        <w:bidi w:val="0"/>
        <w:adjustRightInd/>
        <w:ind w:leftChars="0"/>
        <w:rPr>
          <w:rFonts w:hint="eastAsia"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本项目大气污染物年排放量核算见表5.1-</w:t>
      </w:r>
      <w:r>
        <w:rPr>
          <w:rFonts w:hint="eastAsia" w:ascii="Times New Roman" w:hAnsi="Times New Roman"/>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eastAsia" w:ascii="Times New Roman" w:hAnsi="Times New Roman"/>
          <w:color w:val="000000" w:themeColor="text1"/>
          <w:lang w:eastAsia="zh-CN"/>
          <w14:textFill>
            <w14:solidFill>
              <w14:schemeClr w14:val="tx1"/>
            </w14:solidFill>
          </w14:textFill>
        </w:rPr>
        <w:t>。</w:t>
      </w:r>
    </w:p>
    <w:p w14:paraId="253CFD70">
      <w:pPr>
        <w:adjustRightInd w:val="0"/>
        <w:snapToGrid w:val="0"/>
        <w:spacing w:line="240" w:lineRule="auto"/>
        <w:ind w:firstLine="420"/>
        <w:rPr>
          <w:rFonts w:hint="default" w:ascii="Times New Roman" w:hAnsi="Times New Roman" w:cs="Times New Roman" w:eastAsiaTheme="minorEastAsia"/>
          <w:color w:val="auto"/>
          <w:kern w:val="0"/>
          <w:sz w:val="21"/>
          <w:szCs w:val="21"/>
          <w:highlight w:val="none"/>
        </w:rPr>
      </w:pPr>
    </w:p>
    <w:p w14:paraId="231F7C93">
      <w:pPr>
        <w:adjustRightInd w:val="0"/>
        <w:snapToGrid w:val="0"/>
        <w:spacing w:line="240" w:lineRule="auto"/>
        <w:ind w:firstLine="420"/>
        <w:rPr>
          <w:rFonts w:hint="default" w:ascii="Times New Roman" w:hAnsi="Times New Roman" w:cs="Times New Roman"/>
          <w:b/>
          <w:bCs/>
          <w:color w:val="auto"/>
          <w:kern w:val="0"/>
          <w:sz w:val="24"/>
          <w:szCs w:val="24"/>
          <w:highlight w:val="none"/>
        </w:rPr>
      </w:pPr>
      <w:r>
        <w:rPr>
          <w:rFonts w:hint="default" w:ascii="Times New Roman" w:hAnsi="Times New Roman" w:cs="Times New Roman" w:eastAsiaTheme="minorEastAsia"/>
          <w:color w:val="auto"/>
          <w:kern w:val="0"/>
          <w:sz w:val="21"/>
          <w:szCs w:val="21"/>
          <w:highlight w:val="none"/>
        </w:rPr>
        <w:t>表5.1-</w:t>
      </w:r>
      <w:r>
        <w:rPr>
          <w:rFonts w:hint="eastAsia" w:ascii="Times New Roman" w:hAnsi="Times New Roman" w:cs="Times New Roman" w:eastAsiaTheme="minorEastAsia"/>
          <w:color w:val="auto"/>
          <w:kern w:val="0"/>
          <w:sz w:val="21"/>
          <w:szCs w:val="21"/>
          <w:highlight w:val="none"/>
          <w:lang w:val="en-US" w:eastAsia="zh-CN"/>
        </w:rPr>
        <w:t>1</w:t>
      </w:r>
      <w:r>
        <w:rPr>
          <w:rFonts w:hint="eastAsia" w:cs="Times New Roman" w:eastAsiaTheme="minorEastAsia"/>
          <w:color w:val="auto"/>
          <w:kern w:val="0"/>
          <w:sz w:val="21"/>
          <w:szCs w:val="21"/>
          <w:highlight w:val="none"/>
          <w:lang w:val="en-US" w:eastAsia="zh-CN"/>
        </w:rPr>
        <w:t>0</w:t>
      </w:r>
      <w:r>
        <w:rPr>
          <w:rFonts w:hint="default" w:ascii="Times New Roman" w:hAnsi="Times New Roman" w:cs="Times New Roman"/>
          <w:b/>
          <w:bCs/>
          <w:color w:val="auto"/>
          <w:kern w:val="0"/>
          <w:highlight w:val="none"/>
        </w:rPr>
        <w:t xml:space="preserve"> </w:t>
      </w:r>
      <w:r>
        <w:rPr>
          <w:rFonts w:hint="default" w:ascii="Times New Roman" w:hAnsi="Times New Roman" w:cs="Times New Roman"/>
          <w:b/>
          <w:bCs/>
          <w:color w:val="auto"/>
          <w:kern w:val="0"/>
          <w:sz w:val="24"/>
          <w:szCs w:val="24"/>
          <w:highlight w:val="none"/>
        </w:rPr>
        <w:t xml:space="preserve">        </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本</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项目大气污染物年排放量核算表</w:t>
      </w:r>
    </w:p>
    <w:tbl>
      <w:tblPr>
        <w:tblStyle w:val="27"/>
        <w:tblW w:w="89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28"/>
        <w:gridCol w:w="3350"/>
        <w:gridCol w:w="3079"/>
      </w:tblGrid>
      <w:tr w14:paraId="4BC98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8" w:type="dxa"/>
            <w:noWrap w:val="0"/>
            <w:vAlign w:val="center"/>
          </w:tcPr>
          <w:p w14:paraId="05AD6A0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序号</w:t>
            </w:r>
          </w:p>
        </w:tc>
        <w:tc>
          <w:tcPr>
            <w:tcW w:w="3350" w:type="dxa"/>
            <w:noWrap w:val="0"/>
            <w:vAlign w:val="center"/>
          </w:tcPr>
          <w:p w14:paraId="16FEF1C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污染物</w:t>
            </w:r>
          </w:p>
        </w:tc>
        <w:tc>
          <w:tcPr>
            <w:tcW w:w="3079" w:type="dxa"/>
            <w:noWrap w:val="0"/>
            <w:vAlign w:val="center"/>
          </w:tcPr>
          <w:p w14:paraId="524BA36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t>年排放量（t/a）</w:t>
            </w:r>
          </w:p>
        </w:tc>
      </w:tr>
      <w:tr w14:paraId="1D335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8" w:type="dxa"/>
            <w:noWrap w:val="0"/>
            <w:vAlign w:val="center"/>
          </w:tcPr>
          <w:p w14:paraId="1844192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bookmarkStart w:id="425" w:name="_Hlk34841201"/>
            <w:r>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1</w:t>
            </w:r>
            <w:bookmarkEnd w:id="425"/>
          </w:p>
        </w:tc>
        <w:tc>
          <w:tcPr>
            <w:tcW w:w="3350" w:type="dxa"/>
            <w:shd w:val="clear" w:color="auto" w:fill="auto"/>
            <w:noWrap w:val="0"/>
            <w:vAlign w:val="center"/>
          </w:tcPr>
          <w:p w14:paraId="509459C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p>
        </w:tc>
        <w:tc>
          <w:tcPr>
            <w:tcW w:w="3079" w:type="dxa"/>
            <w:shd w:val="clear" w:color="auto" w:fill="auto"/>
            <w:noWrap w:val="0"/>
            <w:vAlign w:val="center"/>
          </w:tcPr>
          <w:p w14:paraId="7E488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0.0793</w:t>
            </w:r>
          </w:p>
        </w:tc>
      </w:tr>
      <w:tr w14:paraId="1BF0B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8" w:type="dxa"/>
            <w:noWrap w:val="0"/>
            <w:vAlign w:val="center"/>
          </w:tcPr>
          <w:p w14:paraId="087BB49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2</w:t>
            </w:r>
          </w:p>
        </w:tc>
        <w:tc>
          <w:tcPr>
            <w:tcW w:w="3350" w:type="dxa"/>
            <w:shd w:val="clear" w:color="auto" w:fill="auto"/>
            <w:noWrap w:val="0"/>
            <w:vAlign w:val="center"/>
          </w:tcPr>
          <w:p w14:paraId="416E0FF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S</w:t>
            </w:r>
          </w:p>
        </w:tc>
        <w:tc>
          <w:tcPr>
            <w:tcW w:w="3079" w:type="dxa"/>
            <w:shd w:val="clear" w:color="auto" w:fill="auto"/>
            <w:noWrap w:val="0"/>
            <w:vAlign w:val="center"/>
          </w:tcPr>
          <w:p w14:paraId="695F37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0.00522</w:t>
            </w:r>
          </w:p>
        </w:tc>
      </w:tr>
    </w:tbl>
    <w:p w14:paraId="26B0BF88">
      <w:pPr>
        <w:bidi w:val="0"/>
        <w:rPr>
          <w:rFonts w:hint="eastAsia"/>
          <w:color w:val="auto"/>
          <w:lang w:eastAsia="zh-CN"/>
        </w:rPr>
      </w:pPr>
      <w:r>
        <w:rPr>
          <w:rFonts w:hint="eastAsia"/>
          <w:color w:val="auto"/>
          <w:lang w:eastAsia="zh-CN"/>
        </w:rPr>
        <w:t>项目大气环境影响评价自查表详见表5.1-</w:t>
      </w:r>
      <w:r>
        <w:rPr>
          <w:rFonts w:hint="eastAsia"/>
          <w:color w:val="auto"/>
          <w:lang w:val="en-US" w:eastAsia="zh-CN"/>
        </w:rPr>
        <w:t>11</w:t>
      </w:r>
      <w:r>
        <w:rPr>
          <w:rFonts w:hint="eastAsia"/>
          <w:color w:val="auto"/>
          <w:lang w:eastAsia="zh-CN"/>
        </w:rPr>
        <w:t>。</w:t>
      </w:r>
    </w:p>
    <w:p w14:paraId="7A3D2441">
      <w:pPr>
        <w:pStyle w:val="40"/>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outlineLvl w:val="9"/>
        <w:rPr>
          <w:rFonts w:ascii="Times New Roman" w:hAnsi="宋体" w:eastAsia="宋体"/>
          <w:b w:val="0"/>
          <w:bCs/>
          <w:color w:val="auto"/>
          <w:sz w:val="21"/>
          <w:szCs w:val="21"/>
        </w:rPr>
        <w:sectPr>
          <w:headerReference r:id="rId21" w:type="default"/>
          <w:footerReference r:id="rId22"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7649DA7">
      <w:pPr>
        <w:pStyle w:val="40"/>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outlineLvl w:val="9"/>
        <w:rPr>
          <w:rFonts w:ascii="Times New Roman" w:hAnsi="Times New Roman" w:eastAsia="宋体"/>
          <w:b/>
          <w:color w:val="auto"/>
          <w:sz w:val="24"/>
          <w:szCs w:val="24"/>
        </w:rPr>
      </w:pPr>
      <w:r>
        <w:rPr>
          <w:rFonts w:ascii="Times New Roman" w:hAnsi="宋体" w:eastAsia="宋体"/>
          <w:b w:val="0"/>
          <w:bCs/>
          <w:color w:val="auto"/>
          <w:sz w:val="21"/>
          <w:szCs w:val="21"/>
        </w:rPr>
        <w:t>表</w:t>
      </w:r>
      <w:r>
        <w:rPr>
          <w:rFonts w:hint="eastAsia" w:ascii="Times New Roman" w:hAnsi="宋体" w:eastAsia="宋体"/>
          <w:b w:val="0"/>
          <w:bCs/>
          <w:color w:val="auto"/>
          <w:sz w:val="21"/>
          <w:szCs w:val="21"/>
          <w:lang w:val="en-US" w:eastAsia="zh-CN"/>
        </w:rPr>
        <w:t>5.1-11</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 xml:space="preserve">      </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lang w:val="en-US" w:eastAsia="zh-CN"/>
        </w:rPr>
        <w:t xml:space="preserve">    </w:t>
      </w:r>
      <w:r>
        <w:rPr>
          <w:rFonts w:hint="eastAsia" w:ascii="Times New Roman" w:eastAsia="宋体"/>
          <w:b/>
          <w:color w:val="auto"/>
          <w:sz w:val="24"/>
          <w:szCs w:val="24"/>
          <w:lang w:val="en-US" w:eastAsia="zh-CN"/>
        </w:rPr>
        <w:t xml:space="preserve">               </w:t>
      </w:r>
      <w:r>
        <w:rPr>
          <w:rFonts w:hint="eastAsia" w:ascii="Times New Roman" w:hAnsi="Times New Roman" w:eastAsia="宋体"/>
          <w:b/>
          <w:color w:val="auto"/>
          <w:sz w:val="24"/>
          <w:szCs w:val="24"/>
          <w:lang w:val="en-US" w:eastAsia="zh-CN"/>
        </w:rPr>
        <w:t xml:space="preserve">  </w:t>
      </w:r>
      <w:r>
        <w:rPr>
          <w:rFonts w:ascii="Times New Roman" w:hAnsi="宋体" w:eastAsia="宋体"/>
          <w:b/>
          <w:color w:val="auto"/>
          <w:sz w:val="24"/>
          <w:szCs w:val="24"/>
        </w:rPr>
        <w:t>建设项目大气环境影响评价自查表</w:t>
      </w:r>
    </w:p>
    <w:tbl>
      <w:tblPr>
        <w:tblStyle w:val="27"/>
        <w:tblW w:w="49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1"/>
        <w:gridCol w:w="1975"/>
        <w:gridCol w:w="1590"/>
        <w:gridCol w:w="106"/>
        <w:gridCol w:w="419"/>
        <w:gridCol w:w="459"/>
        <w:gridCol w:w="564"/>
        <w:gridCol w:w="328"/>
        <w:gridCol w:w="1133"/>
        <w:gridCol w:w="89"/>
        <w:gridCol w:w="512"/>
        <w:gridCol w:w="740"/>
        <w:gridCol w:w="200"/>
        <w:gridCol w:w="938"/>
        <w:gridCol w:w="923"/>
        <w:gridCol w:w="88"/>
        <w:gridCol w:w="1293"/>
        <w:gridCol w:w="1343"/>
      </w:tblGrid>
      <w:tr w14:paraId="50148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055" w:type="dxa"/>
            <w:gridSpan w:val="2"/>
            <w:noWrap w:val="0"/>
            <w:vAlign w:val="center"/>
          </w:tcPr>
          <w:p w14:paraId="01186FB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bCs w:val="0"/>
                <w:color w:val="auto"/>
                <w:sz w:val="21"/>
                <w:szCs w:val="21"/>
                <w:lang w:val="en-US" w:eastAsia="zh-CN"/>
              </w:rPr>
            </w:pPr>
            <w:r>
              <w:rPr>
                <w:rFonts w:hint="eastAsia" w:ascii="Times New Roman" w:hAnsi="Times New Roman" w:eastAsia="宋体"/>
                <w:b/>
                <w:bCs w:val="0"/>
                <w:color w:val="auto"/>
                <w:sz w:val="21"/>
                <w:szCs w:val="21"/>
                <w:lang w:val="en-US" w:eastAsia="zh-CN"/>
              </w:rPr>
              <w:t>工作内容</w:t>
            </w:r>
          </w:p>
        </w:tc>
        <w:tc>
          <w:tcPr>
            <w:tcW w:w="6959" w:type="dxa"/>
            <w:gridSpan w:val="16"/>
            <w:noWrap w:val="0"/>
            <w:vAlign w:val="center"/>
          </w:tcPr>
          <w:p w14:paraId="5005F0F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bCs w:val="0"/>
                <w:color w:val="auto"/>
                <w:sz w:val="21"/>
                <w:szCs w:val="21"/>
                <w:lang w:val="en-US" w:eastAsia="zh-CN"/>
              </w:rPr>
            </w:pPr>
            <w:r>
              <w:rPr>
                <w:rFonts w:hint="eastAsia" w:ascii="Times New Roman" w:hAnsi="Times New Roman" w:eastAsia="宋体"/>
                <w:b/>
                <w:bCs w:val="0"/>
                <w:color w:val="auto"/>
                <w:sz w:val="21"/>
                <w:szCs w:val="21"/>
                <w:lang w:val="en-US" w:eastAsia="zh-CN"/>
              </w:rPr>
              <w:t>自查项目</w:t>
            </w:r>
          </w:p>
        </w:tc>
      </w:tr>
      <w:tr w14:paraId="2D11E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restart"/>
            <w:noWrap w:val="0"/>
            <w:vAlign w:val="center"/>
          </w:tcPr>
          <w:p w14:paraId="13CD52B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评价等级与范围</w:t>
            </w:r>
          </w:p>
        </w:tc>
        <w:tc>
          <w:tcPr>
            <w:tcW w:w="1282" w:type="dxa"/>
            <w:noWrap w:val="0"/>
            <w:vAlign w:val="center"/>
          </w:tcPr>
          <w:p w14:paraId="784E324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评价等级</w:t>
            </w:r>
          </w:p>
        </w:tc>
        <w:tc>
          <w:tcPr>
            <w:tcW w:w="2249" w:type="dxa"/>
            <w:gridSpan w:val="6"/>
            <w:noWrap w:val="0"/>
            <w:vAlign w:val="center"/>
          </w:tcPr>
          <w:p w14:paraId="50230EE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一级</w:t>
            </w:r>
            <w:r>
              <w:rPr>
                <w:rFonts w:hint="eastAsia" w:ascii="Times New Roman" w:hAnsi="Times New Roman" w:eastAsia="宋体" w:cs="MS Mincho"/>
                <w:color w:val="auto"/>
                <w:sz w:val="21"/>
                <w:szCs w:val="21"/>
                <w:lang w:val="en-US" w:eastAsia="zh-CN"/>
              </w:rPr>
              <w:sym w:font="Wingdings 2" w:char="00A3"/>
            </w:r>
          </w:p>
        </w:tc>
        <w:tc>
          <w:tcPr>
            <w:tcW w:w="2344" w:type="dxa"/>
            <w:gridSpan w:val="6"/>
            <w:noWrap w:val="0"/>
            <w:vAlign w:val="center"/>
          </w:tcPr>
          <w:p w14:paraId="7B54520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二级</w:t>
            </w:r>
            <w:r>
              <w:rPr>
                <w:rFonts w:hint="eastAsia" w:ascii="Times New Roman" w:hAnsi="Times New Roman" w:eastAsia="宋体"/>
                <w:color w:val="auto"/>
                <w:sz w:val="21"/>
                <w:szCs w:val="21"/>
                <w:lang w:val="en-US" w:eastAsia="zh-CN"/>
              </w:rPr>
              <w:sym w:font="Wingdings 2" w:char="0052"/>
            </w:r>
          </w:p>
        </w:tc>
        <w:tc>
          <w:tcPr>
            <w:tcW w:w="2366" w:type="dxa"/>
            <w:gridSpan w:val="4"/>
            <w:noWrap w:val="0"/>
            <w:vAlign w:val="center"/>
          </w:tcPr>
          <w:p w14:paraId="39D850C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三级□</w:t>
            </w:r>
          </w:p>
        </w:tc>
      </w:tr>
      <w:tr w14:paraId="57EAB9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00BABC2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772ACC4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评价范围</w:t>
            </w:r>
          </w:p>
        </w:tc>
        <w:tc>
          <w:tcPr>
            <w:tcW w:w="2249" w:type="dxa"/>
            <w:gridSpan w:val="6"/>
            <w:noWrap w:val="0"/>
            <w:vAlign w:val="center"/>
          </w:tcPr>
          <w:p w14:paraId="68F935E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边长=50km</w:t>
            </w:r>
            <w:r>
              <w:rPr>
                <w:rFonts w:hint="eastAsia" w:ascii="Times New Roman" w:hAnsi="Times New Roman" w:eastAsia="宋体"/>
                <w:color w:val="auto"/>
                <w:sz w:val="21"/>
                <w:szCs w:val="21"/>
                <w:lang w:val="en-US" w:eastAsia="zh-CN"/>
              </w:rPr>
              <w:sym w:font="Wingdings 2" w:char="00A3"/>
            </w:r>
          </w:p>
        </w:tc>
        <w:tc>
          <w:tcPr>
            <w:tcW w:w="2344" w:type="dxa"/>
            <w:gridSpan w:val="6"/>
            <w:noWrap w:val="0"/>
            <w:vAlign w:val="center"/>
          </w:tcPr>
          <w:p w14:paraId="5B00282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边长=5~50km□</w:t>
            </w:r>
          </w:p>
        </w:tc>
        <w:tc>
          <w:tcPr>
            <w:tcW w:w="2366" w:type="dxa"/>
            <w:gridSpan w:val="4"/>
            <w:noWrap w:val="0"/>
            <w:vAlign w:val="center"/>
          </w:tcPr>
          <w:p w14:paraId="3E0201A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边长=5km</w:t>
            </w:r>
            <w:r>
              <w:rPr>
                <w:rFonts w:hint="eastAsia" w:ascii="Times New Roman" w:hAnsi="Times New Roman" w:eastAsia="宋体" w:cs="MS Mincho"/>
                <w:color w:val="auto"/>
                <w:sz w:val="21"/>
                <w:szCs w:val="21"/>
                <w:lang w:val="en-US" w:eastAsia="zh-CN"/>
              </w:rPr>
              <w:t>☑</w:t>
            </w:r>
          </w:p>
        </w:tc>
      </w:tr>
      <w:tr w14:paraId="06FEC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restart"/>
            <w:noWrap w:val="0"/>
            <w:vAlign w:val="center"/>
          </w:tcPr>
          <w:p w14:paraId="21398A7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评价因子</w:t>
            </w:r>
          </w:p>
        </w:tc>
        <w:tc>
          <w:tcPr>
            <w:tcW w:w="1282" w:type="dxa"/>
            <w:noWrap w:val="0"/>
            <w:vAlign w:val="center"/>
          </w:tcPr>
          <w:p w14:paraId="6AB16B8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10"/>
                <w:sz w:val="21"/>
                <w:szCs w:val="21"/>
                <w:lang w:val="en-US" w:eastAsia="zh-CN"/>
              </w:rPr>
            </w:pPr>
            <w:r>
              <w:rPr>
                <w:rFonts w:hint="eastAsia" w:ascii="Times New Roman" w:hAnsi="Times New Roman" w:eastAsia="宋体"/>
                <w:color w:val="auto"/>
                <w:spacing w:val="-10"/>
                <w:sz w:val="21"/>
                <w:szCs w:val="21"/>
                <w:lang w:val="en-US" w:eastAsia="zh-CN"/>
              </w:rPr>
              <w:t>SO</w:t>
            </w:r>
            <w:r>
              <w:rPr>
                <w:rFonts w:hint="eastAsia" w:ascii="Times New Roman" w:hAnsi="Times New Roman" w:eastAsia="宋体"/>
                <w:color w:val="auto"/>
                <w:spacing w:val="-10"/>
                <w:sz w:val="21"/>
                <w:szCs w:val="21"/>
                <w:vertAlign w:val="subscript"/>
                <w:lang w:val="en-US" w:eastAsia="zh-CN"/>
              </w:rPr>
              <w:t>2</w:t>
            </w:r>
            <w:r>
              <w:rPr>
                <w:rFonts w:hint="eastAsia" w:ascii="Times New Roman" w:hAnsi="Times New Roman" w:eastAsia="宋体"/>
                <w:color w:val="auto"/>
                <w:spacing w:val="-10"/>
                <w:sz w:val="21"/>
                <w:szCs w:val="21"/>
                <w:lang w:val="en-US" w:eastAsia="zh-CN"/>
              </w:rPr>
              <w:t>+NOx排放量</w:t>
            </w:r>
          </w:p>
        </w:tc>
        <w:tc>
          <w:tcPr>
            <w:tcW w:w="2249" w:type="dxa"/>
            <w:gridSpan w:val="6"/>
            <w:noWrap w:val="0"/>
            <w:vAlign w:val="center"/>
          </w:tcPr>
          <w:p w14:paraId="770CD7C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≥2000t/a□</w:t>
            </w:r>
          </w:p>
        </w:tc>
        <w:tc>
          <w:tcPr>
            <w:tcW w:w="2344" w:type="dxa"/>
            <w:gridSpan w:val="6"/>
            <w:noWrap w:val="0"/>
            <w:vAlign w:val="center"/>
          </w:tcPr>
          <w:p w14:paraId="2E62450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500~2000t/a□</w:t>
            </w:r>
          </w:p>
        </w:tc>
        <w:tc>
          <w:tcPr>
            <w:tcW w:w="2366" w:type="dxa"/>
            <w:gridSpan w:val="4"/>
            <w:noWrap w:val="0"/>
            <w:vAlign w:val="center"/>
          </w:tcPr>
          <w:p w14:paraId="668A87F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＜500t/a</w:t>
            </w:r>
            <w:r>
              <w:rPr>
                <w:rFonts w:hint="eastAsia" w:ascii="Times New Roman" w:hAnsi="Times New Roman" w:eastAsia="宋体" w:cs="MS Mincho"/>
                <w:color w:val="auto"/>
                <w:sz w:val="21"/>
                <w:szCs w:val="21"/>
                <w:lang w:val="en-US" w:eastAsia="zh-CN"/>
              </w:rPr>
              <w:sym w:font="Wingdings 2" w:char="00A3"/>
            </w:r>
          </w:p>
        </w:tc>
      </w:tr>
      <w:tr w14:paraId="7C66E8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0D3B77B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4CF4C32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评价因子</w:t>
            </w:r>
          </w:p>
        </w:tc>
        <w:tc>
          <w:tcPr>
            <w:tcW w:w="3855" w:type="dxa"/>
            <w:gridSpan w:val="10"/>
            <w:noWrap w:val="0"/>
            <w:vAlign w:val="center"/>
          </w:tcPr>
          <w:p w14:paraId="0D17AE3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基本污染物（/）</w:t>
            </w:r>
          </w:p>
          <w:p w14:paraId="71A5C26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其它污染物（NH</w:t>
            </w:r>
            <w:r>
              <w:rPr>
                <w:rFonts w:hint="eastAsia" w:ascii="Times New Roman" w:hAnsi="Times New Roman" w:eastAsia="宋体"/>
                <w:color w:val="auto"/>
                <w:sz w:val="21"/>
                <w:szCs w:val="21"/>
                <w:vertAlign w:val="subscript"/>
                <w:lang w:val="en-US" w:eastAsia="zh-CN"/>
              </w:rPr>
              <w:t>3</w:t>
            </w:r>
            <w:r>
              <w:rPr>
                <w:rFonts w:hint="eastAsia" w:ascii="Times New Roman" w:hAnsi="Times New Roman" w:eastAsia="宋体"/>
                <w:color w:val="auto"/>
                <w:sz w:val="21"/>
                <w:szCs w:val="21"/>
                <w:vertAlign w:val="baseline"/>
                <w:lang w:val="en-US" w:eastAsia="zh-CN"/>
              </w:rPr>
              <w:t>、</w:t>
            </w:r>
            <w:r>
              <w:rPr>
                <w:rFonts w:hint="eastAsia" w:ascii="Times New Roman" w:hAnsi="Times New Roman" w:eastAsia="宋体"/>
                <w:color w:val="auto"/>
                <w:sz w:val="21"/>
                <w:szCs w:val="21"/>
                <w:lang w:val="en-US" w:eastAsia="zh-CN"/>
              </w:rPr>
              <w:t>H</w:t>
            </w:r>
            <w:r>
              <w:rPr>
                <w:rFonts w:hint="eastAsia" w:ascii="Times New Roman" w:hAnsi="Times New Roman" w:eastAsia="宋体"/>
                <w:color w:val="auto"/>
                <w:sz w:val="21"/>
                <w:szCs w:val="21"/>
                <w:vertAlign w:val="subscript"/>
                <w:lang w:val="en-US" w:eastAsia="zh-CN"/>
              </w:rPr>
              <w:t>2</w:t>
            </w:r>
            <w:r>
              <w:rPr>
                <w:rFonts w:hint="eastAsia" w:ascii="Times New Roman" w:hAnsi="Times New Roman" w:eastAsia="宋体"/>
                <w:color w:val="auto"/>
                <w:sz w:val="21"/>
                <w:szCs w:val="21"/>
                <w:lang w:val="en-US" w:eastAsia="zh-CN"/>
              </w:rPr>
              <w:t>S）</w:t>
            </w:r>
          </w:p>
        </w:tc>
        <w:tc>
          <w:tcPr>
            <w:tcW w:w="3104" w:type="dxa"/>
            <w:gridSpan w:val="6"/>
            <w:noWrap w:val="0"/>
            <w:vAlign w:val="center"/>
          </w:tcPr>
          <w:p w14:paraId="2698636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包括二次PM</w:t>
            </w:r>
            <w:r>
              <w:rPr>
                <w:rFonts w:hint="eastAsia" w:ascii="Times New Roman" w:hAnsi="Times New Roman" w:eastAsia="宋体"/>
                <w:color w:val="auto"/>
                <w:sz w:val="21"/>
                <w:szCs w:val="21"/>
                <w:vertAlign w:val="subscript"/>
                <w:lang w:val="en-US" w:eastAsia="zh-CN"/>
              </w:rPr>
              <w:t>2.5</w:t>
            </w:r>
            <w:r>
              <w:rPr>
                <w:rFonts w:hint="eastAsia" w:ascii="Times New Roman" w:hAnsi="Times New Roman" w:eastAsia="宋体"/>
                <w:color w:val="auto"/>
                <w:sz w:val="21"/>
                <w:szCs w:val="21"/>
                <w:lang w:val="en-US" w:eastAsia="zh-CN"/>
              </w:rPr>
              <w:t>□</w:t>
            </w:r>
          </w:p>
          <w:p w14:paraId="19E4878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不包括二次PM</w:t>
            </w:r>
            <w:r>
              <w:rPr>
                <w:rFonts w:hint="eastAsia" w:ascii="Times New Roman" w:hAnsi="Times New Roman" w:eastAsia="宋体"/>
                <w:color w:val="auto"/>
                <w:sz w:val="21"/>
                <w:szCs w:val="21"/>
                <w:vertAlign w:val="subscript"/>
                <w:lang w:val="en-US" w:eastAsia="zh-CN"/>
              </w:rPr>
              <w:t>2.5</w:t>
            </w:r>
            <w:r>
              <w:rPr>
                <w:rFonts w:hint="eastAsia" w:ascii="Times New Roman" w:eastAsia="宋体"/>
                <w:color w:val="auto"/>
                <w:sz w:val="21"/>
                <w:szCs w:val="21"/>
                <w:lang w:val="en-US" w:eastAsia="zh-CN"/>
              </w:rPr>
              <w:t>☑</w:t>
            </w:r>
          </w:p>
        </w:tc>
      </w:tr>
      <w:tr w14:paraId="296D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restart"/>
            <w:noWrap w:val="0"/>
            <w:vAlign w:val="center"/>
          </w:tcPr>
          <w:p w14:paraId="5AA7DB7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现状评价</w:t>
            </w:r>
          </w:p>
        </w:tc>
        <w:tc>
          <w:tcPr>
            <w:tcW w:w="1282" w:type="dxa"/>
            <w:noWrap w:val="0"/>
            <w:vAlign w:val="center"/>
          </w:tcPr>
          <w:p w14:paraId="3769724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环境功能区</w:t>
            </w:r>
          </w:p>
        </w:tc>
        <w:tc>
          <w:tcPr>
            <w:tcW w:w="2250" w:type="dxa"/>
            <w:gridSpan w:val="6"/>
            <w:noWrap w:val="0"/>
            <w:vAlign w:val="center"/>
          </w:tcPr>
          <w:p w14:paraId="039416E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一类区□</w:t>
            </w:r>
          </w:p>
        </w:tc>
        <w:tc>
          <w:tcPr>
            <w:tcW w:w="2344" w:type="dxa"/>
            <w:gridSpan w:val="6"/>
            <w:noWrap w:val="0"/>
            <w:vAlign w:val="center"/>
          </w:tcPr>
          <w:p w14:paraId="7F28D66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二类区</w:t>
            </w:r>
            <w:r>
              <w:rPr>
                <w:rFonts w:hint="eastAsia" w:ascii="Times New Roman" w:hAnsi="Times New Roman" w:eastAsia="宋体" w:cs="MS Mincho"/>
                <w:color w:val="auto"/>
                <w:sz w:val="21"/>
                <w:szCs w:val="21"/>
                <w:lang w:val="en-US" w:eastAsia="zh-CN"/>
              </w:rPr>
              <w:t>☑</w:t>
            </w:r>
          </w:p>
        </w:tc>
        <w:tc>
          <w:tcPr>
            <w:tcW w:w="2365" w:type="dxa"/>
            <w:gridSpan w:val="4"/>
            <w:noWrap w:val="0"/>
            <w:vAlign w:val="center"/>
          </w:tcPr>
          <w:p w14:paraId="694BBE7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一类区和二类区</w:t>
            </w:r>
            <w:r>
              <w:rPr>
                <w:rFonts w:hint="eastAsia" w:ascii="Times New Roman" w:hAnsi="Times New Roman" w:eastAsia="宋体"/>
                <w:color w:val="auto"/>
                <w:sz w:val="21"/>
                <w:szCs w:val="21"/>
                <w:lang w:val="en-US" w:eastAsia="zh-CN"/>
              </w:rPr>
              <w:sym w:font="Wingdings 2" w:char="00A3"/>
            </w:r>
          </w:p>
        </w:tc>
      </w:tr>
      <w:tr w14:paraId="66708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466D625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43BA1D6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评价基准年</w:t>
            </w:r>
          </w:p>
        </w:tc>
        <w:tc>
          <w:tcPr>
            <w:tcW w:w="6959" w:type="dxa"/>
            <w:gridSpan w:val="16"/>
            <w:noWrap w:val="0"/>
            <w:vAlign w:val="center"/>
          </w:tcPr>
          <w:p w14:paraId="241809C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w:t>
            </w:r>
            <w:r>
              <w:rPr>
                <w:rFonts w:hint="eastAsia" w:ascii="Times New Roman" w:eastAsia="宋体"/>
                <w:color w:val="auto"/>
                <w:sz w:val="21"/>
                <w:szCs w:val="21"/>
                <w:lang w:val="en-US" w:eastAsia="zh-CN"/>
              </w:rPr>
              <w:t>3</w:t>
            </w:r>
            <w:r>
              <w:rPr>
                <w:rFonts w:hint="eastAsia" w:ascii="Times New Roman" w:hAnsi="Times New Roman" w:eastAsia="宋体"/>
                <w:color w:val="auto"/>
                <w:sz w:val="21"/>
                <w:szCs w:val="21"/>
                <w:lang w:val="en-US" w:eastAsia="zh-CN"/>
              </w:rPr>
              <w:t>）年</w:t>
            </w:r>
          </w:p>
        </w:tc>
      </w:tr>
      <w:tr w14:paraId="67E31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7684DE9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0426789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10"/>
                <w:sz w:val="21"/>
                <w:szCs w:val="21"/>
                <w:lang w:val="en-US" w:eastAsia="zh-CN"/>
              </w:rPr>
            </w:pPr>
            <w:r>
              <w:rPr>
                <w:rFonts w:hint="eastAsia" w:ascii="Times New Roman" w:hAnsi="Times New Roman" w:eastAsia="宋体"/>
                <w:color w:val="auto"/>
                <w:sz w:val="21"/>
                <w:szCs w:val="21"/>
                <w:lang w:val="en-US" w:eastAsia="zh-CN"/>
              </w:rPr>
              <w:t>环境空气质量</w:t>
            </w:r>
            <w:r>
              <w:rPr>
                <w:rFonts w:hint="eastAsia" w:ascii="Times New Roman" w:hAnsi="Times New Roman" w:eastAsia="宋体"/>
                <w:color w:val="auto"/>
                <w:spacing w:val="-10"/>
                <w:sz w:val="21"/>
                <w:szCs w:val="21"/>
                <w:lang w:val="en-US" w:eastAsia="zh-CN"/>
              </w:rPr>
              <w:t>现状调查数据来源</w:t>
            </w:r>
          </w:p>
        </w:tc>
        <w:tc>
          <w:tcPr>
            <w:tcW w:w="2250" w:type="dxa"/>
            <w:gridSpan w:val="6"/>
            <w:noWrap w:val="0"/>
            <w:vAlign w:val="center"/>
          </w:tcPr>
          <w:p w14:paraId="2088A6F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长期例行监测数据</w:t>
            </w:r>
            <w:r>
              <w:rPr>
                <w:rFonts w:hint="eastAsia" w:ascii="Times New Roman" w:hAnsi="Times New Roman" w:eastAsia="宋体"/>
                <w:color w:val="auto"/>
                <w:sz w:val="21"/>
                <w:szCs w:val="21"/>
                <w:lang w:val="en-US" w:eastAsia="zh-CN"/>
              </w:rPr>
              <w:sym w:font="Wingdings 2" w:char="00A3"/>
            </w:r>
          </w:p>
        </w:tc>
        <w:tc>
          <w:tcPr>
            <w:tcW w:w="2344" w:type="dxa"/>
            <w:gridSpan w:val="6"/>
            <w:noWrap w:val="0"/>
            <w:vAlign w:val="center"/>
          </w:tcPr>
          <w:p w14:paraId="3E132A6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pacing w:val="-12"/>
                <w:sz w:val="21"/>
                <w:szCs w:val="21"/>
                <w:lang w:val="en-US" w:eastAsia="zh-CN"/>
              </w:rPr>
              <w:t>主管部门发布数据</w:t>
            </w:r>
            <w:r>
              <w:rPr>
                <w:rFonts w:hint="eastAsia" w:ascii="Times New Roman" w:hAnsi="Times New Roman" w:eastAsia="宋体" w:cs="MS Mincho"/>
                <w:color w:val="auto"/>
                <w:sz w:val="21"/>
                <w:szCs w:val="21"/>
                <w:lang w:val="en-US" w:eastAsia="zh-CN"/>
              </w:rPr>
              <w:t>☑</w:t>
            </w:r>
          </w:p>
        </w:tc>
        <w:tc>
          <w:tcPr>
            <w:tcW w:w="2365" w:type="dxa"/>
            <w:gridSpan w:val="4"/>
            <w:noWrap w:val="0"/>
            <w:vAlign w:val="center"/>
          </w:tcPr>
          <w:p w14:paraId="3BF78F5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现状补充监测</w:t>
            </w:r>
            <w:r>
              <w:rPr>
                <w:rFonts w:hint="eastAsia" w:ascii="Times New Roman" w:hAnsi="Times New Roman" w:eastAsia="宋体" w:cs="MS Mincho"/>
                <w:color w:val="auto"/>
                <w:sz w:val="21"/>
                <w:szCs w:val="21"/>
                <w:lang w:val="en-US" w:eastAsia="zh-CN"/>
              </w:rPr>
              <w:t>☑</w:t>
            </w:r>
          </w:p>
        </w:tc>
      </w:tr>
      <w:tr w14:paraId="0D2983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540A3EB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558E2F6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现状评价</w:t>
            </w:r>
          </w:p>
        </w:tc>
        <w:tc>
          <w:tcPr>
            <w:tcW w:w="3855" w:type="dxa"/>
            <w:gridSpan w:val="10"/>
            <w:noWrap w:val="0"/>
            <w:vAlign w:val="center"/>
          </w:tcPr>
          <w:p w14:paraId="522EE00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达标区</w:t>
            </w:r>
            <w:r>
              <w:rPr>
                <w:rFonts w:hint="eastAsia" w:ascii="Times New Roman" w:hAnsi="Times New Roman" w:eastAsia="宋体"/>
                <w:color w:val="auto"/>
                <w:sz w:val="21"/>
                <w:szCs w:val="21"/>
                <w:lang w:val="en-US" w:eastAsia="zh-CN"/>
              </w:rPr>
              <w:sym w:font="Wingdings 2" w:char="0052"/>
            </w:r>
          </w:p>
        </w:tc>
        <w:tc>
          <w:tcPr>
            <w:tcW w:w="3104" w:type="dxa"/>
            <w:gridSpan w:val="6"/>
            <w:noWrap w:val="0"/>
            <w:vAlign w:val="center"/>
          </w:tcPr>
          <w:p w14:paraId="07D8C15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不达标区</w:t>
            </w:r>
            <w:r>
              <w:rPr>
                <w:rFonts w:hint="eastAsia" w:ascii="Times New Roman" w:hAnsi="Times New Roman" w:eastAsia="宋体" w:cs="MS Mincho"/>
                <w:color w:val="auto"/>
                <w:sz w:val="21"/>
                <w:szCs w:val="21"/>
                <w:lang w:val="en-US" w:eastAsia="zh-CN"/>
              </w:rPr>
              <w:t>□</w:t>
            </w:r>
          </w:p>
        </w:tc>
      </w:tr>
      <w:tr w14:paraId="1AE905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noWrap w:val="0"/>
            <w:vAlign w:val="center"/>
          </w:tcPr>
          <w:p w14:paraId="3BB737B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污染源</w:t>
            </w:r>
          </w:p>
          <w:p w14:paraId="4EEE3BD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调查</w:t>
            </w:r>
          </w:p>
        </w:tc>
        <w:tc>
          <w:tcPr>
            <w:tcW w:w="1282" w:type="dxa"/>
            <w:noWrap w:val="0"/>
            <w:vAlign w:val="center"/>
          </w:tcPr>
          <w:p w14:paraId="6B63586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调查内容</w:t>
            </w:r>
          </w:p>
        </w:tc>
        <w:tc>
          <w:tcPr>
            <w:tcW w:w="2037" w:type="dxa"/>
            <w:gridSpan w:val="5"/>
            <w:noWrap w:val="0"/>
            <w:vAlign w:val="center"/>
          </w:tcPr>
          <w:p w14:paraId="11EE75B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right"/>
              <w:textAlignment w:val="auto"/>
              <w:outlineLvl w:val="9"/>
              <w:rPr>
                <w:rFonts w:hint="eastAsia" w:ascii="Times New Roman" w:hAnsi="Times New Roman" w:eastAsia="宋体"/>
                <w:color w:val="auto"/>
                <w:spacing w:val="-12"/>
                <w:sz w:val="21"/>
                <w:szCs w:val="21"/>
                <w:lang w:val="en-US" w:eastAsia="zh-CN"/>
              </w:rPr>
            </w:pPr>
            <w:r>
              <w:rPr>
                <w:rFonts w:hint="eastAsia" w:ascii="Times New Roman" w:hAnsi="Times New Roman" w:eastAsia="宋体"/>
                <w:color w:val="auto"/>
                <w:spacing w:val="-12"/>
                <w:sz w:val="21"/>
                <w:szCs w:val="21"/>
                <w:lang w:val="en-US" w:eastAsia="zh-CN"/>
              </w:rPr>
              <w:t>本项目正常排放量</w:t>
            </w:r>
            <w:r>
              <w:rPr>
                <w:rFonts w:hint="eastAsia" w:ascii="Times New Roman" w:hAnsi="Times New Roman" w:eastAsia="宋体" w:cs="MS Mincho"/>
                <w:color w:val="auto"/>
                <w:sz w:val="21"/>
                <w:szCs w:val="21"/>
                <w:lang w:val="en-US" w:eastAsia="zh-CN"/>
              </w:rPr>
              <w:t>☑</w:t>
            </w:r>
          </w:p>
          <w:p w14:paraId="7EE9B1C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right"/>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olor w:val="auto"/>
                <w:spacing w:val="-20"/>
                <w:sz w:val="21"/>
                <w:szCs w:val="21"/>
                <w:lang w:val="en-US" w:eastAsia="zh-CN"/>
              </w:rPr>
              <w:t>本项目非正常排放量</w:t>
            </w:r>
            <w:r>
              <w:rPr>
                <w:rFonts w:hint="eastAsia" w:ascii="Times New Roman" w:hAnsi="Times New Roman" w:eastAsia="宋体" w:cs="MS Mincho"/>
                <w:color w:val="auto"/>
                <w:sz w:val="21"/>
                <w:szCs w:val="21"/>
                <w:lang w:val="en-US" w:eastAsia="zh-CN"/>
              </w:rPr>
              <w:t>□</w:t>
            </w:r>
          </w:p>
          <w:p w14:paraId="424327A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right"/>
              <w:textAlignment w:val="auto"/>
              <w:outlineLvl w:val="9"/>
              <w:rPr>
                <w:rFonts w:hint="eastAsia" w:ascii="Times New Roman" w:hAnsi="Times New Roman" w:eastAsia="宋体"/>
                <w:color w:val="auto"/>
                <w:spacing w:val="-12"/>
                <w:sz w:val="21"/>
                <w:szCs w:val="21"/>
                <w:lang w:val="en-US" w:eastAsia="zh-CN"/>
              </w:rPr>
            </w:pPr>
            <w:r>
              <w:rPr>
                <w:rFonts w:hint="eastAsia" w:ascii="Times New Roman" w:hAnsi="Times New Roman" w:eastAsia="宋体"/>
                <w:color w:val="auto"/>
                <w:spacing w:val="-12"/>
                <w:sz w:val="21"/>
                <w:szCs w:val="21"/>
                <w:lang w:val="en-US" w:eastAsia="zh-CN"/>
              </w:rPr>
              <w:t>现有污染源</w:t>
            </w:r>
            <w:r>
              <w:rPr>
                <w:rFonts w:hint="eastAsia" w:ascii="Times New Roman" w:hAnsi="Times New Roman" w:eastAsia="宋体"/>
                <w:color w:val="auto"/>
                <w:sz w:val="21"/>
                <w:szCs w:val="21"/>
                <w:lang w:val="en-US" w:eastAsia="zh-CN"/>
              </w:rPr>
              <w:t>□</w:t>
            </w:r>
          </w:p>
        </w:tc>
        <w:tc>
          <w:tcPr>
            <w:tcW w:w="1818" w:type="dxa"/>
            <w:gridSpan w:val="5"/>
            <w:noWrap w:val="0"/>
            <w:vAlign w:val="center"/>
          </w:tcPr>
          <w:p w14:paraId="0AD2C1B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拟替代污染源</w:t>
            </w:r>
            <w:r>
              <w:rPr>
                <w:rFonts w:hint="eastAsia" w:ascii="Times New Roman" w:hAnsi="Times New Roman" w:eastAsia="宋体" w:cs="MS Mincho"/>
                <w:color w:val="auto"/>
                <w:sz w:val="21"/>
                <w:szCs w:val="21"/>
                <w:lang w:val="en-US" w:eastAsia="zh-CN"/>
              </w:rPr>
              <w:t>□</w:t>
            </w:r>
          </w:p>
        </w:tc>
        <w:tc>
          <w:tcPr>
            <w:tcW w:w="1338" w:type="dxa"/>
            <w:gridSpan w:val="3"/>
            <w:noWrap w:val="0"/>
            <w:vAlign w:val="center"/>
          </w:tcPr>
          <w:p w14:paraId="3B65642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其它在建、拟建项目污染源□</w:t>
            </w:r>
          </w:p>
        </w:tc>
        <w:tc>
          <w:tcPr>
            <w:tcW w:w="1766" w:type="dxa"/>
            <w:gridSpan w:val="3"/>
            <w:noWrap w:val="0"/>
            <w:vAlign w:val="center"/>
          </w:tcPr>
          <w:p w14:paraId="5C58129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区域污染源□</w:t>
            </w:r>
          </w:p>
        </w:tc>
      </w:tr>
      <w:tr w14:paraId="2C066B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restart"/>
            <w:noWrap w:val="0"/>
            <w:vAlign w:val="center"/>
          </w:tcPr>
          <w:p w14:paraId="74311EF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大气环境影响预测与评价</w:t>
            </w:r>
          </w:p>
        </w:tc>
        <w:tc>
          <w:tcPr>
            <w:tcW w:w="1282" w:type="dxa"/>
            <w:noWrap w:val="0"/>
            <w:vAlign w:val="center"/>
          </w:tcPr>
          <w:p w14:paraId="01AAF84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预测模型</w:t>
            </w:r>
          </w:p>
        </w:tc>
        <w:tc>
          <w:tcPr>
            <w:tcW w:w="1101" w:type="dxa"/>
            <w:gridSpan w:val="2"/>
            <w:noWrap w:val="0"/>
            <w:vAlign w:val="center"/>
          </w:tcPr>
          <w:p w14:paraId="79DB167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olor w:val="auto"/>
                <w:spacing w:val="-20"/>
                <w:sz w:val="21"/>
                <w:szCs w:val="21"/>
                <w:lang w:val="en-US" w:eastAsia="zh-CN"/>
              </w:rPr>
              <w:t>AERMOD</w:t>
            </w:r>
          </w:p>
          <w:p w14:paraId="2CD4944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s="MS Mincho"/>
                <w:color w:val="auto"/>
                <w:sz w:val="21"/>
                <w:szCs w:val="21"/>
                <w:lang w:val="en-US" w:eastAsia="zh-CN"/>
              </w:rPr>
              <w:t>□</w:t>
            </w:r>
          </w:p>
        </w:tc>
        <w:tc>
          <w:tcPr>
            <w:tcW w:w="936" w:type="dxa"/>
            <w:gridSpan w:val="3"/>
            <w:noWrap w:val="0"/>
            <w:vAlign w:val="center"/>
          </w:tcPr>
          <w:p w14:paraId="5BFA460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olor w:val="auto"/>
                <w:spacing w:val="-20"/>
                <w:sz w:val="21"/>
                <w:szCs w:val="21"/>
                <w:lang w:val="en-US" w:eastAsia="zh-CN"/>
              </w:rPr>
              <w:t>ADMS</w:t>
            </w:r>
          </w:p>
          <w:p w14:paraId="3CF057E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olor w:val="auto"/>
                <w:sz w:val="21"/>
                <w:szCs w:val="21"/>
                <w:lang w:val="en-US" w:eastAsia="zh-CN"/>
              </w:rPr>
              <w:t>□</w:t>
            </w:r>
          </w:p>
        </w:tc>
        <w:tc>
          <w:tcPr>
            <w:tcW w:w="1006" w:type="dxa"/>
            <w:gridSpan w:val="3"/>
            <w:noWrap w:val="0"/>
            <w:vAlign w:val="center"/>
          </w:tcPr>
          <w:p w14:paraId="12F1D0B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olor w:val="auto"/>
                <w:spacing w:val="-20"/>
                <w:sz w:val="21"/>
                <w:szCs w:val="21"/>
                <w:lang w:val="en-US" w:eastAsia="zh-CN"/>
              </w:rPr>
              <w:t>AUSTAL2000</w:t>
            </w:r>
            <w:r>
              <w:rPr>
                <w:rFonts w:hint="eastAsia" w:ascii="Times New Roman" w:hAnsi="Times New Roman" w:eastAsia="宋体"/>
                <w:color w:val="auto"/>
                <w:sz w:val="21"/>
                <w:szCs w:val="21"/>
                <w:lang w:val="en-US" w:eastAsia="zh-CN"/>
              </w:rPr>
              <w:t>□</w:t>
            </w:r>
          </w:p>
        </w:tc>
        <w:tc>
          <w:tcPr>
            <w:tcW w:w="812" w:type="dxa"/>
            <w:gridSpan w:val="2"/>
            <w:noWrap w:val="0"/>
            <w:vAlign w:val="center"/>
          </w:tcPr>
          <w:p w14:paraId="7A1A43D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olor w:val="auto"/>
                <w:spacing w:val="-20"/>
                <w:sz w:val="21"/>
                <w:szCs w:val="21"/>
                <w:lang w:val="en-US" w:eastAsia="zh-CN"/>
              </w:rPr>
              <w:t>EDMS/AEDT</w:t>
            </w:r>
            <w:r>
              <w:rPr>
                <w:rFonts w:hint="eastAsia" w:ascii="Times New Roman" w:hAnsi="Times New Roman" w:eastAsia="宋体"/>
                <w:color w:val="auto"/>
                <w:sz w:val="21"/>
                <w:szCs w:val="21"/>
                <w:lang w:val="en-US" w:eastAsia="zh-CN"/>
              </w:rPr>
              <w:t>□</w:t>
            </w:r>
          </w:p>
        </w:tc>
        <w:tc>
          <w:tcPr>
            <w:tcW w:w="1338" w:type="dxa"/>
            <w:gridSpan w:val="3"/>
            <w:noWrap w:val="0"/>
            <w:vAlign w:val="center"/>
          </w:tcPr>
          <w:p w14:paraId="7821C84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olor w:val="auto"/>
                <w:spacing w:val="-20"/>
                <w:sz w:val="21"/>
                <w:szCs w:val="21"/>
                <w:lang w:val="en-US" w:eastAsia="zh-CN"/>
              </w:rPr>
              <w:t>CALPUFF</w:t>
            </w:r>
            <w:r>
              <w:rPr>
                <w:rFonts w:hint="eastAsia" w:ascii="Times New Roman" w:hAnsi="Times New Roman" w:eastAsia="宋体"/>
                <w:color w:val="auto"/>
                <w:sz w:val="21"/>
                <w:szCs w:val="21"/>
                <w:lang w:val="en-US" w:eastAsia="zh-CN"/>
              </w:rPr>
              <w:t>□</w:t>
            </w:r>
          </w:p>
        </w:tc>
        <w:tc>
          <w:tcPr>
            <w:tcW w:w="896" w:type="dxa"/>
            <w:gridSpan w:val="2"/>
            <w:noWrap w:val="0"/>
            <w:vAlign w:val="center"/>
          </w:tcPr>
          <w:p w14:paraId="1B688FC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olor w:val="auto"/>
                <w:spacing w:val="-20"/>
                <w:sz w:val="21"/>
                <w:szCs w:val="21"/>
                <w:lang w:val="en-US" w:eastAsia="zh-CN"/>
              </w:rPr>
              <w:t>网络模型</w:t>
            </w:r>
            <w:r>
              <w:rPr>
                <w:rFonts w:hint="eastAsia" w:ascii="Times New Roman" w:hAnsi="Times New Roman" w:eastAsia="宋体"/>
                <w:color w:val="auto"/>
                <w:sz w:val="21"/>
                <w:szCs w:val="21"/>
                <w:lang w:val="en-US" w:eastAsia="zh-CN"/>
              </w:rPr>
              <w:t>□</w:t>
            </w:r>
          </w:p>
        </w:tc>
        <w:tc>
          <w:tcPr>
            <w:tcW w:w="870" w:type="dxa"/>
            <w:noWrap w:val="0"/>
            <w:vAlign w:val="center"/>
          </w:tcPr>
          <w:p w14:paraId="15D9AAE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pacing w:val="-20"/>
                <w:sz w:val="21"/>
                <w:szCs w:val="21"/>
                <w:lang w:val="en-US" w:eastAsia="zh-CN"/>
              </w:rPr>
            </w:pPr>
            <w:r>
              <w:rPr>
                <w:rFonts w:hint="eastAsia" w:ascii="Times New Roman" w:hAnsi="Times New Roman" w:eastAsia="宋体"/>
                <w:color w:val="auto"/>
                <w:spacing w:val="-20"/>
                <w:sz w:val="21"/>
                <w:szCs w:val="21"/>
                <w:lang w:val="en-US" w:eastAsia="zh-CN"/>
              </w:rPr>
              <w:t>其它</w:t>
            </w:r>
            <w:r>
              <w:rPr>
                <w:rFonts w:hint="eastAsia" w:ascii="Times New Roman" w:hAnsi="Times New Roman" w:eastAsia="宋体"/>
                <w:color w:val="auto"/>
                <w:sz w:val="21"/>
                <w:szCs w:val="21"/>
                <w:lang w:val="en-US" w:eastAsia="zh-CN"/>
              </w:rPr>
              <w:sym w:font="Wingdings 2" w:char="0052"/>
            </w:r>
          </w:p>
        </w:tc>
      </w:tr>
      <w:tr w14:paraId="3B861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3477B7B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274C4F6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预测范围</w:t>
            </w:r>
          </w:p>
        </w:tc>
        <w:tc>
          <w:tcPr>
            <w:tcW w:w="2250" w:type="dxa"/>
            <w:gridSpan w:val="6"/>
            <w:noWrap w:val="0"/>
            <w:vAlign w:val="center"/>
          </w:tcPr>
          <w:p w14:paraId="3BB9248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边长=50km□</w:t>
            </w:r>
          </w:p>
        </w:tc>
        <w:tc>
          <w:tcPr>
            <w:tcW w:w="2344" w:type="dxa"/>
            <w:gridSpan w:val="6"/>
            <w:noWrap w:val="0"/>
            <w:vAlign w:val="center"/>
          </w:tcPr>
          <w:p w14:paraId="73462EA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边长=5~50km□</w:t>
            </w:r>
          </w:p>
        </w:tc>
        <w:tc>
          <w:tcPr>
            <w:tcW w:w="2365" w:type="dxa"/>
            <w:gridSpan w:val="4"/>
            <w:noWrap w:val="0"/>
            <w:vAlign w:val="center"/>
          </w:tcPr>
          <w:p w14:paraId="7E5EB12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边长=5km</w:t>
            </w:r>
            <w:r>
              <w:rPr>
                <w:rFonts w:hint="eastAsia" w:ascii="Times New Roman" w:eastAsia="宋体" w:cs="MS Mincho"/>
                <w:color w:val="auto"/>
                <w:sz w:val="21"/>
                <w:szCs w:val="21"/>
                <w:lang w:val="en-US" w:eastAsia="zh-CN"/>
              </w:rPr>
              <w:t>□</w:t>
            </w:r>
          </w:p>
        </w:tc>
      </w:tr>
      <w:tr w14:paraId="6C061B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4C33CCA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653DF2F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预测因子</w:t>
            </w:r>
          </w:p>
        </w:tc>
        <w:tc>
          <w:tcPr>
            <w:tcW w:w="3375" w:type="dxa"/>
            <w:gridSpan w:val="9"/>
            <w:noWrap w:val="0"/>
            <w:vAlign w:val="center"/>
          </w:tcPr>
          <w:p w14:paraId="653A222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预测因子（NH</w:t>
            </w:r>
            <w:r>
              <w:rPr>
                <w:rFonts w:hint="eastAsia" w:ascii="Times New Roman" w:hAnsi="Times New Roman" w:eastAsia="宋体"/>
                <w:color w:val="auto"/>
                <w:sz w:val="21"/>
                <w:szCs w:val="21"/>
                <w:vertAlign w:val="subscript"/>
                <w:lang w:val="en-US" w:eastAsia="zh-CN"/>
              </w:rPr>
              <w:t>3</w:t>
            </w:r>
            <w:r>
              <w:rPr>
                <w:rFonts w:hint="eastAsia" w:ascii="Times New Roman" w:hAnsi="Times New Roman" w:eastAsia="宋体"/>
                <w:color w:val="auto"/>
                <w:sz w:val="21"/>
                <w:szCs w:val="21"/>
                <w:vertAlign w:val="baseline"/>
                <w:lang w:val="en-US" w:eastAsia="zh-CN"/>
              </w:rPr>
              <w:t>、</w:t>
            </w:r>
            <w:r>
              <w:rPr>
                <w:rFonts w:hint="eastAsia" w:ascii="Times New Roman" w:hAnsi="Times New Roman" w:eastAsia="宋体"/>
                <w:color w:val="auto"/>
                <w:sz w:val="21"/>
                <w:szCs w:val="21"/>
                <w:lang w:val="en-US" w:eastAsia="zh-CN"/>
              </w:rPr>
              <w:t>H</w:t>
            </w:r>
            <w:r>
              <w:rPr>
                <w:rFonts w:hint="eastAsia" w:ascii="Times New Roman" w:hAnsi="Times New Roman" w:eastAsia="宋体"/>
                <w:color w:val="auto"/>
                <w:sz w:val="21"/>
                <w:szCs w:val="21"/>
                <w:vertAlign w:val="subscript"/>
                <w:lang w:val="en-US" w:eastAsia="zh-CN"/>
              </w:rPr>
              <w:t>2</w:t>
            </w:r>
            <w:r>
              <w:rPr>
                <w:rFonts w:hint="eastAsia" w:ascii="Times New Roman" w:hAnsi="Times New Roman" w:eastAsia="宋体"/>
                <w:color w:val="auto"/>
                <w:sz w:val="21"/>
                <w:szCs w:val="21"/>
                <w:lang w:val="en-US" w:eastAsia="zh-CN"/>
              </w:rPr>
              <w:t>S）</w:t>
            </w:r>
          </w:p>
        </w:tc>
        <w:tc>
          <w:tcPr>
            <w:tcW w:w="3584" w:type="dxa"/>
            <w:gridSpan w:val="7"/>
            <w:noWrap w:val="0"/>
            <w:vAlign w:val="center"/>
          </w:tcPr>
          <w:p w14:paraId="3DB39DB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包括二次PM</w:t>
            </w:r>
            <w:r>
              <w:rPr>
                <w:rFonts w:hint="eastAsia" w:ascii="Times New Roman" w:hAnsi="Times New Roman" w:eastAsia="宋体"/>
                <w:color w:val="auto"/>
                <w:sz w:val="21"/>
                <w:szCs w:val="21"/>
                <w:vertAlign w:val="subscript"/>
                <w:lang w:val="en-US" w:eastAsia="zh-CN"/>
              </w:rPr>
              <w:t>2.5</w:t>
            </w:r>
            <w:r>
              <w:rPr>
                <w:rFonts w:hint="eastAsia" w:ascii="Times New Roman" w:hAnsi="Times New Roman" w:eastAsia="宋体"/>
                <w:color w:val="auto"/>
                <w:sz w:val="21"/>
                <w:szCs w:val="21"/>
                <w:lang w:val="en-US" w:eastAsia="zh-CN"/>
              </w:rPr>
              <w:t>□不包括二次PM</w:t>
            </w:r>
            <w:r>
              <w:rPr>
                <w:rFonts w:hint="eastAsia" w:ascii="Times New Roman" w:hAnsi="Times New Roman" w:eastAsia="宋体"/>
                <w:color w:val="auto"/>
                <w:sz w:val="21"/>
                <w:szCs w:val="21"/>
                <w:vertAlign w:val="subscript"/>
                <w:lang w:val="en-US" w:eastAsia="zh-CN"/>
              </w:rPr>
              <w:t>2.5</w:t>
            </w:r>
            <w:r>
              <w:rPr>
                <w:rFonts w:hint="eastAsia" w:ascii="Times New Roman" w:hAnsi="Times New Roman" w:eastAsia="宋体"/>
                <w:color w:val="auto"/>
                <w:sz w:val="21"/>
                <w:szCs w:val="21"/>
                <w:lang w:val="en-US" w:eastAsia="zh-CN"/>
              </w:rPr>
              <w:sym w:font="Wingdings 2" w:char="00A3"/>
            </w:r>
          </w:p>
        </w:tc>
      </w:tr>
      <w:tr w14:paraId="31B6B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69254DB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16B3BF4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正常排放短期浓度贡献值</w:t>
            </w:r>
          </w:p>
        </w:tc>
        <w:tc>
          <w:tcPr>
            <w:tcW w:w="2985" w:type="dxa"/>
            <w:gridSpan w:val="7"/>
            <w:noWrap w:val="0"/>
            <w:vAlign w:val="center"/>
          </w:tcPr>
          <w:p w14:paraId="2C270B6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本项目</w:t>
            </w:r>
            <w:r>
              <w:rPr>
                <w:rFonts w:hint="eastAsia" w:ascii="Times New Roman" w:hAnsi="Times New Roman" w:eastAsia="宋体"/>
                <w:color w:val="auto"/>
                <w:sz w:val="21"/>
                <w:szCs w:val="21"/>
                <w:lang w:val="en-US" w:eastAsia="zh-CN"/>
              </w:rPr>
              <w:t>最大占标率≤100%</w:t>
            </w:r>
            <w:r>
              <w:rPr>
                <w:rFonts w:hint="eastAsia" w:ascii="Times New Roman" w:eastAsia="宋体" w:cs="MS Mincho"/>
                <w:color w:val="auto"/>
                <w:sz w:val="21"/>
                <w:szCs w:val="21"/>
                <w:lang w:val="en-US" w:eastAsia="zh-CN"/>
              </w:rPr>
              <w:t>□</w:t>
            </w:r>
          </w:p>
        </w:tc>
        <w:tc>
          <w:tcPr>
            <w:tcW w:w="3974" w:type="dxa"/>
            <w:gridSpan w:val="9"/>
            <w:noWrap w:val="0"/>
            <w:vAlign w:val="center"/>
          </w:tcPr>
          <w:p w14:paraId="270908A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本项目</w:t>
            </w:r>
            <w:r>
              <w:rPr>
                <w:rFonts w:hint="eastAsia" w:ascii="Times New Roman" w:hAnsi="Times New Roman" w:eastAsia="宋体"/>
                <w:color w:val="auto"/>
                <w:sz w:val="21"/>
                <w:szCs w:val="21"/>
                <w:lang w:val="en-US" w:eastAsia="zh-CN"/>
              </w:rPr>
              <w:t>最大占标率＞100%□</w:t>
            </w:r>
          </w:p>
        </w:tc>
      </w:tr>
      <w:tr w14:paraId="69DBD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64C8F11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vMerge w:val="restart"/>
            <w:noWrap w:val="0"/>
            <w:vAlign w:val="center"/>
          </w:tcPr>
          <w:p w14:paraId="2D1B7B7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正常排放年均浓度贡献值</w:t>
            </w:r>
          </w:p>
        </w:tc>
        <w:tc>
          <w:tcPr>
            <w:tcW w:w="1032" w:type="dxa"/>
            <w:noWrap w:val="0"/>
            <w:vAlign w:val="center"/>
          </w:tcPr>
          <w:p w14:paraId="4FB553A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一类区</w:t>
            </w:r>
          </w:p>
        </w:tc>
        <w:tc>
          <w:tcPr>
            <w:tcW w:w="2953" w:type="dxa"/>
            <w:gridSpan w:val="10"/>
            <w:noWrap w:val="0"/>
            <w:vAlign w:val="center"/>
          </w:tcPr>
          <w:p w14:paraId="718DEA7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本项目</w:t>
            </w:r>
            <w:r>
              <w:rPr>
                <w:rFonts w:hint="eastAsia" w:ascii="Times New Roman" w:hAnsi="Times New Roman" w:eastAsia="宋体"/>
                <w:color w:val="auto"/>
                <w:sz w:val="21"/>
                <w:szCs w:val="21"/>
                <w:lang w:val="en-US" w:eastAsia="zh-CN"/>
              </w:rPr>
              <w:t>最大占标率≤100%</w:t>
            </w:r>
            <w:r>
              <w:rPr>
                <w:rFonts w:hint="eastAsia" w:ascii="Times New Roman" w:hAnsi="Times New Roman" w:eastAsia="宋体"/>
                <w:color w:val="auto"/>
                <w:sz w:val="21"/>
                <w:szCs w:val="21"/>
                <w:lang w:val="en-US" w:eastAsia="zh-CN"/>
              </w:rPr>
              <w:sym w:font="Wingdings 2" w:char="00A3"/>
            </w:r>
          </w:p>
        </w:tc>
        <w:tc>
          <w:tcPr>
            <w:tcW w:w="2974" w:type="dxa"/>
            <w:gridSpan w:val="5"/>
            <w:noWrap w:val="0"/>
            <w:vAlign w:val="center"/>
          </w:tcPr>
          <w:p w14:paraId="131FDC0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本项目</w:t>
            </w:r>
            <w:r>
              <w:rPr>
                <w:rFonts w:hint="eastAsia" w:ascii="Times New Roman" w:hAnsi="Times New Roman" w:eastAsia="宋体"/>
                <w:color w:val="auto"/>
                <w:sz w:val="21"/>
                <w:szCs w:val="21"/>
                <w:lang w:val="en-US" w:eastAsia="zh-CN"/>
              </w:rPr>
              <w:t>最大占标率＞100%□</w:t>
            </w:r>
          </w:p>
        </w:tc>
      </w:tr>
      <w:tr w14:paraId="6DFAA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5B31FF2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vMerge w:val="continue"/>
            <w:noWrap w:val="0"/>
            <w:vAlign w:val="center"/>
          </w:tcPr>
          <w:p w14:paraId="6EDCFF7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032" w:type="dxa"/>
            <w:noWrap w:val="0"/>
            <w:vAlign w:val="center"/>
          </w:tcPr>
          <w:p w14:paraId="339BFFF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二类区</w:t>
            </w:r>
          </w:p>
        </w:tc>
        <w:tc>
          <w:tcPr>
            <w:tcW w:w="2953" w:type="dxa"/>
            <w:gridSpan w:val="10"/>
            <w:noWrap w:val="0"/>
            <w:vAlign w:val="center"/>
          </w:tcPr>
          <w:p w14:paraId="779A09C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本项目</w:t>
            </w:r>
            <w:r>
              <w:rPr>
                <w:rFonts w:hint="eastAsia" w:ascii="Times New Roman" w:hAnsi="Times New Roman" w:eastAsia="宋体"/>
                <w:color w:val="auto"/>
                <w:sz w:val="21"/>
                <w:szCs w:val="21"/>
                <w:lang w:val="en-US" w:eastAsia="zh-CN"/>
              </w:rPr>
              <w:t>最大占标率≤100%</w:t>
            </w:r>
            <w:r>
              <w:rPr>
                <w:rFonts w:hint="eastAsia" w:ascii="Times New Roman" w:eastAsia="宋体" w:cs="MS Mincho"/>
                <w:color w:val="auto"/>
                <w:sz w:val="21"/>
                <w:szCs w:val="21"/>
                <w:lang w:val="en-US" w:eastAsia="zh-CN"/>
              </w:rPr>
              <w:t>□</w:t>
            </w:r>
          </w:p>
        </w:tc>
        <w:tc>
          <w:tcPr>
            <w:tcW w:w="2974" w:type="dxa"/>
            <w:gridSpan w:val="5"/>
            <w:noWrap w:val="0"/>
            <w:vAlign w:val="center"/>
          </w:tcPr>
          <w:p w14:paraId="33B903A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本项目</w:t>
            </w:r>
            <w:r>
              <w:rPr>
                <w:rFonts w:hint="eastAsia" w:ascii="Times New Roman" w:hAnsi="Times New Roman" w:eastAsia="宋体"/>
                <w:color w:val="auto"/>
                <w:sz w:val="21"/>
                <w:szCs w:val="21"/>
                <w:lang w:val="en-US" w:eastAsia="zh-CN"/>
              </w:rPr>
              <w:t>最大占标率＞100%□</w:t>
            </w:r>
          </w:p>
        </w:tc>
      </w:tr>
      <w:tr w14:paraId="6D962B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24C55E5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38095B5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非正常排放1h浓度贡献值</w:t>
            </w:r>
          </w:p>
        </w:tc>
        <w:tc>
          <w:tcPr>
            <w:tcW w:w="1373" w:type="dxa"/>
            <w:gridSpan w:val="3"/>
            <w:noWrap w:val="0"/>
            <w:vAlign w:val="center"/>
          </w:tcPr>
          <w:p w14:paraId="71C1C8B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非正常时长</w:t>
            </w:r>
          </w:p>
          <w:p w14:paraId="29B9E11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（1）h</w:t>
            </w:r>
          </w:p>
        </w:tc>
        <w:tc>
          <w:tcPr>
            <w:tcW w:w="2482" w:type="dxa"/>
            <w:gridSpan w:val="7"/>
            <w:noWrap w:val="0"/>
            <w:vAlign w:val="center"/>
          </w:tcPr>
          <w:p w14:paraId="6BBA3AF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非正常</w:t>
            </w:r>
            <w:r>
              <w:rPr>
                <w:rFonts w:hint="eastAsia" w:ascii="Times New Roman" w:hAnsi="Times New Roman" w:eastAsia="宋体"/>
                <w:color w:val="auto"/>
                <w:sz w:val="21"/>
                <w:szCs w:val="21"/>
                <w:lang w:val="en-US" w:eastAsia="zh-CN"/>
              </w:rPr>
              <w:t>占标率≤100%</w:t>
            </w:r>
            <w:r>
              <w:rPr>
                <w:rFonts w:hint="eastAsia" w:ascii="Times New Roman" w:eastAsia="宋体" w:cs="MS Mincho"/>
                <w:color w:val="auto"/>
                <w:sz w:val="21"/>
                <w:szCs w:val="21"/>
                <w:lang w:val="en-US" w:eastAsia="zh-CN"/>
              </w:rPr>
              <w:t>□</w:t>
            </w:r>
          </w:p>
        </w:tc>
        <w:tc>
          <w:tcPr>
            <w:tcW w:w="3104" w:type="dxa"/>
            <w:gridSpan w:val="6"/>
            <w:noWrap w:val="0"/>
            <w:vAlign w:val="center"/>
          </w:tcPr>
          <w:p w14:paraId="0AA3C7F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非正常</w:t>
            </w:r>
            <w:r>
              <w:rPr>
                <w:rFonts w:hint="eastAsia" w:ascii="Times New Roman" w:hAnsi="Times New Roman" w:eastAsia="宋体"/>
                <w:color w:val="auto"/>
                <w:sz w:val="21"/>
                <w:szCs w:val="21"/>
                <w:lang w:val="en-US" w:eastAsia="zh-CN"/>
              </w:rPr>
              <w:t>占标率＞100%□</w:t>
            </w:r>
          </w:p>
        </w:tc>
      </w:tr>
      <w:tr w14:paraId="271F4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46BB549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0E2E073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保证率日均浓度和年均浓度叠加值</w:t>
            </w:r>
          </w:p>
        </w:tc>
        <w:tc>
          <w:tcPr>
            <w:tcW w:w="3855" w:type="dxa"/>
            <w:gridSpan w:val="10"/>
            <w:noWrap w:val="0"/>
            <w:vAlign w:val="center"/>
          </w:tcPr>
          <w:p w14:paraId="366546A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叠加</w:t>
            </w:r>
            <w:r>
              <w:rPr>
                <w:rFonts w:hint="eastAsia" w:ascii="Times New Roman" w:hAnsi="Times New Roman" w:eastAsia="宋体"/>
                <w:color w:val="auto"/>
                <w:sz w:val="21"/>
                <w:szCs w:val="21"/>
                <w:lang w:val="en-US" w:eastAsia="zh-CN"/>
              </w:rPr>
              <w:t>达标</w:t>
            </w:r>
            <w:r>
              <w:rPr>
                <w:rFonts w:hint="eastAsia" w:ascii="Times New Roman" w:eastAsia="宋体" w:cs="MS Mincho"/>
                <w:color w:val="auto"/>
                <w:sz w:val="21"/>
                <w:szCs w:val="21"/>
                <w:lang w:val="en-US" w:eastAsia="zh-CN"/>
              </w:rPr>
              <w:t>□</w:t>
            </w:r>
          </w:p>
        </w:tc>
        <w:tc>
          <w:tcPr>
            <w:tcW w:w="3104" w:type="dxa"/>
            <w:gridSpan w:val="6"/>
            <w:noWrap w:val="0"/>
            <w:vAlign w:val="center"/>
          </w:tcPr>
          <w:p w14:paraId="4DA1CBE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i/>
                <w:color w:val="auto"/>
                <w:sz w:val="21"/>
                <w:szCs w:val="21"/>
                <w:lang w:val="en-US" w:eastAsia="zh-CN"/>
              </w:rPr>
              <w:t>C</w:t>
            </w:r>
            <w:r>
              <w:rPr>
                <w:rFonts w:hint="eastAsia" w:ascii="Times New Roman" w:hAnsi="Times New Roman" w:eastAsia="宋体"/>
                <w:color w:val="auto"/>
                <w:sz w:val="21"/>
                <w:szCs w:val="21"/>
                <w:vertAlign w:val="subscript"/>
                <w:lang w:val="en-US" w:eastAsia="zh-CN"/>
              </w:rPr>
              <w:t>叠加</w:t>
            </w:r>
            <w:r>
              <w:rPr>
                <w:rFonts w:hint="eastAsia" w:ascii="Times New Roman" w:hAnsi="Times New Roman" w:eastAsia="宋体"/>
                <w:color w:val="auto"/>
                <w:sz w:val="21"/>
                <w:szCs w:val="21"/>
                <w:lang w:val="en-US" w:eastAsia="zh-CN"/>
              </w:rPr>
              <w:t>不达标</w:t>
            </w:r>
            <w:r>
              <w:rPr>
                <w:rFonts w:hint="eastAsia" w:ascii="Times New Roman" w:hAnsi="Times New Roman" w:eastAsia="宋体" w:cs="MS Mincho"/>
                <w:color w:val="auto"/>
                <w:sz w:val="21"/>
                <w:szCs w:val="21"/>
                <w:lang w:val="en-US" w:eastAsia="zh-CN"/>
              </w:rPr>
              <w:t>□</w:t>
            </w:r>
          </w:p>
        </w:tc>
      </w:tr>
      <w:tr w14:paraId="52C6D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2AD97E9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37E1CA0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区域环境质量的整体变化情况</w:t>
            </w:r>
          </w:p>
        </w:tc>
        <w:tc>
          <w:tcPr>
            <w:tcW w:w="3855" w:type="dxa"/>
            <w:gridSpan w:val="10"/>
            <w:noWrap w:val="0"/>
            <w:vAlign w:val="center"/>
          </w:tcPr>
          <w:p w14:paraId="1652423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bookmarkStart w:id="426" w:name="OLE_LINK36"/>
            <w:r>
              <w:rPr>
                <w:rFonts w:ascii="Times New Roman" w:hAnsi="Times New Roman" w:eastAsia="宋体"/>
                <w:i/>
                <w:color w:val="auto"/>
                <w:sz w:val="21"/>
                <w:szCs w:val="21"/>
                <w:lang w:val="en-US" w:eastAsia="zh-CN"/>
              </w:rPr>
              <w:t>k</w:t>
            </w:r>
            <w:r>
              <w:rPr>
                <w:rFonts w:ascii="Times New Roman" w:hAnsi="Times New Roman" w:eastAsia="宋体"/>
                <w:color w:val="auto"/>
                <w:sz w:val="21"/>
                <w:szCs w:val="21"/>
                <w:lang w:val="en-US" w:eastAsia="zh-CN"/>
              </w:rPr>
              <w:t>≤</w:t>
            </w:r>
            <w:r>
              <w:rPr>
                <w:rFonts w:hint="eastAsia" w:ascii="Times New Roman" w:hAnsi="Times New Roman" w:eastAsia="宋体"/>
                <w:color w:val="auto"/>
                <w:sz w:val="21"/>
                <w:szCs w:val="21"/>
                <w:lang w:val="en-US" w:eastAsia="zh-CN"/>
              </w:rPr>
              <w:t xml:space="preserve"> </w:t>
            </w:r>
            <w:r>
              <w:rPr>
                <w:rFonts w:ascii="Times New Roman" w:hAnsi="Times New Roman" w:eastAsia="宋体"/>
                <w:color w:val="auto"/>
                <w:sz w:val="21"/>
                <w:szCs w:val="21"/>
                <w:lang w:val="en-US" w:eastAsia="zh-CN"/>
              </w:rPr>
              <w:t>-20%</w:t>
            </w:r>
            <w:bookmarkEnd w:id="426"/>
            <w:r>
              <w:rPr>
                <w:rFonts w:hint="eastAsia" w:ascii="Times New Roman" w:hAnsi="Times New Roman" w:eastAsia="宋体" w:cs="MS Mincho"/>
                <w:color w:val="auto"/>
                <w:sz w:val="21"/>
                <w:szCs w:val="21"/>
                <w:lang w:val="en-US" w:eastAsia="zh-CN"/>
              </w:rPr>
              <w:t>□</w:t>
            </w:r>
          </w:p>
        </w:tc>
        <w:tc>
          <w:tcPr>
            <w:tcW w:w="3104" w:type="dxa"/>
            <w:gridSpan w:val="6"/>
            <w:noWrap w:val="0"/>
            <w:vAlign w:val="center"/>
          </w:tcPr>
          <w:p w14:paraId="6140AE8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ascii="Times New Roman" w:hAnsi="Times New Roman" w:eastAsia="宋体"/>
                <w:i/>
                <w:color w:val="auto"/>
                <w:sz w:val="21"/>
                <w:szCs w:val="21"/>
                <w:lang w:val="en-US" w:eastAsia="zh-CN"/>
              </w:rPr>
              <w:t>k</w:t>
            </w:r>
            <w:r>
              <w:rPr>
                <w:rFonts w:ascii="Times New Roman" w:hAnsi="Times New Roman" w:eastAsia="宋体"/>
                <w:color w:val="auto"/>
                <w:sz w:val="21"/>
                <w:szCs w:val="21"/>
                <w:lang w:val="en-US" w:eastAsia="zh-CN"/>
              </w:rPr>
              <w:t>＞</w:t>
            </w:r>
            <w:r>
              <w:rPr>
                <w:rFonts w:hint="eastAsia" w:ascii="Times New Roman" w:hAnsi="Times New Roman" w:eastAsia="宋体"/>
                <w:color w:val="auto"/>
                <w:sz w:val="21"/>
                <w:szCs w:val="21"/>
                <w:lang w:val="en-US" w:eastAsia="zh-CN"/>
              </w:rPr>
              <w:t xml:space="preserve"> </w:t>
            </w:r>
            <w:r>
              <w:rPr>
                <w:rFonts w:ascii="Times New Roman" w:hAnsi="Times New Roman" w:eastAsia="宋体"/>
                <w:color w:val="auto"/>
                <w:sz w:val="21"/>
                <w:szCs w:val="21"/>
                <w:lang w:val="en-US" w:eastAsia="zh-CN"/>
              </w:rPr>
              <w:t>-20%</w:t>
            </w:r>
            <w:r>
              <w:rPr>
                <w:rFonts w:hint="eastAsia" w:ascii="Times New Roman" w:hAnsi="Times New Roman" w:eastAsia="宋体"/>
                <w:color w:val="auto"/>
                <w:sz w:val="21"/>
                <w:szCs w:val="21"/>
                <w:lang w:val="en-US" w:eastAsia="zh-CN"/>
              </w:rPr>
              <w:t>□</w:t>
            </w:r>
          </w:p>
        </w:tc>
      </w:tr>
      <w:tr w14:paraId="35962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restart"/>
            <w:noWrap w:val="0"/>
            <w:vAlign w:val="center"/>
          </w:tcPr>
          <w:p w14:paraId="26513F7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环境监测计划</w:t>
            </w:r>
          </w:p>
        </w:tc>
        <w:tc>
          <w:tcPr>
            <w:tcW w:w="1282" w:type="dxa"/>
            <w:noWrap w:val="0"/>
            <w:vAlign w:val="center"/>
          </w:tcPr>
          <w:p w14:paraId="51BDB84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污染源监测</w:t>
            </w:r>
          </w:p>
        </w:tc>
        <w:tc>
          <w:tcPr>
            <w:tcW w:w="2985" w:type="dxa"/>
            <w:gridSpan w:val="7"/>
            <w:noWrap w:val="0"/>
            <w:vAlign w:val="center"/>
          </w:tcPr>
          <w:p w14:paraId="296F080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监测因子：（H</w:t>
            </w:r>
            <w:r>
              <w:rPr>
                <w:rFonts w:hint="eastAsia" w:ascii="Times New Roman" w:hAnsi="Times New Roman" w:eastAsia="宋体"/>
                <w:color w:val="auto"/>
                <w:sz w:val="21"/>
                <w:szCs w:val="21"/>
                <w:vertAlign w:val="subscript"/>
                <w:lang w:val="en-US" w:eastAsia="zh-CN"/>
              </w:rPr>
              <w:t>2</w:t>
            </w:r>
            <w:r>
              <w:rPr>
                <w:rFonts w:hint="eastAsia" w:ascii="Times New Roman" w:hAnsi="Times New Roman" w:eastAsia="宋体"/>
                <w:color w:val="auto"/>
                <w:sz w:val="21"/>
                <w:szCs w:val="21"/>
                <w:lang w:val="en-US" w:eastAsia="zh-CN"/>
              </w:rPr>
              <w:t>S</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NH</w:t>
            </w:r>
            <w:r>
              <w:rPr>
                <w:rFonts w:hint="eastAsia" w:ascii="Times New Roman" w:hAnsi="Times New Roman" w:eastAsia="宋体"/>
                <w:color w:val="auto"/>
                <w:sz w:val="21"/>
                <w:szCs w:val="21"/>
                <w:vertAlign w:val="subscript"/>
                <w:lang w:val="en-US" w:eastAsia="zh-CN"/>
              </w:rPr>
              <w:t>3</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eastAsia="zh-CN"/>
              </w:rPr>
              <w:t>臭气浓度</w:t>
            </w:r>
            <w:r>
              <w:rPr>
                <w:rFonts w:hint="eastAsia" w:ascii="Times New Roman" w:hAnsi="Times New Roman" w:eastAsia="宋体"/>
                <w:color w:val="auto"/>
                <w:sz w:val="21"/>
                <w:szCs w:val="21"/>
                <w:lang w:val="en-US" w:eastAsia="zh-CN"/>
              </w:rPr>
              <w:t>）</w:t>
            </w:r>
          </w:p>
        </w:tc>
        <w:tc>
          <w:tcPr>
            <w:tcW w:w="2265" w:type="dxa"/>
            <w:gridSpan w:val="7"/>
            <w:noWrap w:val="0"/>
            <w:vAlign w:val="center"/>
          </w:tcPr>
          <w:p w14:paraId="5F08033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有组织废气监测</w:t>
            </w:r>
            <w:r>
              <w:rPr>
                <w:rFonts w:hint="eastAsia" w:ascii="Times New Roman" w:hAnsi="Times New Roman" w:eastAsia="宋体" w:cs="MS Mincho"/>
                <w:color w:val="auto"/>
                <w:sz w:val="21"/>
                <w:szCs w:val="21"/>
                <w:lang w:val="en-US" w:eastAsia="zh-CN"/>
              </w:rPr>
              <w:t>☑</w:t>
            </w:r>
          </w:p>
          <w:p w14:paraId="3E589FF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无组织废气监测</w:t>
            </w:r>
            <w:r>
              <w:rPr>
                <w:rFonts w:hint="eastAsia" w:ascii="Times New Roman" w:hAnsi="Times New Roman" w:eastAsia="宋体" w:cs="MS Mincho"/>
                <w:color w:val="auto"/>
                <w:sz w:val="21"/>
                <w:szCs w:val="21"/>
                <w:lang w:val="en-US" w:eastAsia="zh-CN"/>
              </w:rPr>
              <w:t>☑</w:t>
            </w:r>
          </w:p>
        </w:tc>
        <w:tc>
          <w:tcPr>
            <w:tcW w:w="1709" w:type="dxa"/>
            <w:gridSpan w:val="2"/>
            <w:noWrap w:val="0"/>
            <w:vAlign w:val="center"/>
          </w:tcPr>
          <w:p w14:paraId="5D521EA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无监测□</w:t>
            </w:r>
          </w:p>
        </w:tc>
      </w:tr>
      <w:tr w14:paraId="0ACAC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443ECB3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0232314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环境质量监测</w:t>
            </w:r>
          </w:p>
        </w:tc>
        <w:tc>
          <w:tcPr>
            <w:tcW w:w="2985" w:type="dxa"/>
            <w:gridSpan w:val="7"/>
            <w:noWrap w:val="0"/>
            <w:vAlign w:val="center"/>
          </w:tcPr>
          <w:p w14:paraId="424D310C">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监测因子：（H</w:t>
            </w:r>
            <w:r>
              <w:rPr>
                <w:rFonts w:hint="eastAsia" w:ascii="Times New Roman" w:hAnsi="Times New Roman" w:eastAsia="宋体"/>
                <w:color w:val="auto"/>
                <w:sz w:val="21"/>
                <w:szCs w:val="21"/>
                <w:vertAlign w:val="subscript"/>
                <w:lang w:val="en-US" w:eastAsia="zh-CN"/>
              </w:rPr>
              <w:t>2</w:t>
            </w:r>
            <w:r>
              <w:rPr>
                <w:rFonts w:hint="eastAsia" w:ascii="Times New Roman" w:hAnsi="Times New Roman" w:eastAsia="宋体"/>
                <w:color w:val="auto"/>
                <w:sz w:val="21"/>
                <w:szCs w:val="21"/>
                <w:lang w:val="en-US" w:eastAsia="zh-CN"/>
              </w:rPr>
              <w:t>S</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NH</w:t>
            </w:r>
            <w:r>
              <w:rPr>
                <w:rFonts w:hint="eastAsia" w:ascii="Times New Roman" w:hAnsi="Times New Roman" w:eastAsia="宋体"/>
                <w:color w:val="auto"/>
                <w:sz w:val="21"/>
                <w:szCs w:val="21"/>
                <w:vertAlign w:val="subscript"/>
                <w:lang w:val="en-US" w:eastAsia="zh-CN"/>
              </w:rPr>
              <w:t>3</w:t>
            </w:r>
            <w:r>
              <w:rPr>
                <w:rFonts w:hint="eastAsia" w:ascii="Times New Roman" w:hAnsi="Times New Roman" w:eastAsia="宋体"/>
                <w:color w:val="auto"/>
                <w:sz w:val="21"/>
                <w:szCs w:val="21"/>
                <w:lang w:val="en-US" w:eastAsia="zh-CN"/>
              </w:rPr>
              <w:t>）</w:t>
            </w:r>
          </w:p>
        </w:tc>
        <w:tc>
          <w:tcPr>
            <w:tcW w:w="2265" w:type="dxa"/>
            <w:gridSpan w:val="7"/>
            <w:noWrap w:val="0"/>
            <w:vAlign w:val="center"/>
          </w:tcPr>
          <w:p w14:paraId="1C94C64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监测点位数（1）</w:t>
            </w:r>
          </w:p>
        </w:tc>
        <w:tc>
          <w:tcPr>
            <w:tcW w:w="1709" w:type="dxa"/>
            <w:gridSpan w:val="2"/>
            <w:noWrap w:val="0"/>
            <w:vAlign w:val="center"/>
          </w:tcPr>
          <w:p w14:paraId="700019C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无监测□</w:t>
            </w:r>
          </w:p>
        </w:tc>
      </w:tr>
      <w:tr w14:paraId="5CEA53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restart"/>
            <w:noWrap w:val="0"/>
            <w:vAlign w:val="center"/>
          </w:tcPr>
          <w:p w14:paraId="184565F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评价结论</w:t>
            </w:r>
          </w:p>
        </w:tc>
        <w:tc>
          <w:tcPr>
            <w:tcW w:w="1282" w:type="dxa"/>
            <w:noWrap w:val="0"/>
            <w:vAlign w:val="center"/>
          </w:tcPr>
          <w:p w14:paraId="3FB0D83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环境影响</w:t>
            </w:r>
          </w:p>
        </w:tc>
        <w:tc>
          <w:tcPr>
            <w:tcW w:w="3855" w:type="dxa"/>
            <w:gridSpan w:val="10"/>
            <w:noWrap w:val="0"/>
            <w:vAlign w:val="center"/>
          </w:tcPr>
          <w:p w14:paraId="3BD9E42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可接受</w:t>
            </w:r>
            <w:r>
              <w:rPr>
                <w:rFonts w:hint="eastAsia" w:ascii="Times New Roman" w:hAnsi="Times New Roman" w:eastAsia="宋体" w:cs="MS Mincho"/>
                <w:color w:val="auto"/>
                <w:sz w:val="21"/>
                <w:szCs w:val="21"/>
                <w:lang w:val="en-US" w:eastAsia="zh-CN"/>
              </w:rPr>
              <w:t>☑</w:t>
            </w:r>
          </w:p>
        </w:tc>
        <w:tc>
          <w:tcPr>
            <w:tcW w:w="3104" w:type="dxa"/>
            <w:gridSpan w:val="6"/>
            <w:noWrap w:val="0"/>
            <w:vAlign w:val="center"/>
          </w:tcPr>
          <w:p w14:paraId="1318A7F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不可以接受</w:t>
            </w:r>
            <w:bookmarkStart w:id="427" w:name="OLE_LINK38"/>
            <w:bookmarkStart w:id="428" w:name="OLE_LINK37"/>
            <w:r>
              <w:rPr>
                <w:rFonts w:hint="eastAsia" w:ascii="Times New Roman" w:hAnsi="Times New Roman" w:eastAsia="宋体"/>
                <w:color w:val="auto"/>
                <w:sz w:val="21"/>
                <w:szCs w:val="21"/>
                <w:lang w:val="en-US" w:eastAsia="zh-CN"/>
              </w:rPr>
              <w:t>□</w:t>
            </w:r>
            <w:bookmarkEnd w:id="427"/>
            <w:bookmarkEnd w:id="428"/>
          </w:p>
        </w:tc>
      </w:tr>
      <w:tr w14:paraId="57459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3724A2B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129DAE8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大气环境防护距离</w:t>
            </w:r>
          </w:p>
        </w:tc>
        <w:tc>
          <w:tcPr>
            <w:tcW w:w="6959" w:type="dxa"/>
            <w:gridSpan w:val="16"/>
            <w:noWrap w:val="0"/>
            <w:vAlign w:val="center"/>
          </w:tcPr>
          <w:p w14:paraId="59924C1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距（）厂界最远（0）m</w:t>
            </w:r>
          </w:p>
        </w:tc>
      </w:tr>
      <w:tr w14:paraId="64FC3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3" w:type="dxa"/>
            <w:vMerge w:val="continue"/>
            <w:noWrap w:val="0"/>
            <w:vAlign w:val="center"/>
          </w:tcPr>
          <w:p w14:paraId="7BC5518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eastAsia="宋体"/>
                <w:color w:val="auto"/>
                <w:sz w:val="21"/>
                <w:szCs w:val="21"/>
                <w:lang w:val="en-US" w:eastAsia="zh-CN"/>
              </w:rPr>
            </w:pPr>
          </w:p>
        </w:tc>
        <w:tc>
          <w:tcPr>
            <w:tcW w:w="1282" w:type="dxa"/>
            <w:noWrap w:val="0"/>
            <w:vAlign w:val="center"/>
          </w:tcPr>
          <w:p w14:paraId="0CC78F7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污染源年排放量</w:t>
            </w:r>
          </w:p>
        </w:tc>
        <w:tc>
          <w:tcPr>
            <w:tcW w:w="1671" w:type="dxa"/>
            <w:gridSpan w:val="4"/>
            <w:tcBorders>
              <w:right w:val="single" w:color="auto" w:sz="8" w:space="0"/>
            </w:tcBorders>
            <w:noWrap w:val="0"/>
            <w:vAlign w:val="center"/>
          </w:tcPr>
          <w:p w14:paraId="3726B92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SO</w:t>
            </w:r>
            <w:r>
              <w:rPr>
                <w:rFonts w:hint="eastAsia" w:ascii="Times New Roman" w:hAnsi="Times New Roman" w:eastAsia="宋体"/>
                <w:color w:val="auto"/>
                <w:sz w:val="21"/>
                <w:szCs w:val="21"/>
                <w:vertAlign w:val="subscript"/>
                <w:lang w:val="en-US" w:eastAsia="zh-CN"/>
              </w:rPr>
              <w:t>2</w:t>
            </w:r>
            <w:r>
              <w:rPr>
                <w:rFonts w:hint="eastAsia" w:ascii="Times New Roman" w:hAnsi="Times New Roman" w:eastAsia="宋体"/>
                <w:color w:val="auto"/>
                <w:sz w:val="21"/>
                <w:szCs w:val="21"/>
                <w:lang w:val="en-US" w:eastAsia="zh-CN"/>
              </w:rPr>
              <w:t>：（/）t/a</w:t>
            </w:r>
          </w:p>
        </w:tc>
        <w:tc>
          <w:tcPr>
            <w:tcW w:w="2184" w:type="dxa"/>
            <w:gridSpan w:val="6"/>
            <w:tcBorders>
              <w:left w:val="single" w:color="auto" w:sz="8" w:space="0"/>
            </w:tcBorders>
            <w:noWrap w:val="0"/>
            <w:vAlign w:val="center"/>
          </w:tcPr>
          <w:p w14:paraId="36630E9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NO</w:t>
            </w:r>
            <w:r>
              <w:rPr>
                <w:rFonts w:hint="eastAsia" w:ascii="Times New Roman" w:hAnsi="Times New Roman" w:eastAsia="宋体"/>
                <w:color w:val="auto"/>
                <w:sz w:val="21"/>
                <w:szCs w:val="21"/>
                <w:vertAlign w:val="subscript"/>
                <w:lang w:val="en-US" w:eastAsia="zh-CN"/>
              </w:rPr>
              <w:t>2</w:t>
            </w:r>
            <w:r>
              <w:rPr>
                <w:rFonts w:hint="eastAsia" w:ascii="Times New Roman" w:hAnsi="Times New Roman" w:eastAsia="宋体"/>
                <w:color w:val="auto"/>
                <w:sz w:val="21"/>
                <w:szCs w:val="21"/>
                <w:lang w:val="en-US" w:eastAsia="zh-CN"/>
              </w:rPr>
              <w:t>：（/）t/a</w:t>
            </w:r>
          </w:p>
        </w:tc>
        <w:tc>
          <w:tcPr>
            <w:tcW w:w="1338" w:type="dxa"/>
            <w:gridSpan w:val="3"/>
            <w:noWrap w:val="0"/>
            <w:vAlign w:val="center"/>
          </w:tcPr>
          <w:p w14:paraId="7B2CFFD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highlight w:val="yellow"/>
                <w:lang w:val="en-US" w:eastAsia="zh-CN"/>
              </w:rPr>
            </w:pPr>
            <w:r>
              <w:rPr>
                <w:rFonts w:hint="eastAsia" w:ascii="Times New Roman" w:hAnsi="Times New Roman" w:eastAsia="宋体"/>
                <w:color w:val="auto"/>
                <w:sz w:val="21"/>
                <w:szCs w:val="21"/>
                <w:lang w:val="en-US" w:eastAsia="zh-CN"/>
              </w:rPr>
              <w:t>颗粒物：（/）t/a</w:t>
            </w:r>
          </w:p>
        </w:tc>
        <w:tc>
          <w:tcPr>
            <w:tcW w:w="1766" w:type="dxa"/>
            <w:gridSpan w:val="3"/>
            <w:noWrap w:val="0"/>
            <w:vAlign w:val="center"/>
          </w:tcPr>
          <w:p w14:paraId="2DB36F1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VOC</w:t>
            </w:r>
            <w:r>
              <w:rPr>
                <w:rFonts w:hint="eastAsia" w:ascii="Times New Roman" w:hAnsi="Times New Roman" w:eastAsia="宋体"/>
                <w:color w:val="auto"/>
                <w:sz w:val="21"/>
                <w:szCs w:val="21"/>
                <w:vertAlign w:val="subscript"/>
                <w:lang w:val="en-US" w:eastAsia="zh-CN"/>
              </w:rPr>
              <w:t>S</w:t>
            </w:r>
            <w:r>
              <w:rPr>
                <w:rFonts w:hint="eastAsia" w:ascii="Times New Roman" w:hAnsi="Times New Roman" w:eastAsia="宋体"/>
                <w:color w:val="auto"/>
                <w:sz w:val="21"/>
                <w:szCs w:val="21"/>
                <w:lang w:val="en-US" w:eastAsia="zh-CN"/>
              </w:rPr>
              <w:t>：（/）t/a</w:t>
            </w:r>
          </w:p>
        </w:tc>
      </w:tr>
      <w:tr w14:paraId="4BD99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014" w:type="dxa"/>
            <w:gridSpan w:val="18"/>
            <w:noWrap w:val="0"/>
            <w:vAlign w:val="center"/>
          </w:tcPr>
          <w:p w14:paraId="3C9B3C3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注：“□”为勾选项，填“√”；“（）”为内容填写项。</w:t>
            </w:r>
          </w:p>
        </w:tc>
      </w:tr>
    </w:tbl>
    <w:p w14:paraId="0DF23191">
      <w:pPr>
        <w:pStyle w:val="40"/>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outlineLvl w:val="9"/>
        <w:rPr>
          <w:rFonts w:ascii="Times New Roman" w:hAnsi="宋体" w:eastAsia="宋体"/>
          <w:b w:val="0"/>
          <w:bCs/>
          <w:color w:val="auto"/>
          <w:sz w:val="21"/>
          <w:szCs w:val="21"/>
        </w:rPr>
        <w:sectPr>
          <w:headerReference r:id="rId23" w:type="default"/>
          <w:pgSz w:w="16838" w:h="11906" w:orient="landscape"/>
          <w:pgMar w:top="1587"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1D060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429" w:name="_Toc17339"/>
      <w:bookmarkStart w:id="430" w:name="_Toc20482"/>
      <w:bookmarkStart w:id="431" w:name="_Toc8831"/>
      <w:bookmarkStart w:id="432" w:name="_Toc5739"/>
      <w:bookmarkStart w:id="433" w:name="_Toc9951"/>
      <w:bookmarkStart w:id="434" w:name="_Toc17053"/>
      <w:bookmarkStart w:id="435" w:name="_Toc16831"/>
      <w:r>
        <w:rPr>
          <w:rFonts w:hint="default" w:ascii="Times New Roman" w:hAnsi="Times New Roman" w:eastAsia="黑体" w:cs="Times New Roman"/>
          <w:b/>
          <w:color w:val="auto"/>
          <w:sz w:val="28"/>
          <w:szCs w:val="28"/>
          <w:highlight w:val="none"/>
          <w:lang w:val="en-US" w:eastAsia="zh-CN"/>
        </w:rPr>
        <w:t>5.2地表水环境影响分析</w:t>
      </w:r>
      <w:bookmarkEnd w:id="429"/>
      <w:bookmarkEnd w:id="430"/>
      <w:bookmarkEnd w:id="431"/>
      <w:bookmarkEnd w:id="432"/>
      <w:bookmarkEnd w:id="433"/>
      <w:bookmarkEnd w:id="434"/>
      <w:bookmarkEnd w:id="435"/>
    </w:p>
    <w:p w14:paraId="625CA603">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bookmarkStart w:id="436" w:name="_Toc26687"/>
      <w:r>
        <w:rPr>
          <w:rFonts w:hint="default" w:ascii="Times New Roman" w:hAnsi="Times New Roman" w:eastAsia="黑体" w:cs="Times New Roman"/>
          <w:b/>
          <w:bCs w:val="0"/>
          <w:color w:val="auto"/>
          <w:sz w:val="28"/>
          <w:szCs w:val="28"/>
          <w:lang w:val="en-US" w:eastAsia="zh-CN"/>
        </w:rPr>
        <w:t>5.2.1正常工况下水环境影响分析</w:t>
      </w:r>
      <w:bookmarkEnd w:id="436"/>
    </w:p>
    <w:p w14:paraId="6CFCF4F0">
      <w:pPr>
        <w:tabs>
          <w:tab w:val="left" w:pos="3675"/>
        </w:tabs>
        <w:spacing w:line="360" w:lineRule="auto"/>
        <w:ind w:firstLine="480" w:firstLine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项目废水主要分为生活污水与生产废水</w:t>
      </w:r>
      <w:r>
        <w:rPr>
          <w:rFonts w:hint="eastAsia" w:cs="Times New Roman"/>
          <w:color w:val="auto"/>
          <w:sz w:val="24"/>
          <w:highlight w:val="none"/>
          <w:lang w:eastAsia="zh-CN"/>
        </w:rPr>
        <w:t>，</w:t>
      </w:r>
      <w:r>
        <w:rPr>
          <w:rFonts w:hint="eastAsia" w:cs="Times New Roman"/>
          <w:color w:val="auto"/>
          <w:sz w:val="24"/>
          <w:highlight w:val="none"/>
          <w:lang w:val="en-US" w:eastAsia="zh-CN"/>
        </w:rPr>
        <w:t>生产废水包括屠宰废水及车辆冲洗废水</w:t>
      </w:r>
      <w:r>
        <w:rPr>
          <w:rFonts w:hint="default" w:ascii="Times New Roman" w:hAnsi="Times New Roman" w:eastAsia="仿宋_GB2312" w:cs="Times New Roman"/>
          <w:color w:val="auto"/>
          <w:sz w:val="24"/>
          <w:highlight w:val="none"/>
        </w:rPr>
        <w:t>。</w:t>
      </w:r>
    </w:p>
    <w:p w14:paraId="7A0F51CB">
      <w:pPr>
        <w:tabs>
          <w:tab w:val="left" w:pos="3675"/>
        </w:tabs>
        <w:spacing w:line="360" w:lineRule="auto"/>
        <w:ind w:firstLine="480" w:firstLine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lang w:val="zh-CN"/>
        </w:rPr>
        <w:t>生活污水产生总量为</w:t>
      </w:r>
      <w:r>
        <w:rPr>
          <w:rFonts w:hint="eastAsia" w:cs="Times New Roman"/>
          <w:color w:val="auto"/>
          <w:sz w:val="24"/>
          <w:highlight w:val="none"/>
          <w:lang w:val="en-US" w:eastAsia="zh-CN"/>
        </w:rPr>
        <w:t>520</w:t>
      </w:r>
      <w:r>
        <w:rPr>
          <w:rFonts w:hint="default" w:ascii="Times New Roman" w:hAnsi="Times New Roman" w:eastAsia="仿宋_GB2312" w:cs="Times New Roman"/>
          <w:color w:val="auto"/>
          <w:sz w:val="24"/>
          <w:highlight w:val="none"/>
          <w:lang w:val="zh-CN"/>
        </w:rPr>
        <w:t>m</w:t>
      </w:r>
      <w:r>
        <w:rPr>
          <w:rFonts w:hint="default" w:ascii="Times New Roman" w:hAnsi="Times New Roman" w:eastAsia="仿宋_GB2312" w:cs="Times New Roman"/>
          <w:color w:val="auto"/>
          <w:sz w:val="24"/>
          <w:highlight w:val="none"/>
          <w:vertAlign w:val="superscript"/>
          <w:lang w:val="zh-CN"/>
        </w:rPr>
        <w:t>3</w:t>
      </w:r>
      <w:r>
        <w:rPr>
          <w:rFonts w:hint="default" w:ascii="Times New Roman" w:hAnsi="Times New Roman" w:eastAsia="仿宋_GB2312" w:cs="Times New Roman"/>
          <w:color w:val="auto"/>
          <w:sz w:val="24"/>
          <w:highlight w:val="none"/>
          <w:lang w:val="zh-CN"/>
        </w:rPr>
        <w:t>/a</w:t>
      </w:r>
      <w:r>
        <w:rPr>
          <w:rFonts w:hint="default" w:ascii="Times New Roman" w:hAnsi="Times New Roman" w:eastAsia="仿宋_GB2312" w:cs="Times New Roman"/>
          <w:color w:val="auto"/>
          <w:sz w:val="24"/>
          <w:highlight w:val="none"/>
        </w:rPr>
        <w:t>（</w:t>
      </w:r>
      <w:r>
        <w:rPr>
          <w:rFonts w:hint="eastAsia" w:cs="Times New Roman"/>
          <w:color w:val="auto"/>
          <w:sz w:val="24"/>
          <w:highlight w:val="none"/>
          <w:lang w:val="en-US" w:eastAsia="zh-CN"/>
        </w:rPr>
        <w:t>1.58</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/d），</w:t>
      </w:r>
      <w:r>
        <w:rPr>
          <w:rFonts w:hint="default" w:ascii="Times New Roman" w:hAnsi="Times New Roman" w:eastAsia="仿宋_GB2312" w:cs="Times New Roman"/>
          <w:color w:val="auto"/>
          <w:sz w:val="24"/>
          <w:highlight w:val="none"/>
          <w:lang w:val="zh-CN"/>
        </w:rPr>
        <w:t>主要污染因子为COD、BOD</w:t>
      </w:r>
      <w:r>
        <w:rPr>
          <w:rFonts w:hint="default" w:ascii="Times New Roman" w:hAnsi="Times New Roman" w:eastAsia="仿宋_GB2312" w:cs="Times New Roman"/>
          <w:color w:val="auto"/>
          <w:sz w:val="24"/>
          <w:highlight w:val="none"/>
          <w:vertAlign w:val="subscript"/>
          <w:lang w:val="zh-CN"/>
        </w:rPr>
        <w:t>5</w:t>
      </w:r>
      <w:r>
        <w:rPr>
          <w:rFonts w:hint="default" w:ascii="Times New Roman" w:hAnsi="Times New Roman" w:eastAsia="仿宋_GB2312" w:cs="Times New Roman"/>
          <w:color w:val="auto"/>
          <w:sz w:val="24"/>
          <w:highlight w:val="none"/>
          <w:lang w:val="zh-CN"/>
        </w:rPr>
        <w:t>、SS、NH</w:t>
      </w:r>
      <w:r>
        <w:rPr>
          <w:rFonts w:hint="default" w:ascii="Times New Roman" w:hAnsi="Times New Roman" w:eastAsia="仿宋_GB2312" w:cs="Times New Roman"/>
          <w:color w:val="auto"/>
          <w:sz w:val="24"/>
          <w:highlight w:val="none"/>
          <w:vertAlign w:val="subscript"/>
          <w:lang w:val="zh-CN"/>
        </w:rPr>
        <w:t>3</w:t>
      </w:r>
      <w:r>
        <w:rPr>
          <w:rFonts w:hint="default" w:ascii="Times New Roman" w:hAnsi="Times New Roman" w:eastAsia="仿宋_GB2312" w:cs="Times New Roman"/>
          <w:color w:val="auto"/>
          <w:sz w:val="24"/>
          <w:highlight w:val="none"/>
          <w:lang w:val="zh-CN"/>
        </w:rPr>
        <w:t>-N等。生活污水经化粪池收集后达到</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default" w:ascii="Times New Roman" w:hAnsi="Times New Roman" w:eastAsia="仿宋_GB2312" w:cs="Times New Roman"/>
          <w:color w:val="auto"/>
          <w:sz w:val="24"/>
          <w:highlight w:val="none"/>
          <w:lang w:val="zh-CN"/>
        </w:rPr>
        <w:t>，最终排至城区污水处理厂进行进一步处理。</w:t>
      </w:r>
    </w:p>
    <w:p w14:paraId="4065EE5C">
      <w:pPr>
        <w:bidi w:val="0"/>
        <w:rPr>
          <w:rFonts w:hint="eastAsia"/>
          <w:color w:val="auto"/>
          <w:lang w:eastAsia="zh-CN"/>
        </w:rPr>
      </w:pPr>
      <w:r>
        <w:rPr>
          <w:rFonts w:hint="eastAsia" w:cs="Times New Roman"/>
          <w:color w:val="auto"/>
          <w:sz w:val="24"/>
          <w:highlight w:val="none"/>
          <w:lang w:val="en-US" w:eastAsia="zh-CN"/>
        </w:rPr>
        <w:t>生产废水包括屠宰废水及车辆冲洗废水，</w:t>
      </w:r>
      <w:r>
        <w:rPr>
          <w:rFonts w:hint="default" w:ascii="Times New Roman" w:hAnsi="Times New Roman" w:eastAsia="仿宋_GB2312" w:cs="Times New Roman"/>
          <w:color w:val="auto"/>
          <w:sz w:val="24"/>
          <w:highlight w:val="none"/>
        </w:rPr>
        <w:t>产生量为</w:t>
      </w:r>
      <w:r>
        <w:rPr>
          <w:rFonts w:hint="eastAsia" w:cs="Times New Roman"/>
          <w:color w:val="auto"/>
          <w:sz w:val="24"/>
          <w:highlight w:val="none"/>
          <w:lang w:val="en-US" w:eastAsia="zh-CN"/>
        </w:rPr>
        <w:t>18407.88</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/a，</w:t>
      </w:r>
      <w:r>
        <w:rPr>
          <w:rFonts w:hint="default" w:ascii="Times New Roman" w:hAnsi="Times New Roman" w:eastAsia="仿宋_GB2312" w:cs="Times New Roman"/>
          <w:color w:val="auto"/>
          <w:sz w:val="24"/>
          <w:highlight w:val="none"/>
          <w:lang w:val="zh-CN"/>
        </w:rPr>
        <w:t>其主要污染物</w:t>
      </w:r>
      <w:r>
        <w:rPr>
          <w:rFonts w:hint="default" w:ascii="Times New Roman" w:hAnsi="Times New Roman" w:eastAsia="仿宋_GB2312" w:cs="Times New Roman"/>
          <w:color w:val="auto"/>
          <w:sz w:val="24"/>
          <w:highlight w:val="none"/>
          <w:lang w:val="en-US" w:eastAsia="zh-CN"/>
        </w:rPr>
        <w:t>及产生</w:t>
      </w:r>
      <w:r>
        <w:rPr>
          <w:rFonts w:hint="default" w:ascii="Times New Roman" w:hAnsi="Times New Roman" w:eastAsia="仿宋_GB2312" w:cs="Times New Roman"/>
          <w:color w:val="auto"/>
          <w:sz w:val="24"/>
          <w:highlight w:val="none"/>
          <w:lang w:val="zh-CN"/>
        </w:rPr>
        <w:t>浓度为COD</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20</w:t>
      </w:r>
      <w:r>
        <w:rPr>
          <w:rFonts w:hint="default" w:ascii="Times New Roman" w:hAnsi="Times New Roman" w:eastAsia="仿宋_GB2312" w:cs="Times New Roman"/>
          <w:color w:val="auto"/>
          <w:sz w:val="24"/>
          <w:highlight w:val="none"/>
          <w:lang w:val="zh-CN"/>
        </w:rPr>
        <w:t>00mg/L、BOD</w:t>
      </w:r>
      <w:r>
        <w:rPr>
          <w:rFonts w:hint="default" w:ascii="Times New Roman" w:hAnsi="Times New Roman" w:eastAsia="仿宋_GB2312" w:cs="Times New Roman"/>
          <w:color w:val="auto"/>
          <w:sz w:val="24"/>
          <w:highlight w:val="none"/>
          <w:vertAlign w:val="subscript"/>
          <w:lang w:val="zh-CN"/>
        </w:rPr>
        <w:t>5</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10</w:t>
      </w:r>
      <w:r>
        <w:rPr>
          <w:rFonts w:hint="default" w:ascii="Times New Roman" w:hAnsi="Times New Roman" w:eastAsia="仿宋_GB2312" w:cs="Times New Roman"/>
          <w:color w:val="auto"/>
          <w:sz w:val="24"/>
          <w:highlight w:val="none"/>
          <w:lang w:val="zh-CN"/>
        </w:rPr>
        <w:t>0</w:t>
      </w:r>
      <w:r>
        <w:rPr>
          <w:rFonts w:hint="default" w:ascii="Times New Roman" w:hAnsi="Times New Roman" w:eastAsia="仿宋_GB2312" w:cs="Times New Roman"/>
          <w:color w:val="auto"/>
          <w:sz w:val="24"/>
          <w:highlight w:val="none"/>
        </w:rPr>
        <w:t>0</w:t>
      </w:r>
      <w:r>
        <w:rPr>
          <w:rFonts w:hint="default" w:ascii="Times New Roman" w:hAnsi="Times New Roman" w:eastAsia="仿宋_GB2312" w:cs="Times New Roman"/>
          <w:color w:val="auto"/>
          <w:sz w:val="24"/>
          <w:highlight w:val="none"/>
          <w:lang w:val="zh-CN"/>
        </w:rPr>
        <w:t>mg/L、氨氮</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15</w:t>
      </w:r>
      <w:r>
        <w:rPr>
          <w:rFonts w:hint="default" w:ascii="Times New Roman" w:hAnsi="Times New Roman" w:eastAsia="仿宋_GB2312" w:cs="Times New Roman"/>
          <w:color w:val="auto"/>
          <w:sz w:val="24"/>
          <w:highlight w:val="none"/>
          <w:lang w:val="zh-CN"/>
        </w:rPr>
        <w:t>0mg/L、SS</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10</w:t>
      </w:r>
      <w:r>
        <w:rPr>
          <w:rFonts w:hint="default" w:ascii="Times New Roman" w:hAnsi="Times New Roman" w:eastAsia="仿宋_GB2312" w:cs="Times New Roman"/>
          <w:color w:val="auto"/>
          <w:sz w:val="24"/>
          <w:highlight w:val="none"/>
          <w:lang w:val="zh-CN"/>
        </w:rPr>
        <w:t>00mg/L、动植物油</w:t>
      </w:r>
      <w:r>
        <w:rPr>
          <w:rFonts w:hint="eastAsia" w:cs="Times New Roman"/>
          <w:color w:val="auto"/>
          <w:sz w:val="24"/>
          <w:highlight w:val="none"/>
          <w:lang w:val="zh-CN"/>
        </w:rPr>
        <w:t>：</w:t>
      </w:r>
      <w:r>
        <w:rPr>
          <w:rFonts w:hint="eastAsia" w:cs="Times New Roman"/>
          <w:color w:val="auto"/>
          <w:sz w:val="24"/>
          <w:highlight w:val="none"/>
          <w:lang w:val="en-US" w:eastAsia="zh-CN"/>
        </w:rPr>
        <w:t>200</w:t>
      </w:r>
      <w:r>
        <w:rPr>
          <w:rFonts w:hint="default" w:ascii="Times New Roman" w:hAnsi="Times New Roman" w:eastAsia="仿宋_GB2312" w:cs="Times New Roman"/>
          <w:color w:val="auto"/>
          <w:sz w:val="24"/>
          <w:highlight w:val="none"/>
          <w:lang w:val="zh-CN"/>
        </w:rPr>
        <w:t>mg/L</w:t>
      </w:r>
      <w:r>
        <w:rPr>
          <w:rFonts w:hint="eastAsia" w:cs="Times New Roman"/>
          <w:color w:val="auto"/>
          <w:sz w:val="24"/>
          <w:highlight w:val="none"/>
          <w:lang w:val="zh-CN"/>
        </w:rPr>
        <w:t>、</w:t>
      </w:r>
      <w:r>
        <w:rPr>
          <w:rFonts w:hint="eastAsia" w:cs="Times New Roman"/>
          <w:color w:val="auto"/>
          <w:sz w:val="24"/>
          <w:highlight w:val="none"/>
          <w:lang w:val="en-US" w:eastAsia="zh-CN"/>
        </w:rPr>
        <w:t>总磷：54</w:t>
      </w:r>
      <w:r>
        <w:rPr>
          <w:rFonts w:hint="default" w:ascii="Times New Roman" w:hAnsi="Times New Roman" w:eastAsia="仿宋_GB2312" w:cs="Times New Roman"/>
          <w:color w:val="auto"/>
          <w:sz w:val="24"/>
          <w:highlight w:val="none"/>
          <w:lang w:val="zh-CN"/>
        </w:rPr>
        <w:t>mg/L</w:t>
      </w:r>
      <w:r>
        <w:rPr>
          <w:rFonts w:hint="eastAsia" w:cs="Times New Roman"/>
          <w:color w:val="auto"/>
          <w:sz w:val="24"/>
          <w:highlight w:val="none"/>
          <w:lang w:val="zh-CN"/>
        </w:rPr>
        <w:t>、</w:t>
      </w:r>
      <w:r>
        <w:rPr>
          <w:rFonts w:hint="eastAsia" w:cs="Times New Roman"/>
          <w:color w:val="auto"/>
          <w:sz w:val="24"/>
          <w:highlight w:val="none"/>
          <w:lang w:val="en-US" w:eastAsia="zh-CN"/>
        </w:rPr>
        <w:t>总氮：245</w:t>
      </w:r>
      <w:r>
        <w:rPr>
          <w:rFonts w:hint="default" w:ascii="Times New Roman" w:hAnsi="Times New Roman" w:eastAsia="仿宋_GB2312" w:cs="Times New Roman"/>
          <w:color w:val="auto"/>
          <w:sz w:val="24"/>
          <w:highlight w:val="none"/>
          <w:lang w:val="zh-CN"/>
        </w:rPr>
        <w:t>mg/L，</w:t>
      </w:r>
      <w:r>
        <w:rPr>
          <w:rFonts w:hint="default" w:ascii="Times New Roman" w:hAnsi="Times New Roman" w:eastAsia="仿宋_GB2312" w:cs="Times New Roman"/>
          <w:color w:val="auto"/>
          <w:sz w:val="24"/>
          <w:highlight w:val="none"/>
        </w:rPr>
        <w:t>废水排入厂区污水处理站处理，</w:t>
      </w:r>
      <w:r>
        <w:rPr>
          <w:rFonts w:hint="eastAsia" w:cs="Times New Roman"/>
          <w:color w:val="auto"/>
          <w:sz w:val="24"/>
          <w:highlight w:val="none"/>
          <w:lang w:val="en-US" w:eastAsia="zh-CN"/>
        </w:rPr>
        <w:t>采用“格栅+调节池+隔油池+气浮+水解酸化+缺氧+生物接触氧化+二沉+消毒池（次氯酸钠消毒）”</w:t>
      </w:r>
      <w:r>
        <w:rPr>
          <w:rFonts w:hint="default" w:ascii="Times New Roman" w:hAnsi="Times New Roman" w:eastAsia="仿宋_GB2312" w:cs="Times New Roman"/>
          <w:color w:val="auto"/>
          <w:sz w:val="24"/>
          <w:highlight w:val="none"/>
        </w:rPr>
        <w:t>处理工艺，</w:t>
      </w:r>
      <w:r>
        <w:rPr>
          <w:rFonts w:hint="default" w:ascii="Times New Roman" w:hAnsi="Times New Roman" w:eastAsia="仿宋_GB2312" w:cs="Times New Roman"/>
          <w:color w:val="auto"/>
          <w:sz w:val="24"/>
          <w:highlight w:val="none"/>
          <w:lang w:val="en-US" w:eastAsia="zh-CN"/>
        </w:rPr>
        <w:t>排放主要</w:t>
      </w:r>
      <w:r>
        <w:rPr>
          <w:rFonts w:hint="default" w:ascii="Times New Roman" w:hAnsi="Times New Roman" w:eastAsia="仿宋_GB2312" w:cs="Times New Roman"/>
          <w:color w:val="auto"/>
          <w:sz w:val="24"/>
          <w:highlight w:val="none"/>
          <w:lang w:val="zh-CN"/>
        </w:rPr>
        <w:t>污染物</w:t>
      </w:r>
      <w:r>
        <w:rPr>
          <w:rFonts w:hint="default" w:ascii="Times New Roman" w:hAnsi="Times New Roman" w:eastAsia="仿宋_GB2312" w:cs="Times New Roman"/>
          <w:color w:val="auto"/>
          <w:sz w:val="24"/>
          <w:highlight w:val="none"/>
          <w:lang w:val="en-US" w:eastAsia="zh-CN"/>
        </w:rPr>
        <w:t>及</w:t>
      </w:r>
      <w:r>
        <w:rPr>
          <w:rFonts w:hint="default" w:ascii="Times New Roman" w:hAnsi="Times New Roman" w:eastAsia="仿宋_GB2312" w:cs="Times New Roman"/>
          <w:color w:val="auto"/>
          <w:sz w:val="24"/>
          <w:highlight w:val="none"/>
          <w:lang w:val="zh-CN"/>
        </w:rPr>
        <w:t>浓度为COD</w:t>
      </w:r>
      <w:r>
        <w:rPr>
          <w:rFonts w:hint="eastAsia" w:cs="Times New Roman"/>
          <w:color w:val="auto"/>
          <w:sz w:val="24"/>
          <w:highlight w:val="none"/>
          <w:lang w:eastAsia="zh-CN"/>
        </w:rPr>
        <w:t>：452.57</w:t>
      </w:r>
      <w:r>
        <w:rPr>
          <w:rFonts w:hint="default" w:ascii="Times New Roman" w:hAnsi="Times New Roman" w:eastAsia="仿宋_GB2312" w:cs="Times New Roman"/>
          <w:color w:val="auto"/>
          <w:sz w:val="24"/>
          <w:highlight w:val="none"/>
          <w:lang w:val="zh-CN"/>
        </w:rPr>
        <w:t>mg/L、BOD</w:t>
      </w:r>
      <w:r>
        <w:rPr>
          <w:rFonts w:hint="default" w:ascii="Times New Roman" w:hAnsi="Times New Roman" w:eastAsia="仿宋_GB2312" w:cs="Times New Roman"/>
          <w:color w:val="auto"/>
          <w:sz w:val="24"/>
          <w:highlight w:val="none"/>
          <w:vertAlign w:val="subscript"/>
          <w:lang w:val="zh-CN"/>
        </w:rPr>
        <w:t>5</w:t>
      </w:r>
      <w:r>
        <w:rPr>
          <w:rFonts w:hint="eastAsia" w:cs="Times New Roman"/>
          <w:color w:val="auto"/>
          <w:sz w:val="24"/>
          <w:highlight w:val="none"/>
          <w:lang w:eastAsia="zh-CN"/>
        </w:rPr>
        <w:t>：224.78</w:t>
      </w:r>
      <w:r>
        <w:rPr>
          <w:rFonts w:hint="default" w:ascii="Times New Roman" w:hAnsi="Times New Roman" w:eastAsia="仿宋_GB2312" w:cs="Times New Roman"/>
          <w:color w:val="auto"/>
          <w:sz w:val="24"/>
          <w:highlight w:val="none"/>
          <w:lang w:val="zh-CN"/>
        </w:rPr>
        <w:t>mg/L、氨氮</w:t>
      </w:r>
      <w:r>
        <w:rPr>
          <w:rFonts w:hint="eastAsia" w:cs="Times New Roman"/>
          <w:color w:val="auto"/>
          <w:sz w:val="24"/>
          <w:highlight w:val="none"/>
          <w:lang w:eastAsia="zh-CN"/>
        </w:rPr>
        <w:t>：</w:t>
      </w:r>
      <w:r>
        <w:rPr>
          <w:rFonts w:hint="eastAsia" w:cs="Times New Roman"/>
          <w:color w:val="auto"/>
          <w:sz w:val="24"/>
          <w:highlight w:val="none"/>
          <w:lang w:val="en-US" w:eastAsia="zh-CN"/>
        </w:rPr>
        <w:t>30</w:t>
      </w:r>
      <w:r>
        <w:rPr>
          <w:rFonts w:hint="default" w:ascii="Times New Roman" w:hAnsi="Times New Roman" w:eastAsia="仿宋_GB2312" w:cs="Times New Roman"/>
          <w:color w:val="auto"/>
          <w:sz w:val="24"/>
          <w:highlight w:val="none"/>
          <w:lang w:val="zh-CN"/>
        </w:rPr>
        <w:t>mg/L、SS</w:t>
      </w:r>
      <w:r>
        <w:rPr>
          <w:rFonts w:hint="eastAsia" w:cs="Times New Roman"/>
          <w:color w:val="auto"/>
          <w:sz w:val="24"/>
          <w:highlight w:val="none"/>
          <w:lang w:eastAsia="zh-CN"/>
        </w:rPr>
        <w:t>：283.24</w:t>
      </w:r>
      <w:r>
        <w:rPr>
          <w:rFonts w:hint="default" w:ascii="Times New Roman" w:hAnsi="Times New Roman" w:eastAsia="仿宋_GB2312" w:cs="Times New Roman"/>
          <w:color w:val="auto"/>
          <w:sz w:val="24"/>
          <w:highlight w:val="none"/>
          <w:lang w:val="zh-CN"/>
        </w:rPr>
        <w:t>mg/L、动植物油</w:t>
      </w:r>
      <w:r>
        <w:rPr>
          <w:rFonts w:hint="eastAsia" w:cs="Times New Roman"/>
          <w:color w:val="auto"/>
          <w:sz w:val="24"/>
          <w:highlight w:val="none"/>
          <w:lang w:val="zh-CN"/>
        </w:rPr>
        <w:t>：64.88</w:t>
      </w:r>
      <w:r>
        <w:rPr>
          <w:rFonts w:hint="default" w:ascii="Times New Roman" w:hAnsi="Times New Roman" w:eastAsia="仿宋_GB2312" w:cs="Times New Roman"/>
          <w:color w:val="auto"/>
          <w:sz w:val="24"/>
          <w:highlight w:val="none"/>
          <w:lang w:val="zh-CN"/>
        </w:rPr>
        <w:t>mg/L</w:t>
      </w:r>
      <w:r>
        <w:rPr>
          <w:rFonts w:hint="eastAsia" w:cs="Times New Roman"/>
          <w:color w:val="auto"/>
          <w:sz w:val="24"/>
          <w:highlight w:val="none"/>
          <w:lang w:val="zh-CN"/>
        </w:rPr>
        <w:t>、</w:t>
      </w:r>
      <w:r>
        <w:rPr>
          <w:rFonts w:hint="eastAsia" w:cs="Times New Roman"/>
          <w:color w:val="auto"/>
          <w:sz w:val="24"/>
          <w:highlight w:val="none"/>
          <w:lang w:val="en-US" w:eastAsia="zh-CN"/>
        </w:rPr>
        <w:t>总磷：6.48</w:t>
      </w:r>
      <w:r>
        <w:rPr>
          <w:rFonts w:hint="default" w:ascii="Times New Roman" w:hAnsi="Times New Roman" w:eastAsia="仿宋_GB2312" w:cs="Times New Roman"/>
          <w:color w:val="auto"/>
          <w:sz w:val="24"/>
          <w:highlight w:val="none"/>
          <w:lang w:val="zh-CN"/>
        </w:rPr>
        <w:t>mg/L</w:t>
      </w:r>
      <w:r>
        <w:rPr>
          <w:rFonts w:hint="eastAsia" w:cs="Times New Roman"/>
          <w:color w:val="auto"/>
          <w:sz w:val="24"/>
          <w:highlight w:val="none"/>
          <w:lang w:val="zh-CN"/>
        </w:rPr>
        <w:t>、</w:t>
      </w:r>
      <w:r>
        <w:rPr>
          <w:rFonts w:hint="eastAsia" w:cs="Times New Roman"/>
          <w:color w:val="auto"/>
          <w:sz w:val="24"/>
          <w:highlight w:val="none"/>
          <w:lang w:val="en-US" w:eastAsia="zh-CN"/>
        </w:rPr>
        <w:t>总氮：65.07</w:t>
      </w:r>
      <w:r>
        <w:rPr>
          <w:rFonts w:hint="default" w:ascii="Times New Roman" w:hAnsi="Times New Roman" w:eastAsia="仿宋_GB2312" w:cs="Times New Roman"/>
          <w:color w:val="auto"/>
          <w:sz w:val="24"/>
          <w:highlight w:val="none"/>
          <w:lang w:val="zh-CN"/>
        </w:rPr>
        <w:t>mg/L，水质满足《屠宰及肉类加工工业水污染物排放标准》（GB13457-2025）表1间接排放标准</w:t>
      </w:r>
      <w:r>
        <w:rPr>
          <w:rFonts w:hint="eastAsia" w:cs="Times New Roman"/>
          <w:color w:val="auto"/>
          <w:sz w:val="24"/>
          <w:highlight w:val="none"/>
          <w:lang w:val="zh-CN"/>
        </w:rPr>
        <w:t>、</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eastAsia" w:cs="Times New Roman"/>
          <w:color w:val="auto"/>
          <w:sz w:val="24"/>
          <w:highlight w:val="none"/>
          <w:lang w:val="en-US" w:eastAsia="zh-CN"/>
        </w:rPr>
        <w:t>后</w:t>
      </w:r>
      <w:r>
        <w:rPr>
          <w:rFonts w:hint="default" w:ascii="Times New Roman" w:hAnsi="Times New Roman" w:eastAsia="仿宋_GB2312" w:cs="Times New Roman"/>
          <w:color w:val="auto"/>
          <w:sz w:val="24"/>
          <w:highlight w:val="none"/>
          <w:lang w:val="zh-CN"/>
        </w:rPr>
        <w:t>排至城区污水处理厂</w:t>
      </w:r>
      <w:r>
        <w:rPr>
          <w:rFonts w:hint="eastAsia" w:cs="Times New Roman"/>
          <w:color w:val="auto"/>
          <w:sz w:val="24"/>
          <w:highlight w:val="none"/>
          <w:lang w:val="en-US" w:eastAsia="zh-CN"/>
        </w:rPr>
        <w:t>进一步处理</w:t>
      </w:r>
      <w:r>
        <w:rPr>
          <w:rFonts w:hint="default" w:ascii="Times New Roman" w:hAnsi="Times New Roman" w:eastAsia="仿宋_GB2312" w:cs="Times New Roman"/>
          <w:color w:val="auto"/>
          <w:sz w:val="24"/>
          <w:highlight w:val="none"/>
          <w:lang w:val="zh-CN"/>
        </w:rPr>
        <w:t>。</w:t>
      </w:r>
    </w:p>
    <w:p w14:paraId="1694DE1A">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bookmarkStart w:id="437" w:name="_Toc426"/>
      <w:r>
        <w:rPr>
          <w:rFonts w:hint="default" w:ascii="Times New Roman" w:hAnsi="Times New Roman" w:eastAsia="黑体" w:cs="Times New Roman"/>
          <w:b/>
          <w:bCs w:val="0"/>
          <w:color w:val="auto"/>
          <w:sz w:val="28"/>
          <w:szCs w:val="28"/>
          <w:lang w:val="en-US" w:eastAsia="zh-CN"/>
        </w:rPr>
        <w:t>5.2.2事故状态下水环境影响分析</w:t>
      </w:r>
      <w:bookmarkEnd w:id="437"/>
    </w:p>
    <w:p w14:paraId="596ABC72">
      <w:pPr>
        <w:bidi w:val="0"/>
        <w:rPr>
          <w:rFonts w:hint="eastAsia"/>
          <w:color w:val="auto"/>
          <w:lang w:eastAsia="zh-CN"/>
        </w:rPr>
      </w:pPr>
      <w:r>
        <w:rPr>
          <w:rFonts w:hint="eastAsia"/>
          <w:color w:val="auto"/>
          <w:lang w:eastAsia="zh-CN"/>
        </w:rPr>
        <w:t>非正常工况下污水处理设施发生故障导致废水无法处理达标排放。形成废水中主要污染物COD，BOD</w:t>
      </w:r>
      <w:r>
        <w:rPr>
          <w:rFonts w:hint="eastAsia"/>
          <w:color w:val="auto"/>
          <w:vertAlign w:val="subscript"/>
          <w:lang w:eastAsia="zh-CN"/>
        </w:rPr>
        <w:t>5</w:t>
      </w:r>
      <w:r>
        <w:rPr>
          <w:rFonts w:hint="eastAsia"/>
          <w:color w:val="auto"/>
          <w:lang w:eastAsia="zh-CN"/>
        </w:rPr>
        <w:t>，SS、NH</w:t>
      </w:r>
      <w:r>
        <w:rPr>
          <w:rFonts w:hint="eastAsia"/>
          <w:color w:val="auto"/>
          <w:vertAlign w:val="subscript"/>
          <w:lang w:eastAsia="zh-CN"/>
        </w:rPr>
        <w:t>3</w:t>
      </w:r>
      <w:r>
        <w:rPr>
          <w:rFonts w:hint="eastAsia"/>
          <w:color w:val="auto"/>
          <w:lang w:eastAsia="zh-CN"/>
        </w:rPr>
        <w:t>-N、动植物油、</w:t>
      </w:r>
      <w:r>
        <w:rPr>
          <w:rFonts w:hint="eastAsia"/>
          <w:color w:val="auto"/>
          <w:lang w:val="en-US" w:eastAsia="zh-CN"/>
        </w:rPr>
        <w:t>TN、TP</w:t>
      </w:r>
      <w:r>
        <w:rPr>
          <w:rFonts w:hint="eastAsia"/>
          <w:color w:val="auto"/>
          <w:lang w:eastAsia="zh-CN"/>
        </w:rPr>
        <w:t>。为防止废水非正常排放，利用污水处理</w:t>
      </w:r>
      <w:r>
        <w:rPr>
          <w:rFonts w:hint="eastAsia"/>
          <w:color w:val="auto"/>
          <w:lang w:val="en-US" w:eastAsia="zh-CN"/>
        </w:rPr>
        <w:t>站调节池进行事故废水收集</w:t>
      </w:r>
      <w:r>
        <w:rPr>
          <w:rFonts w:hint="eastAsia"/>
          <w:color w:val="auto"/>
          <w:lang w:eastAsia="zh-CN"/>
        </w:rPr>
        <w:t>，防止不达标废水外排，经收集后的废水待设备正常运转后再经处理达标排放。</w:t>
      </w:r>
    </w:p>
    <w:p w14:paraId="4B7FE07A">
      <w:pPr>
        <w:bidi w:val="0"/>
        <w:rPr>
          <w:rFonts w:hint="eastAsia"/>
          <w:color w:val="auto"/>
          <w:lang w:eastAsia="zh-CN"/>
        </w:rPr>
        <w:sectPr>
          <w:headerReference r:id="rId24"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eastAsia="zh-CN"/>
        </w:rPr>
        <w:t>项目废水经厂区内</w:t>
      </w:r>
      <w:r>
        <w:rPr>
          <w:rFonts w:hint="eastAsia"/>
          <w:color w:val="auto"/>
          <w:lang w:val="en-US" w:eastAsia="zh-CN"/>
        </w:rPr>
        <w:t>新建</w:t>
      </w:r>
      <w:r>
        <w:rPr>
          <w:rFonts w:hint="eastAsia"/>
          <w:color w:val="auto"/>
          <w:lang w:eastAsia="zh-CN"/>
        </w:rPr>
        <w:t>污水处理站处理后</w:t>
      </w:r>
      <w:r>
        <w:rPr>
          <w:rFonts w:hint="eastAsia"/>
          <w:color w:val="auto"/>
          <w:lang w:val="en-US" w:eastAsia="zh-CN"/>
        </w:rPr>
        <w:t>排至城区污水处理厂进一步处理</w:t>
      </w:r>
      <w:r>
        <w:rPr>
          <w:rFonts w:hint="eastAsia"/>
          <w:color w:val="auto"/>
          <w:lang w:eastAsia="zh-CN"/>
        </w:rPr>
        <w:t>，不向当地地表水体排放，非正常工况下废水能够有效的收集储存并处理达标，因此项目产生的废水对评价区地表水环境影响很小。建设项目地表水环境影响评价自查表详见表</w:t>
      </w:r>
      <w:r>
        <w:rPr>
          <w:rFonts w:hint="eastAsia"/>
          <w:color w:val="auto"/>
          <w:lang w:val="en-US" w:eastAsia="zh-CN"/>
        </w:rPr>
        <w:t>5.2-1</w:t>
      </w:r>
      <w:r>
        <w:rPr>
          <w:rFonts w:hint="eastAsia"/>
          <w:color w:val="auto"/>
          <w:lang w:eastAsia="zh-CN"/>
        </w:rPr>
        <w:t>。</w:t>
      </w:r>
    </w:p>
    <w:p w14:paraId="05549173">
      <w:pPr>
        <w:pStyle w:val="40"/>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outlineLvl w:val="9"/>
        <w:rPr>
          <w:rFonts w:hint="eastAsia" w:ascii="Times New Roman" w:hAnsi="Times New Roman" w:eastAsia="宋体"/>
          <w:b w:val="0"/>
          <w:snapToGrid w:val="0"/>
          <w:color w:val="auto"/>
          <w:sz w:val="24"/>
          <w:szCs w:val="20"/>
          <w:highlight w:val="none"/>
          <w:lang w:val="en-US" w:eastAsia="zh-CN"/>
        </w:rPr>
      </w:pPr>
      <w:r>
        <w:rPr>
          <w:rFonts w:ascii="Times New Roman" w:hAnsi="Times New Roman" w:eastAsia="宋体"/>
          <w:b w:val="0"/>
          <w:bCs/>
          <w:color w:val="auto"/>
          <w:sz w:val="21"/>
          <w:szCs w:val="21"/>
        </w:rPr>
        <w:t>表</w:t>
      </w:r>
      <w:r>
        <w:rPr>
          <w:rFonts w:hint="eastAsia" w:ascii="Times New Roman" w:hAnsi="Times New Roman" w:eastAsia="宋体"/>
          <w:b w:val="0"/>
          <w:bCs/>
          <w:color w:val="auto"/>
          <w:sz w:val="21"/>
          <w:szCs w:val="21"/>
          <w:lang w:val="en-US" w:eastAsia="zh-CN"/>
        </w:rPr>
        <w:t>5.2-1</w:t>
      </w:r>
      <w:r>
        <w:rPr>
          <w:rFonts w:hint="eastAsia" w:ascii="Times New Roman" w:hAnsi="Times New Roman" w:eastAsia="宋体"/>
          <w:b/>
          <w:color w:val="auto"/>
          <w:sz w:val="24"/>
          <w:szCs w:val="21"/>
          <w:lang w:eastAsia="zh-CN"/>
        </w:rPr>
        <w:t xml:space="preserve">                             </w:t>
      </w:r>
      <w:r>
        <w:rPr>
          <w:rFonts w:hint="eastAsia" w:ascii="Times New Roman" w:hAnsi="Times New Roman" w:eastAsia="宋体"/>
          <w:b/>
          <w:color w:val="auto"/>
          <w:sz w:val="24"/>
          <w:szCs w:val="21"/>
        </w:rPr>
        <w:t xml:space="preserve"> </w:t>
      </w:r>
      <w:r>
        <w:rPr>
          <w:rFonts w:hint="eastAsia" w:ascii="Times New Roman" w:hAnsi="Times New Roman" w:eastAsia="宋体"/>
          <w:b/>
          <w:color w:val="auto"/>
          <w:sz w:val="24"/>
          <w:szCs w:val="21"/>
          <w:lang w:val="en-US" w:eastAsia="zh-CN"/>
        </w:rPr>
        <w:t xml:space="preserve">    </w:t>
      </w:r>
      <w:r>
        <w:rPr>
          <w:rFonts w:hint="eastAsia" w:ascii="Times New Roman" w:hAnsi="Times New Roman" w:eastAsia="宋体"/>
          <w:b/>
          <w:color w:val="auto"/>
          <w:sz w:val="24"/>
          <w:szCs w:val="21"/>
        </w:rPr>
        <w:t xml:space="preserve"> </w:t>
      </w:r>
      <w:r>
        <w:rPr>
          <w:rFonts w:hint="eastAsia" w:ascii="Times New Roman" w:hAnsi="Times New Roman" w:eastAsia="宋体"/>
          <w:b/>
          <w:color w:val="auto"/>
          <w:sz w:val="24"/>
          <w:szCs w:val="21"/>
          <w:lang w:eastAsia="zh-CN"/>
        </w:rPr>
        <w:t>建设项目</w:t>
      </w:r>
      <w:r>
        <w:rPr>
          <w:rFonts w:hint="eastAsia" w:ascii="Times New Roman" w:hAnsi="Times New Roman" w:eastAsia="宋体"/>
          <w:b/>
          <w:color w:val="auto"/>
          <w:sz w:val="24"/>
          <w:szCs w:val="21"/>
        </w:rPr>
        <w:t>地表水环境影响评价自查</w:t>
      </w:r>
      <w:r>
        <w:rPr>
          <w:rFonts w:ascii="Times New Roman" w:hAnsi="Times New Roman" w:eastAsia="宋体"/>
          <w:b/>
          <w:color w:val="auto"/>
          <w:sz w:val="24"/>
          <w:szCs w:val="21"/>
        </w:rPr>
        <w:t>表</w:t>
      </w:r>
    </w:p>
    <w:tbl>
      <w:tblPr>
        <w:tblStyle w:val="27"/>
        <w:tblW w:w="493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6"/>
        <w:gridCol w:w="2539"/>
        <w:gridCol w:w="2551"/>
        <w:gridCol w:w="532"/>
        <w:gridCol w:w="263"/>
        <w:gridCol w:w="1336"/>
        <w:gridCol w:w="923"/>
        <w:gridCol w:w="1210"/>
        <w:gridCol w:w="711"/>
        <w:gridCol w:w="1420"/>
        <w:gridCol w:w="352"/>
        <w:gridCol w:w="290"/>
        <w:gridCol w:w="1294"/>
      </w:tblGrid>
      <w:tr w14:paraId="40ECA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3095" w:type="dxa"/>
            <w:gridSpan w:val="2"/>
            <w:tcBorders>
              <w:top w:val="single" w:color="auto" w:sz="12" w:space="0"/>
              <w:left w:val="single" w:color="auto" w:sz="12" w:space="0"/>
              <w:bottom w:val="single" w:color="auto" w:sz="6" w:space="0"/>
              <w:right w:val="single" w:color="auto" w:sz="6" w:space="0"/>
            </w:tcBorders>
            <w:noWrap/>
            <w:vAlign w:val="center"/>
          </w:tcPr>
          <w:p w14:paraId="66CBA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工作内容</w:t>
            </w:r>
          </w:p>
        </w:tc>
        <w:tc>
          <w:tcPr>
            <w:tcW w:w="10882" w:type="dxa"/>
            <w:gridSpan w:val="11"/>
            <w:tcBorders>
              <w:top w:val="single" w:color="auto" w:sz="12" w:space="0"/>
              <w:left w:val="single" w:color="auto" w:sz="6" w:space="0"/>
              <w:bottom w:val="single" w:color="auto" w:sz="6" w:space="0"/>
              <w:right w:val="single" w:color="auto" w:sz="12" w:space="0"/>
            </w:tcBorders>
            <w:noWrap/>
            <w:vAlign w:val="center"/>
          </w:tcPr>
          <w:p w14:paraId="64452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自查项目</w:t>
            </w:r>
          </w:p>
        </w:tc>
      </w:tr>
      <w:tr w14:paraId="123DE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restart"/>
            <w:tcBorders>
              <w:top w:val="single" w:color="auto" w:sz="6" w:space="0"/>
              <w:left w:val="single" w:color="auto" w:sz="12" w:space="0"/>
              <w:bottom w:val="single" w:color="auto" w:sz="6" w:space="0"/>
              <w:right w:val="single" w:color="auto" w:sz="6" w:space="0"/>
            </w:tcBorders>
            <w:noWrap/>
            <w:vAlign w:val="center"/>
          </w:tcPr>
          <w:p w14:paraId="63DD74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影响识别</w:t>
            </w:r>
          </w:p>
        </w:tc>
        <w:tc>
          <w:tcPr>
            <w:tcW w:w="2539" w:type="dxa"/>
            <w:tcBorders>
              <w:top w:val="single" w:color="auto" w:sz="6" w:space="0"/>
              <w:left w:val="single" w:color="auto" w:sz="6" w:space="0"/>
              <w:bottom w:val="single" w:color="auto" w:sz="6" w:space="0"/>
              <w:right w:val="single" w:color="auto" w:sz="6" w:space="0"/>
            </w:tcBorders>
            <w:noWrap w:val="0"/>
            <w:vAlign w:val="center"/>
          </w:tcPr>
          <w:p w14:paraId="2F802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影响类型</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772F716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 xml:space="preserve">水污染影响型 </w:t>
            </w:r>
            <w:r>
              <w:rPr>
                <w:rFonts w:hint="default" w:ascii="Times New Roman" w:hAnsi="Times New Roman" w:eastAsia="宋体" w:cs="Times New Roman"/>
                <w:color w:val="auto"/>
                <w:sz w:val="21"/>
                <w:szCs w:val="21"/>
                <w:lang w:eastAsia="zh-CN"/>
              </w:rPr>
              <w:sym w:font="Wingdings 2" w:char="0052"/>
            </w:r>
            <w:r>
              <w:rPr>
                <w:rFonts w:hint="default" w:ascii="Times New Roman" w:hAnsi="Times New Roman" w:eastAsia="宋体" w:cs="Times New Roman"/>
                <w:color w:val="auto"/>
                <w:kern w:val="0"/>
                <w:sz w:val="21"/>
                <w:szCs w:val="21"/>
              </w:rPr>
              <w:t xml:space="preserve">；水文要素影响型 </w:t>
            </w:r>
            <w:r>
              <w:rPr>
                <w:rFonts w:hint="eastAsia" w:eastAsia="宋体" w:cs="Times New Roman"/>
                <w:color w:val="auto"/>
                <w:sz w:val="21"/>
                <w:szCs w:val="21"/>
                <w:lang w:eastAsia="zh-CN"/>
              </w:rPr>
              <w:t>□</w:t>
            </w:r>
          </w:p>
        </w:tc>
      </w:tr>
      <w:tr w14:paraId="44E02A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77C774D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6EC40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水环境保护目标</w:t>
            </w:r>
          </w:p>
        </w:tc>
        <w:tc>
          <w:tcPr>
            <w:tcW w:w="10882" w:type="dxa"/>
            <w:gridSpan w:val="11"/>
            <w:tcBorders>
              <w:top w:val="single" w:color="auto" w:sz="6" w:space="0"/>
              <w:left w:val="single" w:color="auto" w:sz="6" w:space="0"/>
              <w:bottom w:val="single" w:color="auto" w:sz="6" w:space="0"/>
              <w:right w:val="single" w:color="auto" w:sz="12" w:space="0"/>
            </w:tcBorders>
            <w:noWrap w:val="0"/>
            <w:vAlign w:val="center"/>
          </w:tcPr>
          <w:p w14:paraId="16622A4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饮用水水源保护区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；饮用水取水口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；涉水的自然保护区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；涉水的风景名胜区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；重要湿地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w:t>
            </w:r>
          </w:p>
          <w:p w14:paraId="0F8303F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重点保护与珍稀水生生物的栖息地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；重要水生生物的自然产卵场及索饵场、越冬场和洄游通道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w:t>
            </w:r>
          </w:p>
          <w:p w14:paraId="2D548F7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天然渔场等渔业水体</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；水产种质资源保护区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；其他 </w:t>
            </w:r>
            <w:r>
              <w:rPr>
                <w:rFonts w:hint="default" w:ascii="Times New Roman" w:hAnsi="Times New Roman" w:eastAsia="宋体" w:cs="Times New Roman"/>
                <w:color w:val="auto"/>
                <w:sz w:val="21"/>
                <w:szCs w:val="21"/>
              </w:rPr>
              <w:t>□；</w:t>
            </w:r>
          </w:p>
        </w:tc>
      </w:tr>
      <w:tr w14:paraId="0F858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73E9F71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restart"/>
            <w:tcBorders>
              <w:top w:val="single" w:color="auto" w:sz="6" w:space="0"/>
              <w:left w:val="single" w:color="auto" w:sz="6" w:space="0"/>
              <w:bottom w:val="single" w:color="auto" w:sz="6" w:space="0"/>
              <w:right w:val="single" w:color="auto" w:sz="6" w:space="0"/>
            </w:tcBorders>
            <w:noWrap w:val="0"/>
            <w:vAlign w:val="center"/>
          </w:tcPr>
          <w:p w14:paraId="6C22C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影响途径</w:t>
            </w:r>
          </w:p>
        </w:tc>
        <w:tc>
          <w:tcPr>
            <w:tcW w:w="5605" w:type="dxa"/>
            <w:gridSpan w:val="5"/>
            <w:tcBorders>
              <w:top w:val="single" w:color="auto" w:sz="6" w:space="0"/>
              <w:left w:val="single" w:color="auto" w:sz="6" w:space="0"/>
              <w:bottom w:val="single" w:color="auto" w:sz="6" w:space="0"/>
              <w:right w:val="single" w:color="auto" w:sz="6" w:space="0"/>
            </w:tcBorders>
            <w:noWrap w:val="0"/>
            <w:vAlign w:val="center"/>
          </w:tcPr>
          <w:p w14:paraId="22AADE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水污染影响型</w:t>
            </w:r>
          </w:p>
        </w:tc>
        <w:tc>
          <w:tcPr>
            <w:tcW w:w="5277" w:type="dxa"/>
            <w:gridSpan w:val="6"/>
            <w:tcBorders>
              <w:top w:val="single" w:color="auto" w:sz="6" w:space="0"/>
              <w:left w:val="single" w:color="auto" w:sz="6" w:space="0"/>
              <w:bottom w:val="single" w:color="auto" w:sz="6" w:space="0"/>
              <w:right w:val="single" w:color="auto" w:sz="12" w:space="0"/>
            </w:tcBorders>
            <w:noWrap w:val="0"/>
            <w:vAlign w:val="center"/>
          </w:tcPr>
          <w:p w14:paraId="6E2D76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水文要素影响型</w:t>
            </w:r>
          </w:p>
        </w:tc>
      </w:tr>
      <w:tr w14:paraId="0A9FE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660A5DF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continue"/>
            <w:tcBorders>
              <w:top w:val="single" w:color="auto" w:sz="6" w:space="0"/>
              <w:left w:val="single" w:color="auto" w:sz="6" w:space="0"/>
              <w:bottom w:val="single" w:color="auto" w:sz="6" w:space="0"/>
              <w:right w:val="single" w:color="auto" w:sz="6" w:space="0"/>
            </w:tcBorders>
            <w:noWrap w:val="0"/>
            <w:vAlign w:val="center"/>
          </w:tcPr>
          <w:p w14:paraId="7B24D26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5605" w:type="dxa"/>
            <w:gridSpan w:val="5"/>
            <w:tcBorders>
              <w:top w:val="single" w:color="auto" w:sz="6" w:space="0"/>
              <w:left w:val="single" w:color="auto" w:sz="6" w:space="0"/>
              <w:bottom w:val="single" w:color="auto" w:sz="6" w:space="0"/>
              <w:right w:val="single" w:color="auto" w:sz="6" w:space="0"/>
            </w:tcBorders>
            <w:noWrap w:val="0"/>
            <w:vAlign w:val="center"/>
          </w:tcPr>
          <w:p w14:paraId="3DAC71F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 xml:space="preserve">直接排放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；间接排放 </w:t>
            </w:r>
            <w:r>
              <w:rPr>
                <w:rFonts w:hint="default" w:ascii="Times New Roman" w:hAnsi="Times New Roman" w:eastAsia="宋体" w:cs="Times New Roman"/>
                <w:color w:val="auto"/>
                <w:sz w:val="21"/>
                <w:szCs w:val="21"/>
                <w:lang w:eastAsia="zh-CN"/>
              </w:rPr>
              <w:sym w:font="Wingdings 2" w:char="0052"/>
            </w:r>
            <w:r>
              <w:rPr>
                <w:rFonts w:hint="default" w:ascii="Times New Roman" w:hAnsi="Times New Roman" w:eastAsia="宋体" w:cs="Times New Roman"/>
                <w:color w:val="auto"/>
                <w:kern w:val="0"/>
                <w:sz w:val="21"/>
                <w:szCs w:val="21"/>
              </w:rPr>
              <w:t>；其他</w:t>
            </w:r>
            <w:r>
              <w:rPr>
                <w:rFonts w:hint="default" w:ascii="Times New Roman" w:hAnsi="Times New Roman" w:eastAsia="宋体" w:cs="Times New Roman"/>
                <w:b w:val="0"/>
                <w:bCs w:val="0"/>
                <w:color w:val="auto"/>
                <w:kern w:val="0"/>
                <w:sz w:val="21"/>
                <w:szCs w:val="21"/>
              </w:rPr>
              <w:t xml:space="preserve"> </w:t>
            </w:r>
            <w:r>
              <w:rPr>
                <w:rFonts w:hint="default" w:ascii="Times New Roman" w:hAnsi="Times New Roman" w:eastAsia="宋体" w:cs="Times New Roman"/>
                <w:color w:val="auto"/>
                <w:sz w:val="21"/>
                <w:szCs w:val="21"/>
                <w:lang w:eastAsia="zh-CN"/>
              </w:rPr>
              <w:sym w:font="Wingdings 2" w:char="00A3"/>
            </w:r>
          </w:p>
        </w:tc>
        <w:tc>
          <w:tcPr>
            <w:tcW w:w="5277" w:type="dxa"/>
            <w:gridSpan w:val="6"/>
            <w:tcBorders>
              <w:top w:val="single" w:color="auto" w:sz="6" w:space="0"/>
              <w:left w:val="single" w:color="auto" w:sz="6" w:space="0"/>
              <w:bottom w:val="single" w:color="auto" w:sz="6" w:space="0"/>
              <w:right w:val="single" w:color="auto" w:sz="12" w:space="0"/>
            </w:tcBorders>
            <w:noWrap w:val="0"/>
            <w:vAlign w:val="center"/>
          </w:tcPr>
          <w:p w14:paraId="2E042D0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水温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；径流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；水域面积 </w:t>
            </w:r>
            <w:r>
              <w:rPr>
                <w:rFonts w:hint="default" w:ascii="Times New Roman" w:hAnsi="Times New Roman" w:eastAsia="宋体" w:cs="Times New Roman"/>
                <w:color w:val="auto"/>
                <w:sz w:val="21"/>
                <w:szCs w:val="21"/>
              </w:rPr>
              <w:t>□</w:t>
            </w:r>
          </w:p>
        </w:tc>
      </w:tr>
      <w:tr w14:paraId="3368F5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48CEA73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022813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影响因子</w:t>
            </w:r>
          </w:p>
        </w:tc>
        <w:tc>
          <w:tcPr>
            <w:tcW w:w="5605" w:type="dxa"/>
            <w:gridSpan w:val="5"/>
            <w:tcBorders>
              <w:top w:val="single" w:color="auto" w:sz="6" w:space="0"/>
              <w:left w:val="single" w:color="auto" w:sz="6" w:space="0"/>
              <w:bottom w:val="single" w:color="auto" w:sz="6" w:space="0"/>
              <w:right w:val="single" w:color="auto" w:sz="6" w:space="0"/>
            </w:tcBorders>
            <w:noWrap w:val="0"/>
            <w:vAlign w:val="center"/>
          </w:tcPr>
          <w:p w14:paraId="6594E2C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持久性污染物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；有毒有害污染物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；非持久性污染物 </w:t>
            </w:r>
            <w:r>
              <w:rPr>
                <w:rFonts w:hint="default" w:ascii="Times New Roman" w:hAnsi="Times New Roman" w:eastAsia="宋体" w:cs="Times New Roman"/>
                <w:color w:val="auto"/>
                <w:sz w:val="21"/>
                <w:szCs w:val="21"/>
                <w:lang w:eastAsia="zh-CN"/>
              </w:rPr>
              <w:sym w:font="Wingdings 2" w:char="0052"/>
            </w:r>
            <w:r>
              <w:rPr>
                <w:rFonts w:hint="default" w:ascii="Times New Roman" w:hAnsi="Times New Roman" w:eastAsia="宋体" w:cs="Times New Roman"/>
                <w:color w:val="auto"/>
                <w:kern w:val="0"/>
                <w:sz w:val="21"/>
                <w:szCs w:val="21"/>
              </w:rPr>
              <w:t>；pH值</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；热污染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；富营养化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；其他 </w:t>
            </w:r>
            <w:r>
              <w:rPr>
                <w:rFonts w:hint="default" w:ascii="Times New Roman" w:hAnsi="Times New Roman" w:eastAsia="宋体" w:cs="Times New Roman"/>
                <w:color w:val="auto"/>
                <w:sz w:val="21"/>
                <w:szCs w:val="21"/>
              </w:rPr>
              <w:t>□</w:t>
            </w:r>
          </w:p>
        </w:tc>
        <w:tc>
          <w:tcPr>
            <w:tcW w:w="5277" w:type="dxa"/>
            <w:gridSpan w:val="6"/>
            <w:tcBorders>
              <w:top w:val="single" w:color="auto" w:sz="6" w:space="0"/>
              <w:left w:val="single" w:color="auto" w:sz="6" w:space="0"/>
              <w:bottom w:val="single" w:color="auto" w:sz="6" w:space="0"/>
              <w:right w:val="single" w:color="auto" w:sz="12" w:space="0"/>
            </w:tcBorders>
            <w:noWrap w:val="0"/>
            <w:vAlign w:val="center"/>
          </w:tcPr>
          <w:p w14:paraId="0F264B0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水温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；水位（水深）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；流速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；流量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；其他 </w:t>
            </w:r>
            <w:r>
              <w:rPr>
                <w:rFonts w:hint="default" w:ascii="Times New Roman" w:hAnsi="Times New Roman" w:eastAsia="宋体" w:cs="Times New Roman"/>
                <w:color w:val="auto"/>
                <w:sz w:val="21"/>
                <w:szCs w:val="21"/>
              </w:rPr>
              <w:t>□</w:t>
            </w:r>
          </w:p>
        </w:tc>
      </w:tr>
      <w:tr w14:paraId="3C78F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095" w:type="dxa"/>
            <w:gridSpan w:val="2"/>
            <w:vMerge w:val="restart"/>
            <w:tcBorders>
              <w:top w:val="single" w:color="auto" w:sz="6" w:space="0"/>
              <w:left w:val="single" w:color="auto" w:sz="12" w:space="0"/>
              <w:bottom w:val="single" w:color="auto" w:sz="6" w:space="0"/>
              <w:right w:val="single" w:color="auto" w:sz="6" w:space="0"/>
            </w:tcBorders>
            <w:noWrap/>
            <w:vAlign w:val="center"/>
          </w:tcPr>
          <w:p w14:paraId="28A925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评价等级</w:t>
            </w:r>
          </w:p>
        </w:tc>
        <w:tc>
          <w:tcPr>
            <w:tcW w:w="5605" w:type="dxa"/>
            <w:gridSpan w:val="5"/>
            <w:tcBorders>
              <w:top w:val="single" w:color="auto" w:sz="6" w:space="0"/>
              <w:left w:val="single" w:color="auto" w:sz="6" w:space="0"/>
              <w:bottom w:val="single" w:color="auto" w:sz="6" w:space="0"/>
              <w:right w:val="single" w:color="auto" w:sz="6" w:space="0"/>
            </w:tcBorders>
            <w:noWrap/>
            <w:vAlign w:val="center"/>
          </w:tcPr>
          <w:p w14:paraId="1D010B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水污染影响型</w:t>
            </w:r>
          </w:p>
        </w:tc>
        <w:tc>
          <w:tcPr>
            <w:tcW w:w="5277" w:type="dxa"/>
            <w:gridSpan w:val="6"/>
            <w:tcBorders>
              <w:top w:val="single" w:color="auto" w:sz="6" w:space="0"/>
              <w:left w:val="single" w:color="auto" w:sz="6" w:space="0"/>
              <w:bottom w:val="single" w:color="auto" w:sz="6" w:space="0"/>
              <w:right w:val="single" w:color="auto" w:sz="12" w:space="0"/>
            </w:tcBorders>
            <w:noWrap w:val="0"/>
            <w:vAlign w:val="center"/>
          </w:tcPr>
          <w:p w14:paraId="21E682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水文要素影响型</w:t>
            </w:r>
          </w:p>
        </w:tc>
      </w:tr>
      <w:tr w14:paraId="3DD40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095" w:type="dxa"/>
            <w:gridSpan w:val="2"/>
            <w:vMerge w:val="continue"/>
            <w:tcBorders>
              <w:top w:val="single" w:color="auto" w:sz="6" w:space="0"/>
              <w:left w:val="single" w:color="auto" w:sz="12" w:space="0"/>
              <w:bottom w:val="single" w:color="auto" w:sz="6" w:space="0"/>
              <w:right w:val="single" w:color="auto" w:sz="6" w:space="0"/>
            </w:tcBorders>
            <w:noWrap w:val="0"/>
            <w:vAlign w:val="center"/>
          </w:tcPr>
          <w:p w14:paraId="69D4F1A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5605" w:type="dxa"/>
            <w:gridSpan w:val="5"/>
            <w:tcBorders>
              <w:top w:val="single" w:color="auto" w:sz="6" w:space="0"/>
              <w:left w:val="single" w:color="auto" w:sz="6" w:space="0"/>
              <w:bottom w:val="single" w:color="auto" w:sz="6" w:space="0"/>
              <w:right w:val="single" w:color="auto" w:sz="6" w:space="0"/>
            </w:tcBorders>
            <w:noWrap/>
            <w:vAlign w:val="center"/>
          </w:tcPr>
          <w:p w14:paraId="22D5E46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 xml:space="preserve">一级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；二级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；三级A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；三级B</w:t>
            </w:r>
            <w:r>
              <w:rPr>
                <w:rFonts w:hint="default" w:ascii="Times New Roman" w:hAnsi="Times New Roman" w:eastAsia="宋体" w:cs="Times New Roman"/>
                <w:b w:val="0"/>
                <w:bCs w:val="0"/>
                <w:color w:val="auto"/>
                <w:kern w:val="0"/>
                <w:sz w:val="21"/>
                <w:szCs w:val="21"/>
              </w:rPr>
              <w:t xml:space="preserve"> </w:t>
            </w:r>
            <w:r>
              <w:rPr>
                <w:rFonts w:hint="default" w:ascii="Times New Roman" w:hAnsi="Times New Roman" w:eastAsia="宋体" w:cs="Times New Roman"/>
                <w:b w:val="0"/>
                <w:bCs w:val="0"/>
                <w:color w:val="auto"/>
                <w:sz w:val="21"/>
                <w:szCs w:val="21"/>
                <w:lang w:eastAsia="zh-CN"/>
              </w:rPr>
              <w:sym w:font="Wingdings 2" w:char="0052"/>
            </w:r>
          </w:p>
        </w:tc>
        <w:tc>
          <w:tcPr>
            <w:tcW w:w="5277" w:type="dxa"/>
            <w:gridSpan w:val="6"/>
            <w:tcBorders>
              <w:top w:val="single" w:color="auto" w:sz="6" w:space="0"/>
              <w:left w:val="single" w:color="auto" w:sz="6" w:space="0"/>
              <w:bottom w:val="single" w:color="auto" w:sz="6" w:space="0"/>
              <w:right w:val="single" w:color="auto" w:sz="12" w:space="0"/>
            </w:tcBorders>
            <w:noWrap w:val="0"/>
            <w:vAlign w:val="center"/>
          </w:tcPr>
          <w:p w14:paraId="44FCFF4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一级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；二级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；三级 </w:t>
            </w:r>
            <w:r>
              <w:rPr>
                <w:rFonts w:hint="default" w:ascii="Times New Roman" w:hAnsi="Times New Roman" w:eastAsia="宋体" w:cs="Times New Roman"/>
                <w:color w:val="auto"/>
                <w:sz w:val="21"/>
                <w:szCs w:val="21"/>
              </w:rPr>
              <w:t>□</w:t>
            </w:r>
          </w:p>
        </w:tc>
      </w:tr>
      <w:tr w14:paraId="38D92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restart"/>
            <w:tcBorders>
              <w:top w:val="single" w:color="auto" w:sz="6" w:space="0"/>
              <w:left w:val="single" w:color="auto" w:sz="12" w:space="0"/>
              <w:bottom w:val="single" w:color="auto" w:sz="6" w:space="0"/>
              <w:right w:val="single" w:color="auto" w:sz="6" w:space="0"/>
            </w:tcBorders>
            <w:noWrap/>
            <w:vAlign w:val="center"/>
          </w:tcPr>
          <w:p w14:paraId="10D9B8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现状调查</w:t>
            </w:r>
          </w:p>
        </w:tc>
        <w:tc>
          <w:tcPr>
            <w:tcW w:w="2539" w:type="dxa"/>
            <w:vMerge w:val="restart"/>
            <w:tcBorders>
              <w:top w:val="single" w:color="auto" w:sz="6" w:space="0"/>
              <w:left w:val="single" w:color="auto" w:sz="6" w:space="0"/>
              <w:bottom w:val="single" w:color="auto" w:sz="6" w:space="0"/>
              <w:right w:val="single" w:color="auto" w:sz="6" w:space="0"/>
            </w:tcBorders>
            <w:noWrap w:val="0"/>
            <w:vAlign w:val="center"/>
          </w:tcPr>
          <w:p w14:paraId="5B9E70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区域污染源</w:t>
            </w:r>
          </w:p>
        </w:tc>
        <w:tc>
          <w:tcPr>
            <w:tcW w:w="5605" w:type="dxa"/>
            <w:gridSpan w:val="5"/>
            <w:tcBorders>
              <w:top w:val="single" w:color="auto" w:sz="6" w:space="0"/>
              <w:left w:val="single" w:color="auto" w:sz="6" w:space="0"/>
              <w:bottom w:val="single" w:color="auto" w:sz="6" w:space="0"/>
              <w:right w:val="single" w:color="auto" w:sz="6" w:space="0"/>
            </w:tcBorders>
            <w:noWrap/>
            <w:vAlign w:val="center"/>
          </w:tcPr>
          <w:p w14:paraId="043D78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调查项目</w:t>
            </w:r>
          </w:p>
        </w:tc>
        <w:tc>
          <w:tcPr>
            <w:tcW w:w="5277" w:type="dxa"/>
            <w:gridSpan w:val="6"/>
            <w:tcBorders>
              <w:top w:val="single" w:color="auto" w:sz="6" w:space="0"/>
              <w:left w:val="single" w:color="auto" w:sz="6" w:space="0"/>
              <w:bottom w:val="single" w:color="auto" w:sz="6" w:space="0"/>
              <w:right w:val="single" w:color="auto" w:sz="12" w:space="0"/>
            </w:tcBorders>
            <w:noWrap/>
            <w:vAlign w:val="center"/>
          </w:tcPr>
          <w:p w14:paraId="028428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数据来源</w:t>
            </w:r>
          </w:p>
        </w:tc>
      </w:tr>
      <w:tr w14:paraId="67101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625D491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continue"/>
            <w:tcBorders>
              <w:top w:val="single" w:color="auto" w:sz="6" w:space="0"/>
              <w:left w:val="single" w:color="auto" w:sz="6" w:space="0"/>
              <w:bottom w:val="single" w:color="auto" w:sz="6" w:space="0"/>
              <w:right w:val="single" w:color="auto" w:sz="6" w:space="0"/>
            </w:tcBorders>
            <w:noWrap w:val="0"/>
            <w:vAlign w:val="center"/>
          </w:tcPr>
          <w:p w14:paraId="2191AE0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3346" w:type="dxa"/>
            <w:gridSpan w:val="3"/>
            <w:tcBorders>
              <w:top w:val="single" w:color="auto" w:sz="6" w:space="0"/>
              <w:left w:val="single" w:color="auto" w:sz="6" w:space="0"/>
              <w:bottom w:val="single" w:color="auto" w:sz="6" w:space="0"/>
              <w:right w:val="single" w:color="auto" w:sz="6" w:space="0"/>
            </w:tcBorders>
            <w:noWrap w:val="0"/>
            <w:vAlign w:val="center"/>
          </w:tcPr>
          <w:p w14:paraId="3376EC1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已建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；在建 </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kern w:val="0"/>
                <w:sz w:val="21"/>
                <w:szCs w:val="21"/>
              </w:rPr>
              <w:t xml:space="preserve">；拟建 </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kern w:val="0"/>
                <w:sz w:val="21"/>
                <w:szCs w:val="21"/>
              </w:rPr>
              <w:t xml:space="preserve">；其他 </w:t>
            </w:r>
            <w:r>
              <w:rPr>
                <w:rFonts w:hint="default" w:ascii="Times New Roman" w:hAnsi="Times New Roman" w:eastAsia="宋体" w:cs="Times New Roman"/>
                <w:color w:val="auto"/>
                <w:sz w:val="21"/>
                <w:szCs w:val="21"/>
              </w:rPr>
              <w:t>□</w:t>
            </w:r>
          </w:p>
        </w:tc>
        <w:tc>
          <w:tcPr>
            <w:tcW w:w="2259" w:type="dxa"/>
            <w:gridSpan w:val="2"/>
            <w:tcBorders>
              <w:top w:val="single" w:color="auto" w:sz="6" w:space="0"/>
              <w:left w:val="single" w:color="auto" w:sz="6" w:space="0"/>
              <w:bottom w:val="single" w:color="auto" w:sz="6" w:space="0"/>
              <w:right w:val="single" w:color="auto" w:sz="6" w:space="0"/>
            </w:tcBorders>
            <w:noWrap w:val="0"/>
            <w:vAlign w:val="center"/>
          </w:tcPr>
          <w:p w14:paraId="2CD441C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拟替代的污染源 </w:t>
            </w:r>
            <w:r>
              <w:rPr>
                <w:rFonts w:hint="default" w:ascii="Times New Roman" w:hAnsi="Times New Roman" w:eastAsia="宋体" w:cs="Times New Roman"/>
                <w:color w:val="auto"/>
                <w:sz w:val="21"/>
                <w:szCs w:val="21"/>
              </w:rPr>
              <w:t>□</w:t>
            </w:r>
          </w:p>
        </w:tc>
        <w:tc>
          <w:tcPr>
            <w:tcW w:w="5277" w:type="dxa"/>
            <w:gridSpan w:val="6"/>
            <w:tcBorders>
              <w:top w:val="single" w:color="auto" w:sz="6" w:space="0"/>
              <w:left w:val="single" w:color="auto" w:sz="6" w:space="0"/>
              <w:bottom w:val="single" w:color="auto" w:sz="6" w:space="0"/>
              <w:right w:val="single" w:color="auto" w:sz="12" w:space="0"/>
            </w:tcBorders>
            <w:noWrap w:val="0"/>
            <w:vAlign w:val="center"/>
          </w:tcPr>
          <w:p w14:paraId="7DF8719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排污许可证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；环评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；环保验收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；既有实测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；现场监测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；入河排放口数据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；其他 </w:t>
            </w:r>
            <w:r>
              <w:rPr>
                <w:rFonts w:hint="default" w:ascii="Times New Roman" w:hAnsi="Times New Roman" w:eastAsia="宋体" w:cs="Times New Roman"/>
                <w:color w:val="auto"/>
                <w:sz w:val="21"/>
                <w:szCs w:val="21"/>
              </w:rPr>
              <w:t>□</w:t>
            </w:r>
          </w:p>
        </w:tc>
      </w:tr>
      <w:tr w14:paraId="7A135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0506FAA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restart"/>
            <w:tcBorders>
              <w:top w:val="single" w:color="auto" w:sz="6" w:space="0"/>
              <w:left w:val="single" w:color="auto" w:sz="6" w:space="0"/>
              <w:bottom w:val="single" w:color="auto" w:sz="6" w:space="0"/>
              <w:right w:val="single" w:color="auto" w:sz="6" w:space="0"/>
            </w:tcBorders>
            <w:noWrap w:val="0"/>
            <w:vAlign w:val="center"/>
          </w:tcPr>
          <w:p w14:paraId="1D095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 xml:space="preserve">受影响水体水环境质量 </w:t>
            </w:r>
          </w:p>
        </w:tc>
        <w:tc>
          <w:tcPr>
            <w:tcW w:w="5605" w:type="dxa"/>
            <w:gridSpan w:val="5"/>
            <w:tcBorders>
              <w:top w:val="single" w:color="auto" w:sz="6" w:space="0"/>
              <w:left w:val="single" w:color="auto" w:sz="6" w:space="0"/>
              <w:bottom w:val="single" w:color="auto" w:sz="6" w:space="0"/>
              <w:right w:val="single" w:color="auto" w:sz="6" w:space="0"/>
            </w:tcBorders>
            <w:noWrap/>
            <w:vAlign w:val="center"/>
          </w:tcPr>
          <w:p w14:paraId="7F10B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调查时期</w:t>
            </w:r>
          </w:p>
        </w:tc>
        <w:tc>
          <w:tcPr>
            <w:tcW w:w="5277" w:type="dxa"/>
            <w:gridSpan w:val="6"/>
            <w:tcBorders>
              <w:top w:val="single" w:color="auto" w:sz="6" w:space="0"/>
              <w:left w:val="single" w:color="auto" w:sz="6" w:space="0"/>
              <w:bottom w:val="single" w:color="auto" w:sz="6" w:space="0"/>
              <w:right w:val="single" w:color="auto" w:sz="12" w:space="0"/>
            </w:tcBorders>
            <w:noWrap/>
            <w:vAlign w:val="center"/>
          </w:tcPr>
          <w:p w14:paraId="361FC0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数据来源</w:t>
            </w:r>
          </w:p>
        </w:tc>
      </w:tr>
      <w:tr w14:paraId="30BF1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1DBF5CC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continue"/>
            <w:tcBorders>
              <w:top w:val="single" w:color="auto" w:sz="6" w:space="0"/>
              <w:left w:val="single" w:color="auto" w:sz="6" w:space="0"/>
              <w:bottom w:val="single" w:color="auto" w:sz="6" w:space="0"/>
              <w:right w:val="single" w:color="auto" w:sz="6" w:space="0"/>
            </w:tcBorders>
            <w:noWrap w:val="0"/>
            <w:vAlign w:val="center"/>
          </w:tcPr>
          <w:p w14:paraId="73719F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5605" w:type="dxa"/>
            <w:gridSpan w:val="5"/>
            <w:tcBorders>
              <w:top w:val="single" w:color="auto" w:sz="6" w:space="0"/>
              <w:left w:val="single" w:color="auto" w:sz="6" w:space="0"/>
              <w:bottom w:val="single" w:color="auto" w:sz="6" w:space="0"/>
              <w:right w:val="single" w:color="auto" w:sz="6" w:space="0"/>
            </w:tcBorders>
            <w:noWrap w:val="0"/>
            <w:vAlign w:val="center"/>
          </w:tcPr>
          <w:p w14:paraId="5637E53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丰水期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；平水期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；枯水期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；冰封期 </w:t>
            </w:r>
            <w:r>
              <w:rPr>
                <w:rFonts w:hint="default" w:ascii="Times New Roman" w:hAnsi="Times New Roman" w:eastAsia="宋体" w:cs="Times New Roman"/>
                <w:color w:val="auto"/>
                <w:sz w:val="21"/>
                <w:szCs w:val="21"/>
              </w:rPr>
              <w:t>□</w:t>
            </w:r>
          </w:p>
          <w:p w14:paraId="46E3422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春季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；夏季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；秋季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；冬季 </w:t>
            </w:r>
            <w:r>
              <w:rPr>
                <w:rFonts w:hint="default" w:ascii="Times New Roman" w:hAnsi="Times New Roman" w:eastAsia="宋体" w:cs="Times New Roman"/>
                <w:color w:val="auto"/>
                <w:sz w:val="21"/>
                <w:szCs w:val="21"/>
              </w:rPr>
              <w:t>□</w:t>
            </w:r>
          </w:p>
        </w:tc>
        <w:tc>
          <w:tcPr>
            <w:tcW w:w="5277" w:type="dxa"/>
            <w:gridSpan w:val="6"/>
            <w:tcBorders>
              <w:top w:val="single" w:color="auto" w:sz="6" w:space="0"/>
              <w:left w:val="single" w:color="auto" w:sz="6" w:space="0"/>
              <w:bottom w:val="single" w:color="auto" w:sz="6" w:space="0"/>
              <w:right w:val="single" w:color="auto" w:sz="12" w:space="0"/>
            </w:tcBorders>
            <w:noWrap/>
            <w:vAlign w:val="center"/>
          </w:tcPr>
          <w:p w14:paraId="70DF2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生态环境保护主管部门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；补充监测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；其他 </w:t>
            </w:r>
            <w:r>
              <w:rPr>
                <w:rFonts w:hint="default" w:ascii="Times New Roman" w:hAnsi="Times New Roman" w:eastAsia="宋体" w:cs="Times New Roman"/>
                <w:color w:val="auto"/>
                <w:sz w:val="21"/>
                <w:szCs w:val="21"/>
              </w:rPr>
              <w:t>□</w:t>
            </w:r>
          </w:p>
        </w:tc>
      </w:tr>
      <w:tr w14:paraId="51047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2479EB8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44CD2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区域水资源开发利用状况</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4A9B585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未开发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；开发量40%以下</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；开发量40%以上</w:t>
            </w:r>
            <w:r>
              <w:rPr>
                <w:rFonts w:hint="default" w:ascii="Times New Roman" w:hAnsi="Times New Roman" w:eastAsia="宋体" w:cs="Times New Roman"/>
                <w:color w:val="auto"/>
                <w:sz w:val="21"/>
                <w:szCs w:val="21"/>
              </w:rPr>
              <w:t>□</w:t>
            </w:r>
          </w:p>
        </w:tc>
      </w:tr>
      <w:tr w14:paraId="228B0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4F4F42D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restart"/>
            <w:tcBorders>
              <w:top w:val="single" w:color="auto" w:sz="6" w:space="0"/>
              <w:left w:val="single" w:color="auto" w:sz="6" w:space="0"/>
              <w:bottom w:val="single" w:color="auto" w:sz="6" w:space="0"/>
              <w:right w:val="single" w:color="auto" w:sz="6" w:space="0"/>
            </w:tcBorders>
            <w:noWrap w:val="0"/>
            <w:vAlign w:val="center"/>
          </w:tcPr>
          <w:p w14:paraId="52FD01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 xml:space="preserve">水文情势调查 </w:t>
            </w:r>
          </w:p>
        </w:tc>
        <w:tc>
          <w:tcPr>
            <w:tcW w:w="5605" w:type="dxa"/>
            <w:gridSpan w:val="5"/>
            <w:tcBorders>
              <w:top w:val="single" w:color="auto" w:sz="6" w:space="0"/>
              <w:left w:val="single" w:color="auto" w:sz="6" w:space="0"/>
              <w:bottom w:val="single" w:color="auto" w:sz="6" w:space="0"/>
              <w:right w:val="single" w:color="auto" w:sz="6" w:space="0"/>
            </w:tcBorders>
            <w:noWrap/>
            <w:vAlign w:val="center"/>
          </w:tcPr>
          <w:p w14:paraId="71385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调查时期</w:t>
            </w:r>
          </w:p>
        </w:tc>
        <w:tc>
          <w:tcPr>
            <w:tcW w:w="5277" w:type="dxa"/>
            <w:gridSpan w:val="6"/>
            <w:tcBorders>
              <w:top w:val="single" w:color="auto" w:sz="6" w:space="0"/>
              <w:left w:val="single" w:color="auto" w:sz="6" w:space="0"/>
              <w:bottom w:val="single" w:color="auto" w:sz="6" w:space="0"/>
              <w:right w:val="single" w:color="auto" w:sz="12" w:space="0"/>
            </w:tcBorders>
            <w:noWrap/>
            <w:vAlign w:val="center"/>
          </w:tcPr>
          <w:p w14:paraId="4B166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数据来源</w:t>
            </w:r>
          </w:p>
        </w:tc>
      </w:tr>
      <w:tr w14:paraId="7A896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06A5BFC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continue"/>
            <w:tcBorders>
              <w:top w:val="single" w:color="auto" w:sz="6" w:space="0"/>
              <w:left w:val="single" w:color="auto" w:sz="6" w:space="0"/>
              <w:bottom w:val="single" w:color="auto" w:sz="6" w:space="0"/>
              <w:right w:val="single" w:color="auto" w:sz="6" w:space="0"/>
            </w:tcBorders>
            <w:noWrap w:val="0"/>
            <w:vAlign w:val="center"/>
          </w:tcPr>
          <w:p w14:paraId="5CE0B46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5605" w:type="dxa"/>
            <w:gridSpan w:val="5"/>
            <w:tcBorders>
              <w:top w:val="single" w:color="auto" w:sz="6" w:space="0"/>
              <w:left w:val="single" w:color="auto" w:sz="6" w:space="0"/>
              <w:bottom w:val="single" w:color="auto" w:sz="6" w:space="0"/>
              <w:right w:val="single" w:color="auto" w:sz="6" w:space="0"/>
            </w:tcBorders>
            <w:noWrap w:val="0"/>
            <w:vAlign w:val="center"/>
          </w:tcPr>
          <w:p w14:paraId="5320440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丰水期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；平水期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；枯水期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；冰封期 </w:t>
            </w:r>
            <w:r>
              <w:rPr>
                <w:rFonts w:hint="default" w:ascii="Times New Roman" w:hAnsi="Times New Roman" w:eastAsia="宋体" w:cs="Times New Roman"/>
                <w:color w:val="auto"/>
                <w:sz w:val="21"/>
                <w:szCs w:val="21"/>
              </w:rPr>
              <w:t>□</w:t>
            </w:r>
          </w:p>
          <w:p w14:paraId="61F9B91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春季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；夏季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；秋季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；冬季 </w:t>
            </w:r>
            <w:r>
              <w:rPr>
                <w:rFonts w:hint="default" w:ascii="Times New Roman" w:hAnsi="Times New Roman" w:eastAsia="宋体" w:cs="Times New Roman"/>
                <w:color w:val="auto"/>
                <w:sz w:val="21"/>
                <w:szCs w:val="21"/>
              </w:rPr>
              <w:t>□</w:t>
            </w:r>
          </w:p>
        </w:tc>
        <w:tc>
          <w:tcPr>
            <w:tcW w:w="5277" w:type="dxa"/>
            <w:gridSpan w:val="6"/>
            <w:tcBorders>
              <w:top w:val="single" w:color="auto" w:sz="6" w:space="0"/>
              <w:left w:val="single" w:color="auto" w:sz="6" w:space="0"/>
              <w:bottom w:val="single" w:color="auto" w:sz="6" w:space="0"/>
              <w:right w:val="single" w:color="auto" w:sz="12" w:space="0"/>
            </w:tcBorders>
            <w:noWrap/>
            <w:vAlign w:val="center"/>
          </w:tcPr>
          <w:p w14:paraId="45D80B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水行政主管部门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；补充监测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；其他 </w:t>
            </w:r>
            <w:r>
              <w:rPr>
                <w:rFonts w:hint="default" w:ascii="Times New Roman" w:hAnsi="Times New Roman" w:eastAsia="宋体" w:cs="Times New Roman"/>
                <w:color w:val="auto"/>
                <w:sz w:val="21"/>
                <w:szCs w:val="21"/>
              </w:rPr>
              <w:t>□</w:t>
            </w:r>
          </w:p>
        </w:tc>
      </w:tr>
      <w:tr w14:paraId="3A6CD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5C1BF07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restart"/>
            <w:tcBorders>
              <w:top w:val="single" w:color="auto" w:sz="6" w:space="0"/>
              <w:left w:val="single" w:color="auto" w:sz="6" w:space="0"/>
              <w:bottom w:val="single" w:color="auto" w:sz="6" w:space="0"/>
              <w:right w:val="single" w:color="auto" w:sz="6" w:space="0"/>
            </w:tcBorders>
            <w:noWrap w:val="0"/>
            <w:vAlign w:val="center"/>
          </w:tcPr>
          <w:p w14:paraId="1F16E6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 xml:space="preserve">补充监测 </w:t>
            </w:r>
          </w:p>
        </w:tc>
        <w:tc>
          <w:tcPr>
            <w:tcW w:w="5605" w:type="dxa"/>
            <w:gridSpan w:val="5"/>
            <w:tcBorders>
              <w:top w:val="single" w:color="auto" w:sz="6" w:space="0"/>
              <w:left w:val="single" w:color="auto" w:sz="6" w:space="0"/>
              <w:bottom w:val="single" w:color="auto" w:sz="6" w:space="0"/>
              <w:right w:val="single" w:color="auto" w:sz="6" w:space="0"/>
            </w:tcBorders>
            <w:noWrap w:val="0"/>
            <w:vAlign w:val="center"/>
          </w:tcPr>
          <w:p w14:paraId="326C90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监测时期</w:t>
            </w:r>
          </w:p>
        </w:tc>
        <w:tc>
          <w:tcPr>
            <w:tcW w:w="3693" w:type="dxa"/>
            <w:gridSpan w:val="4"/>
            <w:tcBorders>
              <w:top w:val="single" w:color="auto" w:sz="6" w:space="0"/>
              <w:left w:val="single" w:color="auto" w:sz="6" w:space="0"/>
              <w:bottom w:val="single" w:color="auto" w:sz="6" w:space="0"/>
              <w:right w:val="single" w:color="auto" w:sz="6" w:space="0"/>
            </w:tcBorders>
            <w:noWrap/>
            <w:vAlign w:val="center"/>
          </w:tcPr>
          <w:p w14:paraId="6965F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监测因子</w:t>
            </w:r>
          </w:p>
        </w:tc>
        <w:tc>
          <w:tcPr>
            <w:tcW w:w="1584" w:type="dxa"/>
            <w:gridSpan w:val="2"/>
            <w:tcBorders>
              <w:top w:val="single" w:color="auto" w:sz="6" w:space="0"/>
              <w:left w:val="single" w:color="auto" w:sz="6" w:space="0"/>
              <w:bottom w:val="single" w:color="auto" w:sz="6" w:space="0"/>
              <w:right w:val="single" w:color="auto" w:sz="12" w:space="0"/>
            </w:tcBorders>
            <w:noWrap/>
            <w:vAlign w:val="center"/>
          </w:tcPr>
          <w:p w14:paraId="379E9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监测断面或点位</w:t>
            </w:r>
          </w:p>
        </w:tc>
      </w:tr>
      <w:tr w14:paraId="23E288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3AFB302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p>
        </w:tc>
        <w:tc>
          <w:tcPr>
            <w:tcW w:w="2539" w:type="dxa"/>
            <w:vMerge w:val="continue"/>
            <w:tcBorders>
              <w:top w:val="single" w:color="auto" w:sz="6" w:space="0"/>
              <w:left w:val="single" w:color="auto" w:sz="6" w:space="0"/>
              <w:bottom w:val="single" w:color="auto" w:sz="6" w:space="0"/>
              <w:right w:val="single" w:color="auto" w:sz="6" w:space="0"/>
            </w:tcBorders>
            <w:noWrap w:val="0"/>
            <w:vAlign w:val="center"/>
          </w:tcPr>
          <w:p w14:paraId="476299C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p>
        </w:tc>
        <w:tc>
          <w:tcPr>
            <w:tcW w:w="5605" w:type="dxa"/>
            <w:gridSpan w:val="5"/>
            <w:tcBorders>
              <w:top w:val="single" w:color="auto" w:sz="6" w:space="0"/>
              <w:left w:val="single" w:color="auto" w:sz="6" w:space="0"/>
              <w:bottom w:val="single" w:color="auto" w:sz="6" w:space="0"/>
              <w:right w:val="single" w:color="auto" w:sz="6" w:space="0"/>
            </w:tcBorders>
            <w:noWrap w:val="0"/>
            <w:vAlign w:val="center"/>
          </w:tcPr>
          <w:p w14:paraId="4B57123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丰水期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；平水期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；枯水期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rPr>
              <w:t xml:space="preserve">；冰封期 </w:t>
            </w:r>
            <w:r>
              <w:rPr>
                <w:rFonts w:hint="default" w:ascii="Times New Roman" w:hAnsi="Times New Roman" w:eastAsia="宋体" w:cs="Times New Roman"/>
                <w:color w:val="auto"/>
                <w:sz w:val="21"/>
                <w:szCs w:val="21"/>
              </w:rPr>
              <w:t>□</w:t>
            </w:r>
          </w:p>
          <w:p w14:paraId="5864FB8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 xml:space="preserve">春季 </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kern w:val="0"/>
                <w:sz w:val="21"/>
                <w:szCs w:val="21"/>
              </w:rPr>
              <w:t xml:space="preserve">；夏季 </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kern w:val="0"/>
                <w:sz w:val="21"/>
                <w:szCs w:val="21"/>
              </w:rPr>
              <w:t xml:space="preserve">；秋季 </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kern w:val="0"/>
                <w:sz w:val="21"/>
                <w:szCs w:val="21"/>
              </w:rPr>
              <w:t xml:space="preserve">；冬季 </w:t>
            </w:r>
            <w:r>
              <w:rPr>
                <w:rFonts w:hint="default" w:ascii="Times New Roman" w:hAnsi="Times New Roman" w:eastAsia="宋体" w:cs="Times New Roman"/>
                <w:color w:val="auto"/>
                <w:sz w:val="21"/>
                <w:szCs w:val="21"/>
                <w:lang w:eastAsia="zh-CN"/>
              </w:rPr>
              <w:sym w:font="Wingdings 2" w:char="00A3"/>
            </w:r>
          </w:p>
        </w:tc>
        <w:tc>
          <w:tcPr>
            <w:tcW w:w="3693" w:type="dxa"/>
            <w:gridSpan w:val="4"/>
            <w:tcBorders>
              <w:top w:val="single" w:color="auto" w:sz="6" w:space="0"/>
              <w:left w:val="single" w:color="auto" w:sz="6" w:space="0"/>
              <w:bottom w:val="single" w:color="auto" w:sz="6" w:space="0"/>
              <w:right w:val="single" w:color="auto" w:sz="6" w:space="0"/>
            </w:tcBorders>
            <w:noWrap/>
            <w:vAlign w:val="center"/>
          </w:tcPr>
          <w:p w14:paraId="7F1B6FE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pH、溶解氧、高锰酸盐指数、化学需氧量、生化需氧量、氨氮、挥发酚、氰化物、砷、汞、六价铬、石油类、铜、铅、锌、硒、总磷、氟化物、硫化物、阴离子活性剂。</w:t>
            </w:r>
            <w:r>
              <w:rPr>
                <w:rFonts w:hint="default" w:ascii="Times New Roman" w:hAnsi="Times New Roman" w:eastAsia="宋体" w:cs="Times New Roman"/>
                <w:color w:val="auto"/>
                <w:kern w:val="0"/>
                <w:sz w:val="21"/>
                <w:szCs w:val="21"/>
              </w:rPr>
              <w:t>）</w:t>
            </w:r>
          </w:p>
        </w:tc>
        <w:tc>
          <w:tcPr>
            <w:tcW w:w="1584" w:type="dxa"/>
            <w:gridSpan w:val="2"/>
            <w:tcBorders>
              <w:top w:val="single" w:color="auto" w:sz="6" w:space="0"/>
              <w:left w:val="single" w:color="auto" w:sz="6" w:space="0"/>
              <w:bottom w:val="single" w:color="auto" w:sz="6" w:space="0"/>
              <w:right w:val="single" w:color="auto" w:sz="12" w:space="0"/>
            </w:tcBorders>
            <w:noWrap/>
            <w:vAlign w:val="center"/>
          </w:tcPr>
          <w:p w14:paraId="750A096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监测断面或点位个数（</w:t>
            </w:r>
            <w:r>
              <w:rPr>
                <w:rFonts w:hint="default"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rPr>
              <w:t>）个</w:t>
            </w:r>
          </w:p>
        </w:tc>
      </w:tr>
      <w:tr w14:paraId="76D216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restart"/>
            <w:tcBorders>
              <w:top w:val="single" w:color="auto" w:sz="6" w:space="0"/>
              <w:left w:val="single" w:color="auto" w:sz="12" w:space="0"/>
              <w:bottom w:val="single" w:color="auto" w:sz="6" w:space="0"/>
              <w:right w:val="single" w:color="auto" w:sz="6" w:space="0"/>
            </w:tcBorders>
            <w:noWrap/>
            <w:vAlign w:val="center"/>
          </w:tcPr>
          <w:p w14:paraId="6AD13B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现状评价</w:t>
            </w:r>
          </w:p>
        </w:tc>
        <w:tc>
          <w:tcPr>
            <w:tcW w:w="2539" w:type="dxa"/>
            <w:tcBorders>
              <w:top w:val="single" w:color="auto" w:sz="6" w:space="0"/>
              <w:left w:val="single" w:color="auto" w:sz="6" w:space="0"/>
              <w:bottom w:val="single" w:color="auto" w:sz="6" w:space="0"/>
              <w:right w:val="single" w:color="auto" w:sz="6" w:space="0"/>
            </w:tcBorders>
            <w:noWrap w:val="0"/>
            <w:vAlign w:val="center"/>
          </w:tcPr>
          <w:p w14:paraId="4568CD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评价范围</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3649AEF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河流：长度（ 0 ）km；湖库、河口及近岸海域：面积（ 0 ）km</w:t>
            </w:r>
            <w:r>
              <w:rPr>
                <w:rFonts w:hint="default" w:ascii="Times New Roman" w:hAnsi="Times New Roman" w:eastAsia="宋体" w:cs="Times New Roman"/>
                <w:color w:val="auto"/>
                <w:kern w:val="0"/>
                <w:sz w:val="21"/>
                <w:szCs w:val="21"/>
                <w:vertAlign w:val="superscript"/>
              </w:rPr>
              <w:t>2</w:t>
            </w:r>
          </w:p>
        </w:tc>
      </w:tr>
      <w:tr w14:paraId="595473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026D457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31389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评价因子</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2210F95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pH、COD、BOD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动植物油、TN、TP</w:t>
            </w:r>
            <w:r>
              <w:rPr>
                <w:rFonts w:hint="default" w:ascii="Times New Roman" w:hAnsi="Times New Roman" w:eastAsia="宋体" w:cs="Times New Roman"/>
                <w:color w:val="auto"/>
                <w:kern w:val="0"/>
                <w:sz w:val="21"/>
                <w:szCs w:val="21"/>
              </w:rPr>
              <w:t xml:space="preserve"> ）</w:t>
            </w:r>
          </w:p>
        </w:tc>
      </w:tr>
      <w:tr w14:paraId="0216E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3B800AD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39214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评价标准</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061E153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河流、湖库、河口：Ⅰ类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；Ⅱ类 </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kern w:val="0"/>
                <w:sz w:val="21"/>
                <w:szCs w:val="21"/>
              </w:rPr>
              <w:t xml:space="preserve">；Ⅲ类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；Ⅳ类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rPr>
              <w:t xml:space="preserve">；Ⅴ类 </w:t>
            </w:r>
            <w:r>
              <w:rPr>
                <w:rFonts w:hint="default" w:ascii="Times New Roman" w:hAnsi="Times New Roman" w:eastAsia="宋体" w:cs="Times New Roman"/>
                <w:color w:val="auto"/>
                <w:sz w:val="21"/>
                <w:szCs w:val="21"/>
              </w:rPr>
              <w:t>□</w:t>
            </w:r>
          </w:p>
          <w:p w14:paraId="5E2730B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近岸海域：第一类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；第二类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；第三类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；第四类 </w:t>
            </w:r>
            <w:r>
              <w:rPr>
                <w:rFonts w:hint="default" w:ascii="Times New Roman" w:hAnsi="Times New Roman" w:eastAsia="宋体" w:cs="Times New Roman"/>
                <w:color w:val="auto"/>
                <w:sz w:val="21"/>
                <w:szCs w:val="21"/>
              </w:rPr>
              <w:t>□</w:t>
            </w:r>
          </w:p>
          <w:p w14:paraId="14AF2B3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规划年评价标准（</w:t>
            </w:r>
            <w:r>
              <w:rPr>
                <w:rFonts w:hint="eastAsia" w:ascii="Times New Roman" w:hAnsi="Times New Roman" w:eastAsia="宋体" w:cs="Times New Roman"/>
                <w:color w:val="auto"/>
                <w:kern w:val="0"/>
                <w:sz w:val="21"/>
                <w:szCs w:val="21"/>
                <w:lang w:val="en-US" w:eastAsia="zh-CN"/>
              </w:rPr>
              <w:t>202</w:t>
            </w:r>
            <w:r>
              <w:rPr>
                <w:rFonts w:hint="eastAsia"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w:t>
            </w:r>
          </w:p>
        </w:tc>
      </w:tr>
      <w:tr w14:paraId="115B8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52B4A72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1D4DA0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评价时期</w:t>
            </w:r>
          </w:p>
        </w:tc>
        <w:tc>
          <w:tcPr>
            <w:tcW w:w="10882" w:type="dxa"/>
            <w:gridSpan w:val="11"/>
            <w:tcBorders>
              <w:top w:val="single" w:color="auto" w:sz="6" w:space="0"/>
              <w:left w:val="single" w:color="auto" w:sz="6" w:space="0"/>
              <w:bottom w:val="single" w:color="auto" w:sz="6" w:space="0"/>
              <w:right w:val="single" w:color="auto" w:sz="12" w:space="0"/>
            </w:tcBorders>
            <w:noWrap w:val="0"/>
            <w:vAlign w:val="center"/>
          </w:tcPr>
          <w:p w14:paraId="4D1F116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丰水期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；平水期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；枯水期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；冰封期 </w:t>
            </w:r>
            <w:r>
              <w:rPr>
                <w:rFonts w:hint="default" w:ascii="Times New Roman" w:hAnsi="Times New Roman" w:eastAsia="宋体" w:cs="Times New Roman"/>
                <w:color w:val="auto"/>
                <w:sz w:val="21"/>
                <w:szCs w:val="21"/>
              </w:rPr>
              <w:t>□</w:t>
            </w:r>
          </w:p>
          <w:p w14:paraId="2ED2FC1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春季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；夏季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；秋季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；冬季 </w:t>
            </w:r>
            <w:r>
              <w:rPr>
                <w:rFonts w:hint="default" w:ascii="Times New Roman" w:hAnsi="Times New Roman" w:eastAsia="宋体" w:cs="Times New Roman"/>
                <w:color w:val="auto"/>
                <w:sz w:val="21"/>
                <w:szCs w:val="21"/>
              </w:rPr>
              <w:t>□</w:t>
            </w:r>
          </w:p>
        </w:tc>
      </w:tr>
      <w:tr w14:paraId="3B904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5407310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3D200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评价结论</w:t>
            </w:r>
          </w:p>
        </w:tc>
        <w:tc>
          <w:tcPr>
            <w:tcW w:w="9588" w:type="dxa"/>
            <w:gridSpan w:val="10"/>
            <w:tcBorders>
              <w:top w:val="single" w:color="auto" w:sz="6" w:space="0"/>
              <w:left w:val="single" w:color="auto" w:sz="6" w:space="0"/>
              <w:bottom w:val="single" w:color="auto" w:sz="6" w:space="0"/>
              <w:right w:val="single" w:color="auto" w:sz="6" w:space="0"/>
            </w:tcBorders>
            <w:noWrap w:val="0"/>
            <w:vAlign w:val="center"/>
          </w:tcPr>
          <w:p w14:paraId="37D3559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 xml:space="preserve">水环境功能区或水功能区、近岸海域环境功能区水质达标状况 ：达标 </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kern w:val="0"/>
                <w:sz w:val="21"/>
                <w:szCs w:val="21"/>
              </w:rPr>
              <w:t xml:space="preserve">；不达标 </w:t>
            </w:r>
            <w:r>
              <w:rPr>
                <w:rFonts w:hint="default" w:ascii="Times New Roman" w:hAnsi="Times New Roman" w:eastAsia="宋体" w:cs="Times New Roman"/>
                <w:color w:val="auto"/>
                <w:sz w:val="21"/>
                <w:szCs w:val="21"/>
                <w:lang w:eastAsia="zh-CN"/>
              </w:rPr>
              <w:t>□</w:t>
            </w:r>
          </w:p>
          <w:p w14:paraId="67BE362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 xml:space="preserve">水环境控制单元或断面水质达标状况 ：达标 </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kern w:val="0"/>
                <w:sz w:val="21"/>
                <w:szCs w:val="21"/>
              </w:rPr>
              <w:t xml:space="preserve">；不达标 </w:t>
            </w:r>
            <w:r>
              <w:rPr>
                <w:rFonts w:hint="default" w:ascii="Times New Roman" w:hAnsi="Times New Roman" w:eastAsia="宋体" w:cs="Times New Roman"/>
                <w:color w:val="auto"/>
                <w:sz w:val="21"/>
                <w:szCs w:val="21"/>
                <w:lang w:eastAsia="zh-CN"/>
              </w:rPr>
              <w:t>□</w:t>
            </w:r>
          </w:p>
          <w:p w14:paraId="4765206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水环境保护目标质量状况 ：达标 </w:t>
            </w:r>
            <w:r>
              <w:rPr>
                <w:rFonts w:hint="default" w:ascii="Times New Roman" w:hAnsi="Times New Roman" w:eastAsia="宋体" w:cs="Times New Roman"/>
                <w:color w:val="auto"/>
                <w:sz w:val="21"/>
                <w:szCs w:val="21"/>
                <w:lang w:eastAsia="zh-CN"/>
              </w:rPr>
              <w:sym w:font="Wingdings 2" w:char="00A3"/>
            </w:r>
            <w:r>
              <w:rPr>
                <w:rFonts w:hint="default" w:ascii="Times New Roman" w:hAnsi="Times New Roman" w:eastAsia="宋体" w:cs="Times New Roman"/>
                <w:color w:val="auto"/>
                <w:kern w:val="0"/>
                <w:sz w:val="21"/>
                <w:szCs w:val="21"/>
              </w:rPr>
              <w:t xml:space="preserve">；不达标 </w:t>
            </w:r>
            <w:r>
              <w:rPr>
                <w:rFonts w:hint="default" w:ascii="Times New Roman" w:hAnsi="Times New Roman" w:eastAsia="宋体" w:cs="Times New Roman"/>
                <w:color w:val="auto"/>
                <w:sz w:val="21"/>
                <w:szCs w:val="21"/>
              </w:rPr>
              <w:t>□</w:t>
            </w:r>
          </w:p>
          <w:p w14:paraId="5DD3BC4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对照断面、控制断面等代表性断面的水质状况 ：达标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；不达标 </w:t>
            </w:r>
            <w:r>
              <w:rPr>
                <w:rFonts w:hint="default" w:ascii="Times New Roman" w:hAnsi="Times New Roman" w:eastAsia="宋体" w:cs="Times New Roman"/>
                <w:color w:val="auto"/>
                <w:sz w:val="21"/>
                <w:szCs w:val="21"/>
              </w:rPr>
              <w:t>□</w:t>
            </w:r>
          </w:p>
          <w:p w14:paraId="4562331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底泥污染评价 </w:t>
            </w:r>
            <w:r>
              <w:rPr>
                <w:rFonts w:hint="default" w:ascii="Times New Roman" w:hAnsi="Times New Roman" w:eastAsia="宋体" w:cs="Times New Roman"/>
                <w:color w:val="auto"/>
                <w:sz w:val="21"/>
                <w:szCs w:val="21"/>
              </w:rPr>
              <w:t>□</w:t>
            </w:r>
          </w:p>
          <w:p w14:paraId="50EC7D4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水资源与开发利用程度及其水文情势评价 </w:t>
            </w:r>
            <w:r>
              <w:rPr>
                <w:rFonts w:hint="default" w:ascii="Times New Roman" w:hAnsi="Times New Roman" w:eastAsia="宋体" w:cs="Times New Roman"/>
                <w:color w:val="auto"/>
                <w:sz w:val="21"/>
                <w:szCs w:val="21"/>
              </w:rPr>
              <w:t>□</w:t>
            </w:r>
          </w:p>
          <w:p w14:paraId="0636890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水环境质量回顾评价 </w:t>
            </w:r>
            <w:r>
              <w:rPr>
                <w:rFonts w:hint="default" w:ascii="Times New Roman" w:hAnsi="Times New Roman" w:eastAsia="宋体" w:cs="Times New Roman"/>
                <w:color w:val="auto"/>
                <w:sz w:val="21"/>
                <w:szCs w:val="21"/>
              </w:rPr>
              <w:t>□</w:t>
            </w:r>
          </w:p>
          <w:p w14:paraId="4F33317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流域（区域）水资源（包括水能资源）与开发利用总体状况、生态流量管理要求与现状满足程度、建设项目占用水域空间的水流状况与河湖演变状况 </w:t>
            </w:r>
            <w:r>
              <w:rPr>
                <w:rFonts w:hint="default" w:ascii="Times New Roman" w:hAnsi="Times New Roman" w:eastAsia="宋体" w:cs="Times New Roman"/>
                <w:color w:val="auto"/>
                <w:sz w:val="21"/>
                <w:szCs w:val="21"/>
              </w:rPr>
              <w:t>□</w:t>
            </w:r>
          </w:p>
          <w:p w14:paraId="2E0E945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依托污水处理设施稳定达标排放评价</w:t>
            </w:r>
            <w:r>
              <w:rPr>
                <w:rFonts w:hint="default" w:ascii="Times New Roman" w:hAnsi="Times New Roman" w:eastAsia="宋体" w:cs="Times New Roman"/>
                <w:color w:val="auto"/>
                <w:sz w:val="21"/>
                <w:szCs w:val="21"/>
              </w:rPr>
              <w:t>□</w:t>
            </w:r>
          </w:p>
        </w:tc>
        <w:tc>
          <w:tcPr>
            <w:tcW w:w="1294" w:type="dxa"/>
            <w:tcBorders>
              <w:top w:val="single" w:color="auto" w:sz="6" w:space="0"/>
              <w:left w:val="single" w:color="auto" w:sz="6" w:space="0"/>
              <w:bottom w:val="single" w:color="auto" w:sz="6" w:space="0"/>
              <w:right w:val="single" w:color="auto" w:sz="12" w:space="0"/>
            </w:tcBorders>
            <w:noWrap w:val="0"/>
            <w:vAlign w:val="center"/>
          </w:tcPr>
          <w:p w14:paraId="7874041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达标区 □</w:t>
            </w:r>
          </w:p>
          <w:p w14:paraId="3AB4E5F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不达标区 □</w:t>
            </w:r>
          </w:p>
        </w:tc>
      </w:tr>
      <w:tr w14:paraId="2C781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restart"/>
            <w:tcBorders>
              <w:top w:val="single" w:color="auto" w:sz="6" w:space="0"/>
              <w:left w:val="single" w:color="auto" w:sz="12" w:space="0"/>
              <w:bottom w:val="single" w:color="auto" w:sz="6" w:space="0"/>
              <w:right w:val="single" w:color="auto" w:sz="6" w:space="0"/>
            </w:tcBorders>
            <w:noWrap/>
            <w:vAlign w:val="center"/>
          </w:tcPr>
          <w:p w14:paraId="3617FE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影响预测</w:t>
            </w:r>
          </w:p>
        </w:tc>
        <w:tc>
          <w:tcPr>
            <w:tcW w:w="2539" w:type="dxa"/>
            <w:tcBorders>
              <w:top w:val="single" w:color="auto" w:sz="6" w:space="0"/>
              <w:left w:val="single" w:color="auto" w:sz="6" w:space="0"/>
              <w:bottom w:val="single" w:color="auto" w:sz="6" w:space="0"/>
              <w:right w:val="single" w:color="auto" w:sz="6" w:space="0"/>
            </w:tcBorders>
            <w:noWrap w:val="0"/>
            <w:vAlign w:val="center"/>
          </w:tcPr>
          <w:p w14:paraId="625EE3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预测范围</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40785B7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河流：长度（ 0 ）km；湖库、河口及近岸海域：面积（ 0 ）km</w:t>
            </w:r>
            <w:r>
              <w:rPr>
                <w:rFonts w:hint="default" w:ascii="Times New Roman" w:hAnsi="Times New Roman" w:eastAsia="宋体" w:cs="Times New Roman"/>
                <w:color w:val="auto"/>
                <w:kern w:val="0"/>
                <w:sz w:val="21"/>
                <w:szCs w:val="21"/>
                <w:vertAlign w:val="superscript"/>
              </w:rPr>
              <w:t>2</w:t>
            </w:r>
          </w:p>
        </w:tc>
      </w:tr>
      <w:tr w14:paraId="621F71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0F372C8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7809F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预测因子</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78FA535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w:t>
            </w:r>
          </w:p>
        </w:tc>
      </w:tr>
      <w:tr w14:paraId="6EFD8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43944B5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403517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预测时期</w:t>
            </w:r>
          </w:p>
        </w:tc>
        <w:tc>
          <w:tcPr>
            <w:tcW w:w="10882" w:type="dxa"/>
            <w:gridSpan w:val="11"/>
            <w:tcBorders>
              <w:top w:val="single" w:color="auto" w:sz="6" w:space="0"/>
              <w:left w:val="single" w:color="auto" w:sz="6" w:space="0"/>
              <w:bottom w:val="single" w:color="auto" w:sz="6" w:space="0"/>
              <w:right w:val="single" w:color="auto" w:sz="12" w:space="0"/>
            </w:tcBorders>
            <w:noWrap w:val="0"/>
            <w:vAlign w:val="center"/>
          </w:tcPr>
          <w:p w14:paraId="2DCD6C4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丰水期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；平水期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；枯水期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；冰封期 </w:t>
            </w:r>
            <w:r>
              <w:rPr>
                <w:rFonts w:hint="default" w:ascii="Times New Roman" w:hAnsi="Times New Roman" w:eastAsia="宋体" w:cs="Times New Roman"/>
                <w:color w:val="auto"/>
                <w:sz w:val="21"/>
                <w:szCs w:val="21"/>
              </w:rPr>
              <w:t>□</w:t>
            </w:r>
          </w:p>
          <w:p w14:paraId="0DF37ED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春季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；夏季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；秋季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；冬季 </w:t>
            </w:r>
            <w:r>
              <w:rPr>
                <w:rFonts w:hint="default" w:ascii="Times New Roman" w:hAnsi="Times New Roman" w:eastAsia="宋体" w:cs="Times New Roman"/>
                <w:color w:val="auto"/>
                <w:sz w:val="21"/>
                <w:szCs w:val="21"/>
              </w:rPr>
              <w:t>□</w:t>
            </w:r>
          </w:p>
          <w:p w14:paraId="556EF16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设计水文条件 □</w:t>
            </w:r>
          </w:p>
        </w:tc>
      </w:tr>
      <w:tr w14:paraId="0E1D8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03FAC9A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4E696B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预测情景</w:t>
            </w:r>
          </w:p>
        </w:tc>
        <w:tc>
          <w:tcPr>
            <w:tcW w:w="10882" w:type="dxa"/>
            <w:gridSpan w:val="11"/>
            <w:tcBorders>
              <w:top w:val="single" w:color="auto" w:sz="6" w:space="0"/>
              <w:left w:val="single" w:color="auto" w:sz="6" w:space="0"/>
              <w:bottom w:val="single" w:color="auto" w:sz="6" w:space="0"/>
              <w:right w:val="single" w:color="auto" w:sz="12" w:space="0"/>
            </w:tcBorders>
            <w:noWrap w:val="0"/>
            <w:vAlign w:val="center"/>
          </w:tcPr>
          <w:p w14:paraId="3BE621A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建设期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；生产运行期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；服务期满后 </w:t>
            </w:r>
            <w:r>
              <w:rPr>
                <w:rFonts w:hint="default" w:ascii="Times New Roman" w:hAnsi="Times New Roman" w:eastAsia="宋体" w:cs="Times New Roman"/>
                <w:color w:val="auto"/>
                <w:sz w:val="21"/>
                <w:szCs w:val="21"/>
              </w:rPr>
              <w:sym w:font="Wingdings 2" w:char="0052"/>
            </w:r>
          </w:p>
          <w:p w14:paraId="12AB76F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正常工况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；非正常工况 </w:t>
            </w:r>
            <w:r>
              <w:rPr>
                <w:rFonts w:hint="default" w:ascii="Times New Roman" w:hAnsi="Times New Roman" w:eastAsia="宋体" w:cs="Times New Roman"/>
                <w:color w:val="auto"/>
                <w:sz w:val="21"/>
                <w:szCs w:val="21"/>
              </w:rPr>
              <w:t>□</w:t>
            </w:r>
          </w:p>
          <w:p w14:paraId="4172BD6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污染控制和减缓措施方案 </w:t>
            </w:r>
            <w:r>
              <w:rPr>
                <w:rFonts w:hint="default" w:ascii="Times New Roman" w:hAnsi="Times New Roman" w:eastAsia="宋体" w:cs="Times New Roman"/>
                <w:color w:val="auto"/>
                <w:sz w:val="21"/>
                <w:szCs w:val="21"/>
              </w:rPr>
              <w:t>□</w:t>
            </w:r>
          </w:p>
          <w:p w14:paraId="209256E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区（流）域环境质量改善目标要求情景 </w:t>
            </w:r>
            <w:r>
              <w:rPr>
                <w:rFonts w:hint="default" w:ascii="Times New Roman" w:hAnsi="Times New Roman" w:eastAsia="宋体" w:cs="Times New Roman"/>
                <w:color w:val="auto"/>
                <w:sz w:val="21"/>
                <w:szCs w:val="21"/>
              </w:rPr>
              <w:t>□</w:t>
            </w:r>
          </w:p>
        </w:tc>
      </w:tr>
      <w:tr w14:paraId="1EB00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661C3F6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09B7E0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预测方法</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0F4252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数值解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：解析解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；其他 </w:t>
            </w:r>
            <w:r>
              <w:rPr>
                <w:rFonts w:hint="default" w:ascii="Times New Roman" w:hAnsi="Times New Roman" w:eastAsia="宋体" w:cs="Times New Roman"/>
                <w:color w:val="auto"/>
                <w:sz w:val="21"/>
                <w:szCs w:val="21"/>
              </w:rPr>
              <w:t>□</w:t>
            </w:r>
          </w:p>
          <w:p w14:paraId="2F72974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导则推荐模式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：其他 </w:t>
            </w:r>
            <w:r>
              <w:rPr>
                <w:rFonts w:hint="default" w:ascii="Times New Roman" w:hAnsi="Times New Roman" w:eastAsia="宋体" w:cs="Times New Roman"/>
                <w:color w:val="auto"/>
                <w:sz w:val="21"/>
                <w:szCs w:val="21"/>
              </w:rPr>
              <w:t>□</w:t>
            </w:r>
          </w:p>
        </w:tc>
      </w:tr>
      <w:tr w14:paraId="191F3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restart"/>
            <w:tcBorders>
              <w:top w:val="single" w:color="auto" w:sz="6" w:space="0"/>
              <w:left w:val="single" w:color="auto" w:sz="12" w:space="0"/>
              <w:bottom w:val="single" w:color="auto" w:sz="6" w:space="0"/>
              <w:right w:val="single" w:color="auto" w:sz="6" w:space="0"/>
            </w:tcBorders>
            <w:noWrap/>
            <w:vAlign w:val="center"/>
          </w:tcPr>
          <w:p w14:paraId="676C7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p>
          <w:p w14:paraId="27921D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p>
          <w:p w14:paraId="216EDB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p>
          <w:p w14:paraId="6004F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p>
          <w:p w14:paraId="3B5E6F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p>
          <w:p w14:paraId="05614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p>
          <w:p w14:paraId="31294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影响评价</w:t>
            </w:r>
          </w:p>
        </w:tc>
        <w:tc>
          <w:tcPr>
            <w:tcW w:w="2539" w:type="dxa"/>
            <w:tcBorders>
              <w:top w:val="single" w:color="auto" w:sz="6" w:space="0"/>
              <w:left w:val="single" w:color="auto" w:sz="6" w:space="0"/>
              <w:bottom w:val="single" w:color="auto" w:sz="6" w:space="0"/>
              <w:right w:val="single" w:color="auto" w:sz="6" w:space="0"/>
            </w:tcBorders>
            <w:noWrap w:val="0"/>
            <w:vAlign w:val="center"/>
          </w:tcPr>
          <w:p w14:paraId="185D2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水污染控制和水环境影响减缓措施有效性评价</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0C1D714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区（流）域水环境质量改善目标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rPr>
              <w:t xml:space="preserve">；替代削减源 </w:t>
            </w:r>
            <w:r>
              <w:rPr>
                <w:rFonts w:hint="default" w:ascii="Times New Roman" w:hAnsi="Times New Roman" w:eastAsia="宋体" w:cs="Times New Roman"/>
                <w:color w:val="auto"/>
                <w:sz w:val="21"/>
                <w:szCs w:val="21"/>
              </w:rPr>
              <w:t>□</w:t>
            </w:r>
          </w:p>
        </w:tc>
      </w:tr>
      <w:tr w14:paraId="67007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5EEF676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5D6CB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水环境影响评价</w:t>
            </w:r>
          </w:p>
        </w:tc>
        <w:tc>
          <w:tcPr>
            <w:tcW w:w="10882" w:type="dxa"/>
            <w:gridSpan w:val="11"/>
            <w:tcBorders>
              <w:top w:val="single" w:color="auto" w:sz="6" w:space="0"/>
              <w:left w:val="single" w:color="auto" w:sz="6" w:space="0"/>
              <w:bottom w:val="single" w:color="auto" w:sz="6" w:space="0"/>
              <w:right w:val="single" w:color="auto" w:sz="12" w:space="0"/>
            </w:tcBorders>
            <w:noWrap w:val="0"/>
            <w:vAlign w:val="center"/>
          </w:tcPr>
          <w:p w14:paraId="4EF0172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排放口混合区外满足水环境管理要求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 xml:space="preserve">水环境功能区或水功能区、近岸海域环境功能区水质达标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 xml:space="preserve">满足水环境保护目标水域水环境质量要求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 xml:space="preserve">水环境控制单元或断面水质达标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 xml:space="preserve">满足重点水污染物排放总量控制指标要求，重点行业建设项目， 主要污染物排放满足等量或减量替代要求 </w:t>
            </w:r>
            <w:r>
              <w:rPr>
                <w:rFonts w:hint="default" w:ascii="Times New Roman" w:hAnsi="Times New Roman" w:eastAsia="宋体" w:cs="Times New Roman"/>
                <w:color w:val="auto"/>
                <w:sz w:val="21"/>
                <w:szCs w:val="21"/>
              </w:rPr>
              <w:t>□</w:t>
            </w:r>
          </w:p>
          <w:p w14:paraId="0CB69D5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满足区（流）域水环境质量改善目标要求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 xml:space="preserve">水文要素影响型建设项目同时应包括水文情势变化评价、主要水文特征值影响评价、生态流量符合性评价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 xml:space="preserve">对于新设或调整入河（湖库、近岸海域）排放口的建设项目，应包括排放口设置的环境合理性评价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 xml:space="preserve">满足生态保护红线、水环境质量底线、资源利用上线和环境准入清单管理要求 </w:t>
            </w:r>
            <w:r>
              <w:rPr>
                <w:rFonts w:hint="default" w:ascii="Times New Roman" w:hAnsi="Times New Roman" w:eastAsia="宋体" w:cs="Times New Roman"/>
                <w:color w:val="auto"/>
                <w:sz w:val="21"/>
                <w:szCs w:val="21"/>
              </w:rPr>
              <w:t>□</w:t>
            </w:r>
          </w:p>
        </w:tc>
      </w:tr>
      <w:tr w14:paraId="126FF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09FDA57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p>
        </w:tc>
        <w:tc>
          <w:tcPr>
            <w:tcW w:w="2539" w:type="dxa"/>
            <w:vMerge w:val="restart"/>
            <w:tcBorders>
              <w:top w:val="single" w:color="auto" w:sz="6" w:space="0"/>
              <w:left w:val="single" w:color="auto" w:sz="6" w:space="0"/>
              <w:right w:val="single" w:color="auto" w:sz="6" w:space="0"/>
            </w:tcBorders>
            <w:noWrap w:val="0"/>
            <w:vAlign w:val="center"/>
          </w:tcPr>
          <w:p w14:paraId="2BEBB9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污染源排放量核算</w:t>
            </w:r>
          </w:p>
        </w:tc>
        <w:tc>
          <w:tcPr>
            <w:tcW w:w="3346" w:type="dxa"/>
            <w:gridSpan w:val="3"/>
            <w:tcBorders>
              <w:top w:val="single" w:color="auto" w:sz="6" w:space="0"/>
              <w:left w:val="single" w:color="auto" w:sz="6" w:space="0"/>
              <w:bottom w:val="single" w:color="auto" w:sz="6" w:space="0"/>
              <w:right w:val="single" w:color="auto" w:sz="6" w:space="0"/>
            </w:tcBorders>
            <w:noWrap/>
            <w:vAlign w:val="center"/>
          </w:tcPr>
          <w:p w14:paraId="52A3A6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污染物名称</w:t>
            </w:r>
          </w:p>
        </w:tc>
        <w:tc>
          <w:tcPr>
            <w:tcW w:w="4180" w:type="dxa"/>
            <w:gridSpan w:val="4"/>
            <w:tcBorders>
              <w:top w:val="single" w:color="auto" w:sz="6" w:space="0"/>
              <w:left w:val="single" w:color="auto" w:sz="6" w:space="0"/>
              <w:bottom w:val="single" w:color="auto" w:sz="6" w:space="0"/>
              <w:right w:val="single" w:color="auto" w:sz="6" w:space="0"/>
            </w:tcBorders>
            <w:noWrap w:val="0"/>
            <w:vAlign w:val="center"/>
          </w:tcPr>
          <w:p w14:paraId="54F74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排放量/（</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kern w:val="0"/>
                <w:sz w:val="21"/>
                <w:szCs w:val="21"/>
              </w:rPr>
              <w:t>）</w:t>
            </w:r>
          </w:p>
        </w:tc>
        <w:tc>
          <w:tcPr>
            <w:tcW w:w="3356" w:type="dxa"/>
            <w:gridSpan w:val="4"/>
            <w:tcBorders>
              <w:top w:val="single" w:color="auto" w:sz="6" w:space="0"/>
              <w:left w:val="single" w:color="auto" w:sz="6" w:space="0"/>
              <w:bottom w:val="single" w:color="auto" w:sz="6" w:space="0"/>
              <w:right w:val="single" w:color="auto" w:sz="12" w:space="0"/>
            </w:tcBorders>
            <w:noWrap w:val="0"/>
            <w:vAlign w:val="center"/>
          </w:tcPr>
          <w:p w14:paraId="279A54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排放浓度/（mg/L）</w:t>
            </w:r>
          </w:p>
        </w:tc>
      </w:tr>
      <w:tr w14:paraId="1FF23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269469B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p>
        </w:tc>
        <w:tc>
          <w:tcPr>
            <w:tcW w:w="2539" w:type="dxa"/>
            <w:vMerge w:val="continue"/>
            <w:tcBorders>
              <w:left w:val="single" w:color="auto" w:sz="6" w:space="0"/>
              <w:right w:val="single" w:color="auto" w:sz="6" w:space="0"/>
            </w:tcBorders>
            <w:noWrap w:val="0"/>
            <w:vAlign w:val="center"/>
          </w:tcPr>
          <w:p w14:paraId="7213116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3346" w:type="dxa"/>
            <w:gridSpan w:val="3"/>
            <w:tcBorders>
              <w:top w:val="single" w:color="auto" w:sz="6" w:space="0"/>
              <w:left w:val="single" w:color="auto" w:sz="6" w:space="0"/>
              <w:bottom w:val="single" w:color="auto" w:sz="6" w:space="0"/>
              <w:right w:val="single" w:color="auto" w:sz="6" w:space="0"/>
            </w:tcBorders>
            <w:noWrap/>
            <w:vAlign w:val="center"/>
          </w:tcPr>
          <w:p w14:paraId="71825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COD</w:t>
            </w:r>
            <w:r>
              <w:rPr>
                <w:rFonts w:hint="default" w:ascii="Times New Roman" w:hAnsi="Times New Roman" w:eastAsia="宋体" w:cs="Times New Roman"/>
                <w:color w:val="auto"/>
                <w:kern w:val="0"/>
                <w:sz w:val="21"/>
                <w:szCs w:val="21"/>
              </w:rPr>
              <w:t>）</w:t>
            </w:r>
          </w:p>
        </w:tc>
        <w:tc>
          <w:tcPr>
            <w:tcW w:w="4180" w:type="dxa"/>
            <w:gridSpan w:val="4"/>
            <w:tcBorders>
              <w:top w:val="single" w:color="auto" w:sz="6" w:space="0"/>
              <w:left w:val="single" w:color="auto" w:sz="6" w:space="0"/>
              <w:bottom w:val="single" w:color="auto" w:sz="6" w:space="0"/>
              <w:right w:val="single" w:color="auto" w:sz="6" w:space="0"/>
            </w:tcBorders>
            <w:noWrap w:val="0"/>
            <w:vAlign w:val="center"/>
          </w:tcPr>
          <w:p w14:paraId="23BB82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（8.65）</w:t>
            </w:r>
          </w:p>
        </w:tc>
        <w:tc>
          <w:tcPr>
            <w:tcW w:w="3356" w:type="dxa"/>
            <w:gridSpan w:val="4"/>
            <w:tcBorders>
              <w:top w:val="single" w:color="auto" w:sz="6" w:space="0"/>
              <w:left w:val="single" w:color="auto" w:sz="6" w:space="0"/>
              <w:bottom w:val="single" w:color="auto" w:sz="6" w:space="0"/>
              <w:right w:val="single" w:color="auto" w:sz="12" w:space="0"/>
            </w:tcBorders>
            <w:noWrap w:val="0"/>
            <w:vAlign w:val="center"/>
          </w:tcPr>
          <w:p w14:paraId="62675C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（456.75）</w:t>
            </w:r>
          </w:p>
        </w:tc>
      </w:tr>
      <w:tr w14:paraId="1CD44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1DECF6F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p>
        </w:tc>
        <w:tc>
          <w:tcPr>
            <w:tcW w:w="2539" w:type="dxa"/>
            <w:vMerge w:val="continue"/>
            <w:tcBorders>
              <w:left w:val="single" w:color="auto" w:sz="6" w:space="0"/>
              <w:bottom w:val="single" w:color="auto" w:sz="6" w:space="0"/>
              <w:right w:val="single" w:color="auto" w:sz="6" w:space="0"/>
            </w:tcBorders>
            <w:noWrap w:val="0"/>
            <w:vAlign w:val="center"/>
          </w:tcPr>
          <w:p w14:paraId="4C85962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3346" w:type="dxa"/>
            <w:gridSpan w:val="3"/>
            <w:tcBorders>
              <w:top w:val="single" w:color="auto" w:sz="6" w:space="0"/>
              <w:left w:val="single" w:color="auto" w:sz="6" w:space="0"/>
              <w:bottom w:val="single" w:color="auto" w:sz="6" w:space="0"/>
              <w:right w:val="single" w:color="auto" w:sz="6" w:space="0"/>
            </w:tcBorders>
            <w:noWrap/>
            <w:vAlign w:val="center"/>
          </w:tcPr>
          <w:p w14:paraId="447F42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NH</w:t>
            </w:r>
            <w:r>
              <w:rPr>
                <w:rFonts w:hint="eastAsia" w:ascii="Times New Roman" w:hAnsi="Times New Roman" w:eastAsia="宋体" w:cs="Times New Roman"/>
                <w:color w:val="auto"/>
                <w:kern w:val="0"/>
                <w:sz w:val="21"/>
                <w:szCs w:val="21"/>
                <w:vertAlign w:val="subscript"/>
                <w:lang w:val="en-US" w:eastAsia="zh-CN"/>
              </w:rPr>
              <w:t>3</w:t>
            </w:r>
            <w:r>
              <w:rPr>
                <w:rFonts w:hint="eastAsia" w:ascii="Times New Roman" w:hAnsi="Times New Roman" w:eastAsia="宋体" w:cs="Times New Roman"/>
                <w:color w:val="auto"/>
                <w:kern w:val="0"/>
                <w:sz w:val="21"/>
                <w:szCs w:val="21"/>
                <w:lang w:val="en-US" w:eastAsia="zh-CN"/>
              </w:rPr>
              <w:t>-N</w:t>
            </w:r>
            <w:r>
              <w:rPr>
                <w:rFonts w:hint="default" w:ascii="Times New Roman" w:hAnsi="Times New Roman" w:eastAsia="宋体" w:cs="Times New Roman"/>
                <w:color w:val="auto"/>
                <w:kern w:val="0"/>
                <w:sz w:val="21"/>
                <w:szCs w:val="21"/>
              </w:rPr>
              <w:t>）</w:t>
            </w:r>
          </w:p>
        </w:tc>
        <w:tc>
          <w:tcPr>
            <w:tcW w:w="4180" w:type="dxa"/>
            <w:gridSpan w:val="4"/>
            <w:tcBorders>
              <w:top w:val="single" w:color="auto" w:sz="6" w:space="0"/>
              <w:left w:val="single" w:color="auto" w:sz="6" w:space="0"/>
              <w:bottom w:val="single" w:color="auto" w:sz="6" w:space="0"/>
              <w:right w:val="single" w:color="auto" w:sz="6" w:space="0"/>
            </w:tcBorders>
            <w:noWrap w:val="0"/>
            <w:vAlign w:val="center"/>
          </w:tcPr>
          <w:p w14:paraId="299434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（0.77）</w:t>
            </w:r>
          </w:p>
        </w:tc>
        <w:tc>
          <w:tcPr>
            <w:tcW w:w="3356" w:type="dxa"/>
            <w:gridSpan w:val="4"/>
            <w:tcBorders>
              <w:top w:val="single" w:color="auto" w:sz="6" w:space="0"/>
              <w:left w:val="single" w:color="auto" w:sz="6" w:space="0"/>
              <w:bottom w:val="single" w:color="auto" w:sz="6" w:space="0"/>
              <w:right w:val="single" w:color="auto" w:sz="12" w:space="0"/>
            </w:tcBorders>
            <w:noWrap w:val="0"/>
            <w:vAlign w:val="center"/>
          </w:tcPr>
          <w:p w14:paraId="585460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（40.66）</w:t>
            </w:r>
          </w:p>
        </w:tc>
      </w:tr>
      <w:tr w14:paraId="547DD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77F8841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p>
        </w:tc>
        <w:tc>
          <w:tcPr>
            <w:tcW w:w="2539" w:type="dxa"/>
            <w:vMerge w:val="restart"/>
            <w:tcBorders>
              <w:top w:val="single" w:color="auto" w:sz="6" w:space="0"/>
              <w:left w:val="single" w:color="auto" w:sz="6" w:space="0"/>
              <w:bottom w:val="single" w:color="auto" w:sz="6" w:space="0"/>
              <w:right w:val="single" w:color="auto" w:sz="6" w:space="0"/>
            </w:tcBorders>
            <w:noWrap w:val="0"/>
            <w:vAlign w:val="center"/>
          </w:tcPr>
          <w:p w14:paraId="136199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替代源排放情况</w:t>
            </w:r>
          </w:p>
        </w:tc>
        <w:tc>
          <w:tcPr>
            <w:tcW w:w="2551" w:type="dxa"/>
            <w:tcBorders>
              <w:top w:val="single" w:color="auto" w:sz="6" w:space="0"/>
              <w:left w:val="single" w:color="auto" w:sz="6" w:space="0"/>
              <w:bottom w:val="single" w:color="auto" w:sz="6" w:space="0"/>
              <w:right w:val="single" w:color="auto" w:sz="6" w:space="0"/>
            </w:tcBorders>
            <w:noWrap/>
            <w:vAlign w:val="center"/>
          </w:tcPr>
          <w:p w14:paraId="37E9139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污染源名称</w:t>
            </w:r>
          </w:p>
        </w:tc>
        <w:tc>
          <w:tcPr>
            <w:tcW w:w="2131" w:type="dxa"/>
            <w:gridSpan w:val="3"/>
            <w:tcBorders>
              <w:top w:val="single" w:color="auto" w:sz="6" w:space="0"/>
              <w:left w:val="single" w:color="auto" w:sz="6" w:space="0"/>
              <w:bottom w:val="single" w:color="auto" w:sz="6" w:space="0"/>
              <w:right w:val="single" w:color="auto" w:sz="6" w:space="0"/>
            </w:tcBorders>
            <w:noWrap w:val="0"/>
            <w:vAlign w:val="center"/>
          </w:tcPr>
          <w:p w14:paraId="6C05579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排污许可证编号</w:t>
            </w:r>
          </w:p>
        </w:tc>
        <w:tc>
          <w:tcPr>
            <w:tcW w:w="2133" w:type="dxa"/>
            <w:gridSpan w:val="2"/>
            <w:tcBorders>
              <w:top w:val="single" w:color="auto" w:sz="6" w:space="0"/>
              <w:left w:val="single" w:color="auto" w:sz="6" w:space="0"/>
              <w:bottom w:val="single" w:color="auto" w:sz="6" w:space="0"/>
              <w:right w:val="single" w:color="auto" w:sz="6" w:space="0"/>
            </w:tcBorders>
            <w:noWrap w:val="0"/>
            <w:vAlign w:val="center"/>
          </w:tcPr>
          <w:p w14:paraId="3EF1252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污染物名称</w:t>
            </w:r>
          </w:p>
        </w:tc>
        <w:tc>
          <w:tcPr>
            <w:tcW w:w="2131" w:type="dxa"/>
            <w:gridSpan w:val="2"/>
            <w:tcBorders>
              <w:top w:val="single" w:color="auto" w:sz="6" w:space="0"/>
              <w:left w:val="single" w:color="auto" w:sz="6" w:space="0"/>
              <w:bottom w:val="single" w:color="auto" w:sz="6" w:space="0"/>
              <w:right w:val="single" w:color="auto" w:sz="6" w:space="0"/>
            </w:tcBorders>
            <w:noWrap w:val="0"/>
            <w:vAlign w:val="center"/>
          </w:tcPr>
          <w:p w14:paraId="6753B48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排放量/（</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kern w:val="0"/>
                <w:sz w:val="21"/>
                <w:szCs w:val="21"/>
              </w:rPr>
              <w:t>）</w:t>
            </w:r>
          </w:p>
        </w:tc>
        <w:tc>
          <w:tcPr>
            <w:tcW w:w="1936" w:type="dxa"/>
            <w:gridSpan w:val="3"/>
            <w:tcBorders>
              <w:top w:val="single" w:color="auto" w:sz="6" w:space="0"/>
              <w:left w:val="single" w:color="auto" w:sz="6" w:space="0"/>
              <w:bottom w:val="single" w:color="auto" w:sz="6" w:space="0"/>
              <w:right w:val="single" w:color="auto" w:sz="12" w:space="0"/>
            </w:tcBorders>
            <w:noWrap w:val="0"/>
            <w:vAlign w:val="center"/>
          </w:tcPr>
          <w:p w14:paraId="7C72331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排放浓度/（mg/L）</w:t>
            </w:r>
          </w:p>
        </w:tc>
      </w:tr>
      <w:tr w14:paraId="002A7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1BF9751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p>
        </w:tc>
        <w:tc>
          <w:tcPr>
            <w:tcW w:w="2539" w:type="dxa"/>
            <w:vMerge w:val="continue"/>
            <w:tcBorders>
              <w:top w:val="single" w:color="auto" w:sz="6" w:space="0"/>
              <w:left w:val="single" w:color="auto" w:sz="6" w:space="0"/>
              <w:bottom w:val="single" w:color="auto" w:sz="6" w:space="0"/>
              <w:right w:val="single" w:color="auto" w:sz="6" w:space="0"/>
            </w:tcBorders>
            <w:noWrap w:val="0"/>
            <w:vAlign w:val="center"/>
          </w:tcPr>
          <w:p w14:paraId="0EA8693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51" w:type="dxa"/>
            <w:tcBorders>
              <w:top w:val="single" w:color="auto" w:sz="6" w:space="0"/>
              <w:left w:val="single" w:color="auto" w:sz="6" w:space="0"/>
              <w:bottom w:val="single" w:color="auto" w:sz="6" w:space="0"/>
              <w:right w:val="single" w:color="auto" w:sz="6" w:space="0"/>
            </w:tcBorders>
            <w:noWrap/>
            <w:vAlign w:val="center"/>
          </w:tcPr>
          <w:p w14:paraId="7919E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w:t>
            </w:r>
          </w:p>
        </w:tc>
        <w:tc>
          <w:tcPr>
            <w:tcW w:w="2131" w:type="dxa"/>
            <w:gridSpan w:val="3"/>
            <w:tcBorders>
              <w:top w:val="single" w:color="auto" w:sz="6" w:space="0"/>
              <w:left w:val="single" w:color="auto" w:sz="6" w:space="0"/>
              <w:bottom w:val="single" w:color="auto" w:sz="6" w:space="0"/>
              <w:right w:val="single" w:color="auto" w:sz="6" w:space="0"/>
            </w:tcBorders>
            <w:noWrap w:val="0"/>
            <w:vAlign w:val="center"/>
          </w:tcPr>
          <w:p w14:paraId="16B77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w:t>
            </w:r>
          </w:p>
        </w:tc>
        <w:tc>
          <w:tcPr>
            <w:tcW w:w="2133" w:type="dxa"/>
            <w:gridSpan w:val="2"/>
            <w:tcBorders>
              <w:top w:val="single" w:color="auto" w:sz="6" w:space="0"/>
              <w:left w:val="single" w:color="auto" w:sz="6" w:space="0"/>
              <w:bottom w:val="single" w:color="auto" w:sz="6" w:space="0"/>
              <w:right w:val="single" w:color="auto" w:sz="6" w:space="0"/>
            </w:tcBorders>
            <w:noWrap w:val="0"/>
            <w:vAlign w:val="center"/>
          </w:tcPr>
          <w:p w14:paraId="698E36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w:t>
            </w:r>
          </w:p>
        </w:tc>
        <w:tc>
          <w:tcPr>
            <w:tcW w:w="2131" w:type="dxa"/>
            <w:gridSpan w:val="2"/>
            <w:tcBorders>
              <w:top w:val="single" w:color="auto" w:sz="6" w:space="0"/>
              <w:left w:val="single" w:color="auto" w:sz="6" w:space="0"/>
              <w:bottom w:val="single" w:color="auto" w:sz="6" w:space="0"/>
              <w:right w:val="single" w:color="auto" w:sz="6" w:space="0"/>
            </w:tcBorders>
            <w:noWrap w:val="0"/>
            <w:vAlign w:val="center"/>
          </w:tcPr>
          <w:p w14:paraId="6331AA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w:t>
            </w:r>
          </w:p>
        </w:tc>
        <w:tc>
          <w:tcPr>
            <w:tcW w:w="1936" w:type="dxa"/>
            <w:gridSpan w:val="3"/>
            <w:tcBorders>
              <w:top w:val="single" w:color="auto" w:sz="6" w:space="0"/>
              <w:left w:val="single" w:color="auto" w:sz="6" w:space="0"/>
              <w:bottom w:val="single" w:color="auto" w:sz="6" w:space="0"/>
              <w:right w:val="single" w:color="auto" w:sz="12" w:space="0"/>
            </w:tcBorders>
            <w:noWrap w:val="0"/>
            <w:vAlign w:val="center"/>
          </w:tcPr>
          <w:p w14:paraId="6304E1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w:t>
            </w:r>
          </w:p>
        </w:tc>
      </w:tr>
      <w:tr w14:paraId="4110D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59A82D2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4CB68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生态流量确定</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2DC5ABF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生态流量：一般水期（   ）m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/s；鱼类繁殖期（   ）m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/s；其他（   ）m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/s</w:t>
            </w:r>
          </w:p>
          <w:p w14:paraId="2442386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生态水位：一般水期（   ）m；鱼类繁殖期（   ）m；其他（   ）m</w:t>
            </w:r>
          </w:p>
        </w:tc>
      </w:tr>
      <w:tr w14:paraId="7453B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restart"/>
            <w:tcBorders>
              <w:top w:val="single" w:color="auto" w:sz="6" w:space="0"/>
              <w:left w:val="single" w:color="auto" w:sz="12" w:space="0"/>
              <w:bottom w:val="single" w:color="auto" w:sz="6" w:space="0"/>
              <w:right w:val="single" w:color="auto" w:sz="6" w:space="0"/>
            </w:tcBorders>
            <w:noWrap/>
            <w:vAlign w:val="center"/>
          </w:tcPr>
          <w:p w14:paraId="03416F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防治措施</w:t>
            </w:r>
          </w:p>
        </w:tc>
        <w:tc>
          <w:tcPr>
            <w:tcW w:w="2539" w:type="dxa"/>
            <w:tcBorders>
              <w:top w:val="single" w:color="auto" w:sz="6" w:space="0"/>
              <w:left w:val="single" w:color="auto" w:sz="6" w:space="0"/>
              <w:bottom w:val="single" w:color="auto" w:sz="6" w:space="0"/>
              <w:right w:val="single" w:color="auto" w:sz="6" w:space="0"/>
            </w:tcBorders>
            <w:noWrap w:val="0"/>
            <w:vAlign w:val="center"/>
          </w:tcPr>
          <w:p w14:paraId="6DAB40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环保措施</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554EACD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污水处理设施 □；水文减缓设施 □；生态流量保障设施 □；区域削减 □；依托其他工程措施 □；其他 □</w:t>
            </w:r>
          </w:p>
        </w:tc>
      </w:tr>
      <w:tr w14:paraId="714C0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12BBFEA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restart"/>
            <w:tcBorders>
              <w:top w:val="single" w:color="auto" w:sz="6" w:space="0"/>
              <w:left w:val="single" w:color="auto" w:sz="6" w:space="0"/>
              <w:bottom w:val="single" w:color="auto" w:sz="6" w:space="0"/>
              <w:right w:val="single" w:color="auto" w:sz="6" w:space="0"/>
            </w:tcBorders>
            <w:noWrap w:val="0"/>
            <w:vAlign w:val="center"/>
          </w:tcPr>
          <w:p w14:paraId="7F7BA1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监测计划</w:t>
            </w:r>
          </w:p>
        </w:tc>
        <w:tc>
          <w:tcPr>
            <w:tcW w:w="3083" w:type="dxa"/>
            <w:gridSpan w:val="2"/>
            <w:tcBorders>
              <w:top w:val="single" w:color="auto" w:sz="6" w:space="0"/>
              <w:left w:val="single" w:color="auto" w:sz="6" w:space="0"/>
              <w:bottom w:val="single" w:color="auto" w:sz="6" w:space="0"/>
              <w:right w:val="single" w:color="auto" w:sz="6" w:space="0"/>
            </w:tcBorders>
            <w:noWrap/>
            <w:vAlign w:val="center"/>
          </w:tcPr>
          <w:p w14:paraId="49DF4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3732" w:type="dxa"/>
            <w:gridSpan w:val="4"/>
            <w:tcBorders>
              <w:top w:val="single" w:color="auto" w:sz="6" w:space="0"/>
              <w:left w:val="single" w:color="auto" w:sz="6" w:space="0"/>
              <w:bottom w:val="single" w:color="auto" w:sz="6" w:space="0"/>
              <w:right w:val="single" w:color="auto" w:sz="6" w:space="0"/>
            </w:tcBorders>
            <w:noWrap w:val="0"/>
            <w:vAlign w:val="center"/>
          </w:tcPr>
          <w:p w14:paraId="05CBD9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环境质量</w:t>
            </w:r>
          </w:p>
        </w:tc>
        <w:tc>
          <w:tcPr>
            <w:tcW w:w="4067" w:type="dxa"/>
            <w:gridSpan w:val="5"/>
            <w:tcBorders>
              <w:top w:val="single" w:color="auto" w:sz="6" w:space="0"/>
              <w:left w:val="single" w:color="auto" w:sz="6" w:space="0"/>
              <w:bottom w:val="single" w:color="auto" w:sz="6" w:space="0"/>
              <w:right w:val="single" w:color="auto" w:sz="12" w:space="0"/>
            </w:tcBorders>
            <w:noWrap w:val="0"/>
            <w:vAlign w:val="center"/>
          </w:tcPr>
          <w:p w14:paraId="36C988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污染源</w:t>
            </w:r>
          </w:p>
        </w:tc>
      </w:tr>
      <w:tr w14:paraId="5FF606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3172E1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continue"/>
            <w:tcBorders>
              <w:top w:val="single" w:color="auto" w:sz="6" w:space="0"/>
              <w:left w:val="single" w:color="auto" w:sz="6" w:space="0"/>
              <w:bottom w:val="single" w:color="auto" w:sz="6" w:space="0"/>
              <w:right w:val="single" w:color="auto" w:sz="6" w:space="0"/>
            </w:tcBorders>
            <w:noWrap w:val="0"/>
            <w:vAlign w:val="center"/>
          </w:tcPr>
          <w:p w14:paraId="3DE8A6B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3083" w:type="dxa"/>
            <w:gridSpan w:val="2"/>
            <w:tcBorders>
              <w:top w:val="single" w:color="auto" w:sz="6" w:space="0"/>
              <w:left w:val="single" w:color="auto" w:sz="6" w:space="0"/>
              <w:bottom w:val="single" w:color="auto" w:sz="6" w:space="0"/>
              <w:right w:val="single" w:color="auto" w:sz="6" w:space="0"/>
            </w:tcBorders>
            <w:noWrap/>
            <w:vAlign w:val="center"/>
          </w:tcPr>
          <w:p w14:paraId="4E6504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监测方式</w:t>
            </w:r>
          </w:p>
        </w:tc>
        <w:tc>
          <w:tcPr>
            <w:tcW w:w="3732" w:type="dxa"/>
            <w:gridSpan w:val="4"/>
            <w:tcBorders>
              <w:top w:val="single" w:color="auto" w:sz="6" w:space="0"/>
              <w:left w:val="single" w:color="auto" w:sz="6" w:space="0"/>
              <w:bottom w:val="single" w:color="auto" w:sz="6" w:space="0"/>
              <w:right w:val="single" w:color="auto" w:sz="6" w:space="0"/>
            </w:tcBorders>
            <w:noWrap w:val="0"/>
            <w:vAlign w:val="center"/>
          </w:tcPr>
          <w:p w14:paraId="0A893E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color w:val="auto"/>
                <w:kern w:val="0"/>
                <w:sz w:val="21"/>
                <w:szCs w:val="21"/>
              </w:rPr>
              <w:t xml:space="preserve">手动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；自动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；无监测 </w:t>
            </w:r>
            <w:r>
              <w:rPr>
                <w:rFonts w:hint="default" w:ascii="Times New Roman" w:hAnsi="Times New Roman" w:eastAsia="宋体" w:cs="Times New Roman"/>
                <w:color w:val="auto"/>
                <w:sz w:val="21"/>
                <w:szCs w:val="21"/>
                <w:lang w:eastAsia="zh-CN"/>
              </w:rPr>
              <w:sym w:font="Wingdings 2" w:char="0052"/>
            </w:r>
          </w:p>
        </w:tc>
        <w:tc>
          <w:tcPr>
            <w:tcW w:w="4067" w:type="dxa"/>
            <w:gridSpan w:val="5"/>
            <w:tcBorders>
              <w:top w:val="single" w:color="auto" w:sz="6" w:space="0"/>
              <w:left w:val="single" w:color="auto" w:sz="6" w:space="0"/>
              <w:bottom w:val="single" w:color="auto" w:sz="6" w:space="0"/>
              <w:right w:val="single" w:color="auto" w:sz="12" w:space="0"/>
            </w:tcBorders>
            <w:noWrap w:val="0"/>
            <w:vAlign w:val="center"/>
          </w:tcPr>
          <w:p w14:paraId="0640C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 xml:space="preserve">手动 </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kern w:val="0"/>
                <w:sz w:val="21"/>
                <w:szCs w:val="21"/>
              </w:rPr>
              <w:t xml:space="preserve">；自动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；无监测 </w:t>
            </w:r>
            <w:r>
              <w:rPr>
                <w:rFonts w:hint="default" w:ascii="Times New Roman" w:hAnsi="Times New Roman" w:eastAsia="宋体" w:cs="Times New Roman"/>
                <w:color w:val="auto"/>
                <w:sz w:val="21"/>
                <w:szCs w:val="21"/>
                <w:lang w:eastAsia="zh-CN"/>
              </w:rPr>
              <w:t>□</w:t>
            </w:r>
          </w:p>
        </w:tc>
      </w:tr>
      <w:tr w14:paraId="76E1EE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21809EF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continue"/>
            <w:tcBorders>
              <w:top w:val="single" w:color="auto" w:sz="6" w:space="0"/>
              <w:left w:val="single" w:color="auto" w:sz="6" w:space="0"/>
              <w:bottom w:val="single" w:color="auto" w:sz="6" w:space="0"/>
              <w:right w:val="single" w:color="auto" w:sz="6" w:space="0"/>
            </w:tcBorders>
            <w:noWrap w:val="0"/>
            <w:vAlign w:val="center"/>
          </w:tcPr>
          <w:p w14:paraId="30C3CDB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3083" w:type="dxa"/>
            <w:gridSpan w:val="2"/>
            <w:tcBorders>
              <w:top w:val="single" w:color="auto" w:sz="6" w:space="0"/>
              <w:left w:val="single" w:color="auto" w:sz="6" w:space="0"/>
              <w:bottom w:val="single" w:color="auto" w:sz="6" w:space="0"/>
              <w:right w:val="single" w:color="auto" w:sz="6" w:space="0"/>
            </w:tcBorders>
            <w:noWrap/>
            <w:vAlign w:val="center"/>
          </w:tcPr>
          <w:p w14:paraId="3884B6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监测点位</w:t>
            </w:r>
          </w:p>
        </w:tc>
        <w:tc>
          <w:tcPr>
            <w:tcW w:w="3732" w:type="dxa"/>
            <w:gridSpan w:val="4"/>
            <w:tcBorders>
              <w:top w:val="single" w:color="auto" w:sz="6" w:space="0"/>
              <w:left w:val="single" w:color="auto" w:sz="6" w:space="0"/>
              <w:bottom w:val="single" w:color="auto" w:sz="6" w:space="0"/>
              <w:right w:val="single" w:color="auto" w:sz="6" w:space="0"/>
            </w:tcBorders>
            <w:noWrap w:val="0"/>
            <w:vAlign w:val="center"/>
          </w:tcPr>
          <w:p w14:paraId="37F65B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w:t>
            </w:r>
          </w:p>
        </w:tc>
        <w:tc>
          <w:tcPr>
            <w:tcW w:w="4067" w:type="dxa"/>
            <w:gridSpan w:val="5"/>
            <w:tcBorders>
              <w:top w:val="single" w:color="auto" w:sz="6" w:space="0"/>
              <w:left w:val="single" w:color="auto" w:sz="6" w:space="0"/>
              <w:bottom w:val="single" w:color="auto" w:sz="6" w:space="0"/>
              <w:right w:val="single" w:color="auto" w:sz="12" w:space="0"/>
            </w:tcBorders>
            <w:noWrap w:val="0"/>
            <w:vAlign w:val="center"/>
          </w:tcPr>
          <w:p w14:paraId="27B10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废水总排口DW001</w:t>
            </w:r>
            <w:r>
              <w:rPr>
                <w:rFonts w:hint="default" w:ascii="Times New Roman" w:hAnsi="Times New Roman" w:eastAsia="宋体" w:cs="Times New Roman"/>
                <w:color w:val="auto"/>
                <w:kern w:val="0"/>
                <w:sz w:val="21"/>
                <w:szCs w:val="21"/>
              </w:rPr>
              <w:t>）</w:t>
            </w:r>
          </w:p>
        </w:tc>
      </w:tr>
      <w:tr w14:paraId="3B7D2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7A95318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vMerge w:val="continue"/>
            <w:tcBorders>
              <w:top w:val="single" w:color="auto" w:sz="6" w:space="0"/>
              <w:left w:val="single" w:color="auto" w:sz="6" w:space="0"/>
              <w:bottom w:val="single" w:color="auto" w:sz="6" w:space="0"/>
              <w:right w:val="single" w:color="auto" w:sz="6" w:space="0"/>
            </w:tcBorders>
            <w:noWrap w:val="0"/>
            <w:vAlign w:val="center"/>
          </w:tcPr>
          <w:p w14:paraId="252A1B1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3083" w:type="dxa"/>
            <w:gridSpan w:val="2"/>
            <w:tcBorders>
              <w:top w:val="single" w:color="auto" w:sz="6" w:space="0"/>
              <w:left w:val="single" w:color="auto" w:sz="6" w:space="0"/>
              <w:bottom w:val="single" w:color="auto" w:sz="6" w:space="0"/>
              <w:right w:val="single" w:color="auto" w:sz="6" w:space="0"/>
            </w:tcBorders>
            <w:noWrap/>
            <w:vAlign w:val="center"/>
          </w:tcPr>
          <w:p w14:paraId="336E04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监测因子</w:t>
            </w:r>
          </w:p>
        </w:tc>
        <w:tc>
          <w:tcPr>
            <w:tcW w:w="3732" w:type="dxa"/>
            <w:gridSpan w:val="4"/>
            <w:tcBorders>
              <w:top w:val="single" w:color="auto" w:sz="6" w:space="0"/>
              <w:left w:val="single" w:color="auto" w:sz="6" w:space="0"/>
              <w:bottom w:val="single" w:color="auto" w:sz="6" w:space="0"/>
              <w:right w:val="single" w:color="auto" w:sz="6" w:space="0"/>
            </w:tcBorders>
            <w:noWrap w:val="0"/>
            <w:vAlign w:val="center"/>
          </w:tcPr>
          <w:p w14:paraId="1099D1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w:t>
            </w:r>
          </w:p>
        </w:tc>
        <w:tc>
          <w:tcPr>
            <w:tcW w:w="4067" w:type="dxa"/>
            <w:gridSpan w:val="5"/>
            <w:tcBorders>
              <w:top w:val="single" w:color="auto" w:sz="6" w:space="0"/>
              <w:left w:val="single" w:color="auto" w:sz="6" w:space="0"/>
              <w:bottom w:val="single" w:color="auto" w:sz="6" w:space="0"/>
              <w:right w:val="single" w:color="auto" w:sz="12" w:space="0"/>
            </w:tcBorders>
            <w:noWrap w:val="0"/>
            <w:vAlign w:val="center"/>
          </w:tcPr>
          <w:p w14:paraId="5B39E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pH、</w:t>
            </w:r>
            <w:r>
              <w:rPr>
                <w:rFonts w:hint="eastAsia" w:ascii="Times New Roman" w:hAnsi="Times New Roman" w:eastAsia="宋体" w:cs="Times New Roman"/>
                <w:color w:val="auto"/>
                <w:kern w:val="0"/>
                <w:sz w:val="21"/>
                <w:szCs w:val="21"/>
                <w:lang w:val="en-US" w:eastAsia="zh-CN"/>
              </w:rPr>
              <w:t>COD、BOD</w:t>
            </w:r>
            <w:r>
              <w:rPr>
                <w:rFonts w:hint="eastAsia" w:ascii="Times New Roman" w:hAnsi="Times New Roman" w:eastAsia="宋体" w:cs="Times New Roman"/>
                <w:color w:val="auto"/>
                <w:kern w:val="0"/>
                <w:sz w:val="21"/>
                <w:szCs w:val="21"/>
                <w:vertAlign w:val="subscript"/>
                <w:lang w:val="en-US" w:eastAsia="zh-CN"/>
              </w:rPr>
              <w:t>5</w:t>
            </w:r>
            <w:r>
              <w:rPr>
                <w:rFonts w:hint="eastAsia" w:ascii="Times New Roman" w:hAnsi="Times New Roman" w:eastAsia="宋体" w:cs="Times New Roman"/>
                <w:color w:val="auto"/>
                <w:kern w:val="0"/>
                <w:sz w:val="21"/>
                <w:szCs w:val="21"/>
                <w:lang w:val="en-US" w:eastAsia="zh-CN"/>
              </w:rPr>
              <w:t>、SS、NH</w:t>
            </w:r>
            <w:r>
              <w:rPr>
                <w:rFonts w:hint="eastAsia" w:ascii="Times New Roman" w:hAnsi="Times New Roman" w:eastAsia="宋体" w:cs="Times New Roman"/>
                <w:color w:val="auto"/>
                <w:kern w:val="0"/>
                <w:sz w:val="21"/>
                <w:szCs w:val="21"/>
                <w:vertAlign w:val="subscript"/>
                <w:lang w:val="en-US" w:eastAsia="zh-CN"/>
              </w:rPr>
              <w:t>3</w:t>
            </w:r>
            <w:r>
              <w:rPr>
                <w:rFonts w:hint="eastAsia" w:ascii="Times New Roman" w:hAnsi="Times New Roman" w:eastAsia="宋体" w:cs="Times New Roman"/>
                <w:color w:val="auto"/>
                <w:kern w:val="0"/>
                <w:sz w:val="21"/>
                <w:szCs w:val="21"/>
                <w:lang w:val="en-US" w:eastAsia="zh-CN"/>
              </w:rPr>
              <w:t>-N、动植物油</w:t>
            </w:r>
            <w:r>
              <w:rPr>
                <w:rFonts w:hint="eastAsia" w:eastAsia="宋体" w:cs="Times New Roman"/>
                <w:color w:val="auto"/>
                <w:kern w:val="0"/>
                <w:sz w:val="21"/>
                <w:szCs w:val="21"/>
                <w:lang w:val="en-US" w:eastAsia="zh-CN"/>
              </w:rPr>
              <w:t>、TN、TP</w:t>
            </w:r>
            <w:r>
              <w:rPr>
                <w:rFonts w:hint="default" w:ascii="Times New Roman" w:hAnsi="Times New Roman" w:eastAsia="宋体" w:cs="Times New Roman"/>
                <w:color w:val="auto"/>
                <w:kern w:val="0"/>
                <w:sz w:val="21"/>
                <w:szCs w:val="21"/>
              </w:rPr>
              <w:t>）</w:t>
            </w:r>
          </w:p>
        </w:tc>
      </w:tr>
      <w:tr w14:paraId="30B9AC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556" w:type="dxa"/>
            <w:vMerge w:val="continue"/>
            <w:tcBorders>
              <w:top w:val="single" w:color="auto" w:sz="6" w:space="0"/>
              <w:left w:val="single" w:color="auto" w:sz="12" w:space="0"/>
              <w:bottom w:val="single" w:color="auto" w:sz="6" w:space="0"/>
              <w:right w:val="single" w:color="auto" w:sz="6" w:space="0"/>
            </w:tcBorders>
            <w:noWrap w:val="0"/>
            <w:vAlign w:val="center"/>
          </w:tcPr>
          <w:p w14:paraId="5122DC5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rPr>
            </w:pPr>
          </w:p>
        </w:tc>
        <w:tc>
          <w:tcPr>
            <w:tcW w:w="2539" w:type="dxa"/>
            <w:tcBorders>
              <w:top w:val="single" w:color="auto" w:sz="6" w:space="0"/>
              <w:left w:val="single" w:color="auto" w:sz="6" w:space="0"/>
              <w:bottom w:val="single" w:color="auto" w:sz="6" w:space="0"/>
              <w:right w:val="single" w:color="auto" w:sz="6" w:space="0"/>
            </w:tcBorders>
            <w:noWrap w:val="0"/>
            <w:vAlign w:val="center"/>
          </w:tcPr>
          <w:p w14:paraId="701A1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污染物排放清单</w:t>
            </w:r>
          </w:p>
        </w:tc>
        <w:tc>
          <w:tcPr>
            <w:tcW w:w="10882" w:type="dxa"/>
            <w:gridSpan w:val="11"/>
            <w:tcBorders>
              <w:top w:val="single" w:color="auto" w:sz="6" w:space="0"/>
              <w:left w:val="single" w:color="auto" w:sz="6" w:space="0"/>
              <w:bottom w:val="single" w:color="auto" w:sz="6" w:space="0"/>
              <w:right w:val="single" w:color="auto" w:sz="12" w:space="0"/>
            </w:tcBorders>
            <w:noWrap/>
            <w:vAlign w:val="center"/>
          </w:tcPr>
          <w:p w14:paraId="67576DB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w:t>
            </w:r>
          </w:p>
        </w:tc>
      </w:tr>
      <w:tr w14:paraId="29679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095" w:type="dxa"/>
            <w:gridSpan w:val="2"/>
            <w:tcBorders>
              <w:top w:val="single" w:color="auto" w:sz="6" w:space="0"/>
              <w:left w:val="single" w:color="auto" w:sz="12" w:space="0"/>
              <w:bottom w:val="single" w:color="auto" w:sz="12" w:space="0"/>
              <w:right w:val="single" w:color="auto" w:sz="6" w:space="0"/>
            </w:tcBorders>
            <w:noWrap/>
            <w:vAlign w:val="center"/>
          </w:tcPr>
          <w:p w14:paraId="2E8846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评价结论</w:t>
            </w:r>
          </w:p>
        </w:tc>
        <w:tc>
          <w:tcPr>
            <w:tcW w:w="10882" w:type="dxa"/>
            <w:gridSpan w:val="11"/>
            <w:tcBorders>
              <w:top w:val="single" w:color="auto" w:sz="6" w:space="0"/>
              <w:left w:val="single" w:color="auto" w:sz="6" w:space="0"/>
              <w:bottom w:val="single" w:color="auto" w:sz="12" w:space="0"/>
              <w:right w:val="single" w:color="auto" w:sz="12" w:space="0"/>
            </w:tcBorders>
            <w:noWrap/>
            <w:vAlign w:val="center"/>
          </w:tcPr>
          <w:p w14:paraId="592E1FF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可以接受 </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；不可以接受 </w:t>
            </w:r>
            <w:r>
              <w:rPr>
                <w:rFonts w:hint="default" w:ascii="Times New Roman" w:hAnsi="Times New Roman" w:eastAsia="宋体" w:cs="Times New Roman"/>
                <w:color w:val="auto"/>
                <w:sz w:val="21"/>
                <w:szCs w:val="21"/>
              </w:rPr>
              <w:t>□</w:t>
            </w:r>
          </w:p>
        </w:tc>
      </w:tr>
      <w:tr w14:paraId="56BF8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977" w:type="dxa"/>
            <w:gridSpan w:val="13"/>
            <w:tcBorders>
              <w:top w:val="single" w:color="auto" w:sz="12" w:space="0"/>
              <w:left w:val="single" w:color="auto" w:sz="12" w:space="0"/>
              <w:bottom w:val="single" w:color="auto" w:sz="12" w:space="0"/>
              <w:right w:val="single" w:color="auto" w:sz="12" w:space="0"/>
            </w:tcBorders>
            <w:noWrap/>
            <w:vAlign w:val="center"/>
          </w:tcPr>
          <w:p w14:paraId="0523645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注：“□”为勾选项，可打√；“（   ）”为内容填写项；“备注”为其他补充内容。</w:t>
            </w:r>
          </w:p>
        </w:tc>
      </w:tr>
    </w:tbl>
    <w:p w14:paraId="2A0E489A">
      <w:pPr>
        <w:bidi w:val="0"/>
        <w:rPr>
          <w:rFonts w:hint="eastAsia"/>
          <w:color w:val="auto"/>
          <w:lang w:eastAsia="zh-CN"/>
        </w:rPr>
        <w:sectPr>
          <w:headerReference r:id="rId25" w:type="default"/>
          <w:pgSz w:w="16838" w:h="11906" w:orient="landscape"/>
          <w:pgMar w:top="1587"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815ED5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438" w:name="_Toc13535"/>
      <w:bookmarkStart w:id="439" w:name="_Toc31628"/>
      <w:bookmarkStart w:id="440" w:name="_Toc9256"/>
      <w:bookmarkStart w:id="441" w:name="_Toc22366"/>
      <w:bookmarkStart w:id="442" w:name="_Toc17515"/>
      <w:r>
        <w:rPr>
          <w:rFonts w:hint="eastAsia" w:ascii="Times New Roman" w:hAnsi="Times New Roman" w:eastAsia="黑体" w:cs="Times New Roman"/>
          <w:b/>
          <w:color w:val="auto"/>
          <w:sz w:val="28"/>
          <w:szCs w:val="28"/>
          <w:highlight w:val="none"/>
          <w:lang w:val="en-US" w:eastAsia="zh-CN"/>
        </w:rPr>
        <w:t>5.3</w:t>
      </w:r>
      <w:r>
        <w:rPr>
          <w:rFonts w:hint="default" w:ascii="Times New Roman" w:hAnsi="Times New Roman" w:eastAsia="黑体" w:cs="Times New Roman"/>
          <w:b/>
          <w:color w:val="auto"/>
          <w:sz w:val="28"/>
          <w:szCs w:val="28"/>
          <w:highlight w:val="none"/>
          <w:lang w:val="en-US" w:eastAsia="zh-CN"/>
        </w:rPr>
        <w:t>地下水环境影响分析</w:t>
      </w:r>
      <w:bookmarkEnd w:id="438"/>
      <w:bookmarkEnd w:id="439"/>
      <w:bookmarkEnd w:id="440"/>
      <w:bookmarkEnd w:id="441"/>
      <w:bookmarkEnd w:id="442"/>
    </w:p>
    <w:p w14:paraId="52E530F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eastAsia" w:ascii="Times New Roman" w:hAnsi="Times New Roman" w:eastAsia="黑体" w:cs="Times New Roman"/>
          <w:b/>
          <w:bCs/>
          <w:color w:val="auto"/>
          <w:sz w:val="28"/>
          <w:szCs w:val="36"/>
          <w:lang w:val="en-US" w:eastAsia="zh-CN"/>
        </w:rPr>
      </w:pPr>
      <w:bookmarkStart w:id="443" w:name="_Toc15192"/>
      <w:bookmarkStart w:id="444" w:name="_Toc4053"/>
      <w:r>
        <w:rPr>
          <w:rFonts w:hint="eastAsia" w:ascii="Times New Roman" w:hAnsi="Times New Roman" w:eastAsia="黑体" w:cs="Times New Roman"/>
          <w:b/>
          <w:bCs/>
          <w:color w:val="auto"/>
          <w:sz w:val="28"/>
          <w:szCs w:val="36"/>
          <w:lang w:val="en-US" w:eastAsia="zh-CN"/>
        </w:rPr>
        <w:t>5.3.1区域水文地质条件</w:t>
      </w:r>
      <w:bookmarkEnd w:id="443"/>
      <w:bookmarkEnd w:id="444"/>
    </w:p>
    <w:p w14:paraId="234EAF8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5.3.1.1区域地质结构</w:t>
      </w:r>
    </w:p>
    <w:p w14:paraId="5FE87DFD">
      <w:pPr>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本项目位于宁夏伊鑫瑞肉制品销售有限公司</w:t>
      </w:r>
      <w:r>
        <w:rPr>
          <w:rFonts w:hint="eastAsia" w:cs="Times New Roman"/>
          <w:color w:val="auto"/>
          <w:lang w:val="en-US" w:eastAsia="zh-CN"/>
        </w:rPr>
        <w:t>北</w:t>
      </w:r>
      <w:r>
        <w:rPr>
          <w:rFonts w:hint="default" w:ascii="Times New Roman" w:hAnsi="Times New Roman" w:cs="Times New Roman"/>
          <w:color w:val="auto"/>
          <w:lang w:val="en-US" w:eastAsia="zh-CN"/>
        </w:rPr>
        <w:t>侧，本次引用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宁夏伊鑫瑞牛羊精深加工生产项目水质水位监测井施工报告</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中区域地质结构相关资料。根据该报告，项目厂区</w:t>
      </w:r>
      <w:r>
        <w:rPr>
          <w:rFonts w:hint="default" w:ascii="Times New Roman" w:hAnsi="Times New Roman" w:cs="Times New Roman"/>
          <w:color w:val="auto"/>
          <w:lang w:eastAsia="zh-CN"/>
        </w:rPr>
        <w:t>大地构造时代为燕山期-喜马拉雅期，大地构造单元划分为柴达木-华北板块（Ⅰ级）—阿拉善微陆块（Ⅱ级）—腾格里早古生代增生楔（Ⅲ级）—卫宁北山—香山晚古生代前陆—上叠盆地（宁南弧形构造带）（Ⅳ级）—烟筒山—窑山冲断带（Ⅴ级）—烟筒山逆冲推覆岩席（Ⅵ级）。</w:t>
      </w:r>
    </w:p>
    <w:p w14:paraId="53B3C485">
      <w:pPr>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烟筒山—窑山冲断带展布于烟筒山—黑鹰湾山—窑山—炭山—小关山及清水河流域一带，南西以天景山北麓—尖山墩东麓断裂为界，北东以烟筒山—窑山—小关山东北麓断裂为界。北西抵卫宁北山褶断带，南延至固原市以南。北西—北北西弧形展布，走向延伸大约240km，宽20～30km，出露地层主要为奥陶系、志留系、泥盆系及石炭系—二叠系，山麓地带及山前盆地沉积了大量白垩纪—第四纪地层。加里东运动、燕山运动及喜马拉雅运动在该带内表现突出，致使内部构造变形强烈，发育一系列线状褶皱及2～3条次级叠瓦状逆冲断裂，构造线方向主要为北西向，并呈向北东凸起之弧形，伴随逆冲断裂，形成中卫—同心新生代坳陷盆地。自南西而北东可进一步分为如下三个带或岩席：中卫—同心新生代后缘坳陷带、野猪沟—黑鹰湾山逆冲推覆岩席、烟筒山逆冲推覆岩席。</w:t>
      </w:r>
    </w:p>
    <w:p w14:paraId="3622F18B">
      <w:pPr>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本</w:t>
      </w:r>
      <w:r>
        <w:rPr>
          <w:rFonts w:hint="default" w:ascii="Times New Roman" w:hAnsi="Times New Roman" w:cs="Times New Roman"/>
          <w:color w:val="auto"/>
          <w:lang w:val="en-US" w:eastAsia="zh-CN"/>
        </w:rPr>
        <w:t>厂地</w:t>
      </w:r>
      <w:r>
        <w:rPr>
          <w:rFonts w:hint="default" w:ascii="Times New Roman" w:hAnsi="Times New Roman" w:cs="Times New Roman"/>
          <w:color w:val="auto"/>
          <w:lang w:eastAsia="zh-CN"/>
        </w:rPr>
        <w:t>位于烟筒山—窑山冲断带之烟筒山逆冲推覆岩席，其主要展布于烟筒山—骡子沟—线驮石—新断头一带。前缘主边界断裂为烟筒山—窑山—小关山东麓断裂，延伸大于280km，北西向展布，呈向北东凸出之弧形，弧顶位于烟筒山东北麓詹家大坡—好汉疙瘩，航片上线性影像清晰，地貌特征明显，北东侧为红寺堡新生代盆地，南西侧多为山体，两侧高差达200～300m。主边界断裂南段的小关山东麓断裂（前人称固原断裂，并认为小关山东麓断裂北延应接烟筒山—窑山东北麓断裂），沿炭山—固原东—后湾沟—三关口—土窑—秋千架—沙南一带展布，北北西向纵贯宁夏南部，沿断裂带零星出露寒武纪—奥陶纪地层，在三关口红砂石梁附近，断层破碎带宽30～50m，带内岩石呈碎裂状，次级不同方向断裂在寒武纪—奥陶纪地层及白垩纪地层中密集分布，形成三种断层组合形式：①叠瓦状前缘逆冲断层加后冲断层及前缘对冲断层组合；②叠瓦状逆冲断层加后缘反冲断裂、前缘对冲断层组合；③前缘逆冲断层与对冲断层加后缘反冲断层、滑覆正断层组合。据该断裂在红砂石梁东、庙儿沟、尚家沟门一带次级断裂、次，级褶皱轴与主断裂构成的“入字型”构造分析，除向北东方向逆冲推覆外，右行走滑特征也较明显，在沙南峡该断裂右行错断北东向断层近百米。</w:t>
      </w:r>
    </w:p>
    <w:p w14:paraId="047342F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5.3.1.2区域地层结构</w:t>
      </w:r>
    </w:p>
    <w:p w14:paraId="164866C3">
      <w:pPr>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宁夏伊鑫瑞肉制品销售有限公司位于本项目南侧，本次引用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宁夏伊鑫瑞牛羊精深加工生产项目水质水位监测井施工报告</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中区域地层结构相关资料。根据该报告，项目厂地</w:t>
      </w:r>
      <w:r>
        <w:rPr>
          <w:rFonts w:hint="default" w:ascii="Times New Roman" w:hAnsi="Times New Roman" w:cs="Times New Roman"/>
          <w:color w:val="auto"/>
          <w:lang w:eastAsia="zh-CN"/>
        </w:rPr>
        <w:t>地层结构由第四系全新统洪积层（Q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pl</w:t>
      </w:r>
      <w:r>
        <w:rPr>
          <w:rFonts w:hint="default" w:ascii="Times New Roman" w:hAnsi="Times New Roman" w:cs="Times New Roman"/>
          <w:color w:val="auto"/>
          <w:lang w:eastAsia="zh-CN"/>
        </w:rPr>
        <w:t>）、冲积层（Q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w:t>
      </w:r>
      <w:r>
        <w:rPr>
          <w:rFonts w:hint="default" w:ascii="Times New Roman" w:hAnsi="Times New Roman" w:cs="Times New Roman"/>
          <w:color w:val="auto"/>
          <w:lang w:eastAsia="zh-CN"/>
        </w:rPr>
        <w:t>）和冲洪积层（Q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al+pl</w:t>
      </w:r>
      <w:r>
        <w:rPr>
          <w:rFonts w:hint="default" w:ascii="Times New Roman" w:hAnsi="Times New Roman" w:cs="Times New Roman"/>
          <w:color w:val="auto"/>
          <w:lang w:eastAsia="zh-CN"/>
        </w:rPr>
        <w:t>）组成。现将各地层的野外特征分别描述如下：</w:t>
      </w:r>
    </w:p>
    <w:p w14:paraId="755202F4">
      <w:pPr>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①角砾（Q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2pl</w:t>
      </w:r>
      <w:r>
        <w:rPr>
          <w:rFonts w:hint="default" w:ascii="Times New Roman" w:hAnsi="Times New Roman" w:cs="Times New Roman"/>
          <w:color w:val="auto"/>
          <w:lang w:eastAsia="zh-CN"/>
        </w:rPr>
        <w:t>）：灰褐色-杂色，稍湿，稍密-中密，角砾含量60%-70%，粗中砂含量15%-20%，粉质土含量5%-10%。角砾成分以灰色石英岩为主，灰白色、褐红色砂岩次之，分选性较差，磨圆度较差，颗粒多呈次棱角状，粒径以2-30mm为主，偶见最大粒径8cm，局部夹碎石或块石。粗中砂成分以石英、长石为主，多呈次棱角状。充填物以粗中砂为主，粉质土次之，颗粒之间无胶结。钻进较容易，钻进过程中钻杆稍有跳动，孔壁易坍塌。该层土分布连续。</w:t>
      </w:r>
    </w:p>
    <w:p w14:paraId="61B9BF2B">
      <w:pPr>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②黄土状粉土（Q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2al</w:t>
      </w:r>
      <w:r>
        <w:rPr>
          <w:rFonts w:hint="default" w:ascii="Times New Roman" w:hAnsi="Times New Roman" w:cs="Times New Roman"/>
          <w:color w:val="auto"/>
          <w:lang w:eastAsia="zh-CN"/>
        </w:rPr>
        <w:t>）：黄褐色-浅褐色，稍湿，稍密-中密-密实，以粉粒为主，粘粒、砂粒含量次之，无光泽反应，干强度低，韧性低，局部夹褐红色粉质粘土条纹及条带，具大孔隙，多纵向发育，多为虫孔，含菌丝状及星点状白色钙质结核。该层土分布连续。</w:t>
      </w:r>
    </w:p>
    <w:p w14:paraId="6F9AB830">
      <w:pPr>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③角砾（Q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1pl</w:t>
      </w:r>
      <w:r>
        <w:rPr>
          <w:rFonts w:hint="default" w:ascii="Times New Roman" w:hAnsi="Times New Roman" w:cs="Times New Roman"/>
          <w:color w:val="auto"/>
          <w:lang w:eastAsia="zh-CN"/>
        </w:rPr>
        <w:t>）：灰褐色-杂色，稍湿，中密，角砾含量60%-70%，粗中砂含量15%-20%，粉质土含量5%-10%。角砾成分以灰色石英岩为主，灰白色、褐红色砂岩次之，分选性较差，磨圆度较差，颗粒多呈次棱角状，粒径以2-30mm为主，偶见最大粒径8cm，局部夹碎石或块石。粗中砂成分以石英、长石为主，多呈次棱角状。充填物以粗中砂为主，粉质土次之，颗粒之间无胶结。钻进相对较困难，钻进过程中钻杆跳动相对剧烈，孔壁偶有坍塌现象。该层土分布连续。</w:t>
      </w:r>
    </w:p>
    <w:p w14:paraId="1CDCC55D">
      <w:pPr>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④黄土状粉土（Q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1al</w:t>
      </w:r>
      <w:r>
        <w:rPr>
          <w:rFonts w:hint="default" w:ascii="Times New Roman" w:hAnsi="Times New Roman" w:cs="Times New Roman"/>
          <w:color w:val="auto"/>
          <w:lang w:eastAsia="zh-CN"/>
        </w:rPr>
        <w:t>）：黄褐色-褐黄色，稍湿，稍密-中密-密实，以粉粒为主，粘粒、砂粒含量次之，无光泽反应，干强度低，韧性低，具虫孔，含少量小的钙质结核。该层土分布连续。</w:t>
      </w:r>
    </w:p>
    <w:p w14:paraId="63E73DD3">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⑤</w:t>
      </w:r>
      <w:r>
        <w:rPr>
          <w:rFonts w:hint="default" w:ascii="Times New Roman" w:hAnsi="Times New Roman" w:cs="Times New Roman"/>
          <w:color w:val="auto"/>
          <w:vertAlign w:val="subscript"/>
          <w:lang w:eastAsia="zh-CN"/>
        </w:rPr>
        <w:t>-1</w:t>
      </w:r>
      <w:r>
        <w:rPr>
          <w:rFonts w:hint="default" w:ascii="Times New Roman" w:hAnsi="Times New Roman" w:cs="Times New Roman"/>
          <w:color w:val="auto"/>
          <w:lang w:eastAsia="zh-CN"/>
        </w:rPr>
        <w:t>角砾（Q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al+pl</w:t>
      </w:r>
      <w:r>
        <w:rPr>
          <w:rFonts w:hint="default" w:ascii="Times New Roman" w:hAnsi="Times New Roman" w:cs="Times New Roman"/>
          <w:color w:val="auto"/>
          <w:lang w:eastAsia="zh-CN"/>
        </w:rPr>
        <w:t>）：灰褐色-杂色，稍湿，中密-密实，角砾含量50%-65%，粗中砂含量20%-30%，粉质土含量5%-15%。角砾成分以灰色石英岩为主，灰白色、褐红色砂岩次之，分选性较差，磨圆度较差，颗粒多呈次棱角状，粒径以2-30mm为主，偶见最大粒径8cm，局部夹碎石或块石。粗中砂成分以石英、长石为主，多呈次棱角状。充填物以粗中砂为主，粉质土次之，颗粒之间无胶结。钻进相对较困难，钻进过程中钻杆跳动相对剧烈，孔壁偶有坍塌现象。该层土分布不连续。</w:t>
      </w:r>
    </w:p>
    <w:p w14:paraId="439382BA">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⑥</w:t>
      </w:r>
      <w:r>
        <w:rPr>
          <w:rFonts w:hint="default" w:ascii="Times New Roman" w:hAnsi="Times New Roman" w:cs="Times New Roman"/>
          <w:color w:val="auto"/>
          <w:lang w:eastAsia="zh-CN"/>
        </w:rPr>
        <w:t>角砾（Q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al+pl</w:t>
      </w:r>
      <w:r>
        <w:rPr>
          <w:rFonts w:hint="default" w:ascii="Times New Roman" w:hAnsi="Times New Roman" w:cs="Times New Roman"/>
          <w:color w:val="auto"/>
          <w:lang w:eastAsia="zh-CN"/>
        </w:rPr>
        <w:t>）：灰褐色-杂色，稍湿-湿-饱和，密实，角砾含量50%-65%，粗中砂含量20%-30%，粉质土含量5%-15%。角砾成分以灰色石英岩为主，灰白色、褐红色砂岩次之，分选性较差，磨圆度较差，颗粒多呈次棱角状，粒径以2-30mm为主，偶见最大粒径8cm，局部夹碎石或块石。粗中砂成分以石英、长石为主，多呈次棱角状。充填物以粗中砂为主，粉质土次之，颗粒之间无胶结。钻进较困难，钻进过程中钻杆跳动较剧烈，孔壁偶有坍塌现象。该层土分布连续。</w:t>
      </w:r>
    </w:p>
    <w:p w14:paraId="0934FC36">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⑦</w:t>
      </w:r>
      <w:r>
        <w:rPr>
          <w:rFonts w:hint="default" w:ascii="Times New Roman" w:hAnsi="Times New Roman" w:cs="Times New Roman"/>
          <w:color w:val="auto"/>
          <w:vertAlign w:val="subscript"/>
          <w:lang w:eastAsia="zh-CN"/>
        </w:rPr>
        <w:t>-1</w:t>
      </w:r>
      <w:r>
        <w:rPr>
          <w:rFonts w:hint="default" w:ascii="Times New Roman" w:hAnsi="Times New Roman" w:cs="Times New Roman"/>
          <w:color w:val="auto"/>
          <w:lang w:eastAsia="zh-CN"/>
        </w:rPr>
        <w:t>粉土（Q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w:t>
      </w:r>
      <w:r>
        <w:rPr>
          <w:rFonts w:hint="default" w:ascii="Times New Roman" w:hAnsi="Times New Roman" w:cs="Times New Roman"/>
          <w:color w:val="auto"/>
          <w:lang w:eastAsia="zh-CN"/>
        </w:rPr>
        <w:t>）：黄褐色，稍湿-湿，密实，以粉粒为主，粘粒、砂粒含量次之，无光泽反应，干强度低，韧性低。该层土分布不连续。</w:t>
      </w:r>
    </w:p>
    <w:p w14:paraId="507682F0">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⑧</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粉土（Q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w:t>
      </w:r>
      <w:r>
        <w:rPr>
          <w:rFonts w:hint="default" w:ascii="Times New Roman" w:hAnsi="Times New Roman" w:cs="Times New Roman"/>
          <w:color w:val="auto"/>
          <w:lang w:eastAsia="zh-CN"/>
        </w:rPr>
        <w:t>）：黄褐色，稍湿-湿，密实，以粉粒为主，粘粒、砂粒含量次之，无光泽反应，干强度低，韧性低。该层土分布不连续。</w:t>
      </w:r>
    </w:p>
    <w:p w14:paraId="0F376721">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⑨</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粉土（Q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w:t>
      </w:r>
      <w:r>
        <w:rPr>
          <w:rFonts w:hint="default" w:ascii="Times New Roman" w:hAnsi="Times New Roman" w:cs="Times New Roman"/>
          <w:color w:val="auto"/>
          <w:lang w:eastAsia="zh-CN"/>
        </w:rPr>
        <w:t>）：黄褐色，湿-很湿-饱和，密实，以粉粒为主，粘粒、砂粒含量次之，无光泽反应，干强度低，韧性低。该层土分布不连续。</w:t>
      </w:r>
    </w:p>
    <w:p w14:paraId="0E5CE58A">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⑩</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lang w:eastAsia="zh-CN"/>
        </w:rPr>
        <w:t>粉土（Q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w:t>
      </w:r>
      <w:r>
        <w:rPr>
          <w:rFonts w:hint="default" w:ascii="Times New Roman" w:hAnsi="Times New Roman" w:cs="Times New Roman"/>
          <w:color w:val="auto"/>
          <w:lang w:eastAsia="zh-CN"/>
        </w:rPr>
        <w:t>）：黄褐色，饱和，密实，以粉粒为主，粘粒、砂粒含量次之，无光泽反应，干强度低，韧性低。该层土分布不连续。</w:t>
      </w:r>
    </w:p>
    <w:p w14:paraId="64A325E4">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⑪</w:t>
      </w:r>
      <w:r>
        <w:rPr>
          <w:rFonts w:hint="default" w:ascii="Times New Roman" w:hAnsi="Times New Roman" w:cs="Times New Roman"/>
          <w:color w:val="auto"/>
          <w:lang w:eastAsia="zh-CN"/>
        </w:rPr>
        <w:t>粉土（Q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w:t>
      </w:r>
      <w:r>
        <w:rPr>
          <w:rFonts w:hint="default" w:ascii="Times New Roman" w:hAnsi="Times New Roman" w:cs="Times New Roman"/>
          <w:color w:val="auto"/>
          <w:lang w:eastAsia="zh-CN"/>
        </w:rPr>
        <w:t>）：黄褐色，饱和，密实，以粉粒为主，粘粒、砂粒含量次之，无光泽反应，干强度低，韧性低。该层土分布连续。</w:t>
      </w:r>
    </w:p>
    <w:p w14:paraId="449C9953">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⑫</w:t>
      </w:r>
      <w:r>
        <w:rPr>
          <w:rFonts w:hint="default" w:ascii="Times New Roman" w:hAnsi="Times New Roman" w:cs="Times New Roman"/>
          <w:color w:val="auto"/>
          <w:vertAlign w:val="subscript"/>
          <w:lang w:eastAsia="zh-CN"/>
        </w:rPr>
        <w:t>-1</w:t>
      </w:r>
      <w:r>
        <w:rPr>
          <w:rFonts w:hint="default" w:ascii="Times New Roman" w:hAnsi="Times New Roman" w:cs="Times New Roman"/>
          <w:color w:val="auto"/>
          <w:lang w:eastAsia="zh-CN"/>
        </w:rPr>
        <w:t>粉质粘土（Q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w:t>
      </w:r>
      <w:r>
        <w:rPr>
          <w:rFonts w:hint="default" w:ascii="Times New Roman" w:hAnsi="Times New Roman" w:cs="Times New Roman"/>
          <w:color w:val="auto"/>
          <w:lang w:eastAsia="zh-CN"/>
        </w:rPr>
        <w:t>）：红褐色，很湿，硬塑，无摇振反应，刀切面稍有光泽、干强度中等、韧性中等。该层土分布不连续。</w:t>
      </w:r>
    </w:p>
    <w:p w14:paraId="3EAC1B06">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⑬</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角砾（Q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al+pl</w:t>
      </w:r>
      <w:r>
        <w:rPr>
          <w:rFonts w:hint="default" w:ascii="Times New Roman" w:hAnsi="Times New Roman" w:cs="Times New Roman"/>
          <w:color w:val="auto"/>
          <w:lang w:eastAsia="zh-CN"/>
        </w:rPr>
        <w:t>）：灰褐色-杂色，饱和，密实，角砾含量55%-65%，粗中砂含量25%-35%，粉质土含量5%-10%。角砾成分以灰色石英岩为主，灰白色、褐红色砂岩次之，分选性较差，磨圆度较差，颗粒多呈次棱角状，粒径以2-30mm为主，偶见最大粒径8cm，局部夹碎石或块石。粗中砂成分以石英、长石为主，多呈次棱角状。充填物以粗中砂为主，粉质土次之，颗粒之间无胶结。钻进困难，钻进过程中钻杆跳动剧烈，孔壁较稳定。该层土分布不连续。</w:t>
      </w:r>
    </w:p>
    <w:p w14:paraId="6016E8FD">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⑭</w:t>
      </w:r>
      <w:r>
        <w:rPr>
          <w:rFonts w:hint="default" w:ascii="Times New Roman" w:hAnsi="Times New Roman" w:cs="Times New Roman"/>
          <w:color w:val="auto"/>
          <w:lang w:eastAsia="zh-CN"/>
        </w:rPr>
        <w:t>角砾（Q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al+pl</w:t>
      </w:r>
      <w:r>
        <w:rPr>
          <w:rFonts w:hint="default" w:ascii="Times New Roman" w:hAnsi="Times New Roman" w:cs="Times New Roman"/>
          <w:color w:val="auto"/>
          <w:lang w:eastAsia="zh-CN"/>
        </w:rPr>
        <w:t>）：灰褐色-杂色，饱和，密实，角砾含量55%-65%，粗中砂含量25%-35%，粉质土含量5%-10%。角砾成分以灰色石英岩为主，灰白色、褐红色砂岩次之，分选性较差，磨圆度较差，颗粒多呈次棱角状，粒径以2-30mm为主，偶见最大粒径8cm，局部夹碎石或块石。粗中砂成分以石英、长石为主，多呈次棱角状。充填物以粗中砂为主，粉质土次之，颗粒之间无胶结。钻进困难，钻进过程中钻杆跳动剧烈，孔壁较稳定。该层土分布连续。</w:t>
      </w:r>
    </w:p>
    <w:p w14:paraId="2D9392B2">
      <w:pPr>
        <w:spacing w:line="360" w:lineRule="auto"/>
        <w:rPr>
          <w:rFonts w:hint="default" w:ascii="Times New Roman" w:hAnsi="Times New Roman" w:cs="Times New Roman"/>
          <w:color w:val="auto"/>
          <w:lang w:eastAsia="zh-CN"/>
        </w:rPr>
      </w:pPr>
      <w:r>
        <w:rPr>
          <w:rFonts w:hint="default" w:ascii="Times New Roman" w:hAnsi="Times New Roman" w:eastAsia="微软雅黑" w:cs="Times New Roman"/>
          <w:color w:val="auto"/>
          <w:lang w:eastAsia="zh-CN"/>
        </w:rPr>
        <w:t>⑮</w:t>
      </w:r>
      <w:r>
        <w:rPr>
          <w:rFonts w:hint="default" w:ascii="Times New Roman" w:hAnsi="Times New Roman" w:cs="Times New Roman"/>
          <w:color w:val="auto"/>
          <w:lang w:eastAsia="zh-CN"/>
        </w:rPr>
        <w:t>粉土（Q</w:t>
      </w:r>
      <w:r>
        <w:rPr>
          <w:rFonts w:hint="default" w:ascii="Times New Roman" w:hAnsi="Times New Roman" w:cs="Times New Roman"/>
          <w:color w:val="auto"/>
          <w:vertAlign w:val="subscript"/>
          <w:lang w:eastAsia="zh-CN"/>
        </w:rPr>
        <w:t>4</w:t>
      </w:r>
      <w:r>
        <w:rPr>
          <w:rFonts w:hint="default" w:ascii="Times New Roman" w:hAnsi="Times New Roman" w:cs="Times New Roman"/>
          <w:color w:val="auto"/>
          <w:vertAlign w:val="superscript"/>
          <w:lang w:eastAsia="zh-CN"/>
        </w:rPr>
        <w:t>al</w:t>
      </w:r>
      <w:r>
        <w:rPr>
          <w:rFonts w:hint="default" w:ascii="Times New Roman" w:hAnsi="Times New Roman" w:cs="Times New Roman"/>
          <w:color w:val="auto"/>
          <w:lang w:eastAsia="zh-CN"/>
        </w:rPr>
        <w:t>）：黄褐色，饱和，密实，以粉粒为主，粘粒、砂粒含量次之，无光泽反应，干强度低，韧性低，随埋藏深度的增加该土层密实度与强度均呈递增趋势。该层土分布连续。</w:t>
      </w:r>
    </w:p>
    <w:p w14:paraId="44DD0329">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5.3.1.3区域水文地质条件</w:t>
      </w:r>
    </w:p>
    <w:p w14:paraId="552CEE5D">
      <w:pPr>
        <w:keepNext w:val="0"/>
        <w:keepLines w:val="0"/>
        <w:pageBreakBefore w:val="0"/>
        <w:widowControl w:val="0"/>
        <w:tabs>
          <w:tab w:val="left" w:pos="36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eastAsia" w:ascii="Times New Roman" w:hAnsi="Times New Roman" w:cs="Times New Roman"/>
          <w:color w:val="auto"/>
          <w:sz w:val="24"/>
          <w:highlight w:val="none"/>
          <w:lang w:val="en-US" w:eastAsia="zh-CN"/>
        </w:rPr>
        <w:t>项目所在</w:t>
      </w:r>
      <w:r>
        <w:rPr>
          <w:rFonts w:hint="default" w:ascii="Times New Roman" w:hAnsi="Times New Roman" w:eastAsia="仿宋_GB2312" w:cs="Times New Roman"/>
          <w:color w:val="auto"/>
          <w:sz w:val="24"/>
          <w:highlight w:val="none"/>
        </w:rPr>
        <w:t>区域地下水类型主要为第四系松散岩类孔隙水。松散岩类孔隙水按含水层结构和水力性质又可划分为潜水和承压水。</w:t>
      </w:r>
    </w:p>
    <w:p w14:paraId="5410A1CE">
      <w:pPr>
        <w:pStyle w:val="2"/>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A：潜水</w:t>
      </w:r>
    </w:p>
    <w:p w14:paraId="66994D12">
      <w:pPr>
        <w:keepNext w:val="0"/>
        <w:keepLines w:val="0"/>
        <w:pageBreakBefore w:val="0"/>
        <w:widowControl w:val="0"/>
        <w:tabs>
          <w:tab w:val="left" w:pos="36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潜水在区域上大面积部分分布（详见图4.2-3），含水层岩性为单一的泥质砂砾石，潜水水位由2-60m不等，含水层厚度在35-50m之间，单井涌水量多数在100-1000m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/d。含水层的渗透系数为0.07-0.8m/d之间，变化较大。</w:t>
      </w:r>
    </w:p>
    <w:p w14:paraId="598BAE65">
      <w:pPr>
        <w:keepNext w:val="0"/>
        <w:keepLines w:val="0"/>
        <w:pageBreakBefore w:val="0"/>
        <w:widowControl w:val="0"/>
        <w:tabs>
          <w:tab w:val="left" w:pos="36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潜水主要补给来源于大气降水和侧向补给。地下水整体流向是由南向北流。主要排泄方式为人工开采。该层地下水水质较差，矿化度在1-4g/L之间，水化学类型为SO</w:t>
      </w:r>
      <w:r>
        <w:rPr>
          <w:rFonts w:hint="default" w:ascii="Times New Roman" w:hAnsi="Times New Roman" w:eastAsia="仿宋_GB2312" w:cs="Times New Roman"/>
          <w:color w:val="auto"/>
          <w:sz w:val="24"/>
          <w:highlight w:val="none"/>
          <w:vertAlign w:val="subscript"/>
        </w:rPr>
        <w:t>4·</w:t>
      </w:r>
      <w:r>
        <w:rPr>
          <w:rFonts w:hint="default" w:ascii="Times New Roman" w:hAnsi="Times New Roman" w:eastAsia="仿宋_GB2312" w:cs="Times New Roman"/>
          <w:color w:val="auto"/>
          <w:sz w:val="24"/>
          <w:highlight w:val="none"/>
        </w:rPr>
        <w:t>HCO</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-NaMg。</w:t>
      </w:r>
    </w:p>
    <w:p w14:paraId="6C61570F">
      <w:pPr>
        <w:keepNext w:val="0"/>
        <w:keepLines w:val="0"/>
        <w:pageBreakBefore w:val="0"/>
        <w:widowControl w:val="0"/>
        <w:tabs>
          <w:tab w:val="left" w:pos="36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B：承压水</w:t>
      </w:r>
    </w:p>
    <w:p w14:paraId="7EB880E4">
      <w:pPr>
        <w:keepNext w:val="0"/>
        <w:keepLines w:val="0"/>
        <w:pageBreakBefore w:val="0"/>
        <w:widowControl w:val="0"/>
        <w:tabs>
          <w:tab w:val="left" w:pos="36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承压水在区域上分布面积也较大，含水层岩性为泥质砂砾石，部分地段为粉细砂与泥质砂砾石互层，顶板隔水层在60-100m之间，其水位埋深10-40m之间，含水层总厚度约在50-70m左右，单井涌水量100-1000m</w:t>
      </w:r>
      <w:r>
        <w:rPr>
          <w:rFonts w:hint="default" w:ascii="Times New Roman" w:hAnsi="Times New Roman" w:eastAsia="仿宋_GB2312" w:cs="Times New Roman"/>
          <w:color w:val="auto"/>
          <w:sz w:val="24"/>
          <w:highlight w:val="none"/>
          <w:vertAlign w:val="superscript"/>
        </w:rPr>
        <w:t>3</w:t>
      </w:r>
      <w:r>
        <w:rPr>
          <w:rFonts w:hint="default" w:ascii="Times New Roman" w:hAnsi="Times New Roman" w:eastAsia="仿宋_GB2312" w:cs="Times New Roman"/>
          <w:color w:val="auto"/>
          <w:sz w:val="24"/>
          <w:highlight w:val="none"/>
        </w:rPr>
        <w:t>/d左右，地下水矿化度多小于2g/L，水化学类型为HCO</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SO</w:t>
      </w:r>
      <w:r>
        <w:rPr>
          <w:rFonts w:hint="default" w:ascii="Times New Roman" w:hAnsi="Times New Roman" w:eastAsia="仿宋_GB2312" w:cs="Times New Roman"/>
          <w:color w:val="auto"/>
          <w:sz w:val="24"/>
          <w:highlight w:val="none"/>
          <w:vertAlign w:val="subscript"/>
        </w:rPr>
        <w:t>4</w:t>
      </w:r>
      <w:r>
        <w:rPr>
          <w:rFonts w:hint="default" w:ascii="Times New Roman" w:hAnsi="Times New Roman" w:eastAsia="仿宋_GB2312" w:cs="Times New Roman"/>
          <w:color w:val="auto"/>
          <w:sz w:val="24"/>
          <w:highlight w:val="none"/>
        </w:rPr>
        <w:t>-CaMg。</w:t>
      </w:r>
    </w:p>
    <w:p w14:paraId="4BA33E6C">
      <w:pPr>
        <w:keepNext w:val="0"/>
        <w:keepLines w:val="0"/>
        <w:pageBreakBefore w:val="0"/>
        <w:widowControl w:val="0"/>
        <w:tabs>
          <w:tab w:val="left" w:pos="36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承压水主要补给来源为侧向补给，少部分补给来源于越流补给。地下水整体流向由南向北流，主要排泄方式为人工开采。</w:t>
      </w:r>
    </w:p>
    <w:p w14:paraId="3A7217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eastAsia="zh-CN"/>
        </w:rPr>
      </w:pPr>
      <w:r>
        <w:rPr>
          <w:rFonts w:hint="default" w:ascii="Times New Roman" w:hAnsi="Times New Roman" w:eastAsia="仿宋_GB2312" w:cs="Times New Roman"/>
          <w:color w:val="auto"/>
          <w:sz w:val="24"/>
          <w:highlight w:val="none"/>
        </w:rPr>
        <w:t>区域水文地质剖面图见图5.3-1，区域潜水水文地质图见图5.3-2。</w:t>
      </w:r>
    </w:p>
    <w:p w14:paraId="53B56FF7">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74335" cy="2736850"/>
            <wp:effectExtent l="12700" t="12700" r="18415" b="1270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70"/>
                    <a:stretch>
                      <a:fillRect/>
                    </a:stretch>
                  </pic:blipFill>
                  <pic:spPr>
                    <a:xfrm>
                      <a:off x="0" y="0"/>
                      <a:ext cx="5474335" cy="2736850"/>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3A4C720E">
      <w:pPr>
        <w:pStyle w:val="4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图5.3-1   区域水文地质剖面图</w:t>
      </w:r>
    </w:p>
    <w:p w14:paraId="67F542A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5474335" cy="5019675"/>
            <wp:effectExtent l="12700" t="12700" r="18415" b="15875"/>
            <wp:docPr id="7" name="图片 36" descr="img-407162753-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descr="img-407162753-0058"/>
                    <pic:cNvPicPr>
                      <a:picLocks noChangeAspect="1"/>
                    </pic:cNvPicPr>
                  </pic:nvPicPr>
                  <pic:blipFill>
                    <a:blip r:embed="rId71"/>
                    <a:srcRect l="13219" t="10443" r="13461" b="35870"/>
                    <a:stretch>
                      <a:fillRect/>
                    </a:stretch>
                  </pic:blipFill>
                  <pic:spPr>
                    <a:xfrm>
                      <a:off x="0" y="0"/>
                      <a:ext cx="5474335" cy="5019675"/>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190FB8D7">
      <w:pPr>
        <w:pStyle w:val="4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图5.3-2  区域潜水水文地质图</w:t>
      </w:r>
    </w:p>
    <w:p w14:paraId="2223928E">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5.3.1.4区域地下水动态</w:t>
      </w:r>
    </w:p>
    <w:p w14:paraId="21F0529A">
      <w:pPr>
        <w:spacing w:line="360" w:lineRule="auto"/>
        <w:rPr>
          <w:rFonts w:hint="eastAsia" w:ascii="Times New Roman" w:hAnsi="Times New Roman"/>
          <w:color w:val="auto"/>
          <w:lang w:eastAsia="zh-CN"/>
        </w:rPr>
      </w:pPr>
      <w:r>
        <w:rPr>
          <w:rFonts w:hint="eastAsia" w:ascii="Times New Roman" w:hAnsi="Times New Roman"/>
          <w:color w:val="auto"/>
          <w:lang w:eastAsia="zh-CN"/>
        </w:rPr>
        <w:t>A：潜水</w:t>
      </w:r>
    </w:p>
    <w:p w14:paraId="38F0DBAC">
      <w:pPr>
        <w:spacing w:line="360" w:lineRule="auto"/>
        <w:rPr>
          <w:rFonts w:hint="eastAsia" w:ascii="Times New Roman" w:hAnsi="Times New Roman"/>
          <w:color w:val="auto"/>
          <w:lang w:eastAsia="zh-CN"/>
        </w:rPr>
      </w:pPr>
      <w:r>
        <w:rPr>
          <w:rFonts w:hint="eastAsia" w:ascii="Times New Roman" w:hAnsi="Times New Roman"/>
          <w:color w:val="auto"/>
          <w:lang w:eastAsia="zh-CN"/>
        </w:rPr>
        <w:t>在2-6月地下水水位处于下降状态，6-11月水位持续上升，其基本趋势与该地区气候特征基本相似。大气降水枯水期地下水补给不足，水位持续下降状态；6-11月为集中降雨期，地下水迅速得到补给，地下水位持续上升，地下水的动态受大气降水的影响和控制。</w:t>
      </w:r>
    </w:p>
    <w:p w14:paraId="18FFB9EB">
      <w:pPr>
        <w:spacing w:line="360" w:lineRule="auto"/>
        <w:rPr>
          <w:rFonts w:hint="eastAsia" w:ascii="Times New Roman" w:hAnsi="Times New Roman"/>
          <w:color w:val="auto"/>
          <w:lang w:eastAsia="zh-CN"/>
        </w:rPr>
      </w:pPr>
      <w:r>
        <w:rPr>
          <w:rFonts w:hint="eastAsia" w:ascii="Times New Roman" w:hAnsi="Times New Roman"/>
          <w:color w:val="auto"/>
          <w:lang w:eastAsia="zh-CN"/>
        </w:rPr>
        <w:t>B：承压水</w:t>
      </w:r>
    </w:p>
    <w:p w14:paraId="74651112">
      <w:pPr>
        <w:spacing w:line="360" w:lineRule="auto"/>
        <w:rPr>
          <w:rFonts w:hint="eastAsia" w:ascii="Times New Roman" w:hAnsi="Times New Roman"/>
          <w:color w:val="auto"/>
          <w:lang w:eastAsia="zh-CN"/>
        </w:rPr>
      </w:pPr>
      <w:r>
        <w:rPr>
          <w:rFonts w:hint="eastAsia" w:ascii="Times New Roman" w:hAnsi="Times New Roman"/>
          <w:color w:val="auto"/>
          <w:lang w:eastAsia="zh-CN"/>
        </w:rPr>
        <w:t>在每年的2月中旬至10月地下水水位持续下降，在11、12及1月份地下水位达到最高，主要因素是在气候较暖期间农业用水及人工活动用水量较大，反映出地下水位动态受人工开采影响和制约；在非用水期间，地下水水位比较平缓，基本没有波动，反映出自然径流状态，因此承压水地下水动态特征受人工开采的影响。</w:t>
      </w:r>
    </w:p>
    <w:p w14:paraId="02B38E8D">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5.3.1.5</w:t>
      </w:r>
      <w:r>
        <w:rPr>
          <w:rFonts w:hint="default" w:ascii="Times New Roman" w:hAnsi="Times New Roman" w:eastAsia="黑体" w:cs="Times New Roman"/>
          <w:b/>
          <w:bCs w:val="0"/>
          <w:color w:val="auto"/>
          <w:sz w:val="24"/>
          <w:szCs w:val="24"/>
          <w:lang w:val="en-US" w:eastAsia="zh-CN"/>
        </w:rPr>
        <w:t>地下水补、径、排特征</w:t>
      </w:r>
    </w:p>
    <w:p w14:paraId="7FCFD16A">
      <w:pPr>
        <w:spacing w:line="360" w:lineRule="auto"/>
        <w:rPr>
          <w:rFonts w:hint="eastAsia" w:ascii="Times New Roman" w:hAnsi="Times New Roman"/>
          <w:color w:val="auto"/>
          <w:lang w:eastAsia="zh-CN"/>
        </w:rPr>
      </w:pPr>
      <w:r>
        <w:rPr>
          <w:rFonts w:hint="eastAsia" w:ascii="Times New Roman" w:hAnsi="Times New Roman"/>
          <w:color w:val="auto"/>
          <w:lang w:eastAsia="zh-CN"/>
        </w:rPr>
        <w:t>本区域地下水主要接受大气降雨入渗补给，雨季集中补给，常年排泄。每年4～9月为降雨季节，地下水获得补给，是地下水位回升期，11月至次年1～3月为枯水季节，是地下水位下降期。松散岩类孔隙水：第四系松散岩类分布区，地形平缓，大气降水易于渗入补给地下水。地下水在</w:t>
      </w:r>
      <w:r>
        <w:rPr>
          <w:rFonts w:hint="eastAsia"/>
          <w:color w:val="auto"/>
          <w:lang w:eastAsia="zh-CN"/>
        </w:rPr>
        <w:t>径流</w:t>
      </w:r>
      <w:r>
        <w:rPr>
          <w:rFonts w:hint="eastAsia" w:ascii="Times New Roman" w:hAnsi="Times New Roman"/>
          <w:color w:val="auto"/>
          <w:lang w:eastAsia="zh-CN"/>
        </w:rPr>
        <w:t>途中，部分垂直下渗补给下裂隙水。</w:t>
      </w:r>
    </w:p>
    <w:p w14:paraId="5BF3AA1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r>
        <w:rPr>
          <w:rFonts w:hint="eastAsia" w:ascii="Times New Roman" w:hAnsi="Times New Roman" w:eastAsia="黑体" w:cs="Times New Roman"/>
          <w:b/>
          <w:color w:val="auto"/>
          <w:sz w:val="28"/>
          <w:szCs w:val="28"/>
          <w:highlight w:val="none"/>
          <w:lang w:val="en-US" w:eastAsia="zh-CN"/>
        </w:rPr>
        <w:t>5.3.2</w:t>
      </w:r>
      <w:r>
        <w:rPr>
          <w:rFonts w:hint="default" w:ascii="Times New Roman" w:hAnsi="Times New Roman" w:eastAsia="黑体" w:cs="Times New Roman"/>
          <w:b/>
          <w:color w:val="auto"/>
          <w:sz w:val="28"/>
          <w:szCs w:val="28"/>
          <w:highlight w:val="none"/>
          <w:lang w:val="en-US" w:eastAsia="zh-CN"/>
        </w:rPr>
        <w:t>地下水环境影响预测与分析</w:t>
      </w:r>
    </w:p>
    <w:p w14:paraId="6CACBC3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1</w:t>
      </w:r>
      <w:r>
        <w:rPr>
          <w:rFonts w:hint="default" w:ascii="Times New Roman" w:hAnsi="Times New Roman" w:eastAsia="仿宋_GB2312" w:cs="Times New Roman"/>
          <w:color w:val="auto"/>
          <w:lang w:eastAsia="zh-CN"/>
        </w:rPr>
        <w:t>）污染因素</w:t>
      </w:r>
    </w:p>
    <w:p w14:paraId="6C48285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本项目对地下水潜在的污染因素有COD、SS、氨氮</w:t>
      </w:r>
      <w:r>
        <w:rPr>
          <w:rFonts w:hint="eastAsia" w:cs="Times New Roman"/>
          <w:color w:val="auto"/>
          <w:lang w:eastAsia="zh-CN"/>
        </w:rPr>
        <w:t>、</w:t>
      </w:r>
      <w:r>
        <w:rPr>
          <w:rFonts w:hint="eastAsia" w:cs="Times New Roman"/>
          <w:color w:val="auto"/>
          <w:lang w:val="en-US" w:eastAsia="zh-CN"/>
        </w:rPr>
        <w:t>TN、TP</w:t>
      </w:r>
      <w:r>
        <w:rPr>
          <w:rFonts w:hint="default" w:ascii="Times New Roman" w:hAnsi="Times New Roman" w:eastAsia="仿宋_GB2312" w:cs="Times New Roman"/>
          <w:color w:val="auto"/>
          <w:lang w:eastAsia="zh-CN"/>
        </w:rPr>
        <w:t>等污染物。</w:t>
      </w:r>
    </w:p>
    <w:p w14:paraId="04BB345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eastAsia="zh-CN"/>
        </w:rPr>
        <w:t>）污染源及污染途径</w:t>
      </w:r>
    </w:p>
    <w:p w14:paraId="1030049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污染源：污水处理站、污水收集管道及化粪池。</w:t>
      </w:r>
    </w:p>
    <w:p w14:paraId="72D6769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污染途径：污水收集管道、化粪池及污水处理站池体发生泄漏，污水渗入地下造成地下水环境污染。</w:t>
      </w:r>
    </w:p>
    <w:p w14:paraId="3F2DB7B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lang w:eastAsia="zh-CN"/>
        </w:rPr>
        <w:t>）运营期地下水环境影响预测分析</w:t>
      </w:r>
    </w:p>
    <w:p w14:paraId="355BBD0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项目运行正常</w:t>
      </w:r>
      <w:r>
        <w:rPr>
          <w:rFonts w:hint="eastAsia" w:cs="Times New Roman"/>
          <w:color w:val="auto"/>
          <w:lang w:val="en-US" w:eastAsia="zh-CN"/>
        </w:rPr>
        <w:t>状况</w:t>
      </w:r>
      <w:r>
        <w:rPr>
          <w:rFonts w:hint="default" w:ascii="Times New Roman" w:hAnsi="Times New Roman" w:eastAsia="仿宋_GB2312" w:cs="Times New Roman"/>
          <w:color w:val="auto"/>
          <w:lang w:eastAsia="zh-CN"/>
        </w:rPr>
        <w:t>下污水产排不会对地下水环境造成的不利环境影响。工程本次评价主要考虑非正常</w:t>
      </w:r>
      <w:r>
        <w:rPr>
          <w:rFonts w:hint="eastAsia" w:cs="Times New Roman"/>
          <w:color w:val="auto"/>
          <w:lang w:val="en-US" w:eastAsia="zh-CN"/>
        </w:rPr>
        <w:t>状况</w:t>
      </w:r>
      <w:r>
        <w:rPr>
          <w:rFonts w:hint="default" w:ascii="Times New Roman" w:hAnsi="Times New Roman" w:eastAsia="仿宋_GB2312" w:cs="Times New Roman"/>
          <w:color w:val="auto"/>
          <w:lang w:eastAsia="zh-CN"/>
        </w:rPr>
        <w:t>下，不同形式污水</w:t>
      </w:r>
      <w:r>
        <w:rPr>
          <w:rFonts w:hint="eastAsia" w:cs="Times New Roman"/>
          <w:color w:val="auto"/>
          <w:lang w:eastAsia="zh-CN"/>
        </w:rPr>
        <w:t>泄漏</w:t>
      </w:r>
      <w:r>
        <w:rPr>
          <w:rFonts w:hint="default" w:ascii="Times New Roman" w:hAnsi="Times New Roman" w:eastAsia="仿宋_GB2312" w:cs="Times New Roman"/>
          <w:color w:val="auto"/>
          <w:lang w:eastAsia="zh-CN"/>
        </w:rPr>
        <w:t>对地下水水质的影响程度和影响范围，通过预测结果评价其对地下水环境造成的影响。</w:t>
      </w:r>
    </w:p>
    <w:p w14:paraId="52B47F5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在非正常</w:t>
      </w:r>
      <w:r>
        <w:rPr>
          <w:rFonts w:hint="eastAsia" w:cs="Times New Roman"/>
          <w:color w:val="auto"/>
          <w:lang w:val="en-US" w:eastAsia="zh-CN"/>
        </w:rPr>
        <w:t>状况</w:t>
      </w:r>
      <w:r>
        <w:rPr>
          <w:rFonts w:hint="default" w:ascii="Times New Roman" w:hAnsi="Times New Roman" w:eastAsia="仿宋_GB2312" w:cs="Times New Roman"/>
          <w:color w:val="auto"/>
          <w:lang w:eastAsia="zh-CN"/>
        </w:rPr>
        <w:t>下，污水泄漏事件具有突发性、泄漏量具有不确定性，项目排污是污水泄漏事件易发工段，主要为污水处理站池体。因此，本次评价选择污水处理站池体泄漏进行设计预测。</w:t>
      </w:r>
    </w:p>
    <w:p w14:paraId="2ECE1A5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预测时间：本次在设定预测时间时综合考虑了环境和人为因素</w:t>
      </w:r>
      <w:r>
        <w:rPr>
          <w:rFonts w:hint="eastAsia" w:cs="Times New Roman"/>
          <w:color w:val="auto"/>
          <w:lang w:eastAsia="zh-CN"/>
        </w:rPr>
        <w:t>以及</w:t>
      </w:r>
      <w:r>
        <w:rPr>
          <w:rFonts w:hint="default" w:ascii="Times New Roman" w:hAnsi="Times New Roman" w:eastAsia="仿宋_GB2312" w:cs="Times New Roman"/>
          <w:color w:val="auto"/>
          <w:lang w:eastAsia="zh-CN"/>
        </w:rPr>
        <w:t>项目运行时间安排。</w:t>
      </w:r>
    </w:p>
    <w:p w14:paraId="5D745FA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预测范围：根据厂区所在位置的地下水流动方向和评价区划定范围，设计预测范围是从假定泄漏点至评价区厂区下游区域。</w:t>
      </w:r>
    </w:p>
    <w:p w14:paraId="3B782AD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预测内容：选择污染物浓度较高的屠宰废水，进行污水瞬时泄漏和连续泄漏两种情况分析，说明污染物在地下水中的迁移特征，预测地下水环境中污染物超标范围、超标程度、影响距离和超标时间。</w:t>
      </w:r>
    </w:p>
    <w:p w14:paraId="2FA3E1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lang w:eastAsia="zh-CN"/>
        </w:rPr>
      </w:pPr>
      <w:r>
        <w:rPr>
          <w:rFonts w:hint="default" w:ascii="Times New Roman" w:hAnsi="Times New Roman" w:eastAsia="仿宋_GB2312" w:cs="Times New Roman"/>
          <w:color w:val="auto"/>
          <w:lang w:eastAsia="zh-CN"/>
        </w:rPr>
        <w:t>预测因子：假定</w:t>
      </w:r>
      <w:r>
        <w:rPr>
          <w:rFonts w:hint="eastAsia" w:cs="Times New Roman"/>
          <w:color w:val="auto"/>
          <w:lang w:val="en-US" w:eastAsia="zh-CN"/>
        </w:rPr>
        <w:t>污水处理站池体</w:t>
      </w:r>
      <w:r>
        <w:rPr>
          <w:rFonts w:hint="default" w:ascii="Times New Roman" w:hAnsi="Times New Roman" w:eastAsia="仿宋_GB2312" w:cs="Times New Roman"/>
          <w:color w:val="auto"/>
          <w:lang w:eastAsia="zh-CN"/>
        </w:rPr>
        <w:t>发生破损，废水发生渗漏，根据《环境影响评价技术导则地下水环境》（HJ610-2016）要求</w:t>
      </w:r>
      <w:r>
        <w:rPr>
          <w:rFonts w:hint="eastAsia" w:cs="Times New Roman"/>
          <w:color w:val="auto"/>
          <w:lang w:eastAsia="zh-CN"/>
        </w:rPr>
        <w:t>：</w:t>
      </w:r>
      <w:r>
        <w:rPr>
          <w:rFonts w:hint="default" w:ascii="Times New Roman" w:hAnsi="Times New Roman" w:cs="Times New Roman"/>
          <w:color w:val="auto"/>
          <w:lang w:eastAsia="zh-CN"/>
        </w:rPr>
        <w:t>①</w:t>
      </w:r>
      <w:r>
        <w:rPr>
          <w:rFonts w:hint="eastAsia" w:cs="Times New Roman"/>
          <w:color w:val="auto"/>
          <w:lang w:eastAsia="zh-CN"/>
        </w:rPr>
        <w:t>根据识别出的特征因子，按照重金属、持久性有机污染物和其他类别进行分类，并对每一类别中的各项因子采用标准指数法进行排序，分别取标准指数最大的因子；</w:t>
      </w:r>
      <w:r>
        <w:rPr>
          <w:rFonts w:hint="default" w:ascii="Times New Roman" w:hAnsi="Times New Roman" w:cs="Times New Roman"/>
          <w:color w:val="auto"/>
          <w:lang w:eastAsia="zh-CN"/>
        </w:rPr>
        <w:t>②现有工程已经产生的且改、扩建后将继续产生的特征因子，改、扩建后新增加的特征因子；③污染场地已查明的主要污染物，按照①筛选预测因子；④国家或地方要求控制的污染物。</w:t>
      </w:r>
    </w:p>
    <w:p w14:paraId="06075D8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val="en-US" w:eastAsia="zh-CN"/>
        </w:rPr>
      </w:pPr>
      <w:r>
        <w:rPr>
          <w:rFonts w:hint="eastAsia" w:cs="Times New Roman"/>
          <w:color w:val="auto"/>
          <w:lang w:val="en-US" w:eastAsia="zh-CN"/>
        </w:rPr>
        <w:t>根据前文工程分析，项目可能导致地下水污染的因子主要为COD、NH</w:t>
      </w:r>
      <w:r>
        <w:rPr>
          <w:rFonts w:hint="eastAsia" w:cs="Times New Roman"/>
          <w:color w:val="auto"/>
          <w:vertAlign w:val="subscript"/>
          <w:lang w:val="en-US" w:eastAsia="zh-CN"/>
        </w:rPr>
        <w:t>3</w:t>
      </w:r>
      <w:r>
        <w:rPr>
          <w:rFonts w:hint="eastAsia" w:cs="Times New Roman"/>
          <w:color w:val="auto"/>
          <w:lang w:val="en-US" w:eastAsia="zh-CN"/>
        </w:rPr>
        <w:t>-N，均不属于重金属及持久性有机污染物。各污染因子标准指数如下：</w:t>
      </w:r>
    </w:p>
    <w:p w14:paraId="0053C8B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表5.3-1</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lang w:val="en-US" w:eastAsia="zh-CN"/>
        </w:rPr>
        <w:t>本项目污染因子标准指数一览表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2007"/>
        <w:gridCol w:w="1498"/>
        <w:gridCol w:w="1541"/>
        <w:gridCol w:w="2452"/>
      </w:tblGrid>
      <w:tr w14:paraId="14908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0" w:type="dxa"/>
            <w:tcBorders>
              <w:tl2br w:val="nil"/>
              <w:tr2bl w:val="nil"/>
            </w:tcBorders>
            <w:vAlign w:val="center"/>
          </w:tcPr>
          <w:p w14:paraId="05F404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污染因子</w:t>
            </w:r>
          </w:p>
        </w:tc>
        <w:tc>
          <w:tcPr>
            <w:tcW w:w="2007" w:type="dxa"/>
            <w:tcBorders>
              <w:tl2br w:val="nil"/>
              <w:tr2bl w:val="nil"/>
            </w:tcBorders>
            <w:vAlign w:val="center"/>
          </w:tcPr>
          <w:p w14:paraId="1FD5A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污染物浓度（mg/L）</w:t>
            </w:r>
          </w:p>
        </w:tc>
        <w:tc>
          <w:tcPr>
            <w:tcW w:w="1498" w:type="dxa"/>
            <w:tcBorders>
              <w:tl2br w:val="nil"/>
              <w:tr2bl w:val="nil"/>
            </w:tcBorders>
            <w:vAlign w:val="center"/>
          </w:tcPr>
          <w:p w14:paraId="40CE34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标准限值（mg/L）</w:t>
            </w:r>
          </w:p>
        </w:tc>
        <w:tc>
          <w:tcPr>
            <w:tcW w:w="1541" w:type="dxa"/>
            <w:tcBorders>
              <w:tl2br w:val="nil"/>
              <w:tr2bl w:val="nil"/>
            </w:tcBorders>
            <w:vAlign w:val="center"/>
          </w:tcPr>
          <w:p w14:paraId="75775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标准指数</w:t>
            </w:r>
          </w:p>
        </w:tc>
        <w:tc>
          <w:tcPr>
            <w:tcW w:w="2452" w:type="dxa"/>
            <w:tcBorders>
              <w:tl2br w:val="nil"/>
              <w:tr2bl w:val="nil"/>
            </w:tcBorders>
            <w:vAlign w:val="center"/>
          </w:tcPr>
          <w:p w14:paraId="605FB3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标准来源</w:t>
            </w:r>
          </w:p>
        </w:tc>
      </w:tr>
      <w:tr w14:paraId="21666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0" w:type="dxa"/>
            <w:tcBorders>
              <w:tl2br w:val="nil"/>
              <w:tr2bl w:val="nil"/>
            </w:tcBorders>
            <w:vAlign w:val="center"/>
          </w:tcPr>
          <w:p w14:paraId="232F5C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COD</w:t>
            </w:r>
          </w:p>
        </w:tc>
        <w:tc>
          <w:tcPr>
            <w:tcW w:w="2007" w:type="dxa"/>
            <w:tcBorders>
              <w:tl2br w:val="nil"/>
              <w:tr2bl w:val="nil"/>
            </w:tcBorders>
            <w:vAlign w:val="center"/>
          </w:tcPr>
          <w:p w14:paraId="6109E4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2000</w:t>
            </w:r>
          </w:p>
        </w:tc>
        <w:tc>
          <w:tcPr>
            <w:tcW w:w="1498" w:type="dxa"/>
            <w:tcBorders>
              <w:tl2br w:val="nil"/>
              <w:tr2bl w:val="nil"/>
            </w:tcBorders>
            <w:vAlign w:val="center"/>
          </w:tcPr>
          <w:p w14:paraId="74AB0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r>
              <w:rPr>
                <w:rFonts w:hint="eastAsia" w:eastAsia="宋体" w:cs="Times New Roman"/>
                <w:color w:val="auto"/>
                <w:sz w:val="21"/>
                <w:szCs w:val="21"/>
                <w:vertAlign w:val="baseline"/>
                <w:lang w:val="en-US" w:eastAsia="zh-CN"/>
              </w:rPr>
              <w:t>（耗氧量）</w:t>
            </w:r>
          </w:p>
        </w:tc>
        <w:tc>
          <w:tcPr>
            <w:tcW w:w="1541" w:type="dxa"/>
            <w:tcBorders>
              <w:tl2br w:val="nil"/>
              <w:tr2bl w:val="nil"/>
            </w:tcBorders>
            <w:vAlign w:val="center"/>
          </w:tcPr>
          <w:p w14:paraId="08700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666.67</w:t>
            </w:r>
          </w:p>
        </w:tc>
        <w:tc>
          <w:tcPr>
            <w:tcW w:w="2452" w:type="dxa"/>
            <w:vMerge w:val="restart"/>
            <w:tcBorders>
              <w:tl2br w:val="nil"/>
              <w:tr2bl w:val="nil"/>
            </w:tcBorders>
            <w:vAlign w:val="center"/>
          </w:tcPr>
          <w:p w14:paraId="55DC61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《地下水质量标准》（GB/T14848-2017）Ⅲ类标准</w:t>
            </w:r>
          </w:p>
        </w:tc>
      </w:tr>
      <w:tr w14:paraId="7CC48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0" w:type="dxa"/>
            <w:tcBorders>
              <w:tl2br w:val="nil"/>
              <w:tr2bl w:val="nil"/>
            </w:tcBorders>
            <w:vAlign w:val="center"/>
          </w:tcPr>
          <w:p w14:paraId="154775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c>
          <w:tcPr>
            <w:tcW w:w="2007" w:type="dxa"/>
            <w:tcBorders>
              <w:tl2br w:val="nil"/>
              <w:tr2bl w:val="nil"/>
            </w:tcBorders>
            <w:vAlign w:val="center"/>
          </w:tcPr>
          <w:p w14:paraId="7D0D1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150</w:t>
            </w:r>
          </w:p>
        </w:tc>
        <w:tc>
          <w:tcPr>
            <w:tcW w:w="1498" w:type="dxa"/>
            <w:tcBorders>
              <w:tl2br w:val="nil"/>
              <w:tr2bl w:val="nil"/>
            </w:tcBorders>
            <w:vAlign w:val="center"/>
          </w:tcPr>
          <w:p w14:paraId="6364F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c>
          <w:tcPr>
            <w:tcW w:w="1541" w:type="dxa"/>
            <w:tcBorders>
              <w:tl2br w:val="nil"/>
              <w:tr2bl w:val="nil"/>
            </w:tcBorders>
            <w:vAlign w:val="center"/>
          </w:tcPr>
          <w:p w14:paraId="304082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300</w:t>
            </w:r>
          </w:p>
        </w:tc>
        <w:tc>
          <w:tcPr>
            <w:tcW w:w="2452" w:type="dxa"/>
            <w:vMerge w:val="continue"/>
            <w:tcBorders>
              <w:tl2br w:val="nil"/>
              <w:tr2bl w:val="nil"/>
            </w:tcBorders>
            <w:vAlign w:val="center"/>
          </w:tcPr>
          <w:p w14:paraId="52A0D1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r>
    </w:tbl>
    <w:p w14:paraId="43C2573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val="en-US" w:eastAsia="zh-CN"/>
        </w:rPr>
      </w:pPr>
      <w:r>
        <w:rPr>
          <w:rFonts w:hint="eastAsia" w:cs="Times New Roman"/>
          <w:color w:val="auto"/>
          <w:lang w:val="en-US" w:eastAsia="zh-CN"/>
        </w:rPr>
        <w:t>综上所述，本次选取标准指数最大的因子COD进行预测。</w:t>
      </w:r>
    </w:p>
    <w:p w14:paraId="4B51756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预测方法：按照《环境影响评价技术导则-地下水环境》（HJ610-2016）规定，三级评价可采用解析法或类比分析法，故本环评拟采用解析法对地下水环境影响进行预测。</w:t>
      </w:r>
    </w:p>
    <w:p w14:paraId="53D25EE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非正常工况污水池突发泄漏影响预测：</w:t>
      </w:r>
    </w:p>
    <w:p w14:paraId="72DC1866">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sz w:val="24"/>
          <w:szCs w:val="15"/>
          <w:highlight w:val="none"/>
        </w:rPr>
      </w:pPr>
      <w:r>
        <w:rPr>
          <w:rFonts w:hint="default" w:ascii="Times New Roman" w:hAnsi="Times New Roman" w:eastAsia="仿宋_GB2312" w:cs="Times New Roman"/>
          <w:color w:val="auto"/>
          <w:sz w:val="24"/>
          <w:szCs w:val="15"/>
          <w:highlight w:val="none"/>
        </w:rPr>
        <w:t>A预测模型建立</w:t>
      </w:r>
    </w:p>
    <w:p w14:paraId="1F490CF0">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sz w:val="24"/>
          <w:szCs w:val="15"/>
          <w:highlight w:val="none"/>
        </w:rPr>
      </w:pPr>
      <w:r>
        <w:rPr>
          <w:rFonts w:hint="default" w:ascii="Times New Roman" w:hAnsi="Times New Roman" w:eastAsia="仿宋_GB2312" w:cs="Times New Roman"/>
          <w:color w:val="auto"/>
          <w:sz w:val="24"/>
          <w:szCs w:val="15"/>
          <w:highlight w:val="none"/>
        </w:rPr>
        <w:t>项目厂区内</w:t>
      </w:r>
      <w:r>
        <w:rPr>
          <w:rFonts w:hint="eastAsia" w:cs="Times New Roman"/>
          <w:color w:val="auto"/>
          <w:sz w:val="24"/>
          <w:szCs w:val="15"/>
          <w:highlight w:val="none"/>
          <w:lang w:eastAsia="zh-CN"/>
        </w:rPr>
        <w:t>污水</w:t>
      </w:r>
      <w:r>
        <w:rPr>
          <w:rFonts w:hint="default" w:ascii="Times New Roman" w:hAnsi="Times New Roman" w:eastAsia="仿宋_GB2312" w:cs="Times New Roman"/>
          <w:color w:val="auto"/>
          <w:sz w:val="24"/>
          <w:szCs w:val="15"/>
          <w:highlight w:val="none"/>
        </w:rPr>
        <w:t>处理站各池体为地下式的，在非正常状况下，防渗失效或者地基基础发生破裂，污水下渗不能及时发现并采取措施防治，从而造成地下水环境污染。因此确定本次重点预测的污染源为厂区污水处理站</w:t>
      </w:r>
      <w:r>
        <w:rPr>
          <w:rFonts w:hint="eastAsia" w:cs="Times New Roman"/>
          <w:color w:val="auto"/>
          <w:sz w:val="24"/>
          <w:szCs w:val="15"/>
          <w:highlight w:val="none"/>
          <w:lang w:val="en-US" w:eastAsia="zh-CN"/>
        </w:rPr>
        <w:t>调节池</w:t>
      </w:r>
      <w:r>
        <w:rPr>
          <w:rFonts w:hint="default" w:ascii="Times New Roman" w:hAnsi="Times New Roman" w:eastAsia="仿宋_GB2312" w:cs="Times New Roman"/>
          <w:color w:val="auto"/>
          <w:sz w:val="24"/>
          <w:szCs w:val="15"/>
          <w:highlight w:val="none"/>
        </w:rPr>
        <w:t>。</w:t>
      </w:r>
    </w:p>
    <w:p w14:paraId="494E26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szCs w:val="15"/>
          <w:highlight w:val="none"/>
        </w:rPr>
        <w:t>评价区水文地质条件简单，采用解析法进行预测。本次地下水预测采用《环境影响评价技术导则 地下水》附录D推荐的预测模型：</w:t>
      </w:r>
      <w:r>
        <w:rPr>
          <w:rFonts w:hint="default" w:ascii="Times New Roman" w:hAnsi="Times New Roman" w:eastAsia="仿宋_GB2312" w:cs="Times New Roman"/>
          <w:color w:val="auto"/>
          <w:sz w:val="24"/>
          <w:highlight w:val="none"/>
        </w:rPr>
        <w:t>二维水动力弥散-平面连续点源预测模式进行预测，预测模型如下：</w:t>
      </w:r>
    </w:p>
    <w:p w14:paraId="629F69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position w:val="-34"/>
          <w:sz w:val="24"/>
          <w:highlight w:val="none"/>
        </w:rPr>
        <w:object>
          <v:shape id="_x0000_i1034" o:spt="75" type="#_x0000_t75" style="height:40pt;width:276pt;" o:ole="t" filled="f" o:preferrelative="t" stroked="f" coordsize="21600,21600">
            <v:path/>
            <v:fill on="f" focussize="0,0"/>
            <v:stroke on="f"/>
            <v:imagedata r:id="rId73" o:title=""/>
            <o:lock v:ext="edit" aspectratio="t"/>
            <w10:wrap type="none"/>
            <w10:anchorlock/>
          </v:shape>
          <o:OLEObject Type="Embed" ProgID="Equation.KSEE3" ShapeID="_x0000_i1034" DrawAspect="Content" ObjectID="_1468075735" r:id="rId72">
            <o:LockedField>false</o:LockedField>
          </o:OLEObject>
        </w:object>
      </w:r>
    </w:p>
    <w:p w14:paraId="29CC38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i w:val="0"/>
          <w:iCs w:val="0"/>
          <w:color w:val="auto"/>
          <w:position w:val="-34"/>
          <w:sz w:val="24"/>
          <w:highlight w:val="none"/>
        </w:rPr>
        <w:object>
          <v:shape id="_x0000_i1035" o:spt="75" type="#_x0000_t75" style="height:40pt;width:108pt;" o:ole="t" filled="f" o:preferrelative="t" stroked="f" coordsize="21600,21600">
            <v:path/>
            <v:fill on="f" focussize="0,0"/>
            <v:stroke on="f"/>
            <v:imagedata r:id="rId75" o:title=""/>
            <o:lock v:ext="edit" aspectratio="t"/>
            <w10:wrap type="none"/>
            <w10:anchorlock/>
          </v:shape>
          <o:OLEObject Type="Embed" ProgID="Equation.KSEE3" ShapeID="_x0000_i1035" DrawAspect="Content" ObjectID="_1468075736" r:id="rId74">
            <o:LockedField>false</o:LockedField>
          </o:OLEObject>
        </w:object>
      </w:r>
    </w:p>
    <w:p w14:paraId="3D94E4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式中：x,y—计算点处的位置坐标；</w:t>
      </w:r>
    </w:p>
    <w:p w14:paraId="5B8C0206">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t—时间，d；</w:t>
      </w:r>
    </w:p>
    <w:p w14:paraId="45E7967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C(x，y，t)—t时刻点x,y处的示踪剂浓度，g/L；</w:t>
      </w:r>
    </w:p>
    <w:p w14:paraId="16FE67CD">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color w:val="auto"/>
          <w:sz w:val="24"/>
          <w:highlight w:val="none"/>
        </w:rPr>
      </w:pPr>
      <w:r>
        <w:rPr>
          <w:rFonts w:hint="default" w:ascii="Times New Roman" w:hAnsi="Times New Roman" w:eastAsia="仿宋_GB2312" w:cs="Times New Roman"/>
          <w:i w:val="0"/>
          <w:iCs/>
          <w:color w:val="auto"/>
          <w:sz w:val="24"/>
          <w:highlight w:val="none"/>
        </w:rPr>
        <w:t>M—含水层的厚度，m；</w:t>
      </w:r>
    </w:p>
    <w:p w14:paraId="0DCB1EA9">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color w:val="auto"/>
          <w:sz w:val="24"/>
          <w:highlight w:val="none"/>
        </w:rPr>
      </w:pPr>
      <w:r>
        <w:rPr>
          <w:rFonts w:hint="default" w:ascii="Times New Roman" w:hAnsi="Times New Roman" w:eastAsia="仿宋_GB2312" w:cs="Times New Roman"/>
          <w:i w:val="0"/>
          <w:iCs/>
          <w:color w:val="auto"/>
          <w:sz w:val="24"/>
          <w:highlight w:val="none"/>
        </w:rPr>
        <w:t>m</w:t>
      </w:r>
      <w:r>
        <w:rPr>
          <w:rFonts w:hint="default" w:ascii="Times New Roman" w:hAnsi="Times New Roman" w:eastAsia="仿宋_GB2312" w:cs="Times New Roman"/>
          <w:i w:val="0"/>
          <w:iCs/>
          <w:color w:val="auto"/>
          <w:sz w:val="24"/>
          <w:highlight w:val="none"/>
          <w:vertAlign w:val="subscript"/>
        </w:rPr>
        <w:t>t</w:t>
      </w:r>
      <w:r>
        <w:rPr>
          <w:rFonts w:hint="default" w:ascii="Times New Roman" w:hAnsi="Times New Roman" w:eastAsia="仿宋_GB2312" w:cs="Times New Roman"/>
          <w:i w:val="0"/>
          <w:iCs/>
          <w:color w:val="auto"/>
          <w:sz w:val="24"/>
          <w:highlight w:val="none"/>
        </w:rPr>
        <w:t xml:space="preserve">—单位时间内注入的示踪剂质量，kg/d； </w:t>
      </w:r>
    </w:p>
    <w:p w14:paraId="2210F46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color w:val="auto"/>
          <w:sz w:val="24"/>
          <w:highlight w:val="none"/>
        </w:rPr>
      </w:pPr>
      <w:r>
        <w:rPr>
          <w:rFonts w:hint="default" w:ascii="Times New Roman" w:hAnsi="Times New Roman" w:eastAsia="仿宋_GB2312" w:cs="Times New Roman"/>
          <w:i w:val="0"/>
          <w:iCs/>
          <w:color w:val="auto"/>
          <w:sz w:val="24"/>
          <w:highlight w:val="none"/>
        </w:rPr>
        <w:t>u—水流速度，m/d；</w:t>
      </w:r>
    </w:p>
    <w:p w14:paraId="2F95F01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color w:val="auto"/>
          <w:sz w:val="24"/>
          <w:highlight w:val="none"/>
        </w:rPr>
      </w:pPr>
      <w:r>
        <w:rPr>
          <w:rFonts w:hint="default" w:ascii="Times New Roman" w:hAnsi="Times New Roman" w:eastAsia="仿宋_GB2312" w:cs="Times New Roman"/>
          <w:i w:val="0"/>
          <w:iCs/>
          <w:color w:val="auto"/>
          <w:sz w:val="24"/>
          <w:highlight w:val="none"/>
        </w:rPr>
        <w:t>n</w:t>
      </w:r>
      <w:r>
        <w:rPr>
          <w:rFonts w:hint="default" w:ascii="Times New Roman" w:hAnsi="Times New Roman" w:eastAsia="仿宋_GB2312" w:cs="Times New Roman"/>
          <w:i w:val="0"/>
          <w:iCs/>
          <w:color w:val="auto"/>
          <w:sz w:val="24"/>
          <w:highlight w:val="none"/>
          <w:vertAlign w:val="subscript"/>
        </w:rPr>
        <w:t>e</w:t>
      </w:r>
      <w:r>
        <w:rPr>
          <w:rFonts w:hint="default" w:ascii="Times New Roman" w:hAnsi="Times New Roman" w:eastAsia="仿宋_GB2312" w:cs="Times New Roman"/>
          <w:i w:val="0"/>
          <w:iCs/>
          <w:color w:val="auto"/>
          <w:sz w:val="24"/>
          <w:highlight w:val="none"/>
        </w:rPr>
        <w:t>—有效孔隙度，无量纲；</w:t>
      </w:r>
    </w:p>
    <w:p w14:paraId="2916128C">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color w:val="auto"/>
          <w:sz w:val="24"/>
          <w:highlight w:val="none"/>
        </w:rPr>
      </w:pPr>
      <w:r>
        <w:rPr>
          <w:rFonts w:hint="default" w:ascii="Times New Roman" w:hAnsi="Times New Roman" w:eastAsia="仿宋_GB2312" w:cs="Times New Roman"/>
          <w:i w:val="0"/>
          <w:iCs/>
          <w:color w:val="auto"/>
          <w:sz w:val="24"/>
          <w:highlight w:val="none"/>
        </w:rPr>
        <w:t>D</w:t>
      </w:r>
      <w:r>
        <w:rPr>
          <w:rFonts w:hint="default" w:ascii="Times New Roman" w:hAnsi="Times New Roman" w:eastAsia="仿宋_GB2312" w:cs="Times New Roman"/>
          <w:i w:val="0"/>
          <w:iCs/>
          <w:color w:val="auto"/>
          <w:sz w:val="24"/>
          <w:highlight w:val="none"/>
          <w:vertAlign w:val="subscript"/>
        </w:rPr>
        <w:t>L</w:t>
      </w:r>
      <w:r>
        <w:rPr>
          <w:rFonts w:hint="default" w:ascii="Times New Roman" w:hAnsi="Times New Roman" w:eastAsia="仿宋_GB2312" w:cs="Times New Roman"/>
          <w:i w:val="0"/>
          <w:iCs/>
          <w:color w:val="auto"/>
          <w:sz w:val="24"/>
          <w:highlight w:val="none"/>
        </w:rPr>
        <w:t>—纵向x方向的弥散系数，m</w:t>
      </w:r>
      <w:r>
        <w:rPr>
          <w:rFonts w:hint="default" w:ascii="Times New Roman" w:hAnsi="Times New Roman" w:eastAsia="仿宋_GB2312" w:cs="Times New Roman"/>
          <w:i w:val="0"/>
          <w:iCs/>
          <w:color w:val="auto"/>
          <w:sz w:val="24"/>
          <w:highlight w:val="none"/>
          <w:vertAlign w:val="superscript"/>
        </w:rPr>
        <w:t>2</w:t>
      </w:r>
      <w:r>
        <w:rPr>
          <w:rFonts w:hint="default" w:ascii="Times New Roman" w:hAnsi="Times New Roman" w:eastAsia="仿宋_GB2312" w:cs="Times New Roman"/>
          <w:i w:val="0"/>
          <w:iCs/>
          <w:color w:val="auto"/>
          <w:sz w:val="24"/>
          <w:highlight w:val="none"/>
        </w:rPr>
        <w:t>/d；</w:t>
      </w:r>
    </w:p>
    <w:p w14:paraId="65440A46">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color w:val="auto"/>
          <w:sz w:val="24"/>
          <w:highlight w:val="none"/>
        </w:rPr>
      </w:pPr>
      <w:r>
        <w:rPr>
          <w:rFonts w:hint="default" w:ascii="Times New Roman" w:hAnsi="Times New Roman" w:eastAsia="仿宋_GB2312" w:cs="Times New Roman"/>
          <w:i w:val="0"/>
          <w:iCs/>
          <w:color w:val="auto"/>
          <w:sz w:val="24"/>
          <w:highlight w:val="none"/>
        </w:rPr>
        <w:t>D</w:t>
      </w:r>
      <w:r>
        <w:rPr>
          <w:rFonts w:hint="default" w:ascii="Times New Roman" w:hAnsi="Times New Roman" w:eastAsia="仿宋_GB2312" w:cs="Times New Roman"/>
          <w:i w:val="0"/>
          <w:iCs/>
          <w:color w:val="auto"/>
          <w:sz w:val="24"/>
          <w:highlight w:val="none"/>
          <w:vertAlign w:val="subscript"/>
        </w:rPr>
        <w:t>T</w:t>
      </w:r>
      <w:r>
        <w:rPr>
          <w:rFonts w:hint="default" w:ascii="Times New Roman" w:hAnsi="Times New Roman" w:eastAsia="仿宋_GB2312" w:cs="Times New Roman"/>
          <w:i w:val="0"/>
          <w:iCs/>
          <w:color w:val="auto"/>
          <w:sz w:val="24"/>
          <w:highlight w:val="none"/>
        </w:rPr>
        <w:t>—横向y方向的弥散系数，m</w:t>
      </w:r>
      <w:r>
        <w:rPr>
          <w:rFonts w:hint="default" w:ascii="Times New Roman" w:hAnsi="Times New Roman" w:eastAsia="仿宋_GB2312" w:cs="Times New Roman"/>
          <w:i w:val="0"/>
          <w:iCs/>
          <w:color w:val="auto"/>
          <w:sz w:val="24"/>
          <w:highlight w:val="none"/>
          <w:vertAlign w:val="superscript"/>
        </w:rPr>
        <w:t>2</w:t>
      </w:r>
      <w:r>
        <w:rPr>
          <w:rFonts w:hint="default" w:ascii="Times New Roman" w:hAnsi="Times New Roman" w:eastAsia="仿宋_GB2312" w:cs="Times New Roman"/>
          <w:i w:val="0"/>
          <w:iCs/>
          <w:color w:val="auto"/>
          <w:sz w:val="24"/>
          <w:highlight w:val="none"/>
        </w:rPr>
        <w:t>/d；</w:t>
      </w:r>
    </w:p>
    <w:p w14:paraId="077D2A08">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color w:val="auto"/>
          <w:sz w:val="24"/>
          <w:highlight w:val="none"/>
        </w:rPr>
      </w:pPr>
      <w:r>
        <w:rPr>
          <w:rFonts w:hint="default" w:ascii="Times New Roman" w:hAnsi="Times New Roman" w:eastAsia="仿宋_GB2312" w:cs="Times New Roman"/>
          <w:i w:val="0"/>
          <w:iCs/>
          <w:color w:val="auto"/>
          <w:sz w:val="24"/>
          <w:highlight w:val="none"/>
        </w:rPr>
        <w:t>π—圆周率。</w:t>
      </w:r>
    </w:p>
    <w:p w14:paraId="67F719E8">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K</w:t>
      </w:r>
      <w:r>
        <w:rPr>
          <w:rFonts w:hint="default" w:ascii="Times New Roman" w:hAnsi="Times New Roman" w:eastAsia="仿宋_GB2312" w:cs="Times New Roman"/>
          <w:i w:val="0"/>
          <w:iCs w:val="0"/>
          <w:color w:val="auto"/>
          <w:sz w:val="24"/>
          <w:highlight w:val="none"/>
          <w:vertAlign w:val="subscript"/>
        </w:rPr>
        <w:t>0</w:t>
      </w:r>
      <w:r>
        <w:rPr>
          <w:rFonts w:hint="default" w:ascii="Times New Roman" w:hAnsi="Times New Roman" w:eastAsia="仿宋_GB2312" w:cs="Times New Roman"/>
          <w:i w:val="0"/>
          <w:iCs w:val="0"/>
          <w:color w:val="auto"/>
          <w:sz w:val="24"/>
          <w:highlight w:val="none"/>
        </w:rPr>
        <w:t>(β)—第二类零阶修正贝塞尔函数。</w:t>
      </w:r>
    </w:p>
    <w:p w14:paraId="5A9B2447">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sz w:val="24"/>
          <w:szCs w:val="15"/>
          <w:highlight w:val="none"/>
        </w:rPr>
      </w:pPr>
      <w:r>
        <w:rPr>
          <w:rFonts w:hint="default" w:ascii="Times New Roman" w:hAnsi="Times New Roman" w:eastAsia="仿宋_GB2312" w:cs="Times New Roman"/>
          <w:color w:val="auto"/>
          <w:sz w:val="24"/>
          <w:szCs w:val="15"/>
          <w:highlight w:val="none"/>
        </w:rPr>
        <w:fldChar w:fldCharType="begin"/>
      </w:r>
      <w:r>
        <w:rPr>
          <w:rFonts w:hint="default" w:ascii="Times New Roman" w:hAnsi="Times New Roman" w:eastAsia="仿宋_GB2312" w:cs="Times New Roman"/>
          <w:color w:val="auto"/>
          <w:sz w:val="24"/>
          <w:szCs w:val="15"/>
          <w:highlight w:val="none"/>
        </w:rPr>
        <w:instrText xml:space="preserve"> = 1 \* GB3 \* MERGEFORMAT </w:instrText>
      </w:r>
      <w:r>
        <w:rPr>
          <w:rFonts w:hint="default" w:ascii="Times New Roman" w:hAnsi="Times New Roman" w:eastAsia="仿宋_GB2312" w:cs="Times New Roman"/>
          <w:color w:val="auto"/>
          <w:sz w:val="24"/>
          <w:szCs w:val="15"/>
          <w:highlight w:val="none"/>
        </w:rPr>
        <w:fldChar w:fldCharType="separate"/>
      </w:r>
      <w:r>
        <w:rPr>
          <w:rFonts w:hint="default" w:ascii="Times New Roman" w:hAnsi="Times New Roman" w:eastAsia="仿宋_GB2312" w:cs="Times New Roman"/>
          <w:color w:val="auto"/>
          <w:sz w:val="24"/>
          <w:szCs w:val="15"/>
          <w:highlight w:val="none"/>
        </w:rPr>
        <w:t>①</w:t>
      </w:r>
      <w:r>
        <w:rPr>
          <w:rFonts w:hint="default" w:ascii="Times New Roman" w:hAnsi="Times New Roman" w:eastAsia="仿宋_GB2312" w:cs="Times New Roman"/>
          <w:color w:val="auto"/>
          <w:sz w:val="24"/>
          <w:szCs w:val="15"/>
          <w:highlight w:val="none"/>
        </w:rPr>
        <w:fldChar w:fldCharType="end"/>
      </w:r>
      <w:r>
        <w:rPr>
          <w:rFonts w:hint="default" w:ascii="Times New Roman" w:hAnsi="Times New Roman" w:eastAsia="仿宋_GB2312" w:cs="Times New Roman"/>
          <w:color w:val="auto"/>
          <w:sz w:val="24"/>
          <w:szCs w:val="15"/>
          <w:highlight w:val="none"/>
        </w:rPr>
        <w:t>预测情景</w:t>
      </w:r>
    </w:p>
    <w:p w14:paraId="553B3CE2">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sz w:val="24"/>
          <w:szCs w:val="15"/>
          <w:highlight w:val="none"/>
        </w:rPr>
      </w:pPr>
      <w:r>
        <w:rPr>
          <w:rFonts w:hint="default" w:ascii="Times New Roman" w:hAnsi="Times New Roman" w:eastAsia="仿宋_GB2312" w:cs="Times New Roman"/>
          <w:color w:val="auto"/>
          <w:sz w:val="24"/>
          <w:szCs w:val="15"/>
          <w:highlight w:val="none"/>
        </w:rPr>
        <w:t>本情景假设污水处理站底部发生破损，按照最不利情况考虑，生产废水泄漏后直接进入第四系潜水含水层，造成地下水水质污染。</w:t>
      </w:r>
    </w:p>
    <w:p w14:paraId="5392C14E">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sz w:val="24"/>
          <w:szCs w:val="15"/>
          <w:highlight w:val="none"/>
        </w:rPr>
      </w:pPr>
      <w:r>
        <w:rPr>
          <w:rFonts w:hint="default" w:ascii="Times New Roman" w:hAnsi="Times New Roman" w:eastAsia="仿宋_GB2312" w:cs="Times New Roman"/>
          <w:color w:val="auto"/>
          <w:sz w:val="24"/>
          <w:szCs w:val="15"/>
          <w:highlight w:val="none"/>
        </w:rPr>
        <w:fldChar w:fldCharType="begin"/>
      </w:r>
      <w:r>
        <w:rPr>
          <w:rFonts w:hint="default" w:ascii="Times New Roman" w:hAnsi="Times New Roman" w:eastAsia="仿宋_GB2312" w:cs="Times New Roman"/>
          <w:color w:val="auto"/>
          <w:sz w:val="24"/>
          <w:szCs w:val="15"/>
          <w:highlight w:val="none"/>
        </w:rPr>
        <w:instrText xml:space="preserve"> = 2 \* GB3 \* MERGEFORMAT </w:instrText>
      </w:r>
      <w:r>
        <w:rPr>
          <w:rFonts w:hint="default" w:ascii="Times New Roman" w:hAnsi="Times New Roman" w:eastAsia="仿宋_GB2312" w:cs="Times New Roman"/>
          <w:color w:val="auto"/>
          <w:sz w:val="24"/>
          <w:szCs w:val="15"/>
          <w:highlight w:val="none"/>
        </w:rPr>
        <w:fldChar w:fldCharType="separate"/>
      </w:r>
      <w:r>
        <w:rPr>
          <w:rFonts w:hint="default" w:ascii="Times New Roman" w:hAnsi="Times New Roman" w:eastAsia="仿宋_GB2312" w:cs="Times New Roman"/>
          <w:color w:val="auto"/>
          <w:sz w:val="24"/>
          <w:szCs w:val="15"/>
          <w:highlight w:val="none"/>
        </w:rPr>
        <w:t>②</w:t>
      </w:r>
      <w:r>
        <w:rPr>
          <w:rFonts w:hint="default" w:ascii="Times New Roman" w:hAnsi="Times New Roman" w:eastAsia="仿宋_GB2312" w:cs="Times New Roman"/>
          <w:color w:val="auto"/>
          <w:sz w:val="24"/>
          <w:szCs w:val="15"/>
          <w:highlight w:val="none"/>
        </w:rPr>
        <w:fldChar w:fldCharType="end"/>
      </w:r>
      <w:r>
        <w:rPr>
          <w:rFonts w:hint="default" w:ascii="Times New Roman" w:hAnsi="Times New Roman" w:eastAsia="仿宋_GB2312" w:cs="Times New Roman"/>
          <w:color w:val="auto"/>
          <w:sz w:val="24"/>
          <w:szCs w:val="15"/>
          <w:highlight w:val="none"/>
        </w:rPr>
        <w:t>预测源强</w:t>
      </w:r>
    </w:p>
    <w:p w14:paraId="27A384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本项目污水处理站</w:t>
      </w:r>
      <w:r>
        <w:rPr>
          <w:rFonts w:hint="eastAsia" w:cs="Times New Roman"/>
          <w:color w:val="auto"/>
          <w:sz w:val="24"/>
          <w:highlight w:val="none"/>
          <w:lang w:val="en-US" w:eastAsia="zh-CN"/>
        </w:rPr>
        <w:t>调节池</w:t>
      </w:r>
      <w:r>
        <w:rPr>
          <w:rFonts w:hint="default" w:ascii="Times New Roman" w:hAnsi="Times New Roman" w:eastAsia="仿宋_GB2312" w:cs="Times New Roman"/>
          <w:color w:val="auto"/>
          <w:sz w:val="24"/>
          <w:highlight w:val="none"/>
        </w:rPr>
        <w:t>尺寸为10m×5m×</w:t>
      </w:r>
      <w:r>
        <w:rPr>
          <w:rFonts w:hint="eastAsia" w:cs="Times New Roman"/>
          <w:color w:val="auto"/>
          <w:sz w:val="24"/>
          <w:highlight w:val="none"/>
          <w:lang w:val="en-US" w:eastAsia="zh-CN"/>
        </w:rPr>
        <w:t>2</w:t>
      </w:r>
      <w:r>
        <w:rPr>
          <w:rFonts w:hint="default" w:ascii="Times New Roman" w:hAnsi="Times New Roman" w:eastAsia="仿宋_GB2312" w:cs="Times New Roman"/>
          <w:color w:val="auto"/>
          <w:sz w:val="24"/>
          <w:highlight w:val="none"/>
        </w:rPr>
        <w:t>m，渗漏面按照池底、池壁总面积的2%进行计算，根据《给水排水构筑物工程施工及验收规范》（GB50141-2008）9.2.6中规定，钢筋混凝土结构水池渗水量不得超过2L/（m</w:t>
      </w:r>
      <w:r>
        <w:rPr>
          <w:rFonts w:hint="default" w:ascii="Times New Roman" w:hAnsi="Times New Roman" w:eastAsia="仿宋_GB2312" w:cs="Times New Roman"/>
          <w:color w:val="auto"/>
          <w:sz w:val="24"/>
          <w:highlight w:val="none"/>
          <w:vertAlign w:val="superscript"/>
        </w:rPr>
        <w:t>2</w:t>
      </w:r>
      <w:r>
        <w:rPr>
          <w:rFonts w:hint="default" w:ascii="Times New Roman" w:hAnsi="Times New Roman" w:eastAsia="仿宋_GB2312" w:cs="Times New Roman"/>
          <w:color w:val="auto"/>
          <w:sz w:val="24"/>
          <w:highlight w:val="none"/>
        </w:rPr>
        <w:t>·d）；非正常状况下，泄漏量按照正常的10倍计，则渗漏强度为20L/（m</w:t>
      </w:r>
      <w:r>
        <w:rPr>
          <w:rFonts w:hint="default" w:ascii="Times New Roman" w:hAnsi="Times New Roman" w:eastAsia="仿宋_GB2312" w:cs="Times New Roman"/>
          <w:color w:val="auto"/>
          <w:sz w:val="24"/>
          <w:highlight w:val="none"/>
          <w:vertAlign w:val="superscript"/>
        </w:rPr>
        <w:t>2</w:t>
      </w:r>
      <w:r>
        <w:rPr>
          <w:rFonts w:hint="default" w:ascii="Times New Roman" w:hAnsi="Times New Roman" w:eastAsia="仿宋_GB2312" w:cs="Times New Roman"/>
          <w:color w:val="auto"/>
          <w:sz w:val="24"/>
          <w:highlight w:val="none"/>
        </w:rPr>
        <w:t>·d）。同时假定不考虑渗漏过程中包气带对污染物的吸附阻滞过程，视为污染物全部进入潜水含水层，由此确定非正常状况渗漏源强。</w:t>
      </w:r>
    </w:p>
    <w:p w14:paraId="76F127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渗漏面积=（池底面积+池壁面积（地下））×2%，单位为m</w:t>
      </w:r>
      <w:r>
        <w:rPr>
          <w:rFonts w:hint="default" w:ascii="Times New Roman" w:hAnsi="Times New Roman" w:eastAsia="仿宋_GB2312" w:cs="Times New Roman"/>
          <w:color w:val="auto"/>
          <w:sz w:val="24"/>
          <w:highlight w:val="none"/>
          <w:vertAlign w:val="superscript"/>
        </w:rPr>
        <w:t>2</w:t>
      </w:r>
      <w:r>
        <w:rPr>
          <w:rFonts w:hint="default" w:ascii="Times New Roman" w:hAnsi="Times New Roman" w:eastAsia="仿宋_GB2312" w:cs="Times New Roman"/>
          <w:color w:val="auto"/>
          <w:sz w:val="24"/>
          <w:highlight w:val="none"/>
        </w:rPr>
        <w:t>；由此计算可知，渗漏面积为</w:t>
      </w:r>
      <w:r>
        <w:rPr>
          <w:rFonts w:hint="eastAsia" w:cs="Times New Roman"/>
          <w:color w:val="auto"/>
          <w:sz w:val="24"/>
          <w:highlight w:val="none"/>
          <w:lang w:val="en-US" w:eastAsia="zh-CN"/>
        </w:rPr>
        <w:t>2.2</w:t>
      </w:r>
      <w:r>
        <w:rPr>
          <w:rFonts w:hint="default" w:ascii="Times New Roman" w:hAnsi="Times New Roman" w:eastAsia="仿宋_GB2312" w:cs="Times New Roman"/>
          <w:color w:val="auto"/>
          <w:sz w:val="24"/>
          <w:highlight w:val="none"/>
        </w:rPr>
        <w:t>m</w:t>
      </w:r>
      <w:r>
        <w:rPr>
          <w:rFonts w:hint="default" w:ascii="Times New Roman" w:hAnsi="Times New Roman" w:eastAsia="仿宋_GB2312" w:cs="Times New Roman"/>
          <w:color w:val="auto"/>
          <w:sz w:val="24"/>
          <w:highlight w:val="none"/>
          <w:vertAlign w:val="superscript"/>
        </w:rPr>
        <w:t>2</w:t>
      </w:r>
      <w:r>
        <w:rPr>
          <w:rFonts w:hint="default" w:ascii="Times New Roman" w:hAnsi="Times New Roman" w:eastAsia="仿宋_GB2312" w:cs="Times New Roman"/>
          <w:color w:val="auto"/>
          <w:sz w:val="24"/>
          <w:highlight w:val="none"/>
        </w:rPr>
        <w:t>。</w:t>
      </w:r>
    </w:p>
    <w:p w14:paraId="6527A9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污水渗漏量=渗漏强度×渗漏面积=</w:t>
      </w:r>
      <w:r>
        <w:rPr>
          <w:rFonts w:hint="eastAsia" w:cs="Times New Roman"/>
          <w:color w:val="auto"/>
          <w:sz w:val="24"/>
          <w:highlight w:val="none"/>
          <w:lang w:val="en-US" w:eastAsia="zh-CN"/>
        </w:rPr>
        <w:t>44</w:t>
      </w:r>
      <w:r>
        <w:rPr>
          <w:rFonts w:hint="default" w:ascii="Times New Roman" w:hAnsi="Times New Roman" w:eastAsia="仿宋_GB2312" w:cs="Times New Roman"/>
          <w:color w:val="auto"/>
          <w:sz w:val="24"/>
          <w:highlight w:val="none"/>
        </w:rPr>
        <w:t>L/d。</w:t>
      </w:r>
    </w:p>
    <w:p w14:paraId="1EDA4F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废水中</w:t>
      </w:r>
      <w:r>
        <w:rPr>
          <w:rFonts w:hint="eastAsia" w:cs="Times New Roman"/>
          <w:color w:val="auto"/>
          <w:sz w:val="24"/>
          <w:highlight w:val="none"/>
          <w:lang w:val="en-US" w:eastAsia="zh-CN"/>
        </w:rPr>
        <w:t>COD初始浓度为2000</w:t>
      </w:r>
      <w:r>
        <w:rPr>
          <w:rFonts w:hint="default" w:ascii="Times New Roman" w:hAnsi="Times New Roman" w:eastAsia="仿宋_GB2312" w:cs="Times New Roman"/>
          <w:color w:val="auto"/>
          <w:sz w:val="24"/>
          <w:highlight w:val="none"/>
        </w:rPr>
        <w:t>mg/L，由此计算</w:t>
      </w:r>
      <w:r>
        <w:rPr>
          <w:rFonts w:hint="eastAsia" w:cs="Times New Roman"/>
          <w:color w:val="auto"/>
          <w:sz w:val="24"/>
          <w:highlight w:val="none"/>
          <w:lang w:val="en-US" w:eastAsia="zh-CN"/>
        </w:rPr>
        <w:t>COD渗漏源强为0.088</w:t>
      </w:r>
      <w:r>
        <w:rPr>
          <w:rFonts w:hint="default" w:ascii="Times New Roman" w:hAnsi="Times New Roman" w:eastAsia="仿宋_GB2312" w:cs="Times New Roman"/>
          <w:color w:val="auto"/>
          <w:sz w:val="24"/>
          <w:highlight w:val="none"/>
        </w:rPr>
        <w:t>kg/d</w:t>
      </w:r>
      <w:r>
        <w:rPr>
          <w:rFonts w:hint="eastAsia" w:cs="Times New Roman"/>
          <w:color w:val="auto"/>
          <w:sz w:val="24"/>
          <w:highlight w:val="none"/>
          <w:lang w:eastAsia="zh-CN"/>
        </w:rPr>
        <w:t>。</w:t>
      </w:r>
      <w:r>
        <w:rPr>
          <w:rFonts w:hint="eastAsia" w:cs="Times New Roman"/>
          <w:color w:val="auto"/>
          <w:sz w:val="24"/>
          <w:highlight w:val="none"/>
          <w:lang w:val="en-US" w:eastAsia="zh-CN"/>
        </w:rPr>
        <w:t>地下水每年监测两次</w:t>
      </w:r>
      <w:r>
        <w:rPr>
          <w:rFonts w:hint="default" w:ascii="Times New Roman" w:hAnsi="Times New Roman" w:eastAsia="仿宋_GB2312" w:cs="Times New Roman"/>
          <w:color w:val="auto"/>
          <w:sz w:val="24"/>
          <w:highlight w:val="none"/>
        </w:rPr>
        <w:t>渗漏时间取</w:t>
      </w:r>
      <w:r>
        <w:rPr>
          <w:rFonts w:hint="eastAsia" w:cs="Times New Roman"/>
          <w:color w:val="auto"/>
          <w:sz w:val="24"/>
          <w:highlight w:val="none"/>
          <w:lang w:val="en-US" w:eastAsia="zh-CN"/>
        </w:rPr>
        <w:t>180</w:t>
      </w:r>
      <w:r>
        <w:rPr>
          <w:rFonts w:hint="default" w:ascii="Times New Roman" w:hAnsi="Times New Roman" w:eastAsia="仿宋_GB2312" w:cs="Times New Roman"/>
          <w:color w:val="auto"/>
          <w:sz w:val="24"/>
          <w:highlight w:val="none"/>
        </w:rPr>
        <w:t>d。</w:t>
      </w:r>
    </w:p>
    <w:p w14:paraId="12732C73">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sz w:val="24"/>
          <w:szCs w:val="15"/>
          <w:highlight w:val="none"/>
        </w:rPr>
      </w:pPr>
      <w:r>
        <w:rPr>
          <w:rFonts w:hint="default" w:ascii="Times New Roman" w:hAnsi="Times New Roman" w:eastAsia="仿宋_GB2312" w:cs="Times New Roman"/>
          <w:color w:val="auto"/>
          <w:sz w:val="24"/>
          <w:szCs w:val="15"/>
          <w:highlight w:val="none"/>
        </w:rPr>
        <w:fldChar w:fldCharType="begin"/>
      </w:r>
      <w:r>
        <w:rPr>
          <w:rFonts w:hint="default" w:ascii="Times New Roman" w:hAnsi="Times New Roman" w:eastAsia="仿宋_GB2312" w:cs="Times New Roman"/>
          <w:color w:val="auto"/>
          <w:sz w:val="24"/>
          <w:szCs w:val="15"/>
          <w:highlight w:val="none"/>
        </w:rPr>
        <w:instrText xml:space="preserve"> = 3 \* GB3 \* MERGEFORMAT </w:instrText>
      </w:r>
      <w:r>
        <w:rPr>
          <w:rFonts w:hint="default" w:ascii="Times New Roman" w:hAnsi="Times New Roman" w:eastAsia="仿宋_GB2312" w:cs="Times New Roman"/>
          <w:color w:val="auto"/>
          <w:sz w:val="24"/>
          <w:szCs w:val="15"/>
          <w:highlight w:val="none"/>
        </w:rPr>
        <w:fldChar w:fldCharType="separate"/>
      </w:r>
      <w:r>
        <w:rPr>
          <w:rFonts w:hint="default" w:ascii="Times New Roman" w:hAnsi="Times New Roman" w:eastAsia="仿宋_GB2312" w:cs="Times New Roman"/>
          <w:color w:val="auto"/>
          <w:sz w:val="24"/>
          <w:szCs w:val="15"/>
          <w:highlight w:val="none"/>
        </w:rPr>
        <w:t>③</w:t>
      </w:r>
      <w:r>
        <w:rPr>
          <w:rFonts w:hint="default" w:ascii="Times New Roman" w:hAnsi="Times New Roman" w:eastAsia="仿宋_GB2312" w:cs="Times New Roman"/>
          <w:color w:val="auto"/>
          <w:sz w:val="24"/>
          <w:szCs w:val="15"/>
          <w:highlight w:val="none"/>
        </w:rPr>
        <w:fldChar w:fldCharType="end"/>
      </w:r>
      <w:r>
        <w:rPr>
          <w:rFonts w:hint="default" w:ascii="Times New Roman" w:hAnsi="Times New Roman" w:eastAsia="仿宋_GB2312" w:cs="Times New Roman"/>
          <w:color w:val="auto"/>
          <w:sz w:val="24"/>
          <w:szCs w:val="15"/>
          <w:highlight w:val="none"/>
        </w:rPr>
        <w:t>预测时段</w:t>
      </w:r>
    </w:p>
    <w:p w14:paraId="207036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根据导则预测时段的要求，本次确定的预测时段分别为污染发生后的</w:t>
      </w:r>
      <w:r>
        <w:rPr>
          <w:rFonts w:hint="eastAsia" w:cs="Times New Roman"/>
          <w:color w:val="auto"/>
          <w:sz w:val="24"/>
          <w:highlight w:val="none"/>
          <w:lang w:val="en-US" w:eastAsia="zh-CN"/>
        </w:rPr>
        <w:t>100d、</w:t>
      </w:r>
      <w:r>
        <w:rPr>
          <w:rFonts w:hint="default" w:ascii="Times New Roman" w:hAnsi="Times New Roman" w:eastAsia="仿宋_GB2312" w:cs="Times New Roman"/>
          <w:color w:val="auto"/>
          <w:sz w:val="24"/>
          <w:highlight w:val="none"/>
        </w:rPr>
        <w:t>365d、100</w:t>
      </w:r>
      <w:r>
        <w:rPr>
          <w:rFonts w:hint="eastAsia" w:ascii="Times New Roman" w:hAnsi="Times New Roman" w:cs="Times New Roman"/>
          <w:color w:val="auto"/>
          <w:sz w:val="24"/>
          <w:highlight w:val="none"/>
          <w:lang w:val="en-US" w:eastAsia="zh-CN"/>
        </w:rPr>
        <w:t>0</w:t>
      </w:r>
      <w:r>
        <w:rPr>
          <w:rFonts w:hint="default" w:ascii="Times New Roman" w:hAnsi="Times New Roman" w:eastAsia="仿宋_GB2312" w:cs="Times New Roman"/>
          <w:color w:val="auto"/>
          <w:sz w:val="24"/>
          <w:highlight w:val="none"/>
        </w:rPr>
        <w:t>d、3650d</w:t>
      </w:r>
      <w:r>
        <w:rPr>
          <w:rFonts w:hint="eastAsia" w:cs="Times New Roman"/>
          <w:color w:val="auto"/>
          <w:sz w:val="24"/>
          <w:highlight w:val="none"/>
          <w:lang w:val="en-US" w:eastAsia="zh-CN"/>
        </w:rPr>
        <w:t>和</w:t>
      </w:r>
      <w:r>
        <w:rPr>
          <w:rFonts w:hint="default" w:ascii="Times New Roman" w:hAnsi="Times New Roman" w:eastAsia="仿宋_GB2312" w:cs="Times New Roman"/>
          <w:color w:val="auto"/>
          <w:sz w:val="24"/>
          <w:highlight w:val="none"/>
        </w:rPr>
        <w:t>7300d。</w:t>
      </w:r>
    </w:p>
    <w:p w14:paraId="2B91A8F7">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sz w:val="24"/>
          <w:szCs w:val="15"/>
          <w:highlight w:val="none"/>
        </w:rPr>
      </w:pPr>
      <w:r>
        <w:rPr>
          <w:rFonts w:hint="default" w:ascii="Times New Roman" w:hAnsi="Times New Roman" w:eastAsia="仿宋_GB2312" w:cs="Times New Roman"/>
          <w:color w:val="auto"/>
          <w:sz w:val="24"/>
          <w:szCs w:val="15"/>
          <w:highlight w:val="none"/>
        </w:rPr>
        <w:fldChar w:fldCharType="begin"/>
      </w:r>
      <w:r>
        <w:rPr>
          <w:rFonts w:hint="default" w:ascii="Times New Roman" w:hAnsi="Times New Roman" w:eastAsia="仿宋_GB2312" w:cs="Times New Roman"/>
          <w:color w:val="auto"/>
          <w:sz w:val="24"/>
          <w:szCs w:val="15"/>
          <w:highlight w:val="none"/>
        </w:rPr>
        <w:instrText xml:space="preserve"> = 4 \* GB3 \* MERGEFORMAT </w:instrText>
      </w:r>
      <w:r>
        <w:rPr>
          <w:rFonts w:hint="default" w:ascii="Times New Roman" w:hAnsi="Times New Roman" w:eastAsia="仿宋_GB2312" w:cs="Times New Roman"/>
          <w:color w:val="auto"/>
          <w:sz w:val="24"/>
          <w:szCs w:val="15"/>
          <w:highlight w:val="none"/>
        </w:rPr>
        <w:fldChar w:fldCharType="separate"/>
      </w:r>
      <w:r>
        <w:rPr>
          <w:rFonts w:hint="default" w:ascii="Times New Roman" w:hAnsi="Times New Roman" w:eastAsia="仿宋_GB2312" w:cs="Times New Roman"/>
          <w:color w:val="auto"/>
          <w:sz w:val="24"/>
          <w:szCs w:val="15"/>
          <w:highlight w:val="none"/>
        </w:rPr>
        <w:t>④</w:t>
      </w:r>
      <w:r>
        <w:rPr>
          <w:rFonts w:hint="default" w:ascii="Times New Roman" w:hAnsi="Times New Roman" w:eastAsia="仿宋_GB2312" w:cs="Times New Roman"/>
          <w:color w:val="auto"/>
          <w:sz w:val="24"/>
          <w:szCs w:val="15"/>
          <w:highlight w:val="none"/>
        </w:rPr>
        <w:fldChar w:fldCharType="end"/>
      </w:r>
      <w:r>
        <w:rPr>
          <w:rFonts w:hint="default" w:ascii="Times New Roman" w:hAnsi="Times New Roman" w:eastAsia="仿宋_GB2312" w:cs="Times New Roman"/>
          <w:color w:val="auto"/>
          <w:sz w:val="24"/>
          <w:szCs w:val="15"/>
          <w:highlight w:val="none"/>
        </w:rPr>
        <w:t>预测参数</w:t>
      </w:r>
    </w:p>
    <w:p w14:paraId="76C4D2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eastAsia="zh-CN"/>
        </w:rPr>
      </w:pPr>
      <w:r>
        <w:rPr>
          <w:rFonts w:hint="eastAsia" w:ascii="Times New Roman" w:hAnsi="Times New Roman"/>
          <w:b w:val="0"/>
          <w:bCs w:val="0"/>
          <w:color w:val="auto"/>
          <w:lang w:eastAsia="zh-CN"/>
        </w:rPr>
        <w:t>含水层厚度</w:t>
      </w:r>
      <w:r>
        <w:rPr>
          <w:rFonts w:hint="eastAsia"/>
          <w:b w:val="0"/>
          <w:bCs w:val="0"/>
          <w:color w:val="auto"/>
          <w:lang w:eastAsia="zh-CN"/>
        </w:rPr>
        <w:t>：</w:t>
      </w:r>
      <w:r>
        <w:rPr>
          <w:rFonts w:hint="eastAsia"/>
          <w:color w:val="auto"/>
          <w:lang w:val="en-US" w:eastAsia="zh-CN"/>
        </w:rPr>
        <w:t>引用</w:t>
      </w:r>
      <w:r>
        <w:rPr>
          <w:rFonts w:hint="eastAsia"/>
          <w:color w:val="auto"/>
          <w:lang w:eastAsia="zh-CN"/>
        </w:rPr>
        <w:t>《</w:t>
      </w:r>
      <w:r>
        <w:rPr>
          <w:rFonts w:hint="eastAsia"/>
          <w:color w:val="auto"/>
          <w:lang w:val="en-US" w:eastAsia="zh-CN"/>
        </w:rPr>
        <w:t>宁夏伊鑫瑞牛羊精深加工生产项目水质水位监测井施工报告</w:t>
      </w:r>
      <w:r>
        <w:rPr>
          <w:rFonts w:hint="eastAsia"/>
          <w:color w:val="auto"/>
          <w:lang w:eastAsia="zh-CN"/>
        </w:rPr>
        <w:t>》</w:t>
      </w:r>
      <w:r>
        <w:rPr>
          <w:rFonts w:hint="eastAsia" w:ascii="Times New Roman" w:hAnsi="Times New Roman"/>
          <w:color w:val="auto"/>
          <w:lang w:eastAsia="zh-CN"/>
        </w:rPr>
        <w:t>，项目所在区域地下水含水层厚度约45.1</w:t>
      </w:r>
      <w:r>
        <w:rPr>
          <w:rFonts w:hint="eastAsia"/>
          <w:color w:val="auto"/>
          <w:lang w:eastAsia="zh-CN"/>
        </w:rPr>
        <w:t>～</w:t>
      </w:r>
      <w:r>
        <w:rPr>
          <w:rFonts w:hint="eastAsia" w:ascii="Times New Roman" w:hAnsi="Times New Roman"/>
          <w:color w:val="auto"/>
          <w:lang w:eastAsia="zh-CN"/>
        </w:rPr>
        <w:t>49.8m，</w:t>
      </w:r>
      <w:r>
        <w:rPr>
          <w:rFonts w:hint="eastAsia"/>
          <w:color w:val="auto"/>
          <w:lang w:val="en-US" w:eastAsia="zh-CN"/>
        </w:rPr>
        <w:t>本次</w:t>
      </w:r>
      <w:r>
        <w:rPr>
          <w:rFonts w:hint="eastAsia" w:ascii="Times New Roman" w:hAnsi="Times New Roman"/>
          <w:color w:val="auto"/>
          <w:lang w:eastAsia="zh-CN"/>
        </w:rPr>
        <w:t>取</w:t>
      </w:r>
      <w:r>
        <w:rPr>
          <w:rFonts w:hint="eastAsia"/>
          <w:color w:val="auto"/>
          <w:lang w:val="en-US" w:eastAsia="zh-CN"/>
        </w:rPr>
        <w:t>47</w:t>
      </w:r>
      <w:r>
        <w:rPr>
          <w:rFonts w:hint="eastAsia" w:ascii="Times New Roman" w:hAnsi="Times New Roman"/>
          <w:color w:val="auto"/>
          <w:lang w:eastAsia="zh-CN"/>
        </w:rPr>
        <w:t>m。</w:t>
      </w:r>
    </w:p>
    <w:p w14:paraId="18A0BE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eastAsia="zh-CN"/>
        </w:rPr>
      </w:pPr>
      <w:r>
        <w:rPr>
          <w:rFonts w:hint="eastAsia" w:ascii="Times New Roman" w:hAnsi="Times New Roman"/>
          <w:color w:val="auto"/>
          <w:lang w:eastAsia="zh-CN"/>
        </w:rPr>
        <w:t>有效孔隙度</w:t>
      </w:r>
      <w:r>
        <w:rPr>
          <w:rFonts w:hint="eastAsia"/>
          <w:color w:val="auto"/>
          <w:lang w:eastAsia="zh-CN"/>
        </w:rPr>
        <w:t>：</w:t>
      </w:r>
      <w:r>
        <w:rPr>
          <w:rFonts w:hint="default" w:ascii="Times New Roman" w:hAnsi="Times New Roman" w:eastAsia="仿宋_GB2312" w:cs="Times New Roman"/>
          <w:color w:val="auto"/>
          <w:vertAlign w:val="baseline"/>
          <w:lang w:val="en-US" w:eastAsia="zh-CN"/>
        </w:rPr>
        <w:t>根据《宁夏固原经济开发区“一区三园”总体规划修编（2022-2035年）环境影响报告书》及场地调查结果，本项目n取0.04。</w:t>
      </w:r>
    </w:p>
    <w:p w14:paraId="196583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eastAsia="zh-CN"/>
        </w:rPr>
      </w:pPr>
      <w:r>
        <w:rPr>
          <w:rFonts w:hint="eastAsia" w:ascii="Times New Roman" w:hAnsi="Times New Roman"/>
          <w:color w:val="auto"/>
          <w:lang w:eastAsia="zh-CN"/>
        </w:rPr>
        <w:t>水流速度</w:t>
      </w:r>
      <w:r>
        <w:rPr>
          <w:rFonts w:hint="eastAsia"/>
          <w:color w:val="auto"/>
          <w:lang w:eastAsia="zh-CN"/>
        </w:rPr>
        <w:t>：</w:t>
      </w:r>
      <w:r>
        <w:rPr>
          <w:rFonts w:hint="eastAsia" w:ascii="Times New Roman" w:hAnsi="Times New Roman"/>
          <w:color w:val="auto"/>
          <w:lang w:eastAsia="zh-CN"/>
        </w:rPr>
        <w:t>评价区含水层介质类型主要为黄土，根据《环境影响评价技术导则 地下水环境》（HJ610-2016）附录B经验系数，含水层渗透系数（K）取0.41m/d</w:t>
      </w:r>
      <w:r>
        <w:rPr>
          <w:rFonts w:hint="eastAsia"/>
          <w:color w:val="auto"/>
          <w:lang w:eastAsia="zh-CN"/>
        </w:rPr>
        <w:t>，</w:t>
      </w:r>
      <w:r>
        <w:rPr>
          <w:rFonts w:hint="eastAsia" w:ascii="Times New Roman" w:hAnsi="Times New Roman"/>
          <w:color w:val="auto"/>
          <w:lang w:eastAsia="zh-CN"/>
        </w:rPr>
        <w:t>水力梯度（I）为</w:t>
      </w:r>
      <w:r>
        <w:rPr>
          <w:rFonts w:hint="eastAsia"/>
          <w:color w:val="auto"/>
          <w:lang w:val="en-US" w:eastAsia="zh-CN"/>
        </w:rPr>
        <w:t>0.015，</w:t>
      </w:r>
      <w:r>
        <w:rPr>
          <w:rFonts w:hint="eastAsia" w:ascii="Times New Roman" w:hAnsi="Times New Roman"/>
          <w:color w:val="auto"/>
          <w:lang w:eastAsia="zh-CN"/>
        </w:rPr>
        <w:t>经计算：</w:t>
      </w:r>
    </w:p>
    <w:p w14:paraId="5E284C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eastAsia="zh-CN"/>
        </w:rPr>
      </w:pPr>
      <w:r>
        <w:rPr>
          <w:rFonts w:hint="eastAsia" w:ascii="Times New Roman" w:hAnsi="Times New Roman"/>
          <w:color w:val="auto"/>
          <w:lang w:eastAsia="zh-CN"/>
        </w:rPr>
        <w:t>地下水渗透流速：V=KI=0.41×0.015=0.00615m/d；</w:t>
      </w:r>
    </w:p>
    <w:p w14:paraId="53269F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评价实际流速：u=V/n=0.154m/d。</w:t>
      </w:r>
    </w:p>
    <w:p w14:paraId="4D55EE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弥散系数</w:t>
      </w:r>
      <w:r>
        <w:rPr>
          <w:rFonts w:hint="eastAsia"/>
          <w:color w:val="000000" w:themeColor="text1"/>
          <w:lang w:eastAsia="zh-CN"/>
          <w14:textFill>
            <w14:solidFill>
              <w14:schemeClr w14:val="tx1"/>
            </w14:solidFill>
          </w14:textFill>
        </w:rPr>
        <w:t>：</w:t>
      </w:r>
      <w:r>
        <w:rPr>
          <w:rFonts w:hint="eastAsia" w:ascii="Times New Roman" w:hAnsi="Times New Roman"/>
          <w:color w:val="000000" w:themeColor="text1"/>
          <w:lang w:eastAsia="zh-CN"/>
          <w14:textFill>
            <w14:solidFill>
              <w14:schemeClr w14:val="tx1"/>
            </w14:solidFill>
          </w14:textFill>
        </w:rPr>
        <w:t>根据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宁夏固原经济开发区“一区三园”总体规划修编（2022~2035）环境影响报告书</w:t>
      </w:r>
      <w:r>
        <w:rPr>
          <w:rFonts w:hint="eastAsia"/>
          <w:color w:val="000000" w:themeColor="text1"/>
          <w:lang w:eastAsia="zh-CN"/>
          <w14:textFill>
            <w14:solidFill>
              <w14:schemeClr w14:val="tx1"/>
            </w14:solidFill>
          </w14:textFill>
        </w:rPr>
        <w:t>》</w:t>
      </w:r>
      <w:r>
        <w:rPr>
          <w:rFonts w:hint="eastAsia" w:ascii="Times New Roman" w:hAnsi="Times New Roman"/>
          <w:color w:val="000000" w:themeColor="text1"/>
          <w:lang w:eastAsia="zh-CN"/>
          <w14:textFill>
            <w14:solidFill>
              <w14:schemeClr w14:val="tx1"/>
            </w14:solidFill>
          </w14:textFill>
        </w:rPr>
        <w:t>，确定纵向弥散度为10.0m，由此计算项目区域含水层中的纵向弥散系数：</w:t>
      </w:r>
    </w:p>
    <w:p w14:paraId="379FF1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D</w:t>
      </w:r>
      <w:r>
        <w:rPr>
          <w:rFonts w:hint="eastAsia" w:ascii="Times New Roman" w:hAnsi="Times New Roman"/>
          <w:color w:val="000000" w:themeColor="text1"/>
          <w:vertAlign w:val="subscript"/>
          <w:lang w:eastAsia="zh-CN"/>
          <w14:textFill>
            <w14:solidFill>
              <w14:schemeClr w14:val="tx1"/>
            </w14:solidFill>
          </w14:textFill>
        </w:rPr>
        <w:t>L</w:t>
      </w:r>
      <w:r>
        <w:rPr>
          <w:rFonts w:hint="eastAsia" w:ascii="Times New Roman" w:hAnsi="Times New Roman"/>
          <w:color w:val="000000" w:themeColor="text1"/>
          <w:lang w:eastAsia="zh-CN"/>
          <w14:textFill>
            <w14:solidFill>
              <w14:schemeClr w14:val="tx1"/>
            </w14:solidFill>
          </w14:textFill>
        </w:rPr>
        <w:t>=10.0×0.154m/d=1.54m</w:t>
      </w:r>
      <w:r>
        <w:rPr>
          <w:rFonts w:hint="eastAsia" w:ascii="Times New Roman" w:hAnsi="Times New Roman"/>
          <w:color w:val="000000" w:themeColor="text1"/>
          <w:vertAlign w:val="superscript"/>
          <w:lang w:eastAsia="zh-CN"/>
          <w14:textFill>
            <w14:solidFill>
              <w14:schemeClr w14:val="tx1"/>
            </w14:solidFill>
          </w14:textFill>
        </w:rPr>
        <w:t>2</w:t>
      </w:r>
      <w:r>
        <w:rPr>
          <w:rFonts w:hint="eastAsia" w:ascii="Times New Roman" w:hAnsi="Times New Roman"/>
          <w:color w:val="000000" w:themeColor="text1"/>
          <w:lang w:eastAsia="zh-CN"/>
          <w14:textFill>
            <w14:solidFill>
              <w14:schemeClr w14:val="tx1"/>
            </w14:solidFill>
          </w14:textFill>
        </w:rPr>
        <w:t>/d，根据经验D</w:t>
      </w:r>
      <w:r>
        <w:rPr>
          <w:rFonts w:hint="eastAsia" w:ascii="Times New Roman" w:hAnsi="Times New Roman"/>
          <w:color w:val="000000" w:themeColor="text1"/>
          <w:vertAlign w:val="subscript"/>
          <w:lang w:eastAsia="zh-CN"/>
          <w14:textFill>
            <w14:solidFill>
              <w14:schemeClr w14:val="tx1"/>
            </w14:solidFill>
          </w14:textFill>
        </w:rPr>
        <w:t>T</w:t>
      </w:r>
      <w:r>
        <w:rPr>
          <w:rFonts w:hint="eastAsia" w:ascii="Times New Roman" w:hAnsi="Times New Roman"/>
          <w:color w:val="000000" w:themeColor="text1"/>
          <w:lang w:eastAsia="zh-CN"/>
          <w14:textFill>
            <w14:solidFill>
              <w14:schemeClr w14:val="tx1"/>
            </w14:solidFill>
          </w14:textFill>
        </w:rPr>
        <w:t>=0.154m</w:t>
      </w:r>
      <w:r>
        <w:rPr>
          <w:rFonts w:hint="eastAsia" w:ascii="Times New Roman" w:hAnsi="Times New Roman"/>
          <w:color w:val="000000" w:themeColor="text1"/>
          <w:vertAlign w:val="superscript"/>
          <w:lang w:eastAsia="zh-CN"/>
          <w14:textFill>
            <w14:solidFill>
              <w14:schemeClr w14:val="tx1"/>
            </w14:solidFill>
          </w14:textFill>
        </w:rPr>
        <w:t>2</w:t>
      </w:r>
      <w:r>
        <w:rPr>
          <w:rFonts w:hint="eastAsia" w:ascii="Times New Roman" w:hAnsi="Times New Roman"/>
          <w:color w:val="000000" w:themeColor="text1"/>
          <w:lang w:eastAsia="zh-CN"/>
          <w14:textFill>
            <w14:solidFill>
              <w14:schemeClr w14:val="tx1"/>
            </w14:solidFill>
          </w14:textFill>
        </w:rPr>
        <w:t>/d</w:t>
      </w:r>
      <w:r>
        <w:rPr>
          <w:rFonts w:hint="eastAsia"/>
          <w:color w:val="000000" w:themeColor="text1"/>
          <w:lang w:eastAsia="zh-CN"/>
          <w14:textFill>
            <w14:solidFill>
              <w14:schemeClr w14:val="tx1"/>
            </w14:solidFill>
          </w14:textFill>
        </w:rPr>
        <w:t>。</w:t>
      </w:r>
    </w:p>
    <w:p w14:paraId="49EB18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⑤预测结果</w:t>
      </w:r>
    </w:p>
    <w:p w14:paraId="277576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本项目非正常状况下预测结果详见表5.3-</w:t>
      </w:r>
      <w:r>
        <w:rPr>
          <w:rFonts w:hint="eastAsia"/>
          <w:color w:val="000000" w:themeColor="text1"/>
          <w:lang w:val="en-US" w:eastAsia="zh-CN"/>
          <w14:textFill>
            <w14:solidFill>
              <w14:schemeClr w14:val="tx1"/>
            </w14:solidFill>
          </w14:textFill>
        </w:rPr>
        <w:t>2</w:t>
      </w:r>
      <w:r>
        <w:rPr>
          <w:rFonts w:hint="eastAsia" w:ascii="Times New Roman" w:hAnsi="Times New Roman"/>
          <w:color w:val="000000" w:themeColor="text1"/>
          <w:lang w:eastAsia="zh-CN"/>
          <w14:textFill>
            <w14:solidFill>
              <w14:schemeClr w14:val="tx1"/>
            </w14:solidFill>
          </w14:textFill>
        </w:rPr>
        <w:t>，非正常状况下预测期内污染物泄漏后边界浓度随时间变化图</w:t>
      </w:r>
      <w:r>
        <w:rPr>
          <w:rFonts w:hint="eastAsia"/>
          <w:color w:val="000000" w:themeColor="text1"/>
          <w:lang w:val="en-US" w:eastAsia="zh-CN"/>
          <w14:textFill>
            <w14:solidFill>
              <w14:schemeClr w14:val="tx1"/>
            </w14:solidFill>
          </w14:textFill>
        </w:rPr>
        <w:t>见</w:t>
      </w:r>
      <w:r>
        <w:rPr>
          <w:rFonts w:hint="eastAsia" w:ascii="Times New Roman" w:hAnsi="Times New Roman"/>
          <w:color w:val="000000" w:themeColor="text1"/>
          <w:lang w:eastAsia="zh-CN"/>
          <w14:textFill>
            <w14:solidFill>
              <w14:schemeClr w14:val="tx1"/>
            </w14:solidFill>
          </w14:textFill>
        </w:rPr>
        <w:t>图5.3-</w:t>
      </w:r>
      <w:r>
        <w:rPr>
          <w:rFonts w:hint="eastAsia" w:ascii="Times New Roman" w:hAnsi="Times New Roman"/>
          <w:color w:val="000000" w:themeColor="text1"/>
          <w:lang w:val="en-US" w:eastAsia="zh-CN"/>
          <w14:textFill>
            <w14:solidFill>
              <w14:schemeClr w14:val="tx1"/>
            </w14:solidFill>
          </w14:textFill>
        </w:rPr>
        <w:t>1</w:t>
      </w:r>
      <w:r>
        <w:rPr>
          <w:rFonts w:hint="eastAsia" w:ascii="Times New Roman" w:hAnsi="Times New Roman"/>
          <w:color w:val="000000" w:themeColor="text1"/>
          <w:lang w:eastAsia="zh-CN"/>
          <w14:textFill>
            <w14:solidFill>
              <w14:schemeClr w14:val="tx1"/>
            </w14:solidFill>
          </w14:textFill>
        </w:rPr>
        <w:t>。</w:t>
      </w:r>
    </w:p>
    <w:p w14:paraId="2ADDE1EF">
      <w:pPr>
        <w:adjustRightInd w:val="0"/>
        <w:snapToGrid w:val="0"/>
        <w:spacing w:line="24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7D15B4CB">
      <w:pPr>
        <w:adjustRightInd w:val="0"/>
        <w:snapToGrid w:val="0"/>
        <w:spacing w:line="24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1702CB01">
      <w:pPr>
        <w:adjustRightInd w:val="0"/>
        <w:snapToGrid w:val="0"/>
        <w:spacing w:line="24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053CBCA3">
      <w:pPr>
        <w:adjustRightInd w:val="0"/>
        <w:snapToGrid w:val="0"/>
        <w:spacing w:line="24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6A11EE79">
      <w:pPr>
        <w:adjustRightInd w:val="0"/>
        <w:snapToGrid w:val="0"/>
        <w:spacing w:line="24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16C585BB">
      <w:pPr>
        <w:adjustRightInd w:val="0"/>
        <w:snapToGrid w:val="0"/>
        <w:spacing w:line="240" w:lineRule="auto"/>
        <w:ind w:firstLine="420" w:firstLineChars="20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表5.3-</w:t>
      </w:r>
      <w:r>
        <w:rPr>
          <w:rFonts w:hint="eastAsia"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 xml:space="preserve"> </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14:textFill>
            <w14:solidFill>
              <w14:schemeClr w14:val="tx1"/>
            </w14:solidFill>
          </w14:textFill>
        </w:rPr>
        <w:t>非正常状况下污染因子</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迁移</w:t>
      </w:r>
      <w:r>
        <w:rPr>
          <w:rFonts w:hint="default" w:ascii="Times New Roman" w:hAnsi="Times New Roman" w:eastAsia="宋体" w:cs="Times New Roman"/>
          <w:b/>
          <w:bCs/>
          <w:color w:val="000000" w:themeColor="text1"/>
          <w:sz w:val="24"/>
          <w:highlight w:val="none"/>
          <w14:textFill>
            <w14:solidFill>
              <w14:schemeClr w14:val="tx1"/>
            </w14:solidFill>
          </w14:textFill>
        </w:rPr>
        <w:t>结果一览表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3"/>
        <w:gridCol w:w="772"/>
        <w:gridCol w:w="975"/>
        <w:gridCol w:w="1344"/>
        <w:gridCol w:w="1431"/>
        <w:gridCol w:w="1059"/>
        <w:gridCol w:w="1037"/>
        <w:gridCol w:w="1197"/>
      </w:tblGrid>
      <w:tr w14:paraId="31C18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33" w:type="pct"/>
            <w:noWrap w:val="0"/>
            <w:vAlign w:val="center"/>
          </w:tcPr>
          <w:p w14:paraId="11592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泄漏位置</w:t>
            </w:r>
          </w:p>
        </w:tc>
        <w:tc>
          <w:tcPr>
            <w:tcW w:w="431" w:type="pct"/>
            <w:noWrap w:val="0"/>
            <w:vAlign w:val="center"/>
          </w:tcPr>
          <w:p w14:paraId="034E7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污染因子</w:t>
            </w:r>
          </w:p>
        </w:tc>
        <w:tc>
          <w:tcPr>
            <w:tcW w:w="544" w:type="pct"/>
            <w:noWrap w:val="0"/>
            <w:vAlign w:val="center"/>
          </w:tcPr>
          <w:p w14:paraId="71E13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预测时间</w:t>
            </w:r>
          </w:p>
        </w:tc>
        <w:tc>
          <w:tcPr>
            <w:tcW w:w="750" w:type="pct"/>
            <w:noWrap w:val="0"/>
            <w:vAlign w:val="center"/>
          </w:tcPr>
          <w:p w14:paraId="3D2E27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标准限值</w:t>
            </w:r>
          </w:p>
        </w:tc>
        <w:tc>
          <w:tcPr>
            <w:tcW w:w="799" w:type="pct"/>
            <w:noWrap w:val="0"/>
            <w:vAlign w:val="center"/>
          </w:tcPr>
          <w:p w14:paraId="6E9BAE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检出限</w:t>
            </w:r>
          </w:p>
        </w:tc>
        <w:tc>
          <w:tcPr>
            <w:tcW w:w="591" w:type="pct"/>
            <w:noWrap w:val="0"/>
            <w:vAlign w:val="center"/>
          </w:tcPr>
          <w:p w14:paraId="59052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eastAsia="宋体" w:cs="Times New Roman"/>
                <w:b/>
                <w:color w:val="000000" w:themeColor="text1"/>
                <w:sz w:val="21"/>
                <w:szCs w:val="21"/>
                <w:highlight w:val="none"/>
                <w:lang w:val="en-US" w:eastAsia="zh-CN"/>
                <w14:textFill>
                  <w14:solidFill>
                    <w14:schemeClr w14:val="tx1"/>
                  </w14:solidFill>
                </w14:textFill>
              </w:rPr>
              <w:t>最大浓度mg/L</w:t>
            </w:r>
          </w:p>
        </w:tc>
        <w:tc>
          <w:tcPr>
            <w:tcW w:w="579" w:type="pct"/>
            <w:tcBorders>
              <w:right w:val="single" w:color="auto" w:sz="8" w:space="0"/>
            </w:tcBorders>
            <w:noWrap w:val="0"/>
            <w:vAlign w:val="center"/>
          </w:tcPr>
          <w:p w14:paraId="0372A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eastAsia="宋体" w:cs="Times New Roman"/>
                <w:b/>
                <w:color w:val="000000" w:themeColor="text1"/>
                <w:sz w:val="21"/>
                <w:szCs w:val="21"/>
                <w:highlight w:val="none"/>
                <w:lang w:val="en-US" w:eastAsia="zh-CN"/>
                <w14:textFill>
                  <w14:solidFill>
                    <w14:schemeClr w14:val="tx1"/>
                  </w14:solidFill>
                </w14:textFill>
              </w:rPr>
              <w:t>超标面积m</w:t>
            </w:r>
            <w:r>
              <w:rPr>
                <w:rFonts w:hint="eastAsia" w:eastAsia="宋体" w:cs="Times New Roman"/>
                <w:b/>
                <w:color w:val="000000" w:themeColor="text1"/>
                <w:sz w:val="21"/>
                <w:szCs w:val="21"/>
                <w:highlight w:val="none"/>
                <w:vertAlign w:val="superscript"/>
                <w:lang w:val="en-US" w:eastAsia="zh-CN"/>
                <w14:textFill>
                  <w14:solidFill>
                    <w14:schemeClr w14:val="tx1"/>
                  </w14:solidFill>
                </w14:textFill>
              </w:rPr>
              <w:t>2</w:t>
            </w:r>
          </w:p>
        </w:tc>
        <w:tc>
          <w:tcPr>
            <w:tcW w:w="668" w:type="pct"/>
            <w:tcBorders>
              <w:left w:val="single" w:color="auto" w:sz="8" w:space="0"/>
              <w:right w:val="single" w:color="auto" w:sz="4" w:space="0"/>
            </w:tcBorders>
            <w:noWrap w:val="0"/>
            <w:vAlign w:val="center"/>
          </w:tcPr>
          <w:p w14:paraId="19A7D3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eastAsia="宋体" w:cs="Times New Roman"/>
                <w:b/>
                <w:color w:val="000000" w:themeColor="text1"/>
                <w:sz w:val="21"/>
                <w:szCs w:val="21"/>
                <w:highlight w:val="none"/>
                <w:lang w:val="en-US" w:eastAsia="zh-CN"/>
                <w14:textFill>
                  <w14:solidFill>
                    <w14:schemeClr w14:val="tx1"/>
                  </w14:solidFill>
                </w14:textFill>
              </w:rPr>
              <w:t>影响面积m</w:t>
            </w:r>
            <w:r>
              <w:rPr>
                <w:rFonts w:hint="eastAsia" w:eastAsia="宋体" w:cs="Times New Roman"/>
                <w:b/>
                <w:color w:val="000000" w:themeColor="text1"/>
                <w:sz w:val="21"/>
                <w:szCs w:val="21"/>
                <w:highlight w:val="none"/>
                <w:vertAlign w:val="superscript"/>
                <w:lang w:val="en-US" w:eastAsia="zh-CN"/>
                <w14:textFill>
                  <w14:solidFill>
                    <w14:schemeClr w14:val="tx1"/>
                  </w14:solidFill>
                </w14:textFill>
              </w:rPr>
              <w:t>2</w:t>
            </w:r>
          </w:p>
        </w:tc>
      </w:tr>
      <w:tr w14:paraId="52B52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33" w:type="pct"/>
            <w:vMerge w:val="restart"/>
            <w:tcBorders>
              <w:top w:val="single" w:color="auto" w:sz="4" w:space="0"/>
            </w:tcBorders>
            <w:noWrap w:val="0"/>
            <w:vAlign w:val="center"/>
          </w:tcPr>
          <w:p w14:paraId="6BCF14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污水处理站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调节池</w:t>
            </w:r>
          </w:p>
        </w:tc>
        <w:tc>
          <w:tcPr>
            <w:tcW w:w="431" w:type="pct"/>
            <w:vMerge w:val="restart"/>
            <w:tcBorders>
              <w:top w:val="single" w:color="auto" w:sz="4" w:space="0"/>
            </w:tcBorders>
            <w:noWrap w:val="0"/>
            <w:vAlign w:val="center"/>
          </w:tcPr>
          <w:p w14:paraId="2C266B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COD</w:t>
            </w:r>
          </w:p>
        </w:tc>
        <w:tc>
          <w:tcPr>
            <w:tcW w:w="544" w:type="pct"/>
            <w:noWrap w:val="0"/>
            <w:vAlign w:val="center"/>
          </w:tcPr>
          <w:p w14:paraId="5105E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100d</w:t>
            </w:r>
          </w:p>
        </w:tc>
        <w:tc>
          <w:tcPr>
            <w:tcW w:w="750" w:type="pct"/>
            <w:vMerge w:val="restart"/>
            <w:noWrap w:val="0"/>
            <w:vAlign w:val="center"/>
          </w:tcPr>
          <w:p w14:paraId="0CF4B7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799" w:type="pct"/>
            <w:vMerge w:val="restart"/>
            <w:noWrap w:val="0"/>
            <w:vAlign w:val="center"/>
          </w:tcPr>
          <w:p w14:paraId="340E8B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591" w:type="pct"/>
            <w:noWrap w:val="0"/>
            <w:vAlign w:val="center"/>
          </w:tcPr>
          <w:p w14:paraId="08FD9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112.54</w:t>
            </w:r>
          </w:p>
        </w:tc>
        <w:tc>
          <w:tcPr>
            <w:tcW w:w="579" w:type="pct"/>
            <w:tcBorders>
              <w:right w:val="single" w:color="auto" w:sz="8" w:space="0"/>
            </w:tcBorders>
            <w:noWrap w:val="0"/>
            <w:vAlign w:val="center"/>
          </w:tcPr>
          <w:p w14:paraId="16F39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411.72</w:t>
            </w:r>
          </w:p>
        </w:tc>
        <w:tc>
          <w:tcPr>
            <w:tcW w:w="668" w:type="pct"/>
            <w:tcBorders>
              <w:left w:val="single" w:color="auto" w:sz="8" w:space="0"/>
              <w:right w:val="single" w:color="auto" w:sz="4" w:space="0"/>
            </w:tcBorders>
            <w:noWrap w:val="0"/>
            <w:vAlign w:val="center"/>
          </w:tcPr>
          <w:p w14:paraId="6782E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1101.85</w:t>
            </w:r>
          </w:p>
        </w:tc>
      </w:tr>
      <w:tr w14:paraId="77D58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33" w:type="pct"/>
            <w:vMerge w:val="continue"/>
            <w:noWrap w:val="0"/>
            <w:vAlign w:val="center"/>
          </w:tcPr>
          <w:p w14:paraId="34485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31" w:type="pct"/>
            <w:vMerge w:val="continue"/>
            <w:noWrap w:val="0"/>
            <w:vAlign w:val="center"/>
          </w:tcPr>
          <w:p w14:paraId="2BA8AB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4" w:type="pct"/>
            <w:noWrap w:val="0"/>
            <w:vAlign w:val="center"/>
          </w:tcPr>
          <w:p w14:paraId="590EE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365</w:t>
            </w:r>
            <w:r>
              <w:rPr>
                <w:rFonts w:hint="default" w:ascii="Times New Roman" w:hAnsi="Times New Roman" w:eastAsia="宋体" w:cs="Times New Roman"/>
                <w:color w:val="000000" w:themeColor="text1"/>
                <w:sz w:val="21"/>
                <w:szCs w:val="21"/>
                <w:highlight w:val="none"/>
                <w14:textFill>
                  <w14:solidFill>
                    <w14:schemeClr w14:val="tx1"/>
                  </w14:solidFill>
                </w14:textFill>
              </w:rPr>
              <w:t>d</w:t>
            </w:r>
          </w:p>
        </w:tc>
        <w:tc>
          <w:tcPr>
            <w:tcW w:w="750" w:type="pct"/>
            <w:vMerge w:val="continue"/>
            <w:noWrap w:val="0"/>
            <w:vAlign w:val="center"/>
          </w:tcPr>
          <w:p w14:paraId="7D75F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99" w:type="pct"/>
            <w:vMerge w:val="continue"/>
            <w:noWrap w:val="0"/>
            <w:vAlign w:val="center"/>
          </w:tcPr>
          <w:p w14:paraId="408FA7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1" w:type="pct"/>
            <w:noWrap w:val="0"/>
            <w:vAlign w:val="center"/>
          </w:tcPr>
          <w:p w14:paraId="34474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2.42</w:t>
            </w:r>
          </w:p>
        </w:tc>
        <w:tc>
          <w:tcPr>
            <w:tcW w:w="579" w:type="pct"/>
            <w:tcBorders>
              <w:right w:val="single" w:color="auto" w:sz="8" w:space="0"/>
            </w:tcBorders>
            <w:noWrap w:val="0"/>
            <w:vAlign w:val="center"/>
          </w:tcPr>
          <w:p w14:paraId="14DFDA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0.00</w:t>
            </w:r>
          </w:p>
        </w:tc>
        <w:tc>
          <w:tcPr>
            <w:tcW w:w="668" w:type="pct"/>
            <w:tcBorders>
              <w:left w:val="single" w:color="auto" w:sz="8" w:space="0"/>
              <w:right w:val="single" w:color="auto" w:sz="4" w:space="0"/>
            </w:tcBorders>
            <w:noWrap w:val="0"/>
            <w:vAlign w:val="center"/>
          </w:tcPr>
          <w:p w14:paraId="11D4C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2980.10</w:t>
            </w:r>
          </w:p>
        </w:tc>
      </w:tr>
      <w:tr w14:paraId="3A3CE7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33" w:type="pct"/>
            <w:vMerge w:val="continue"/>
            <w:noWrap w:val="0"/>
            <w:vAlign w:val="center"/>
          </w:tcPr>
          <w:p w14:paraId="286BA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1" w:type="pct"/>
            <w:vMerge w:val="continue"/>
            <w:noWrap w:val="0"/>
            <w:vAlign w:val="center"/>
          </w:tcPr>
          <w:p w14:paraId="46DD51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4" w:type="pct"/>
            <w:noWrap w:val="0"/>
            <w:vAlign w:val="center"/>
          </w:tcPr>
          <w:p w14:paraId="789F1A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1000</w:t>
            </w:r>
            <w:r>
              <w:rPr>
                <w:rFonts w:hint="default" w:ascii="Times New Roman" w:hAnsi="Times New Roman" w:eastAsia="宋体" w:cs="Times New Roman"/>
                <w:color w:val="000000" w:themeColor="text1"/>
                <w:sz w:val="21"/>
                <w:szCs w:val="21"/>
                <w:highlight w:val="none"/>
                <w14:textFill>
                  <w14:solidFill>
                    <w14:schemeClr w14:val="tx1"/>
                  </w14:solidFill>
                </w14:textFill>
              </w:rPr>
              <w:t>d</w:t>
            </w:r>
          </w:p>
        </w:tc>
        <w:tc>
          <w:tcPr>
            <w:tcW w:w="750" w:type="pct"/>
            <w:vMerge w:val="continue"/>
            <w:noWrap w:val="0"/>
            <w:vAlign w:val="center"/>
          </w:tcPr>
          <w:p w14:paraId="02BAB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99" w:type="pct"/>
            <w:vMerge w:val="continue"/>
            <w:noWrap w:val="0"/>
            <w:vAlign w:val="center"/>
          </w:tcPr>
          <w:p w14:paraId="71BFAC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1" w:type="pct"/>
            <w:noWrap w:val="0"/>
            <w:vAlign w:val="center"/>
          </w:tcPr>
          <w:p w14:paraId="172AEA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0.80</w:t>
            </w:r>
          </w:p>
        </w:tc>
        <w:tc>
          <w:tcPr>
            <w:tcW w:w="579" w:type="pct"/>
            <w:tcBorders>
              <w:right w:val="single" w:color="auto" w:sz="8" w:space="0"/>
            </w:tcBorders>
            <w:noWrap w:val="0"/>
            <w:vAlign w:val="center"/>
          </w:tcPr>
          <w:p w14:paraId="28B7E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0.00</w:t>
            </w:r>
          </w:p>
        </w:tc>
        <w:tc>
          <w:tcPr>
            <w:tcW w:w="668" w:type="pct"/>
            <w:tcBorders>
              <w:left w:val="single" w:color="auto" w:sz="8" w:space="0"/>
              <w:right w:val="single" w:color="auto" w:sz="4" w:space="0"/>
            </w:tcBorders>
            <w:noWrap w:val="0"/>
            <w:vAlign w:val="center"/>
          </w:tcPr>
          <w:p w14:paraId="0C84D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2674.25</w:t>
            </w:r>
          </w:p>
        </w:tc>
      </w:tr>
      <w:tr w14:paraId="4AF8F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33" w:type="pct"/>
            <w:vMerge w:val="continue"/>
            <w:noWrap w:val="0"/>
            <w:vAlign w:val="center"/>
          </w:tcPr>
          <w:p w14:paraId="53B975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1" w:type="pct"/>
            <w:vMerge w:val="continue"/>
            <w:noWrap w:val="0"/>
            <w:vAlign w:val="center"/>
          </w:tcPr>
          <w:p w14:paraId="26B08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4" w:type="pct"/>
            <w:noWrap w:val="0"/>
            <w:vAlign w:val="center"/>
          </w:tcPr>
          <w:p w14:paraId="7B68AE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3650</w:t>
            </w:r>
            <w:r>
              <w:rPr>
                <w:rFonts w:hint="default" w:ascii="Times New Roman" w:hAnsi="Times New Roman" w:eastAsia="宋体" w:cs="Times New Roman"/>
                <w:color w:val="000000" w:themeColor="text1"/>
                <w:sz w:val="21"/>
                <w:szCs w:val="21"/>
                <w:highlight w:val="none"/>
                <w14:textFill>
                  <w14:solidFill>
                    <w14:schemeClr w14:val="tx1"/>
                  </w14:solidFill>
                </w14:textFill>
              </w:rPr>
              <w:t>d</w:t>
            </w:r>
          </w:p>
        </w:tc>
        <w:tc>
          <w:tcPr>
            <w:tcW w:w="750" w:type="pct"/>
            <w:vMerge w:val="continue"/>
            <w:noWrap w:val="0"/>
            <w:vAlign w:val="center"/>
          </w:tcPr>
          <w:p w14:paraId="4E853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99" w:type="pct"/>
            <w:vMerge w:val="continue"/>
            <w:noWrap w:val="0"/>
            <w:vAlign w:val="center"/>
          </w:tcPr>
          <w:p w14:paraId="57856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1" w:type="pct"/>
            <w:noWrap w:val="0"/>
            <w:vAlign w:val="center"/>
          </w:tcPr>
          <w:p w14:paraId="79B153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w:t>
            </w:r>
          </w:p>
        </w:tc>
        <w:tc>
          <w:tcPr>
            <w:tcW w:w="579" w:type="pct"/>
            <w:tcBorders>
              <w:right w:val="single" w:color="auto" w:sz="8" w:space="0"/>
            </w:tcBorders>
            <w:noWrap w:val="0"/>
            <w:vAlign w:val="center"/>
          </w:tcPr>
          <w:p w14:paraId="1280A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0.00</w:t>
            </w:r>
          </w:p>
        </w:tc>
        <w:tc>
          <w:tcPr>
            <w:tcW w:w="668" w:type="pct"/>
            <w:tcBorders>
              <w:left w:val="single" w:color="auto" w:sz="8" w:space="0"/>
              <w:right w:val="single" w:color="auto" w:sz="4" w:space="0"/>
            </w:tcBorders>
            <w:noWrap w:val="0"/>
            <w:vAlign w:val="center"/>
          </w:tcPr>
          <w:p w14:paraId="31BAA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0.00</w:t>
            </w:r>
          </w:p>
        </w:tc>
      </w:tr>
      <w:tr w14:paraId="182568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33" w:type="pct"/>
            <w:vMerge w:val="continue"/>
            <w:noWrap w:val="0"/>
            <w:vAlign w:val="center"/>
          </w:tcPr>
          <w:p w14:paraId="64203B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1" w:type="pct"/>
            <w:vMerge w:val="continue"/>
            <w:noWrap w:val="0"/>
            <w:vAlign w:val="center"/>
          </w:tcPr>
          <w:p w14:paraId="0F57A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4" w:type="pct"/>
            <w:noWrap w:val="0"/>
            <w:vAlign w:val="center"/>
          </w:tcPr>
          <w:p w14:paraId="472132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7300d</w:t>
            </w:r>
          </w:p>
        </w:tc>
        <w:tc>
          <w:tcPr>
            <w:tcW w:w="750" w:type="pct"/>
            <w:vMerge w:val="continue"/>
            <w:noWrap w:val="0"/>
            <w:vAlign w:val="center"/>
          </w:tcPr>
          <w:p w14:paraId="751613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99" w:type="pct"/>
            <w:vMerge w:val="continue"/>
            <w:noWrap w:val="0"/>
            <w:vAlign w:val="center"/>
          </w:tcPr>
          <w:p w14:paraId="581C6C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1" w:type="pct"/>
            <w:noWrap w:val="0"/>
            <w:vAlign w:val="center"/>
          </w:tcPr>
          <w:p w14:paraId="53C5E6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w:t>
            </w:r>
          </w:p>
        </w:tc>
        <w:tc>
          <w:tcPr>
            <w:tcW w:w="579" w:type="pct"/>
            <w:tcBorders>
              <w:right w:val="single" w:color="auto" w:sz="8" w:space="0"/>
            </w:tcBorders>
            <w:noWrap w:val="0"/>
            <w:vAlign w:val="center"/>
          </w:tcPr>
          <w:p w14:paraId="5AC920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0.00</w:t>
            </w:r>
          </w:p>
        </w:tc>
        <w:tc>
          <w:tcPr>
            <w:tcW w:w="668" w:type="pct"/>
            <w:tcBorders>
              <w:left w:val="single" w:color="auto" w:sz="8" w:space="0"/>
              <w:right w:val="single" w:color="auto" w:sz="4" w:space="0"/>
            </w:tcBorders>
            <w:noWrap w:val="0"/>
            <w:vAlign w:val="center"/>
          </w:tcPr>
          <w:p w14:paraId="59979F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0.00</w:t>
            </w:r>
          </w:p>
        </w:tc>
      </w:tr>
    </w:tbl>
    <w:p w14:paraId="769C6C94">
      <w:pPr>
        <w:pStyle w:val="18"/>
        <w:adjustRightInd w:val="0"/>
        <w:spacing w:line="360" w:lineRule="auto"/>
        <w:ind w:left="0" w:leftChars="0" w:firstLine="0" w:firstLineChars="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74"/>
        <w:gridCol w:w="4474"/>
      </w:tblGrid>
      <w:tr w14:paraId="7257F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7" w:hRule="atLeast"/>
          <w:jc w:val="center"/>
        </w:trPr>
        <w:tc>
          <w:tcPr>
            <w:tcW w:w="2500" w:type="pct"/>
            <w:tcBorders>
              <w:tl2br w:val="nil"/>
              <w:tr2bl w:val="nil"/>
            </w:tcBorders>
            <w:vAlign w:val="center"/>
          </w:tcPr>
          <w:p w14:paraId="25F5F09C">
            <w:pPr>
              <w:keepNext w:val="0"/>
              <w:keepLines w:val="0"/>
              <w:pageBreakBefore w:val="0"/>
              <w:widowControl w:val="0"/>
              <w:kinsoku/>
              <w:wordWrap/>
              <w:topLinePunct w:val="0"/>
              <w:autoSpaceDE/>
              <w:autoSpaceDN/>
              <w:bidi w:val="0"/>
              <w:adjustRightInd/>
              <w:snapToGrid/>
              <w:spacing w:line="240" w:lineRule="auto"/>
              <w:ind w:firstLine="0" w:firstLineChars="0"/>
              <w:jc w:val="center"/>
              <w:textAlignment w:val="auto"/>
              <w:rPr>
                <w:rFonts w:hint="eastAsia" w:eastAsia="仿宋_GB2312"/>
                <w:color w:val="000000" w:themeColor="text1"/>
                <w:lang w:eastAsia="zh-CN"/>
                <w14:textFill>
                  <w14:solidFill>
                    <w14:schemeClr w14:val="tx1"/>
                  </w14:solidFill>
                </w14:textFill>
              </w:rPr>
            </w:pPr>
            <w:r>
              <w:rPr>
                <w:rFonts w:hint="eastAsia" w:eastAsia="仿宋_GB2312"/>
                <w:color w:val="000000" w:themeColor="text1"/>
                <w:lang w:eastAsia="zh-CN"/>
                <w14:textFill>
                  <w14:solidFill>
                    <w14:schemeClr w14:val="tx1"/>
                  </w14:solidFill>
                </w14:textFill>
              </w:rPr>
              <w:drawing>
                <wp:inline distT="0" distB="0" distL="114300" distR="114300">
                  <wp:extent cx="2698115" cy="2207260"/>
                  <wp:effectExtent l="0" t="0" r="6985" b="2540"/>
                  <wp:docPr id="51" name="图片 51" descr="9bd8702fabf02f6c38f5eae80de50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bd8702fabf02f6c38f5eae80de505a8"/>
                          <pic:cNvPicPr>
                            <a:picLocks noChangeAspect="1"/>
                          </pic:cNvPicPr>
                        </pic:nvPicPr>
                        <pic:blipFill>
                          <a:blip r:embed="rId76"/>
                          <a:stretch>
                            <a:fillRect/>
                          </a:stretch>
                        </pic:blipFill>
                        <pic:spPr>
                          <a:xfrm>
                            <a:off x="0" y="0"/>
                            <a:ext cx="2698115" cy="2207260"/>
                          </a:xfrm>
                          <a:prstGeom prst="rect">
                            <a:avLst/>
                          </a:prstGeom>
                        </pic:spPr>
                      </pic:pic>
                    </a:graphicData>
                  </a:graphic>
                </wp:inline>
              </w:drawing>
            </w:r>
          </w:p>
        </w:tc>
        <w:tc>
          <w:tcPr>
            <w:tcW w:w="2500" w:type="pct"/>
            <w:tcBorders>
              <w:tl2br w:val="nil"/>
              <w:tr2bl w:val="nil"/>
            </w:tcBorders>
            <w:vAlign w:val="center"/>
          </w:tcPr>
          <w:p w14:paraId="75C7DE46">
            <w:pPr>
              <w:keepNext w:val="0"/>
              <w:keepLines w:val="0"/>
              <w:pageBreakBefore w:val="0"/>
              <w:widowControl w:val="0"/>
              <w:kinsoku/>
              <w:wordWrap/>
              <w:topLinePunct w:val="0"/>
              <w:autoSpaceDE/>
              <w:autoSpaceDN/>
              <w:bidi w:val="0"/>
              <w:adjustRightInd/>
              <w:snapToGrid/>
              <w:spacing w:line="240" w:lineRule="auto"/>
              <w:ind w:firstLine="0" w:firstLineChars="0"/>
              <w:jc w:val="center"/>
              <w:textAlignment w:val="auto"/>
              <w:rPr>
                <w:rFonts w:hint="eastAsia" w:eastAsia="仿宋_GB2312"/>
                <w:color w:val="000000" w:themeColor="text1"/>
                <w:lang w:eastAsia="zh-CN"/>
                <w14:textFill>
                  <w14:solidFill>
                    <w14:schemeClr w14:val="tx1"/>
                  </w14:solidFill>
                </w14:textFill>
              </w:rPr>
            </w:pPr>
            <w:r>
              <w:rPr>
                <w:rFonts w:hint="eastAsia" w:eastAsia="仿宋_GB2312"/>
                <w:color w:val="000000" w:themeColor="text1"/>
                <w:lang w:eastAsia="zh-CN"/>
                <w14:textFill>
                  <w14:solidFill>
                    <w14:schemeClr w14:val="tx1"/>
                  </w14:solidFill>
                </w14:textFill>
              </w:rPr>
              <w:drawing>
                <wp:inline distT="0" distB="0" distL="114300" distR="114300">
                  <wp:extent cx="2761615" cy="2254250"/>
                  <wp:effectExtent l="0" t="0" r="635" b="12700"/>
                  <wp:docPr id="52" name="图片 52" descr="204ae73cda181f41cbef8b13cb0e4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4ae73cda181f41cbef8b13cb0e44a6"/>
                          <pic:cNvPicPr>
                            <a:picLocks noChangeAspect="1"/>
                          </pic:cNvPicPr>
                        </pic:nvPicPr>
                        <pic:blipFill>
                          <a:blip r:embed="rId77"/>
                          <a:stretch>
                            <a:fillRect/>
                          </a:stretch>
                        </pic:blipFill>
                        <pic:spPr>
                          <a:xfrm>
                            <a:off x="0" y="0"/>
                            <a:ext cx="2761615" cy="2254250"/>
                          </a:xfrm>
                          <a:prstGeom prst="rect">
                            <a:avLst/>
                          </a:prstGeom>
                        </pic:spPr>
                      </pic:pic>
                    </a:graphicData>
                  </a:graphic>
                </wp:inline>
              </w:drawing>
            </w:r>
          </w:p>
        </w:tc>
      </w:tr>
      <w:tr w14:paraId="649F4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00" w:type="pct"/>
            <w:tcBorders>
              <w:tl2br w:val="nil"/>
              <w:tr2bl w:val="nil"/>
            </w:tcBorders>
            <w:vAlign w:val="center"/>
          </w:tcPr>
          <w:p w14:paraId="68D14A44">
            <w:pPr>
              <w:keepNext w:val="0"/>
              <w:keepLines w:val="0"/>
              <w:pageBreakBefore w:val="0"/>
              <w:widowControl w:val="0"/>
              <w:kinsoku/>
              <w:wordWrap/>
              <w:topLinePunct w:val="0"/>
              <w:autoSpaceDE/>
              <w:autoSpaceDN/>
              <w:bidi w:val="0"/>
              <w:adjustRightInd/>
              <w:snapToGrid/>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污染</w:t>
            </w:r>
            <w:r>
              <w:rPr>
                <w:rFonts w:hint="eastAsia" w:ascii="Times New Roman" w:hAnsi="Times New Roman" w:eastAsia="宋体" w:cs="Times New Roman"/>
                <w:bCs/>
                <w:snapToGrid w:val="0"/>
                <w:color w:val="000000" w:themeColor="text1"/>
                <w:kern w:val="0"/>
                <w:sz w:val="21"/>
                <w:szCs w:val="21"/>
                <w:lang w:eastAsia="zh-CN"/>
                <w14:textFill>
                  <w14:solidFill>
                    <w14:schemeClr w14:val="tx1"/>
                  </w14:solidFill>
                </w14:textFill>
              </w:rPr>
              <w:t>泄漏</w:t>
            </w:r>
            <w:r>
              <w:rPr>
                <w:rFonts w:hint="eastAsia" w:eastAsia="宋体" w:cs="Times New Roman"/>
                <w:bCs/>
                <w:snapToGrid w:val="0"/>
                <w:color w:val="000000" w:themeColor="text1"/>
                <w:kern w:val="0"/>
                <w:sz w:val="21"/>
                <w:szCs w:val="21"/>
                <w:lang w:val="en-US" w:eastAsia="zh-CN"/>
                <w14:textFill>
                  <w14:solidFill>
                    <w14:schemeClr w14:val="tx1"/>
                  </w14:solidFill>
                </w14:textFill>
              </w:rPr>
              <w:t>100</w:t>
            </w: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d内</w:t>
            </w:r>
            <w:r>
              <w:rPr>
                <w:rFonts w:hint="eastAsia" w:eastAsia="宋体" w:cs="Times New Roman"/>
                <w:bCs/>
                <w:snapToGrid w:val="0"/>
                <w:color w:val="000000" w:themeColor="text1"/>
                <w:kern w:val="0"/>
                <w:sz w:val="21"/>
                <w:szCs w:val="21"/>
                <w:lang w:val="en-US" w:eastAsia="zh-CN"/>
                <w14:textFill>
                  <w14:solidFill>
                    <w14:schemeClr w14:val="tx1"/>
                  </w14:solidFill>
                </w14:textFill>
              </w:rPr>
              <w:t>COD浓度随距离变化情况</w:t>
            </w:r>
          </w:p>
        </w:tc>
        <w:tc>
          <w:tcPr>
            <w:tcW w:w="2500" w:type="pct"/>
            <w:tcBorders>
              <w:tl2br w:val="nil"/>
              <w:tr2bl w:val="nil"/>
            </w:tcBorders>
            <w:vAlign w:val="center"/>
          </w:tcPr>
          <w:p w14:paraId="4F98888F">
            <w:pPr>
              <w:keepNext w:val="0"/>
              <w:keepLines w:val="0"/>
              <w:pageBreakBefore w:val="0"/>
              <w:widowControl w:val="0"/>
              <w:kinsoku/>
              <w:wordWrap/>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污染</w:t>
            </w:r>
            <w:r>
              <w:rPr>
                <w:rFonts w:hint="eastAsia" w:ascii="Times New Roman" w:hAnsi="Times New Roman" w:eastAsia="宋体" w:cs="Times New Roman"/>
                <w:bCs/>
                <w:snapToGrid w:val="0"/>
                <w:color w:val="000000" w:themeColor="text1"/>
                <w:kern w:val="0"/>
                <w:sz w:val="21"/>
                <w:szCs w:val="21"/>
                <w:lang w:eastAsia="zh-CN"/>
                <w14:textFill>
                  <w14:solidFill>
                    <w14:schemeClr w14:val="tx1"/>
                  </w14:solidFill>
                </w14:textFill>
              </w:rPr>
              <w:t>泄漏</w:t>
            </w:r>
            <w:r>
              <w:rPr>
                <w:rFonts w:hint="eastAsia" w:eastAsia="宋体" w:cs="Times New Roman"/>
                <w:bCs/>
                <w:snapToGrid w:val="0"/>
                <w:color w:val="000000" w:themeColor="text1"/>
                <w:kern w:val="0"/>
                <w:sz w:val="21"/>
                <w:szCs w:val="21"/>
                <w:lang w:val="en-US" w:eastAsia="zh-CN"/>
                <w14:textFill>
                  <w14:solidFill>
                    <w14:schemeClr w14:val="tx1"/>
                  </w14:solidFill>
                </w14:textFill>
              </w:rPr>
              <w:t>365</w:t>
            </w: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d内</w:t>
            </w:r>
            <w:r>
              <w:rPr>
                <w:rFonts w:hint="eastAsia" w:eastAsia="宋体" w:cs="Times New Roman"/>
                <w:bCs/>
                <w:snapToGrid w:val="0"/>
                <w:color w:val="000000" w:themeColor="text1"/>
                <w:kern w:val="0"/>
                <w:sz w:val="21"/>
                <w:szCs w:val="21"/>
                <w:lang w:val="en-US" w:eastAsia="zh-CN"/>
                <w14:textFill>
                  <w14:solidFill>
                    <w14:schemeClr w14:val="tx1"/>
                  </w14:solidFill>
                </w14:textFill>
              </w:rPr>
              <w:t>COD浓度随距离变化情况</w:t>
            </w:r>
          </w:p>
        </w:tc>
      </w:tr>
      <w:tr w14:paraId="4CB69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500" w:type="pct"/>
            <w:tcBorders>
              <w:tl2br w:val="nil"/>
              <w:tr2bl w:val="nil"/>
            </w:tcBorders>
            <w:vAlign w:val="center"/>
          </w:tcPr>
          <w:p w14:paraId="7CD4A414">
            <w:pPr>
              <w:keepNext w:val="0"/>
              <w:keepLines w:val="0"/>
              <w:pageBreakBefore w:val="0"/>
              <w:widowControl w:val="0"/>
              <w:kinsoku/>
              <w:wordWrap/>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napToGrid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eastAsia="zh-CN"/>
                <w14:textFill>
                  <w14:solidFill>
                    <w14:schemeClr w14:val="tx1"/>
                  </w14:solidFill>
                </w14:textFill>
              </w:rPr>
              <w:drawing>
                <wp:inline distT="0" distB="0" distL="114300" distR="114300">
                  <wp:extent cx="2701290" cy="2157095"/>
                  <wp:effectExtent l="0" t="0" r="3810" b="14605"/>
                  <wp:docPr id="53" name="图片 53" descr="f529658ffb271c993ae6ce2d446b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529658ffb271c993ae6ce2d446b2959"/>
                          <pic:cNvPicPr>
                            <a:picLocks noChangeAspect="1"/>
                          </pic:cNvPicPr>
                        </pic:nvPicPr>
                        <pic:blipFill>
                          <a:blip r:embed="rId78"/>
                          <a:stretch>
                            <a:fillRect/>
                          </a:stretch>
                        </pic:blipFill>
                        <pic:spPr>
                          <a:xfrm>
                            <a:off x="0" y="0"/>
                            <a:ext cx="2701290" cy="2157095"/>
                          </a:xfrm>
                          <a:prstGeom prst="rect">
                            <a:avLst/>
                          </a:prstGeom>
                        </pic:spPr>
                      </pic:pic>
                    </a:graphicData>
                  </a:graphic>
                </wp:inline>
              </w:drawing>
            </w:r>
          </w:p>
        </w:tc>
        <w:tc>
          <w:tcPr>
            <w:tcW w:w="2500" w:type="pct"/>
            <w:tcBorders>
              <w:tl2br w:val="nil"/>
              <w:tr2bl w:val="nil"/>
            </w:tcBorders>
            <w:vAlign w:val="center"/>
          </w:tcPr>
          <w:p w14:paraId="5CC5464F">
            <w:pPr>
              <w:keepNext w:val="0"/>
              <w:keepLines w:val="0"/>
              <w:pageBreakBefore w:val="0"/>
              <w:widowControl w:val="0"/>
              <w:kinsoku/>
              <w:wordWrap/>
              <w:topLinePunct w:val="0"/>
              <w:autoSpaceDE/>
              <w:autoSpaceDN/>
              <w:bidi w:val="0"/>
              <w:adjustRightInd/>
              <w:snapToGrid/>
              <w:spacing w:line="240" w:lineRule="auto"/>
              <w:ind w:firstLine="0" w:firstLineChars="0"/>
              <w:jc w:val="center"/>
              <w:textAlignment w:val="auto"/>
              <w:rPr>
                <w:rFonts w:hint="eastAsia" w:eastAsia="仿宋_GB2312"/>
                <w:color w:val="000000" w:themeColor="text1"/>
                <w:lang w:eastAsia="zh-CN"/>
                <w14:textFill>
                  <w14:solidFill>
                    <w14:schemeClr w14:val="tx1"/>
                  </w14:solidFill>
                </w14:textFill>
              </w:rPr>
            </w:pPr>
            <w:r>
              <w:rPr>
                <w:rFonts w:hint="eastAsia" w:eastAsia="仿宋_GB2312"/>
                <w:color w:val="000000" w:themeColor="text1"/>
                <w:lang w:eastAsia="zh-CN"/>
                <w14:textFill>
                  <w14:solidFill>
                    <w14:schemeClr w14:val="tx1"/>
                  </w14:solidFill>
                </w14:textFill>
              </w:rPr>
              <w:drawing>
                <wp:inline distT="0" distB="0" distL="114300" distR="114300">
                  <wp:extent cx="2698115" cy="2186940"/>
                  <wp:effectExtent l="0" t="0" r="6985" b="3810"/>
                  <wp:docPr id="54" name="图片 54" descr="30a0caac6f0aa44c73872a9bc47b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0a0caac6f0aa44c73872a9bc47b2148"/>
                          <pic:cNvPicPr>
                            <a:picLocks noChangeAspect="1"/>
                          </pic:cNvPicPr>
                        </pic:nvPicPr>
                        <pic:blipFill>
                          <a:blip r:embed="rId79"/>
                          <a:stretch>
                            <a:fillRect/>
                          </a:stretch>
                        </pic:blipFill>
                        <pic:spPr>
                          <a:xfrm>
                            <a:off x="0" y="0"/>
                            <a:ext cx="2698115" cy="2186940"/>
                          </a:xfrm>
                          <a:prstGeom prst="rect">
                            <a:avLst/>
                          </a:prstGeom>
                        </pic:spPr>
                      </pic:pic>
                    </a:graphicData>
                  </a:graphic>
                </wp:inline>
              </w:drawing>
            </w:r>
          </w:p>
        </w:tc>
      </w:tr>
      <w:tr w14:paraId="2998E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00" w:type="pct"/>
            <w:tcBorders>
              <w:tl2br w:val="nil"/>
              <w:tr2bl w:val="nil"/>
            </w:tcBorders>
            <w:vAlign w:val="center"/>
          </w:tcPr>
          <w:p w14:paraId="43BE427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污染</w:t>
            </w:r>
            <w:r>
              <w:rPr>
                <w:rFonts w:hint="eastAsia" w:ascii="Times New Roman" w:hAnsi="Times New Roman" w:eastAsia="宋体" w:cs="Times New Roman"/>
                <w:bCs/>
                <w:snapToGrid w:val="0"/>
                <w:color w:val="000000" w:themeColor="text1"/>
                <w:kern w:val="0"/>
                <w:sz w:val="21"/>
                <w:szCs w:val="21"/>
                <w:lang w:eastAsia="zh-CN"/>
                <w14:textFill>
                  <w14:solidFill>
                    <w14:schemeClr w14:val="tx1"/>
                  </w14:solidFill>
                </w14:textFill>
              </w:rPr>
              <w:t>泄漏</w:t>
            </w:r>
            <w:r>
              <w:rPr>
                <w:rFonts w:hint="eastAsia" w:eastAsia="宋体" w:cs="Times New Roman"/>
                <w:bCs/>
                <w:snapToGrid w:val="0"/>
                <w:color w:val="000000" w:themeColor="text1"/>
                <w:kern w:val="0"/>
                <w:sz w:val="21"/>
                <w:szCs w:val="21"/>
                <w:lang w:val="en-US" w:eastAsia="zh-CN"/>
                <w14:textFill>
                  <w14:solidFill>
                    <w14:schemeClr w14:val="tx1"/>
                  </w14:solidFill>
                </w14:textFill>
              </w:rPr>
              <w:t>1000</w:t>
            </w: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d</w:t>
            </w:r>
            <w:r>
              <w:rPr>
                <w:rFonts w:hint="eastAsia" w:eastAsia="宋体" w:cs="Times New Roman"/>
                <w:bCs/>
                <w:snapToGrid w:val="0"/>
                <w:color w:val="000000" w:themeColor="text1"/>
                <w:kern w:val="0"/>
                <w:sz w:val="21"/>
                <w:szCs w:val="21"/>
                <w:lang w:val="en-US" w:eastAsia="zh-CN"/>
                <w14:textFill>
                  <w14:solidFill>
                    <w14:schemeClr w14:val="tx1"/>
                  </w14:solidFill>
                </w14:textFill>
              </w:rPr>
              <w:t>内COD浓度随距离变化情况</w:t>
            </w:r>
          </w:p>
        </w:tc>
        <w:tc>
          <w:tcPr>
            <w:tcW w:w="2500" w:type="pct"/>
            <w:tcBorders>
              <w:tl2br w:val="nil"/>
              <w:tr2bl w:val="nil"/>
            </w:tcBorders>
            <w:vAlign w:val="center"/>
          </w:tcPr>
          <w:p w14:paraId="6757FAD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污染</w:t>
            </w:r>
            <w:r>
              <w:rPr>
                <w:rFonts w:hint="eastAsia" w:ascii="Times New Roman" w:hAnsi="Times New Roman" w:eastAsia="宋体" w:cs="Times New Roman"/>
                <w:bCs/>
                <w:snapToGrid w:val="0"/>
                <w:color w:val="000000" w:themeColor="text1"/>
                <w:kern w:val="0"/>
                <w:sz w:val="21"/>
                <w:szCs w:val="21"/>
                <w:lang w:eastAsia="zh-CN"/>
                <w14:textFill>
                  <w14:solidFill>
                    <w14:schemeClr w14:val="tx1"/>
                  </w14:solidFill>
                </w14:textFill>
              </w:rPr>
              <w:t>泄漏</w:t>
            </w:r>
            <w:r>
              <w:rPr>
                <w:rFonts w:hint="eastAsia" w:eastAsia="宋体" w:cs="Times New Roman"/>
                <w:bCs/>
                <w:snapToGrid w:val="0"/>
                <w:color w:val="000000" w:themeColor="text1"/>
                <w:kern w:val="0"/>
                <w:sz w:val="21"/>
                <w:szCs w:val="21"/>
                <w:lang w:val="en-US" w:eastAsia="zh-CN"/>
                <w14:textFill>
                  <w14:solidFill>
                    <w14:schemeClr w14:val="tx1"/>
                  </w14:solidFill>
                </w14:textFill>
              </w:rPr>
              <w:t>3650</w:t>
            </w: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d</w:t>
            </w:r>
            <w:r>
              <w:rPr>
                <w:rFonts w:hint="eastAsia" w:eastAsia="宋体" w:cs="Times New Roman"/>
                <w:bCs/>
                <w:snapToGrid w:val="0"/>
                <w:color w:val="000000" w:themeColor="text1"/>
                <w:kern w:val="0"/>
                <w:sz w:val="21"/>
                <w:szCs w:val="21"/>
                <w:lang w:val="en-US" w:eastAsia="zh-CN"/>
                <w14:textFill>
                  <w14:solidFill>
                    <w14:schemeClr w14:val="tx1"/>
                  </w14:solidFill>
                </w14:textFill>
              </w:rPr>
              <w:t>内COD浓度随距离变化情况</w:t>
            </w:r>
          </w:p>
        </w:tc>
      </w:tr>
      <w:tr w14:paraId="2E85D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2500" w:type="pct"/>
            <w:tcBorders>
              <w:tl2br w:val="nil"/>
              <w:tr2bl w:val="nil"/>
            </w:tcBorders>
            <w:vAlign w:val="center"/>
          </w:tcPr>
          <w:p w14:paraId="41CD5FB6">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eastAsia="zh-CN"/>
                <w14:textFill>
                  <w14:solidFill>
                    <w14:schemeClr w14:val="tx1"/>
                  </w14:solidFill>
                </w14:textFill>
              </w:rPr>
              <w:drawing>
                <wp:inline distT="0" distB="0" distL="114300" distR="114300">
                  <wp:extent cx="2702560" cy="2096135"/>
                  <wp:effectExtent l="0" t="0" r="2540" b="18415"/>
                  <wp:docPr id="55" name="图片 55" descr="7d994efdcfbb59dbac9ce53a2f593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7d994efdcfbb59dbac9ce53a2f59337c"/>
                          <pic:cNvPicPr>
                            <a:picLocks noChangeAspect="1"/>
                          </pic:cNvPicPr>
                        </pic:nvPicPr>
                        <pic:blipFill>
                          <a:blip r:embed="rId80"/>
                          <a:stretch>
                            <a:fillRect/>
                          </a:stretch>
                        </pic:blipFill>
                        <pic:spPr>
                          <a:xfrm>
                            <a:off x="0" y="0"/>
                            <a:ext cx="2702560" cy="2096135"/>
                          </a:xfrm>
                          <a:prstGeom prst="rect">
                            <a:avLst/>
                          </a:prstGeom>
                        </pic:spPr>
                      </pic:pic>
                    </a:graphicData>
                  </a:graphic>
                </wp:inline>
              </w:drawing>
            </w:r>
          </w:p>
        </w:tc>
        <w:tc>
          <w:tcPr>
            <w:tcW w:w="2500" w:type="pct"/>
            <w:tcBorders>
              <w:tl2br w:val="nil"/>
              <w:tr2bl w:val="nil"/>
            </w:tcBorders>
            <w:vAlign w:val="center"/>
          </w:tcPr>
          <w:p w14:paraId="570EC5A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eastAsia="仿宋_GB2312"/>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125A8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0" w:type="pct"/>
            <w:tcBorders>
              <w:tl2br w:val="nil"/>
              <w:tr2bl w:val="nil"/>
            </w:tcBorders>
            <w:vAlign w:val="center"/>
          </w:tcPr>
          <w:p w14:paraId="1E63725E">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污染</w:t>
            </w:r>
            <w:r>
              <w:rPr>
                <w:rFonts w:hint="eastAsia" w:ascii="Times New Roman" w:hAnsi="Times New Roman" w:eastAsia="宋体" w:cs="Times New Roman"/>
                <w:bCs/>
                <w:snapToGrid w:val="0"/>
                <w:color w:val="000000" w:themeColor="text1"/>
                <w:kern w:val="0"/>
                <w:sz w:val="21"/>
                <w:szCs w:val="21"/>
                <w:lang w:eastAsia="zh-CN"/>
                <w14:textFill>
                  <w14:solidFill>
                    <w14:schemeClr w14:val="tx1"/>
                  </w14:solidFill>
                </w14:textFill>
              </w:rPr>
              <w:t>泄漏</w:t>
            </w: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7300</w:t>
            </w: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d</w:t>
            </w:r>
            <w:r>
              <w:rPr>
                <w:rFonts w:hint="eastAsia" w:eastAsia="宋体" w:cs="Times New Roman"/>
                <w:bCs/>
                <w:snapToGrid w:val="0"/>
                <w:color w:val="000000" w:themeColor="text1"/>
                <w:kern w:val="0"/>
                <w:sz w:val="21"/>
                <w:szCs w:val="21"/>
                <w:lang w:val="en-US" w:eastAsia="zh-CN"/>
                <w14:textFill>
                  <w14:solidFill>
                    <w14:schemeClr w14:val="tx1"/>
                  </w14:solidFill>
                </w14:textFill>
              </w:rPr>
              <w:t>内COD浓度随距离变化情况</w:t>
            </w:r>
          </w:p>
        </w:tc>
        <w:tc>
          <w:tcPr>
            <w:tcW w:w="2500" w:type="pct"/>
            <w:tcBorders>
              <w:tl2br w:val="nil"/>
              <w:tr2bl w:val="nil"/>
            </w:tcBorders>
            <w:vAlign w:val="center"/>
          </w:tcPr>
          <w:p w14:paraId="32648E95">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eastAsia="宋体" w:cs="Times New Roman"/>
                <w:bCs/>
                <w:snapToGrid w:val="0"/>
                <w:color w:val="000000" w:themeColor="text1"/>
                <w:kern w:val="0"/>
                <w:sz w:val="21"/>
                <w:szCs w:val="21"/>
                <w:lang w:val="en-US" w:eastAsia="zh-CN"/>
                <w14:textFill>
                  <w14:solidFill>
                    <w14:schemeClr w14:val="tx1"/>
                  </w14:solidFill>
                </w14:textFill>
              </w:rPr>
              <w:t>/</w:t>
            </w:r>
          </w:p>
        </w:tc>
      </w:tr>
    </w:tbl>
    <w:p w14:paraId="78D3A984">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000000" w:themeColor="text1"/>
          <w:kern w:val="2"/>
          <w:sz w:val="24"/>
          <w:szCs w:val="15"/>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图5.3-</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预测期内污染物泄漏后浓度随距离变化图</w:t>
      </w:r>
    </w:p>
    <w:p w14:paraId="1636324B">
      <w:pPr>
        <w:pStyle w:val="18"/>
        <w:adjustRightInd w:val="0"/>
        <w:spacing w:line="360" w:lineRule="auto"/>
        <w:ind w:firstLine="480" w:firstLineChars="200"/>
        <w:jc w:val="both"/>
        <w:rPr>
          <w:rFonts w:hint="default" w:cs="Times New Roman"/>
          <w:color w:val="000000" w:themeColor="text1"/>
          <w:kern w:val="2"/>
          <w:sz w:val="24"/>
          <w:szCs w:val="15"/>
          <w:lang w:val="en-US" w:eastAsia="zh-CN" w:bidi="ar-SA"/>
          <w14:textFill>
            <w14:solidFill>
              <w14:schemeClr w14:val="tx1"/>
            </w14:solidFill>
          </w14:textFill>
        </w:rPr>
      </w:pPr>
      <w:r>
        <w:rPr>
          <w:rFonts w:hint="eastAsia" w:cs="Times New Roman"/>
          <w:color w:val="000000" w:themeColor="text1"/>
          <w:kern w:val="2"/>
          <w:sz w:val="24"/>
          <w:szCs w:val="15"/>
          <w:lang w:val="en-US" w:eastAsia="zh-CN" w:bidi="ar-SA"/>
          <w14:textFill>
            <w14:solidFill>
              <w14:schemeClr w14:val="tx1"/>
            </w14:solidFill>
          </w14:textFill>
        </w:rPr>
        <w:t>由预测结果可知：100天时，COD预测的最大值为112.54</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mg/L，预测超标面积为</w:t>
      </w:r>
      <w:r>
        <w:rPr>
          <w:rFonts w:hint="eastAsia" w:cs="Times New Roman"/>
          <w:color w:val="000000" w:themeColor="text1"/>
          <w:kern w:val="2"/>
          <w:sz w:val="24"/>
          <w:szCs w:val="15"/>
          <w:lang w:val="en-US" w:eastAsia="zh-CN" w:bidi="ar-SA"/>
          <w14:textFill>
            <w14:solidFill>
              <w14:schemeClr w14:val="tx1"/>
            </w14:solidFill>
          </w14:textFill>
        </w:rPr>
        <w:t>411.72</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m</w:t>
      </w:r>
      <w:r>
        <w:rPr>
          <w:rFonts w:hint="eastAsia" w:ascii="Times New Roman" w:hAnsi="Times New Roman" w:cs="Times New Roman"/>
          <w:color w:val="000000" w:themeColor="text1"/>
          <w:kern w:val="2"/>
          <w:sz w:val="24"/>
          <w:szCs w:val="15"/>
          <w:vertAlign w:val="superscript"/>
          <w:lang w:val="en-US" w:eastAsia="zh-CN" w:bidi="ar-SA"/>
          <w14:textFill>
            <w14:solidFill>
              <w14:schemeClr w14:val="tx1"/>
            </w14:solidFill>
          </w14:textFill>
        </w:rPr>
        <w:t>2</w:t>
      </w:r>
      <w:r>
        <w:rPr>
          <w:rFonts w:hint="eastAsia" w:cs="Times New Roman"/>
          <w:color w:val="000000" w:themeColor="text1"/>
          <w:kern w:val="2"/>
          <w:sz w:val="24"/>
          <w:szCs w:val="15"/>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影响</w:t>
      </w:r>
      <w:r>
        <w:rPr>
          <w:rFonts w:hint="eastAsia" w:cs="Times New Roman"/>
          <w:color w:val="000000" w:themeColor="text1"/>
          <w:kern w:val="2"/>
          <w:sz w:val="24"/>
          <w:szCs w:val="15"/>
          <w:lang w:val="en-US" w:eastAsia="zh-CN" w:bidi="ar-SA"/>
          <w14:textFill>
            <w14:solidFill>
              <w14:schemeClr w14:val="tx1"/>
            </w14:solidFill>
          </w14:textFill>
        </w:rPr>
        <w:t>面积</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为下游1101.85m</w:t>
      </w:r>
      <w:r>
        <w:rPr>
          <w:rFonts w:hint="eastAsia" w:ascii="Times New Roman" w:hAnsi="Times New Roman" w:cs="Times New Roman"/>
          <w:color w:val="000000" w:themeColor="text1"/>
          <w:kern w:val="2"/>
          <w:sz w:val="24"/>
          <w:szCs w:val="15"/>
          <w:vertAlign w:val="superscript"/>
          <w:lang w:val="en-US" w:eastAsia="zh-CN" w:bidi="ar-SA"/>
          <w14:textFill>
            <w14:solidFill>
              <w14:schemeClr w14:val="tx1"/>
            </w14:solidFill>
          </w14:textFill>
        </w:rPr>
        <w:t>2</w:t>
      </w:r>
      <w:r>
        <w:rPr>
          <w:rFonts w:hint="eastAsia" w:cs="Times New Roman"/>
          <w:color w:val="000000" w:themeColor="text1"/>
          <w:kern w:val="2"/>
          <w:sz w:val="24"/>
          <w:szCs w:val="15"/>
          <w:lang w:val="en-US" w:eastAsia="zh-CN" w:bidi="ar-SA"/>
          <w14:textFill>
            <w14:solidFill>
              <w14:schemeClr w14:val="tx1"/>
            </w14:solidFill>
          </w14:textFill>
        </w:rPr>
        <w:t>；365时，COD预测的最大值为2.42</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mg/L，预测范围内超标面积为0m</w:t>
      </w:r>
      <w:r>
        <w:rPr>
          <w:rFonts w:hint="eastAsia" w:ascii="Times New Roman" w:hAnsi="Times New Roman" w:cs="Times New Roman"/>
          <w:color w:val="000000" w:themeColor="text1"/>
          <w:kern w:val="2"/>
          <w:sz w:val="24"/>
          <w:szCs w:val="15"/>
          <w:vertAlign w:val="superscript"/>
          <w:lang w:val="en-US" w:eastAsia="zh-CN" w:bidi="ar-SA"/>
          <w14:textFill>
            <w14:solidFill>
              <w14:schemeClr w14:val="tx1"/>
            </w14:solidFill>
          </w14:textFill>
        </w:rPr>
        <w:t>2</w:t>
      </w:r>
      <w:r>
        <w:rPr>
          <w:rFonts w:hint="eastAsia" w:cs="Times New Roman"/>
          <w:color w:val="000000" w:themeColor="text1"/>
          <w:kern w:val="2"/>
          <w:sz w:val="24"/>
          <w:szCs w:val="15"/>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影响面积为</w:t>
      </w:r>
      <w:r>
        <w:rPr>
          <w:rFonts w:hint="eastAsia" w:cs="Times New Roman"/>
          <w:color w:val="000000" w:themeColor="text1"/>
          <w:kern w:val="2"/>
          <w:sz w:val="24"/>
          <w:szCs w:val="15"/>
          <w:lang w:val="en-US" w:eastAsia="zh-CN" w:bidi="ar-SA"/>
          <w14:textFill>
            <w14:solidFill>
              <w14:schemeClr w14:val="tx1"/>
            </w14:solidFill>
          </w14:textFill>
        </w:rPr>
        <w:t>2980.10</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m</w:t>
      </w:r>
      <w:r>
        <w:rPr>
          <w:rFonts w:hint="eastAsia" w:ascii="Times New Roman" w:hAnsi="Times New Roman" w:cs="Times New Roman"/>
          <w:color w:val="000000" w:themeColor="text1"/>
          <w:kern w:val="2"/>
          <w:sz w:val="24"/>
          <w:szCs w:val="15"/>
          <w:vertAlign w:val="superscript"/>
          <w:lang w:val="en-US" w:eastAsia="zh-CN" w:bidi="ar-SA"/>
          <w14:textFill>
            <w14:solidFill>
              <w14:schemeClr w14:val="tx1"/>
            </w14:solidFill>
          </w14:textFill>
        </w:rPr>
        <w:t>2</w:t>
      </w:r>
      <w:r>
        <w:rPr>
          <w:rFonts w:hint="eastAsia" w:cs="Times New Roman"/>
          <w:color w:val="000000" w:themeColor="text1"/>
          <w:kern w:val="2"/>
          <w:sz w:val="24"/>
          <w:szCs w:val="15"/>
          <w:lang w:val="en-US" w:eastAsia="zh-CN" w:bidi="ar-SA"/>
          <w14:textFill>
            <w14:solidFill>
              <w14:schemeClr w14:val="tx1"/>
            </w14:solidFill>
          </w14:textFill>
        </w:rPr>
        <w:t>；1000天时，COD预测的最大值为0.80</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mg/L，预测范围内超标面积为0m</w:t>
      </w:r>
      <w:r>
        <w:rPr>
          <w:rFonts w:hint="eastAsia" w:ascii="Times New Roman" w:hAnsi="Times New Roman" w:cs="Times New Roman"/>
          <w:color w:val="000000" w:themeColor="text1"/>
          <w:kern w:val="2"/>
          <w:sz w:val="24"/>
          <w:szCs w:val="15"/>
          <w:vertAlign w:val="superscript"/>
          <w:lang w:val="en-US" w:eastAsia="zh-CN" w:bidi="ar-SA"/>
          <w14:textFill>
            <w14:solidFill>
              <w14:schemeClr w14:val="tx1"/>
            </w14:solidFill>
          </w14:textFill>
        </w:rPr>
        <w:t>2</w:t>
      </w:r>
      <w:r>
        <w:rPr>
          <w:rFonts w:hint="eastAsia" w:cs="Times New Roman"/>
          <w:color w:val="000000" w:themeColor="text1"/>
          <w:kern w:val="2"/>
          <w:sz w:val="24"/>
          <w:szCs w:val="15"/>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影响面积为</w:t>
      </w:r>
      <w:r>
        <w:rPr>
          <w:rFonts w:hint="eastAsia" w:cs="Times New Roman"/>
          <w:color w:val="000000" w:themeColor="text1"/>
          <w:kern w:val="2"/>
          <w:sz w:val="24"/>
          <w:szCs w:val="15"/>
          <w:lang w:val="en-US" w:eastAsia="zh-CN" w:bidi="ar-SA"/>
          <w14:textFill>
            <w14:solidFill>
              <w14:schemeClr w14:val="tx1"/>
            </w14:solidFill>
          </w14:textFill>
        </w:rPr>
        <w:t>2647.25</w:t>
      </w:r>
      <w:r>
        <w:rPr>
          <w:rFonts w:hint="eastAsia" w:ascii="Times New Roman" w:hAnsi="Times New Roman" w:cs="Times New Roman"/>
          <w:color w:val="000000" w:themeColor="text1"/>
          <w:kern w:val="2"/>
          <w:sz w:val="24"/>
          <w:szCs w:val="15"/>
          <w:lang w:val="en-US" w:eastAsia="zh-CN" w:bidi="ar-SA"/>
          <w14:textFill>
            <w14:solidFill>
              <w14:schemeClr w14:val="tx1"/>
            </w14:solidFill>
          </w14:textFill>
        </w:rPr>
        <w:t>m</w:t>
      </w:r>
      <w:r>
        <w:rPr>
          <w:rFonts w:hint="eastAsia" w:ascii="Times New Roman" w:hAnsi="Times New Roman" w:cs="Times New Roman"/>
          <w:color w:val="000000" w:themeColor="text1"/>
          <w:kern w:val="2"/>
          <w:sz w:val="24"/>
          <w:szCs w:val="15"/>
          <w:vertAlign w:val="superscript"/>
          <w:lang w:val="en-US" w:eastAsia="zh-CN" w:bidi="ar-SA"/>
          <w14:textFill>
            <w14:solidFill>
              <w14:schemeClr w14:val="tx1"/>
            </w14:solidFill>
          </w14:textFill>
        </w:rPr>
        <w:t>2</w:t>
      </w:r>
      <w:r>
        <w:rPr>
          <w:rFonts w:hint="eastAsia" w:cs="Times New Roman"/>
          <w:color w:val="000000" w:themeColor="text1"/>
          <w:kern w:val="2"/>
          <w:sz w:val="24"/>
          <w:szCs w:val="15"/>
          <w:lang w:val="en-US" w:eastAsia="zh-CN" w:bidi="ar-SA"/>
          <w14:textFill>
            <w14:solidFill>
              <w14:schemeClr w14:val="tx1"/>
            </w14:solidFill>
          </w14:textFill>
        </w:rPr>
        <w:t>；3650天及7300天时，预测范围内COD浓度均未超标。</w:t>
      </w:r>
    </w:p>
    <w:p w14:paraId="23D5533A">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2"/>
          <w:sz w:val="24"/>
          <w:szCs w:val="15"/>
          <w:lang w:val="en-US" w:eastAsia="zh-CN" w:bidi="ar-SA"/>
        </w:rPr>
      </w:pPr>
      <w:r>
        <w:rPr>
          <w:rFonts w:hint="eastAsia" w:ascii="Times New Roman" w:hAnsi="Times New Roman" w:cs="Times New Roman"/>
          <w:color w:val="auto"/>
          <w:kern w:val="2"/>
          <w:sz w:val="24"/>
          <w:szCs w:val="15"/>
          <w:lang w:val="en-US" w:eastAsia="zh-CN" w:bidi="ar-SA"/>
        </w:rPr>
        <w:t>（4）</w:t>
      </w:r>
      <w:r>
        <w:rPr>
          <w:rFonts w:hint="default" w:ascii="Times New Roman" w:hAnsi="Times New Roman" w:eastAsia="仿宋_GB2312" w:cs="Times New Roman"/>
          <w:color w:val="auto"/>
          <w:kern w:val="2"/>
          <w:sz w:val="24"/>
          <w:szCs w:val="15"/>
          <w:lang w:val="en-US" w:eastAsia="zh-CN" w:bidi="ar-SA"/>
        </w:rPr>
        <w:t>影响分析</w:t>
      </w:r>
    </w:p>
    <w:p w14:paraId="59F2AE75">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2"/>
          <w:sz w:val="24"/>
          <w:szCs w:val="15"/>
          <w:lang w:val="zh-CN" w:eastAsia="zh-CN" w:bidi="ar-SA"/>
        </w:rPr>
      </w:pPr>
      <w:r>
        <w:rPr>
          <w:rFonts w:hint="default" w:ascii="Times New Roman" w:hAnsi="Times New Roman" w:eastAsia="仿宋_GB2312" w:cs="Times New Roman"/>
          <w:color w:val="auto"/>
          <w:kern w:val="2"/>
          <w:sz w:val="24"/>
          <w:szCs w:val="15"/>
          <w:lang w:val="zh-CN" w:eastAsia="zh-CN" w:bidi="ar-SA"/>
        </w:rPr>
        <w:t>本项目不开采地下水，厂址周边无生活供水水源，厂址也不属于生活供水水源的补给区，地下水环境敏感程度属于不敏感。项目运营期</w:t>
      </w:r>
      <w:r>
        <w:rPr>
          <w:rFonts w:hint="eastAsia" w:ascii="Times New Roman" w:hAnsi="Times New Roman" w:eastAsia="仿宋_GB2312" w:cs="Times New Roman"/>
          <w:color w:val="auto"/>
          <w:kern w:val="2"/>
          <w:sz w:val="24"/>
          <w:szCs w:val="15"/>
          <w:lang w:val="zh-CN" w:eastAsia="zh-CN" w:bidi="ar-SA"/>
        </w:rPr>
        <w:t>污水处理站</w:t>
      </w:r>
      <w:r>
        <w:rPr>
          <w:rFonts w:hint="default" w:ascii="Times New Roman" w:hAnsi="Times New Roman" w:eastAsia="仿宋_GB2312" w:cs="Times New Roman"/>
          <w:color w:val="auto"/>
          <w:kern w:val="2"/>
          <w:sz w:val="24"/>
          <w:szCs w:val="15"/>
          <w:lang w:val="zh-CN" w:eastAsia="zh-CN" w:bidi="ar-SA"/>
        </w:rPr>
        <w:t>、污水收集管道及</w:t>
      </w:r>
      <w:r>
        <w:rPr>
          <w:rFonts w:hint="eastAsia" w:ascii="Times New Roman" w:hAnsi="Times New Roman" w:eastAsia="仿宋_GB2312" w:cs="Times New Roman"/>
          <w:color w:val="auto"/>
          <w:kern w:val="2"/>
          <w:sz w:val="24"/>
          <w:szCs w:val="15"/>
          <w:lang w:val="en-US" w:eastAsia="zh-CN" w:bidi="ar-SA"/>
        </w:rPr>
        <w:t>化粪池</w:t>
      </w:r>
      <w:r>
        <w:rPr>
          <w:rFonts w:hint="default" w:ascii="Times New Roman" w:hAnsi="Times New Roman" w:eastAsia="仿宋_GB2312" w:cs="Times New Roman"/>
          <w:color w:val="auto"/>
          <w:kern w:val="2"/>
          <w:sz w:val="24"/>
          <w:szCs w:val="15"/>
          <w:lang w:val="zh-CN" w:eastAsia="zh-CN" w:bidi="ar-SA"/>
        </w:rPr>
        <w:t>的泄漏污水可能会通过包气带缓慢渗入浅层地下水，造成浅层地下水的污染。</w:t>
      </w:r>
    </w:p>
    <w:p w14:paraId="5428187C">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2"/>
          <w:sz w:val="24"/>
          <w:szCs w:val="15"/>
          <w:lang w:val="zh-CN" w:eastAsia="zh-CN" w:bidi="ar-SA"/>
        </w:rPr>
      </w:pPr>
      <w:r>
        <w:rPr>
          <w:rFonts w:hint="default" w:ascii="Times New Roman" w:hAnsi="Times New Roman" w:eastAsia="仿宋_GB2312" w:cs="Times New Roman"/>
          <w:color w:val="auto"/>
          <w:kern w:val="2"/>
          <w:sz w:val="24"/>
          <w:szCs w:val="15"/>
          <w:lang w:val="zh-CN" w:eastAsia="zh-CN" w:bidi="ar-SA"/>
        </w:rPr>
        <w:t>本项目运营期</w:t>
      </w:r>
      <w:r>
        <w:rPr>
          <w:rFonts w:hint="eastAsia" w:ascii="Times New Roman" w:hAnsi="Times New Roman" w:eastAsia="仿宋_GB2312" w:cs="Times New Roman"/>
          <w:color w:val="auto"/>
          <w:kern w:val="2"/>
          <w:sz w:val="24"/>
          <w:szCs w:val="15"/>
          <w:lang w:val="zh-CN" w:eastAsia="zh-CN" w:bidi="ar-SA"/>
        </w:rPr>
        <w:t>屠宰</w:t>
      </w:r>
      <w:r>
        <w:rPr>
          <w:rFonts w:hint="default" w:ascii="Times New Roman" w:hAnsi="Times New Roman" w:eastAsia="仿宋_GB2312" w:cs="Times New Roman"/>
          <w:color w:val="auto"/>
          <w:kern w:val="2"/>
          <w:sz w:val="24"/>
          <w:szCs w:val="15"/>
          <w:lang w:val="zh-CN" w:eastAsia="zh-CN" w:bidi="ar-SA"/>
        </w:rPr>
        <w:t>废水必须进行妥善管理，否则会造成污染地下水的隐患；污水管道的跑、冒、滴、漏等也会造成地下水环境污染。评价针对污染地下水途径，建议采取以下防渗措施</w:t>
      </w:r>
      <w:r>
        <w:rPr>
          <w:rFonts w:hint="eastAsia" w:ascii="Times New Roman" w:hAnsi="Times New Roman" w:eastAsia="仿宋_GB2312" w:cs="Times New Roman"/>
          <w:color w:val="auto"/>
          <w:kern w:val="2"/>
          <w:sz w:val="24"/>
          <w:szCs w:val="15"/>
          <w:lang w:val="zh-CN" w:eastAsia="zh-CN" w:bidi="ar-SA"/>
        </w:rPr>
        <w:t>：</w:t>
      </w:r>
    </w:p>
    <w:p w14:paraId="32B495AA">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2"/>
          <w:sz w:val="24"/>
          <w:szCs w:val="15"/>
          <w:lang w:val="zh-CN" w:eastAsia="zh-CN" w:bidi="ar-SA"/>
        </w:rPr>
      </w:pPr>
      <w:r>
        <w:rPr>
          <w:rFonts w:hint="default" w:ascii="Times New Roman" w:hAnsi="Times New Roman" w:eastAsia="仿宋_GB2312" w:cs="Times New Roman"/>
          <w:color w:val="auto"/>
          <w:kern w:val="2"/>
          <w:sz w:val="24"/>
          <w:szCs w:val="15"/>
          <w:lang w:val="zh-CN" w:eastAsia="zh-CN" w:bidi="ar-SA"/>
        </w:rPr>
        <w:t>①</w:t>
      </w:r>
      <w:r>
        <w:rPr>
          <w:rFonts w:hint="eastAsia" w:ascii="Times New Roman" w:hAnsi="Times New Roman" w:eastAsia="仿宋_GB2312" w:cs="Times New Roman"/>
          <w:color w:val="auto"/>
          <w:kern w:val="2"/>
          <w:sz w:val="24"/>
          <w:szCs w:val="15"/>
          <w:lang w:val="zh-CN" w:eastAsia="zh-CN" w:bidi="ar-SA"/>
        </w:rPr>
        <w:t>屠宰车间</w:t>
      </w:r>
      <w:r>
        <w:rPr>
          <w:rFonts w:hint="default" w:ascii="Times New Roman" w:hAnsi="Times New Roman" w:eastAsia="仿宋_GB2312" w:cs="Times New Roman"/>
          <w:color w:val="auto"/>
          <w:kern w:val="2"/>
          <w:sz w:val="24"/>
          <w:szCs w:val="15"/>
          <w:lang w:val="zh-CN" w:eastAsia="zh-CN" w:bidi="ar-SA"/>
        </w:rPr>
        <w:t>地面全部硬化防渗处理，</w:t>
      </w:r>
      <w:r>
        <w:rPr>
          <w:rFonts w:hint="eastAsia" w:ascii="Times New Roman" w:hAnsi="Times New Roman" w:eastAsia="仿宋_GB2312" w:cs="Times New Roman"/>
          <w:color w:val="auto"/>
          <w:kern w:val="2"/>
          <w:sz w:val="24"/>
          <w:szCs w:val="15"/>
          <w:lang w:val="zh-CN" w:eastAsia="zh-CN" w:bidi="ar-SA"/>
        </w:rPr>
        <w:t>屠宰</w:t>
      </w:r>
      <w:r>
        <w:rPr>
          <w:rFonts w:hint="default" w:ascii="Times New Roman" w:hAnsi="Times New Roman" w:eastAsia="仿宋_GB2312" w:cs="Times New Roman"/>
          <w:color w:val="auto"/>
          <w:kern w:val="2"/>
          <w:sz w:val="24"/>
          <w:szCs w:val="15"/>
          <w:lang w:val="zh-CN" w:eastAsia="zh-CN" w:bidi="ar-SA"/>
        </w:rPr>
        <w:t>废水经污水管道排入</w:t>
      </w:r>
      <w:r>
        <w:rPr>
          <w:rFonts w:hint="eastAsia" w:ascii="Times New Roman" w:hAnsi="Times New Roman" w:eastAsia="仿宋_GB2312" w:cs="Times New Roman"/>
          <w:color w:val="auto"/>
          <w:kern w:val="2"/>
          <w:sz w:val="24"/>
          <w:szCs w:val="15"/>
          <w:lang w:val="zh-CN" w:eastAsia="zh-CN" w:bidi="ar-SA"/>
        </w:rPr>
        <w:t>厂区污水处理站处理</w:t>
      </w:r>
      <w:r>
        <w:rPr>
          <w:rFonts w:hint="default" w:ascii="Times New Roman" w:hAnsi="Times New Roman" w:eastAsia="仿宋_GB2312" w:cs="Times New Roman"/>
          <w:color w:val="auto"/>
          <w:kern w:val="2"/>
          <w:sz w:val="24"/>
          <w:szCs w:val="15"/>
          <w:lang w:val="zh-CN" w:eastAsia="zh-CN" w:bidi="ar-SA"/>
        </w:rPr>
        <w:t>，污水管道密闭且防渗。</w:t>
      </w:r>
    </w:p>
    <w:p w14:paraId="1236ECEA">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2"/>
          <w:sz w:val="24"/>
          <w:szCs w:val="15"/>
          <w:lang w:val="zh-CN" w:eastAsia="zh-CN" w:bidi="ar-SA"/>
        </w:rPr>
      </w:pPr>
      <w:r>
        <w:rPr>
          <w:rFonts w:hint="default" w:ascii="Times New Roman" w:hAnsi="Times New Roman" w:eastAsia="仿宋_GB2312" w:cs="Times New Roman"/>
          <w:color w:val="auto"/>
          <w:kern w:val="2"/>
          <w:sz w:val="24"/>
          <w:szCs w:val="15"/>
          <w:lang w:val="zh-CN" w:eastAsia="zh-CN" w:bidi="ar-SA"/>
        </w:rPr>
        <w:t>②做好</w:t>
      </w:r>
      <w:r>
        <w:rPr>
          <w:rFonts w:hint="eastAsia" w:ascii="Times New Roman" w:hAnsi="Times New Roman" w:eastAsia="仿宋_GB2312" w:cs="Times New Roman"/>
          <w:color w:val="auto"/>
          <w:kern w:val="2"/>
          <w:sz w:val="24"/>
          <w:szCs w:val="15"/>
          <w:lang w:val="zh-CN" w:eastAsia="zh-CN" w:bidi="ar-SA"/>
        </w:rPr>
        <w:t>厂区污水处理站、化粪池、污水管道等</w:t>
      </w:r>
      <w:r>
        <w:rPr>
          <w:rFonts w:hint="default" w:ascii="Times New Roman" w:hAnsi="Times New Roman" w:eastAsia="仿宋_GB2312" w:cs="Times New Roman"/>
          <w:color w:val="auto"/>
          <w:kern w:val="2"/>
          <w:sz w:val="24"/>
          <w:szCs w:val="15"/>
          <w:lang w:val="zh-CN" w:eastAsia="zh-CN" w:bidi="ar-SA"/>
        </w:rPr>
        <w:t>的防渗。</w:t>
      </w:r>
    </w:p>
    <w:p w14:paraId="5705F308">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2"/>
          <w:sz w:val="24"/>
          <w:szCs w:val="15"/>
          <w:lang w:val="zh-CN" w:eastAsia="zh-CN" w:bidi="ar-SA"/>
        </w:rPr>
      </w:pPr>
      <w:r>
        <w:rPr>
          <w:rFonts w:hint="default" w:ascii="Times New Roman" w:hAnsi="Times New Roman" w:eastAsia="仿宋_GB2312" w:cs="Times New Roman"/>
          <w:color w:val="auto"/>
          <w:kern w:val="2"/>
          <w:sz w:val="24"/>
          <w:szCs w:val="15"/>
          <w:lang w:val="zh-CN" w:eastAsia="zh-CN" w:bidi="ar-SA"/>
        </w:rPr>
        <w:t>综上分析，在落实好防渗、防污措施后，本项目污染物能得到有效处理，能够避免因下渗或</w:t>
      </w:r>
      <w:r>
        <w:rPr>
          <w:rFonts w:hint="eastAsia" w:ascii="Times New Roman" w:hAnsi="Times New Roman" w:eastAsia="仿宋_GB2312" w:cs="Times New Roman"/>
          <w:color w:val="auto"/>
          <w:kern w:val="2"/>
          <w:sz w:val="24"/>
          <w:szCs w:val="15"/>
          <w:lang w:val="zh-CN" w:eastAsia="zh-CN" w:bidi="ar-SA"/>
        </w:rPr>
        <w:t>泄漏</w:t>
      </w:r>
      <w:r>
        <w:rPr>
          <w:rFonts w:hint="default" w:ascii="Times New Roman" w:hAnsi="Times New Roman" w:eastAsia="仿宋_GB2312" w:cs="Times New Roman"/>
          <w:color w:val="auto"/>
          <w:kern w:val="2"/>
          <w:sz w:val="24"/>
          <w:szCs w:val="15"/>
          <w:lang w:val="zh-CN" w:eastAsia="zh-CN" w:bidi="ar-SA"/>
        </w:rPr>
        <w:t>对地下水造成影响。</w:t>
      </w:r>
    </w:p>
    <w:p w14:paraId="5356012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olor w:val="auto"/>
          <w:lang w:eastAsia="zh-CN"/>
        </w:rPr>
      </w:pPr>
      <w:r>
        <w:rPr>
          <w:rFonts w:hint="eastAsia" w:cs="Times New Roman"/>
          <w:color w:val="auto"/>
          <w:kern w:val="2"/>
          <w:sz w:val="24"/>
          <w:szCs w:val="15"/>
          <w:lang w:val="zh-CN" w:eastAsia="zh-CN" w:bidi="ar-SA"/>
        </w:rPr>
        <w:t>综上所述</w:t>
      </w:r>
      <w:r>
        <w:rPr>
          <w:rFonts w:hint="default" w:ascii="Times New Roman" w:hAnsi="Times New Roman" w:eastAsia="仿宋_GB2312" w:cs="Times New Roman"/>
          <w:color w:val="auto"/>
          <w:kern w:val="2"/>
          <w:sz w:val="24"/>
          <w:szCs w:val="15"/>
          <w:lang w:val="zh-CN" w:eastAsia="zh-CN" w:bidi="ar-SA"/>
        </w:rPr>
        <w:t>，通过采取上述有效防治措施后，本项目运营期对地下水环境影响较小。</w:t>
      </w:r>
    </w:p>
    <w:p w14:paraId="090F9B1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445" w:name="_Toc27408"/>
      <w:bookmarkStart w:id="446" w:name="_Toc26881"/>
      <w:bookmarkStart w:id="447" w:name="_Toc30151"/>
      <w:bookmarkStart w:id="448" w:name="_Toc13157"/>
      <w:r>
        <w:rPr>
          <w:rFonts w:hint="default" w:ascii="Times New Roman" w:hAnsi="Times New Roman" w:eastAsia="黑体" w:cs="Times New Roman"/>
          <w:b/>
          <w:color w:val="auto"/>
          <w:sz w:val="28"/>
          <w:szCs w:val="28"/>
          <w:highlight w:val="none"/>
          <w:lang w:val="en-US" w:eastAsia="zh-CN"/>
        </w:rPr>
        <w:t>5.4声环境影响分析与评价</w:t>
      </w:r>
      <w:bookmarkEnd w:id="445"/>
      <w:bookmarkEnd w:id="446"/>
      <w:bookmarkEnd w:id="447"/>
      <w:bookmarkEnd w:id="448"/>
    </w:p>
    <w:p w14:paraId="60BA6AFC">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5.4.1噪声源强</w:t>
      </w:r>
    </w:p>
    <w:p w14:paraId="5B4BD3EA">
      <w:pPr>
        <w:rPr>
          <w:rFonts w:hint="eastAsia" w:ascii="Times New Roman" w:hAnsi="Times New Roman"/>
          <w:color w:val="auto"/>
          <w:lang w:eastAsia="zh-CN"/>
        </w:rPr>
      </w:pPr>
      <w:r>
        <w:rPr>
          <w:rFonts w:hint="eastAsia" w:ascii="Times New Roman" w:hAnsi="Times New Roman"/>
          <w:color w:val="auto"/>
          <w:lang w:eastAsia="zh-CN"/>
        </w:rPr>
        <w:t>本项目噪声来源主要为屠宰车间</w:t>
      </w:r>
      <w:r>
        <w:rPr>
          <w:rFonts w:hint="eastAsia"/>
          <w:color w:val="auto"/>
          <w:lang w:val="en-US" w:eastAsia="zh-CN"/>
        </w:rPr>
        <w:t>牛羊叫声及</w:t>
      </w:r>
      <w:r>
        <w:rPr>
          <w:rFonts w:hint="eastAsia" w:ascii="Times New Roman" w:hAnsi="Times New Roman"/>
          <w:color w:val="auto"/>
          <w:lang w:eastAsia="zh-CN"/>
        </w:rPr>
        <w:t>各类机械噪声，</w:t>
      </w:r>
      <w:r>
        <w:rPr>
          <w:rFonts w:hint="default" w:ascii="Times New Roman" w:hAnsi="Times New Roman" w:eastAsia="仿宋_GB2312" w:cs="Times New Roman"/>
          <w:color w:val="auto"/>
          <w:sz w:val="24"/>
          <w:szCs w:val="15"/>
          <w:highlight w:val="none"/>
          <w:lang w:val="zh-CN"/>
        </w:rPr>
        <w:t>各个机械</w:t>
      </w:r>
      <w:r>
        <w:rPr>
          <w:rFonts w:hint="default" w:ascii="Times New Roman" w:hAnsi="Times New Roman" w:eastAsia="仿宋_GB2312" w:cs="Times New Roman"/>
          <w:color w:val="auto"/>
          <w:sz w:val="24"/>
          <w:szCs w:val="15"/>
          <w:highlight w:val="none"/>
        </w:rPr>
        <w:t>设备均置于厂房内，并采取基础减振等措施，</w:t>
      </w:r>
      <w:r>
        <w:rPr>
          <w:rFonts w:hint="default" w:ascii="Times New Roman" w:hAnsi="Times New Roman" w:eastAsia="仿宋_GB2312" w:cs="Times New Roman"/>
          <w:color w:val="auto"/>
          <w:sz w:val="24"/>
        </w:rPr>
        <w:t>大大降低噪声源强，</w:t>
      </w:r>
      <w:r>
        <w:rPr>
          <w:rFonts w:hint="eastAsia" w:ascii="Times New Roman" w:hAnsi="Times New Roman"/>
          <w:color w:val="auto"/>
          <w:lang w:eastAsia="zh-CN"/>
        </w:rPr>
        <w:t>项目屠宰过程噪声源强情况见表2.2-10。</w:t>
      </w:r>
    </w:p>
    <w:p w14:paraId="674A641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5.4.2预测模式</w:t>
      </w:r>
    </w:p>
    <w:p w14:paraId="2AC6017E">
      <w:pPr>
        <w:pageBreakBefore w:val="0"/>
        <w:wordWrap/>
        <w:topLinePunct w:val="0"/>
        <w:bidi w:val="0"/>
        <w:adjustRightInd w:val="0"/>
        <w:snapToGrid w:val="0"/>
        <w:spacing w:line="360" w:lineRule="auto"/>
        <w:ind w:left="0" w:leftChars="0" w:right="0" w:rightChars="0"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根据《环境影响评价技术导则·声环境》（HJ2.4-20</w:t>
      </w:r>
      <w:r>
        <w:rPr>
          <w:rFonts w:hint="default" w:ascii="Times New Roman" w:hAnsi="Times New Roman" w:eastAsia="仿宋_GB2312" w:cs="Times New Roman"/>
          <w:color w:val="auto"/>
          <w:sz w:val="24"/>
          <w:lang w:val="en-US" w:eastAsia="zh-CN"/>
        </w:rPr>
        <w:t>21</w:t>
      </w:r>
      <w:r>
        <w:rPr>
          <w:rFonts w:hint="default" w:ascii="Times New Roman" w:hAnsi="Times New Roman" w:eastAsia="仿宋_GB2312" w:cs="Times New Roman"/>
          <w:color w:val="auto"/>
          <w:sz w:val="24"/>
        </w:rPr>
        <w:t>）的技术要求，本次评价采取导则上的推荐模式进行预测分析。本</w:t>
      </w:r>
      <w:r>
        <w:rPr>
          <w:rFonts w:hint="eastAsia" w:ascii="Times New Roman" w:hAnsi="Times New Roman" w:eastAsia="仿宋_GB2312" w:cs="Times New Roman"/>
          <w:color w:val="auto"/>
          <w:sz w:val="24"/>
          <w:lang w:val="en-US" w:eastAsia="zh-CN"/>
        </w:rPr>
        <w:t>项目</w:t>
      </w:r>
      <w:r>
        <w:rPr>
          <w:rFonts w:hint="default" w:ascii="Times New Roman" w:hAnsi="Times New Roman" w:eastAsia="仿宋_GB2312" w:cs="Times New Roman"/>
          <w:color w:val="auto"/>
          <w:sz w:val="24"/>
        </w:rPr>
        <w:t>噪声源位于室内，计算室内声源对预测点的影响时，现将室内声源等效为室外声源，再按照室外声源的预测方法计算预测点的A声级。</w:t>
      </w:r>
    </w:p>
    <w:p w14:paraId="056DA6AC">
      <w:pPr>
        <w:pStyle w:val="41"/>
        <w:pageBreakBefore w:val="0"/>
        <w:numPr>
          <w:ilvl w:val="0"/>
          <w:numId w:val="0"/>
        </w:numPr>
        <w:wordWrap/>
        <w:topLinePunct w:val="0"/>
        <w:bidi w:val="0"/>
        <w:adjustRightInd w:val="0"/>
        <w:snapToGrid w:val="0"/>
        <w:ind w:leftChars="200" w:right="0" w:rightChars="0"/>
        <w:rPr>
          <w:rFonts w:hint="default" w:ascii="Times New Roman" w:hAnsi="Times New Roman" w:cs="Times New Roman"/>
          <w:color w:val="auto"/>
        </w:rPr>
      </w:pPr>
      <w:r>
        <w:rPr>
          <w:rFonts w:hint="eastAsia" w:ascii="Times New Roman" w:cs="Times New Roman"/>
          <w:color w:val="auto"/>
          <w:lang w:eastAsia="zh-CN"/>
        </w:rPr>
        <w:t>（</w:t>
      </w:r>
      <w:r>
        <w:rPr>
          <w:rFonts w:hint="eastAsia" w:ascii="Times New Roman" w:cs="Times New Roman"/>
          <w:color w:val="auto"/>
          <w:lang w:val="en-US" w:eastAsia="zh-CN"/>
        </w:rPr>
        <w:t>1</w:t>
      </w:r>
      <w:r>
        <w:rPr>
          <w:rFonts w:hint="eastAsia" w:ascii="Times New Roman" w:cs="Times New Roman"/>
          <w:color w:val="auto"/>
          <w:lang w:eastAsia="zh-CN"/>
        </w:rPr>
        <w:t>）</w:t>
      </w:r>
      <w:r>
        <w:rPr>
          <w:rFonts w:hint="default" w:ascii="Times New Roman" w:hAnsi="Times New Roman" w:cs="Times New Roman"/>
          <w:color w:val="auto"/>
        </w:rPr>
        <w:t>室内声源等效为室外声源</w:t>
      </w:r>
    </w:p>
    <w:p w14:paraId="6B194EA4">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①</w:t>
      </w:r>
      <w:r>
        <w:rPr>
          <w:rFonts w:hint="default" w:ascii="Times New Roman" w:hAnsi="Times New Roman" w:eastAsia="仿宋_GB2312" w:cs="Times New Roman"/>
          <w:color w:val="auto"/>
          <w:kern w:val="2"/>
          <w:sz w:val="24"/>
          <w:szCs w:val="20"/>
          <w:highlight w:val="none"/>
          <w:lang w:val="en-US" w:eastAsia="zh-CN" w:bidi="ar-SA"/>
        </w:rPr>
        <w:t>计算出某个室内声源在围护结构处i倍频带的声压级，将所有声源i倍频带的声压级进行叠加。室内某声源靠近围护结构处i倍频带的声压级：</w:t>
      </w:r>
    </w:p>
    <w:p w14:paraId="70684C3C">
      <w:pPr>
        <w:widowControl w:val="0"/>
        <w:snapToGrid w:val="0"/>
        <w:spacing w:line="360" w:lineRule="auto"/>
        <w:ind w:firstLine="480" w:firstLineChars="200"/>
        <w:jc w:val="center"/>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object>
          <v:shape id="_x0000_i1036" o:spt="75" type="#_x0000_t75" style="height:34.3pt;width:144.4pt;" o:ole="t" filled="f" o:preferrelative="t" stroked="f" coordsize="21600,21600">
            <v:path/>
            <v:fill on="f" focussize="0,0"/>
            <v:stroke on="f"/>
            <v:imagedata r:id="rId82" o:title=""/>
            <o:lock v:ext="edit" aspectratio="t"/>
            <w10:wrap type="none"/>
            <w10:anchorlock/>
          </v:shape>
          <o:OLEObject Type="Embed" ProgID="Equations" ShapeID="_x0000_i1036" DrawAspect="Content" ObjectID="_1468075737" r:id="rId81">
            <o:LockedField>false</o:LockedField>
          </o:OLEObject>
        </w:object>
      </w:r>
    </w:p>
    <w:p w14:paraId="5C2972D5">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式中：</w:t>
      </w:r>
    </w:p>
    <w:p w14:paraId="32D9177B">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Q-指向性因数；通常对无指向性声源，当声源放在房间中心</w:t>
      </w:r>
      <w:r>
        <w:rPr>
          <w:rFonts w:hint="eastAsia" w:cs="Times New Roman"/>
          <w:color w:val="auto"/>
          <w:kern w:val="2"/>
          <w:sz w:val="24"/>
          <w:szCs w:val="20"/>
          <w:highlight w:val="none"/>
          <w:lang w:val="en-US" w:eastAsia="zh-CN" w:bidi="ar-SA"/>
        </w:rPr>
        <w:t>时</w:t>
      </w:r>
      <w:r>
        <w:rPr>
          <w:rFonts w:hint="default" w:ascii="Times New Roman" w:hAnsi="Times New Roman" w:eastAsia="仿宋_GB2312" w:cs="Times New Roman"/>
          <w:color w:val="auto"/>
          <w:kern w:val="2"/>
          <w:sz w:val="24"/>
          <w:szCs w:val="20"/>
          <w:highlight w:val="none"/>
          <w:lang w:val="en-US" w:eastAsia="zh-CN" w:bidi="ar-SA"/>
        </w:rPr>
        <w:t>，Q=1；当放在一面墙的中心时，Q=2；当放在两面墙夹角处时，Q=4；当放在三面墙夹角处时，Q=8。</w:t>
      </w:r>
    </w:p>
    <w:p w14:paraId="6E369E72">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R-房间常数；R=Sa/（1-a），S为房间内表面面积，m</w:t>
      </w:r>
      <w:r>
        <w:rPr>
          <w:rFonts w:hint="default" w:ascii="Times New Roman" w:hAnsi="Times New Roman" w:eastAsia="仿宋_GB2312" w:cs="Times New Roman"/>
          <w:color w:val="auto"/>
          <w:kern w:val="2"/>
          <w:sz w:val="24"/>
          <w:szCs w:val="20"/>
          <w:highlight w:val="none"/>
          <w:vertAlign w:val="superscript"/>
          <w:lang w:val="en-US" w:eastAsia="zh-CN" w:bidi="ar-SA"/>
        </w:rPr>
        <w:t>2</w:t>
      </w:r>
      <w:r>
        <w:rPr>
          <w:rFonts w:hint="default" w:ascii="Times New Roman" w:hAnsi="Times New Roman" w:eastAsia="仿宋_GB2312" w:cs="Times New Roman"/>
          <w:color w:val="auto"/>
          <w:kern w:val="2"/>
          <w:sz w:val="24"/>
          <w:szCs w:val="20"/>
          <w:highlight w:val="none"/>
          <w:lang w:val="en-US" w:eastAsia="zh-CN" w:bidi="ar-SA"/>
        </w:rPr>
        <w:t>；a为平均吸声系数。</w:t>
      </w:r>
    </w:p>
    <w:p w14:paraId="694DC153">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r-声源到靠近围护结构某点处的距离，m。</w:t>
      </w:r>
    </w:p>
    <w:p w14:paraId="31CF5B68">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②</w:t>
      </w:r>
      <w:r>
        <w:rPr>
          <w:rFonts w:hint="default" w:ascii="Times New Roman" w:hAnsi="Times New Roman" w:eastAsia="仿宋_GB2312" w:cs="Times New Roman"/>
          <w:color w:val="auto"/>
          <w:kern w:val="2"/>
          <w:sz w:val="24"/>
          <w:szCs w:val="20"/>
          <w:highlight w:val="none"/>
          <w:lang w:val="en-US" w:eastAsia="zh-CN" w:bidi="ar-SA"/>
        </w:rPr>
        <w:t>所有室内声源在围护结构处产生的i倍频带的声压级：</w:t>
      </w:r>
    </w:p>
    <w:p w14:paraId="2E45F365">
      <w:pPr>
        <w:widowControl w:val="0"/>
        <w:snapToGrid w:val="0"/>
        <w:spacing w:line="360" w:lineRule="auto"/>
        <w:ind w:firstLine="480" w:firstLineChars="200"/>
        <w:jc w:val="center"/>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object>
          <v:shape id="_x0000_i1037" o:spt="75" type="#_x0000_t75" style="height:37.35pt;width:126.65pt;" o:ole="t" filled="f" o:preferrelative="t" stroked="f" coordsize="21600,21600">
            <v:path/>
            <v:fill on="f" focussize="0,0"/>
            <v:stroke on="f"/>
            <v:imagedata r:id="rId84" o:title=""/>
            <o:lock v:ext="edit" aspectratio="t"/>
            <w10:wrap type="none"/>
            <w10:anchorlock/>
          </v:shape>
          <o:OLEObject Type="Embed" ProgID="Equations" ShapeID="_x0000_i1037" DrawAspect="Content" ObjectID="_1468075738" r:id="rId83">
            <o:LockedField>false</o:LockedField>
          </o:OLEObject>
        </w:object>
      </w:r>
    </w:p>
    <w:p w14:paraId="590017C8">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式中：</w:t>
      </w:r>
    </w:p>
    <w:p w14:paraId="3A1328B4">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L</w:t>
      </w:r>
      <w:r>
        <w:rPr>
          <w:rFonts w:hint="default" w:ascii="Times New Roman" w:hAnsi="Times New Roman" w:eastAsia="仿宋_GB2312" w:cs="Times New Roman"/>
          <w:color w:val="auto"/>
          <w:kern w:val="2"/>
          <w:sz w:val="24"/>
          <w:szCs w:val="20"/>
          <w:highlight w:val="none"/>
          <w:vertAlign w:val="subscript"/>
          <w:lang w:val="en-US" w:eastAsia="zh-CN" w:bidi="ar-SA"/>
        </w:rPr>
        <w:t>P1i</w:t>
      </w:r>
      <w:r>
        <w:rPr>
          <w:rFonts w:hint="default" w:ascii="Times New Roman" w:hAnsi="Times New Roman" w:eastAsia="仿宋_GB2312" w:cs="Times New Roman"/>
          <w:color w:val="auto"/>
          <w:kern w:val="2"/>
          <w:sz w:val="24"/>
          <w:szCs w:val="20"/>
          <w:highlight w:val="none"/>
          <w:lang w:val="en-US" w:eastAsia="zh-CN" w:bidi="ar-SA"/>
        </w:rPr>
        <w:t>(T)-靠近围护结构处室内N个声源i倍频带的叠加声压级，dB;</w:t>
      </w:r>
    </w:p>
    <w:p w14:paraId="502828DD">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L</w:t>
      </w:r>
      <w:r>
        <w:rPr>
          <w:rFonts w:hint="default" w:ascii="Times New Roman" w:hAnsi="Times New Roman" w:eastAsia="仿宋_GB2312" w:cs="Times New Roman"/>
          <w:color w:val="auto"/>
          <w:kern w:val="2"/>
          <w:sz w:val="24"/>
          <w:szCs w:val="20"/>
          <w:highlight w:val="none"/>
          <w:vertAlign w:val="subscript"/>
          <w:lang w:val="en-US" w:eastAsia="zh-CN" w:bidi="ar-SA"/>
        </w:rPr>
        <w:t>Pij</w:t>
      </w:r>
      <w:r>
        <w:rPr>
          <w:rFonts w:hint="default" w:ascii="Times New Roman" w:hAnsi="Times New Roman" w:eastAsia="仿宋_GB2312" w:cs="Times New Roman"/>
          <w:color w:val="auto"/>
          <w:kern w:val="2"/>
          <w:sz w:val="24"/>
          <w:szCs w:val="20"/>
          <w:highlight w:val="none"/>
          <w:lang w:val="en-US" w:eastAsia="zh-CN" w:bidi="ar-SA"/>
        </w:rPr>
        <w:t>-室内j声源i倍频带的声压级，dB;</w:t>
      </w:r>
    </w:p>
    <w:p w14:paraId="2C91B9A2">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③</w:t>
      </w:r>
      <w:r>
        <w:rPr>
          <w:rFonts w:hint="default" w:ascii="Times New Roman" w:hAnsi="Times New Roman" w:eastAsia="仿宋_GB2312" w:cs="Times New Roman"/>
          <w:color w:val="auto"/>
          <w:kern w:val="2"/>
          <w:sz w:val="24"/>
          <w:szCs w:val="20"/>
          <w:highlight w:val="none"/>
          <w:lang w:val="en-US" w:eastAsia="zh-CN" w:bidi="ar-SA"/>
        </w:rPr>
        <w:t>在室内近似为扩散声场时，计算出靠近室外围护结构处所有声源i倍频带的声压级，计算公式如下：</w:t>
      </w:r>
    </w:p>
    <w:p w14:paraId="6018717C">
      <w:pPr>
        <w:widowControl w:val="0"/>
        <w:snapToGrid w:val="0"/>
        <w:spacing w:line="360" w:lineRule="auto"/>
        <w:ind w:firstLine="480" w:firstLineChars="200"/>
        <w:jc w:val="center"/>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object>
          <v:shape id="_x0000_i1038" o:spt="75" type="#_x0000_t75" style="height:19.35pt;width:129.35pt;" o:ole="t" filled="f" o:preferrelative="t" stroked="f" coordsize="21600,21600">
            <v:path/>
            <v:fill on="f" focussize="0,0"/>
            <v:stroke on="f"/>
            <v:imagedata r:id="rId86" o:title=""/>
            <o:lock v:ext="edit" aspectratio="t"/>
            <w10:wrap type="none"/>
            <w10:anchorlock/>
          </v:shape>
          <o:OLEObject Type="Embed" ProgID="Equations" ShapeID="_x0000_i1038" DrawAspect="Content" ObjectID="_1468075739" r:id="rId85">
            <o:LockedField>false</o:LockedField>
          </o:OLEObject>
        </w:object>
      </w:r>
    </w:p>
    <w:p w14:paraId="720F4545">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式中：</w:t>
      </w:r>
    </w:p>
    <w:p w14:paraId="7DC2B242">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L</w:t>
      </w:r>
      <w:r>
        <w:rPr>
          <w:rFonts w:hint="default" w:ascii="Times New Roman" w:hAnsi="Times New Roman" w:eastAsia="仿宋_GB2312" w:cs="Times New Roman"/>
          <w:color w:val="auto"/>
          <w:kern w:val="2"/>
          <w:sz w:val="24"/>
          <w:szCs w:val="20"/>
          <w:highlight w:val="none"/>
          <w:vertAlign w:val="subscript"/>
          <w:lang w:val="en-US" w:eastAsia="zh-CN" w:bidi="ar-SA"/>
        </w:rPr>
        <w:t>P2i</w:t>
      </w:r>
      <w:r>
        <w:rPr>
          <w:rFonts w:hint="default" w:ascii="Times New Roman" w:hAnsi="Times New Roman" w:eastAsia="仿宋_GB2312" w:cs="Times New Roman"/>
          <w:color w:val="auto"/>
          <w:kern w:val="2"/>
          <w:sz w:val="24"/>
          <w:szCs w:val="20"/>
          <w:highlight w:val="none"/>
          <w:lang w:val="en-US" w:eastAsia="zh-CN" w:bidi="ar-SA"/>
        </w:rPr>
        <w:t>(T)-靠近围护结构处室外N个声源i倍频带的叠加声压级，dB</w:t>
      </w:r>
      <w:r>
        <w:rPr>
          <w:rFonts w:hint="eastAsia" w:cs="Times New Roman"/>
          <w:color w:val="auto"/>
          <w:kern w:val="2"/>
          <w:sz w:val="24"/>
          <w:szCs w:val="20"/>
          <w:highlight w:val="none"/>
          <w:lang w:val="en-US" w:eastAsia="zh-CN" w:bidi="ar-SA"/>
        </w:rPr>
        <w:t>；</w:t>
      </w:r>
    </w:p>
    <w:p w14:paraId="5055C0EB">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TL</w:t>
      </w:r>
      <w:r>
        <w:rPr>
          <w:rFonts w:hint="default" w:ascii="Times New Roman" w:hAnsi="Times New Roman" w:eastAsia="仿宋_GB2312" w:cs="Times New Roman"/>
          <w:color w:val="auto"/>
          <w:kern w:val="2"/>
          <w:sz w:val="24"/>
          <w:szCs w:val="20"/>
          <w:highlight w:val="none"/>
          <w:vertAlign w:val="subscript"/>
          <w:lang w:val="en-US" w:eastAsia="zh-CN" w:bidi="ar-SA"/>
        </w:rPr>
        <w:t>i</w:t>
      </w:r>
      <w:r>
        <w:rPr>
          <w:rFonts w:hint="default" w:ascii="Times New Roman" w:hAnsi="Times New Roman" w:eastAsia="仿宋_GB2312" w:cs="Times New Roman"/>
          <w:color w:val="auto"/>
          <w:kern w:val="2"/>
          <w:sz w:val="24"/>
          <w:szCs w:val="20"/>
          <w:highlight w:val="none"/>
          <w:lang w:val="en-US" w:eastAsia="zh-CN" w:bidi="ar-SA"/>
        </w:rPr>
        <w:t>-围护结构i倍频带的隔声量，dB</w:t>
      </w:r>
      <w:r>
        <w:rPr>
          <w:rFonts w:hint="eastAsia" w:cs="Times New Roman"/>
          <w:color w:val="auto"/>
          <w:kern w:val="2"/>
          <w:sz w:val="24"/>
          <w:szCs w:val="20"/>
          <w:highlight w:val="none"/>
          <w:lang w:val="en-US" w:eastAsia="zh-CN" w:bidi="ar-SA"/>
        </w:rPr>
        <w:t>；</w:t>
      </w:r>
    </w:p>
    <w:p w14:paraId="02123979">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④</w:t>
      </w:r>
      <w:r>
        <w:rPr>
          <w:rFonts w:hint="default" w:ascii="Times New Roman" w:hAnsi="Times New Roman" w:eastAsia="仿宋_GB2312" w:cs="Times New Roman"/>
          <w:color w:val="auto"/>
          <w:kern w:val="2"/>
          <w:sz w:val="24"/>
          <w:szCs w:val="20"/>
          <w:highlight w:val="none"/>
          <w:lang w:val="en-US" w:eastAsia="zh-CN" w:bidi="ar-SA"/>
        </w:rPr>
        <w:t>再计算出中心位置位于透声面积（S）处的等效声源的i倍频带声功率级，计算公式如下：</w:t>
      </w:r>
    </w:p>
    <w:p w14:paraId="4769B4F1">
      <w:pPr>
        <w:widowControl w:val="0"/>
        <w:snapToGrid w:val="0"/>
        <w:spacing w:line="360" w:lineRule="auto"/>
        <w:ind w:firstLine="480" w:firstLineChars="200"/>
        <w:jc w:val="center"/>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object>
          <v:shape id="_x0000_i1039" o:spt="75" type="#_x0000_t75" style="height:19.35pt;width:116pt;" o:ole="t" filled="f" o:preferrelative="t" stroked="f" coordsize="21600,21600">
            <v:path/>
            <v:fill on="f" focussize="0,0"/>
            <v:stroke on="f"/>
            <v:imagedata r:id="rId88" o:title=""/>
            <o:lock v:ext="edit" aspectratio="t"/>
            <w10:wrap type="none"/>
            <w10:anchorlock/>
          </v:shape>
          <o:OLEObject Type="Embed" ProgID="Equations" ShapeID="_x0000_i1039" DrawAspect="Content" ObjectID="_1468075740" r:id="rId87">
            <o:LockedField>false</o:LockedField>
          </o:OLEObject>
        </w:object>
      </w:r>
    </w:p>
    <w:p w14:paraId="3F04A02C">
      <w:pPr>
        <w:widowControl w:val="0"/>
        <w:snapToGrid w:val="0"/>
        <w:spacing w:line="360" w:lineRule="auto"/>
        <w:ind w:left="0" w:firstLine="480" w:firstLineChars="200"/>
        <w:jc w:val="both"/>
        <w:rPr>
          <w:rFonts w:hint="default" w:ascii="Times New Roman" w:hAnsi="Times New Roman" w:eastAsia="仿宋_GB2312" w:cs="Times New Roman"/>
          <w:color w:val="auto"/>
          <w:kern w:val="0"/>
          <w:sz w:val="24"/>
          <w:szCs w:val="21"/>
          <w:highlight w:val="none"/>
          <w:lang w:val="en-US" w:eastAsia="zh-CN" w:bidi="en-US"/>
        </w:rPr>
      </w:pPr>
      <w:r>
        <w:rPr>
          <w:rFonts w:hint="eastAsia" w:eastAsia="宋体" w:cs="Times New Roman"/>
          <w:color w:val="auto"/>
          <w:kern w:val="0"/>
          <w:sz w:val="24"/>
          <w:szCs w:val="21"/>
          <w:highlight w:val="none"/>
          <w:lang w:val="en-US" w:eastAsia="zh-CN" w:bidi="en-US"/>
        </w:rPr>
        <w:t>（2）</w:t>
      </w:r>
      <w:r>
        <w:rPr>
          <w:rFonts w:hint="default" w:ascii="Times New Roman" w:hAnsi="Times New Roman" w:eastAsia="仿宋_GB2312" w:cs="Times New Roman"/>
          <w:color w:val="auto"/>
          <w:kern w:val="0"/>
          <w:sz w:val="24"/>
          <w:szCs w:val="21"/>
          <w:highlight w:val="none"/>
          <w:lang w:val="en-US" w:eastAsia="zh-CN" w:bidi="en-US"/>
        </w:rPr>
        <w:t>室外声源衰减计算</w:t>
      </w:r>
    </w:p>
    <w:p w14:paraId="01828F73">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①</w:t>
      </w:r>
      <w:r>
        <w:rPr>
          <w:rFonts w:hint="default" w:ascii="Times New Roman" w:hAnsi="Times New Roman" w:eastAsia="仿宋_GB2312" w:cs="Times New Roman"/>
          <w:color w:val="auto"/>
          <w:kern w:val="2"/>
          <w:sz w:val="24"/>
          <w:szCs w:val="20"/>
          <w:highlight w:val="none"/>
          <w:lang w:val="en-US" w:eastAsia="zh-CN" w:bidi="ar-SA"/>
        </w:rPr>
        <w:t>声级计算</w:t>
      </w:r>
    </w:p>
    <w:p w14:paraId="1BE5E22E">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声源在预测点产生的等效声级贡献值(Leqg)计算公式：</w:t>
      </w:r>
    </w:p>
    <w:p w14:paraId="6FFF584E">
      <w:pPr>
        <w:widowControl w:val="0"/>
        <w:snapToGrid w:val="0"/>
        <w:spacing w:line="360" w:lineRule="auto"/>
        <w:ind w:firstLine="480" w:firstLineChars="200"/>
        <w:jc w:val="center"/>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object>
          <v:shape id="_x0000_i1040" o:spt="75" type="#_x0000_t75" style="height:35.35pt;width:129.35pt;" o:ole="t" filled="f" o:preferrelative="t" stroked="f" coordsize="21600,21600">
            <v:path/>
            <v:fill on="f" focussize="0,0"/>
            <v:stroke on="f"/>
            <v:imagedata r:id="rId90" o:title=""/>
            <o:lock v:ext="edit" aspectratio="t"/>
            <w10:wrap type="none"/>
            <w10:anchorlock/>
          </v:shape>
          <o:OLEObject Type="Embed" ProgID="Equation.DSMT4" ShapeID="_x0000_i1040" DrawAspect="Content" ObjectID="_1468075741" r:id="rId89">
            <o:LockedField>false</o:LockedField>
          </o:OLEObject>
        </w:object>
      </w:r>
    </w:p>
    <w:p w14:paraId="73294C77">
      <w:pPr>
        <w:widowControl w:val="0"/>
        <w:snapToGrid w:val="0"/>
        <w:spacing w:line="360" w:lineRule="auto"/>
        <w:ind w:firstLine="200" w:firstLineChars="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式中：</w:t>
      </w:r>
    </w:p>
    <w:p w14:paraId="3DB78A31">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object>
          <v:shape id="_x0000_i1041" o:spt="75" type="#_x0000_t75" style="height:19.35pt;width:22pt;" o:ole="t" filled="f" o:preferrelative="t" stroked="f" coordsize="21600,21600">
            <v:path/>
            <v:fill on="f" focussize="0,0"/>
            <v:stroke on="f"/>
            <v:imagedata r:id="rId92" o:title=""/>
            <o:lock v:ext="edit" aspectratio="t"/>
            <w10:wrap type="none"/>
            <w10:anchorlock/>
          </v:shape>
          <o:OLEObject Type="Embed" ProgID="Equation.DSMT4" ShapeID="_x0000_i1041" DrawAspect="Content" ObjectID="_1468075742" r:id="rId91">
            <o:LockedField>false</o:LockedField>
          </o:OLEObject>
        </w:object>
      </w:r>
      <w:r>
        <w:rPr>
          <w:rFonts w:hint="default" w:ascii="Times New Roman" w:hAnsi="Times New Roman" w:eastAsia="仿宋_GB2312" w:cs="Times New Roman"/>
          <w:color w:val="auto"/>
          <w:kern w:val="2"/>
          <w:sz w:val="24"/>
          <w:szCs w:val="20"/>
          <w:highlight w:val="none"/>
          <w:lang w:val="en-US" w:eastAsia="zh-CN" w:bidi="ar-SA"/>
        </w:rPr>
        <w:t>-建设项目声源在预测点的等效声级贡献值，dB(A)；</w:t>
      </w:r>
    </w:p>
    <w:p w14:paraId="0121FABC">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object>
          <v:shape id="_x0000_i1042" o:spt="75" type="#_x0000_t75" style="height:17.35pt;width:18pt;" o:ole="t" filled="f" o:preferrelative="t" stroked="f" coordsize="21600,21600">
            <v:path/>
            <v:fill on="f" focussize="0,0"/>
            <v:stroke on="f"/>
            <v:imagedata r:id="rId94" o:title=""/>
            <o:lock v:ext="edit" aspectratio="t"/>
            <w10:wrap type="none"/>
            <w10:anchorlock/>
          </v:shape>
          <o:OLEObject Type="Embed" ProgID="Equation.DSMT4" ShapeID="_x0000_i1042" DrawAspect="Content" ObjectID="_1468075743" r:id="rId93">
            <o:LockedField>false</o:LockedField>
          </o:OLEObject>
        </w:object>
      </w:r>
      <w:r>
        <w:rPr>
          <w:rFonts w:hint="default" w:ascii="Times New Roman" w:hAnsi="Times New Roman" w:eastAsia="仿宋_GB2312" w:cs="Times New Roman"/>
          <w:color w:val="auto"/>
          <w:kern w:val="2"/>
          <w:sz w:val="24"/>
          <w:szCs w:val="20"/>
          <w:highlight w:val="none"/>
          <w:lang w:val="en-US" w:eastAsia="zh-CN" w:bidi="ar-SA"/>
        </w:rPr>
        <w:t>-i声源在预测点产生的A声级，dB(A)；</w:t>
      </w:r>
    </w:p>
    <w:p w14:paraId="366F8842">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T-预测计算的时间段，s；</w:t>
      </w:r>
    </w:p>
    <w:p w14:paraId="2CA68736">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object>
          <v:shape id="_x0000_i1043" o:spt="75" type="#_x0000_t75" style="height:17.35pt;width:11.35pt;" o:ole="t" filled="f" o:preferrelative="t" stroked="f" coordsize="21600,21600">
            <v:path/>
            <v:fill on="f" focussize="0,0"/>
            <v:stroke on="f"/>
            <v:imagedata r:id="rId96" o:title=""/>
            <o:lock v:ext="edit" aspectratio="t"/>
            <w10:wrap type="none"/>
            <w10:anchorlock/>
          </v:shape>
          <o:OLEObject Type="Embed" ProgID="Equation.DSMT4" ShapeID="_x0000_i1043" DrawAspect="Content" ObjectID="_1468075744" r:id="rId95">
            <o:LockedField>false</o:LockedField>
          </o:OLEObject>
        </w:object>
      </w:r>
      <w:r>
        <w:rPr>
          <w:rFonts w:hint="default" w:ascii="Times New Roman" w:hAnsi="Times New Roman" w:eastAsia="仿宋_GB2312" w:cs="Times New Roman"/>
          <w:color w:val="auto"/>
          <w:kern w:val="2"/>
          <w:sz w:val="24"/>
          <w:szCs w:val="20"/>
          <w:highlight w:val="none"/>
          <w:lang w:val="en-US" w:eastAsia="zh-CN" w:bidi="ar-SA"/>
        </w:rPr>
        <w:t>-i声源在T时段内的运行时间，s。</w:t>
      </w:r>
    </w:p>
    <w:p w14:paraId="26DEB258">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②</w:t>
      </w:r>
      <w:r>
        <w:rPr>
          <w:rFonts w:hint="default" w:ascii="Times New Roman" w:hAnsi="Times New Roman" w:eastAsia="仿宋_GB2312" w:cs="Times New Roman"/>
          <w:color w:val="auto"/>
          <w:kern w:val="2"/>
          <w:sz w:val="24"/>
          <w:szCs w:val="20"/>
          <w:highlight w:val="none"/>
          <w:lang w:val="en-US" w:eastAsia="zh-CN" w:bidi="ar-SA"/>
        </w:rPr>
        <w:t>预测点的预测等效声级(Leq)计算公式</w:t>
      </w:r>
    </w:p>
    <w:p w14:paraId="0A3D0E88">
      <w:pPr>
        <w:widowControl w:val="0"/>
        <w:snapToGrid w:val="0"/>
        <w:spacing w:line="360" w:lineRule="auto"/>
        <w:ind w:firstLine="480" w:firstLineChars="200"/>
        <w:jc w:val="center"/>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object>
          <v:shape id="_x0000_i1044" o:spt="75" type="#_x0000_t75" style="height:22pt;width:136pt;" o:ole="t" filled="f" o:preferrelative="t" stroked="f" coordsize="21600,21600">
            <v:path/>
            <v:fill on="f" focussize="0,0"/>
            <v:stroke on="f"/>
            <v:imagedata r:id="rId98" o:title=""/>
            <o:lock v:ext="edit" aspectratio="t"/>
            <w10:wrap type="none"/>
            <w10:anchorlock/>
          </v:shape>
          <o:OLEObject Type="Embed" ProgID="Equation.DSMT4" ShapeID="_x0000_i1044" DrawAspect="Content" ObjectID="_1468075745" r:id="rId97">
            <o:LockedField>false</o:LockedField>
          </o:OLEObject>
        </w:object>
      </w:r>
    </w:p>
    <w:p w14:paraId="2D8B769E">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式中：</w:t>
      </w:r>
    </w:p>
    <w:p w14:paraId="2888CEAA">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object>
          <v:shape id="_x0000_i1045" o:spt="75" type="#_x0000_t75" style="height:19.35pt;width:22pt;" o:ole="t" filled="f" o:preferrelative="t" stroked="f" coordsize="21600,21600">
            <v:path/>
            <v:fill on="f" focussize="0,0"/>
            <v:stroke on="f"/>
            <v:imagedata r:id="rId92" o:title=""/>
            <o:lock v:ext="edit" aspectratio="t"/>
            <w10:wrap type="none"/>
            <w10:anchorlock/>
          </v:shape>
          <o:OLEObject Type="Embed" ProgID="Equation.DSMT4" ShapeID="_x0000_i1045" DrawAspect="Content" ObjectID="_1468075746" r:id="rId99">
            <o:LockedField>false</o:LockedField>
          </o:OLEObject>
        </w:object>
      </w:r>
      <w:r>
        <w:rPr>
          <w:rFonts w:hint="default" w:ascii="Times New Roman" w:hAnsi="Times New Roman" w:eastAsia="仿宋_GB2312" w:cs="Times New Roman"/>
          <w:color w:val="auto"/>
          <w:kern w:val="2"/>
          <w:sz w:val="24"/>
          <w:szCs w:val="20"/>
          <w:highlight w:val="none"/>
          <w:lang w:val="en-US" w:eastAsia="zh-CN" w:bidi="ar-SA"/>
        </w:rPr>
        <w:t>-建设项目声源在预测点的等效声级贡献值，dB(A)；</w:t>
      </w:r>
    </w:p>
    <w:p w14:paraId="6C223367">
      <w:pPr>
        <w:widowControl w:val="0"/>
        <w:snapToGrid w:val="0"/>
        <w:spacing w:line="360" w:lineRule="auto"/>
        <w:ind w:firstLine="1200" w:firstLineChars="5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object>
          <v:shape id="_x0000_i1046" o:spt="75" type="#_x0000_t75" style="height:19.35pt;width:22pt;" o:ole="t" filled="f" o:preferrelative="t" stroked="f" coordsize="21600,21600">
            <v:path/>
            <v:fill on="f" focussize="0,0"/>
            <v:stroke on="f"/>
            <v:imagedata r:id="rId101" o:title=""/>
            <o:lock v:ext="edit" aspectratio="t"/>
            <w10:wrap type="none"/>
            <w10:anchorlock/>
          </v:shape>
          <o:OLEObject Type="Embed" ProgID="Equation.DSMT4" ShapeID="_x0000_i1046" DrawAspect="Content" ObjectID="_1468075747" r:id="rId100">
            <o:LockedField>false</o:LockedField>
          </o:OLEObject>
        </w:object>
      </w:r>
      <w:r>
        <w:rPr>
          <w:rFonts w:hint="default" w:ascii="Times New Roman" w:hAnsi="Times New Roman" w:eastAsia="仿宋_GB2312" w:cs="Times New Roman"/>
          <w:color w:val="auto"/>
          <w:kern w:val="2"/>
          <w:sz w:val="24"/>
          <w:szCs w:val="20"/>
          <w:highlight w:val="none"/>
          <w:lang w:val="en-US" w:eastAsia="zh-CN" w:bidi="ar-SA"/>
        </w:rPr>
        <w:t>-预测点的背景值，dB(A)</w:t>
      </w:r>
    </w:p>
    <w:p w14:paraId="0028BF06">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③</w:t>
      </w:r>
      <w:r>
        <w:rPr>
          <w:rFonts w:hint="default" w:ascii="Times New Roman" w:hAnsi="Times New Roman" w:eastAsia="仿宋_GB2312" w:cs="Times New Roman"/>
          <w:color w:val="auto"/>
          <w:kern w:val="2"/>
          <w:sz w:val="24"/>
          <w:szCs w:val="20"/>
          <w:highlight w:val="none"/>
          <w:lang w:val="en-US" w:eastAsia="zh-CN" w:bidi="ar-SA"/>
        </w:rPr>
        <w:t>户外声传播衰减计算</w:t>
      </w:r>
    </w:p>
    <w:p w14:paraId="3015A7F3">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户外声传播衰减包括几何发散(Adiv)、大气吸收(Aatm)、地面效应(Agr)、屏障屏蔽(Abar)、其他多方面效应(Amisc</w:t>
      </w:r>
      <w:r>
        <w:rPr>
          <w:rFonts w:hint="default" w:ascii="Times New Roman" w:hAnsi="Times New Roman" w:eastAsia="宋体" w:cs="Times New Roman"/>
          <w:color w:val="auto"/>
          <w:kern w:val="2"/>
          <w:sz w:val="24"/>
          <w:szCs w:val="20"/>
          <w:highlight w:val="none"/>
          <w:lang w:val="en-US" w:eastAsia="zh-CN" w:bidi="ar-SA"/>
        </w:rPr>
        <w:t>⑶</w:t>
      </w:r>
      <w:r>
        <w:rPr>
          <w:rFonts w:hint="default" w:ascii="Times New Roman" w:hAnsi="Times New Roman" w:eastAsia="仿宋_GB2312" w:cs="Times New Roman"/>
          <w:color w:val="auto"/>
          <w:kern w:val="2"/>
          <w:sz w:val="24"/>
          <w:szCs w:val="20"/>
          <w:highlight w:val="none"/>
          <w:lang w:val="en-US" w:eastAsia="zh-CN" w:bidi="ar-SA"/>
        </w:rPr>
        <w:t>)引起的衰减。</w:t>
      </w:r>
    </w:p>
    <w:p w14:paraId="47E96EEC">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距声源点r处的A声级按下式计算：</w:t>
      </w:r>
    </w:p>
    <w:p w14:paraId="50C485C3">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object>
          <v:shape id="_x0000_i1047" o:spt="75" type="#_x0000_t75" style="height:19.35pt;width:219.35pt;" o:ole="t" filled="f" o:preferrelative="t" stroked="f" coordsize="21600,21600">
            <v:path/>
            <v:fill on="f" focussize="0,0"/>
            <v:stroke on="f"/>
            <v:imagedata r:id="rId103" o:title=""/>
            <o:lock v:ext="edit" aspectratio="t"/>
            <w10:wrap type="none"/>
            <w10:anchorlock/>
          </v:shape>
          <o:OLEObject Type="Embed" ProgID="Equation.DSMT4" ShapeID="_x0000_i1047" DrawAspect="Content" ObjectID="_1468075748" r:id="rId102">
            <o:LockedField>false</o:LockedField>
          </o:OLEObject>
        </w:object>
      </w:r>
    </w:p>
    <w:p w14:paraId="1219A4FD">
      <w:pPr>
        <w:widowControl w:val="0"/>
        <w:snapToGrid w:val="0"/>
        <w:spacing w:line="360" w:lineRule="auto"/>
        <w:ind w:firstLine="480" w:firstLineChars="200"/>
        <w:jc w:val="both"/>
        <w:rPr>
          <w:rFonts w:hint="default" w:ascii="Times New Roman" w:hAnsi="Times New Roman" w:eastAsia="仿宋_GB2312" w:cs="Times New Roman"/>
          <w:color w:val="auto"/>
          <w:kern w:val="2"/>
          <w:sz w:val="24"/>
          <w:szCs w:val="20"/>
          <w:highlight w:val="none"/>
          <w:lang w:val="en-US" w:eastAsia="zh-CN" w:bidi="ar-SA"/>
        </w:rPr>
      </w:pPr>
      <w:r>
        <w:rPr>
          <w:rFonts w:hint="default" w:ascii="Times New Roman" w:hAnsi="Times New Roman" w:eastAsia="仿宋_GB2312" w:cs="Times New Roman"/>
          <w:color w:val="auto"/>
          <w:kern w:val="2"/>
          <w:sz w:val="24"/>
          <w:szCs w:val="20"/>
          <w:highlight w:val="none"/>
          <w:lang w:val="en-US" w:eastAsia="zh-CN" w:bidi="ar-SA"/>
        </w:rPr>
        <w:t>式中：</w:t>
      </w:r>
    </w:p>
    <w:p w14:paraId="6FA682BF">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object>
          <v:shape id="_x0000_i1048" o:spt="75" type="#_x0000_t75" style="height:19.35pt;width:23.35pt;" o:ole="t" filled="f" o:preferrelative="t" stroked="f" coordsize="21600,21600">
            <v:path/>
            <v:fill on="f" focussize="0,0"/>
            <v:stroke on="f"/>
            <v:imagedata r:id="rId105" o:title=""/>
            <o:lock v:ext="edit" aspectratio="t"/>
            <w10:wrap type="none"/>
            <w10:anchorlock/>
          </v:shape>
          <o:OLEObject Type="Embed" ProgID="Equations" ShapeID="_x0000_i1048" DrawAspect="Content" ObjectID="_1468075749" r:id="rId104">
            <o:LockedField>false</o:LockedField>
          </o:OLEObject>
        </w:object>
      </w:r>
      <w:r>
        <w:rPr>
          <w:rFonts w:hint="default" w:ascii="Times New Roman" w:hAnsi="Times New Roman" w:eastAsia="仿宋_GB2312" w:cs="Times New Roman"/>
          <w:color w:val="auto"/>
          <w:kern w:val="2"/>
          <w:sz w:val="24"/>
          <w:szCs w:val="24"/>
          <w:highlight w:val="none"/>
          <w:lang w:val="en-US" w:eastAsia="zh-CN" w:bidi="ar-SA"/>
        </w:rPr>
        <w:t>-距声源r处的A声级；</w:t>
      </w:r>
    </w:p>
    <w:p w14:paraId="28110CC1">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object>
          <v:shape id="_x0000_i1049" o:spt="75" type="#_x0000_t75" style="height:19.35pt;width:28pt;" o:ole="t" filled="f" o:preferrelative="t" stroked="f" coordsize="21600,21600">
            <v:path/>
            <v:fill on="f" focussize="0,0"/>
            <v:stroke on="f"/>
            <v:imagedata r:id="rId107" o:title=""/>
            <o:lock v:ext="edit" aspectratio="t"/>
            <w10:wrap type="none"/>
            <w10:anchorlock/>
          </v:shape>
          <o:OLEObject Type="Embed" ProgID="Equation.DSMT4" ShapeID="_x0000_i1049" DrawAspect="Content" ObjectID="_1468075750" r:id="rId106">
            <o:LockedField>false</o:LockedField>
          </o:OLEObject>
        </w:object>
      </w:r>
      <w:r>
        <w:rPr>
          <w:rFonts w:hint="default" w:ascii="Times New Roman" w:hAnsi="Times New Roman" w:eastAsia="仿宋_GB2312" w:cs="Times New Roman"/>
          <w:color w:val="auto"/>
          <w:kern w:val="2"/>
          <w:sz w:val="24"/>
          <w:szCs w:val="24"/>
          <w:highlight w:val="none"/>
          <w:lang w:val="en-US" w:eastAsia="zh-CN" w:bidi="ar-SA"/>
        </w:rPr>
        <w:t>-参考位置r</w:t>
      </w:r>
      <w:r>
        <w:rPr>
          <w:rFonts w:hint="default" w:ascii="Times New Roman" w:hAnsi="Times New Roman" w:eastAsia="仿宋_GB2312" w:cs="Times New Roman"/>
          <w:color w:val="auto"/>
          <w:kern w:val="2"/>
          <w:sz w:val="24"/>
          <w:szCs w:val="24"/>
          <w:highlight w:val="none"/>
          <w:vertAlign w:val="subscript"/>
          <w:lang w:val="en-US" w:eastAsia="zh-CN" w:bidi="ar-SA"/>
        </w:rPr>
        <w:t>0</w:t>
      </w:r>
      <w:r>
        <w:rPr>
          <w:rFonts w:hint="default" w:ascii="Times New Roman" w:hAnsi="Times New Roman" w:eastAsia="仿宋_GB2312" w:cs="Times New Roman"/>
          <w:color w:val="auto"/>
          <w:kern w:val="2"/>
          <w:sz w:val="24"/>
          <w:szCs w:val="24"/>
          <w:highlight w:val="none"/>
          <w:lang w:val="en-US" w:eastAsia="zh-CN" w:bidi="ar-SA"/>
        </w:rPr>
        <w:t>处的A声级；</w:t>
      </w:r>
    </w:p>
    <w:p w14:paraId="4CCAAAB7">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object>
          <v:shape id="_x0000_i1050" o:spt="75" type="#_x0000_t75" style="height:18pt;width:20pt;" o:ole="t" filled="f" o:preferrelative="t" stroked="f" coordsize="21600,21600">
            <v:path/>
            <v:fill on="f" focussize="0,0"/>
            <v:stroke on="f"/>
            <v:imagedata r:id="rId109" o:title=""/>
            <o:lock v:ext="edit" aspectratio="t"/>
            <w10:wrap type="none"/>
            <w10:anchorlock/>
          </v:shape>
          <o:OLEObject Type="Embed" ProgID="Equation.DSMT4" ShapeID="_x0000_i1050" DrawAspect="Content" ObjectID="_1468075751" r:id="rId108">
            <o:LockedField>false</o:LockedField>
          </o:OLEObject>
        </w:object>
      </w:r>
      <w:r>
        <w:rPr>
          <w:rFonts w:hint="default" w:ascii="Times New Roman" w:hAnsi="Times New Roman" w:eastAsia="仿宋_GB2312" w:cs="Times New Roman"/>
          <w:color w:val="auto"/>
          <w:kern w:val="2"/>
          <w:sz w:val="24"/>
          <w:szCs w:val="24"/>
          <w:highlight w:val="none"/>
          <w:lang w:val="en-US" w:eastAsia="zh-CN" w:bidi="ar-SA"/>
        </w:rPr>
        <w:t>-几何发散引起的倍频带衰减；</w:t>
      </w:r>
    </w:p>
    <w:p w14:paraId="0D9779BF">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object>
          <v:shape id="_x0000_i1051" o:spt="75" type="#_x0000_t75" style="height:18pt;width:22pt;" o:ole="t" filled="f" o:preferrelative="t" stroked="f" coordsize="21600,21600">
            <v:path/>
            <v:fill on="f" focussize="0,0"/>
            <v:stroke on="f"/>
            <v:imagedata r:id="rId111" o:title=""/>
            <o:lock v:ext="edit" aspectratio="t"/>
            <w10:wrap type="none"/>
            <w10:anchorlock/>
          </v:shape>
          <o:OLEObject Type="Embed" ProgID="Equations" ShapeID="_x0000_i1051" DrawAspect="Content" ObjectID="_1468075752" r:id="rId110">
            <o:LockedField>false</o:LockedField>
          </o:OLEObject>
        </w:object>
      </w:r>
      <w:r>
        <w:rPr>
          <w:rFonts w:hint="default" w:ascii="Times New Roman" w:hAnsi="Times New Roman" w:eastAsia="仿宋_GB2312" w:cs="Times New Roman"/>
          <w:color w:val="auto"/>
          <w:kern w:val="2"/>
          <w:sz w:val="24"/>
          <w:szCs w:val="24"/>
          <w:highlight w:val="none"/>
          <w:lang w:val="en-US" w:eastAsia="zh-CN" w:bidi="ar-SA"/>
        </w:rPr>
        <w:t>-大气吸收引起的倍频带衰减；</w:t>
      </w:r>
    </w:p>
    <w:p w14:paraId="2C043FAE">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object>
          <v:shape id="_x0000_i1052" o:spt="75" type="#_x0000_t75" style="height:18pt;width:22pt;" o:ole="t" filled="f" o:preferrelative="t" stroked="f" coordsize="21600,21600">
            <v:path/>
            <v:fill on="f" focussize="0,0"/>
            <v:stroke on="f"/>
            <v:imagedata r:id="rId113" o:title=""/>
            <o:lock v:ext="edit" aspectratio="t"/>
            <w10:wrap type="none"/>
            <w10:anchorlock/>
          </v:shape>
          <o:OLEObject Type="Embed" ProgID="Equation.DSMT4" ShapeID="_x0000_i1052" DrawAspect="Content" ObjectID="_1468075753" r:id="rId112">
            <o:LockedField>false</o:LockedField>
          </o:OLEObject>
        </w:object>
      </w:r>
      <w:r>
        <w:rPr>
          <w:rFonts w:hint="default" w:ascii="Times New Roman" w:hAnsi="Times New Roman" w:eastAsia="仿宋_GB2312" w:cs="Times New Roman"/>
          <w:color w:val="auto"/>
          <w:kern w:val="2"/>
          <w:sz w:val="24"/>
          <w:szCs w:val="24"/>
          <w:highlight w:val="none"/>
          <w:lang w:val="en-US" w:eastAsia="zh-CN" w:bidi="ar-SA"/>
        </w:rPr>
        <w:t>-屏障屏蔽引起的倍频带衰减；</w:t>
      </w:r>
    </w:p>
    <w:p w14:paraId="6558AF83">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object>
          <v:shape id="_x0000_i1053" o:spt="75" type="#_x0000_t75" style="height:19.35pt;width:18pt;" o:ole="t" filled="f" o:preferrelative="t" stroked="f" coordsize="21600,21600">
            <v:path/>
            <v:fill on="f" focussize="0,0"/>
            <v:stroke on="f"/>
            <v:imagedata r:id="rId115" o:title=""/>
            <o:lock v:ext="edit" aspectratio="t"/>
            <w10:wrap type="none"/>
            <w10:anchorlock/>
          </v:shape>
          <o:OLEObject Type="Embed" ProgID="Equation.DSMT4" ShapeID="_x0000_i1053" DrawAspect="Content" ObjectID="_1468075754" r:id="rId114">
            <o:LockedField>false</o:LockedField>
          </o:OLEObject>
        </w:object>
      </w:r>
      <w:r>
        <w:rPr>
          <w:rFonts w:hint="default" w:ascii="Times New Roman" w:hAnsi="Times New Roman" w:eastAsia="仿宋_GB2312" w:cs="Times New Roman"/>
          <w:color w:val="auto"/>
          <w:kern w:val="2"/>
          <w:sz w:val="24"/>
          <w:szCs w:val="24"/>
          <w:highlight w:val="none"/>
          <w:lang w:val="en-US" w:eastAsia="zh-CN" w:bidi="ar-SA"/>
        </w:rPr>
        <w:t>-地面效应引起的倍频带衰减；</w:t>
      </w:r>
    </w:p>
    <w:p w14:paraId="25532429">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color w:val="auto"/>
          <w:lang w:eastAsia="zh-CN"/>
        </w:rPr>
      </w:pPr>
      <w:r>
        <w:rPr>
          <w:rFonts w:hint="default" w:ascii="Times New Roman" w:hAnsi="Times New Roman" w:eastAsia="仿宋_GB2312" w:cs="Times New Roman"/>
          <w:color w:val="auto"/>
          <w:kern w:val="0"/>
          <w:sz w:val="24"/>
          <w:szCs w:val="24"/>
          <w:highlight w:val="none"/>
        </w:rPr>
        <w:object>
          <v:shape id="_x0000_i1054" o:spt="75" type="#_x0000_t75" style="height:18pt;width:23.35pt;" o:ole="t" filled="f" o:preferrelative="t" stroked="f" coordsize="21600,21600">
            <v:path/>
            <v:fill on="f" focussize="0,0"/>
            <v:stroke on="f"/>
            <v:imagedata r:id="rId117" o:title=""/>
            <o:lock v:ext="edit" aspectratio="t"/>
            <w10:wrap type="none"/>
            <w10:anchorlock/>
          </v:shape>
          <o:OLEObject Type="Embed" ProgID="Equation.DSMT4" ShapeID="_x0000_i1054" DrawAspect="Content" ObjectID="_1468075755" r:id="rId116">
            <o:LockedField>false</o:LockedField>
          </o:OLEObject>
        </w:object>
      </w:r>
      <w:r>
        <w:rPr>
          <w:rFonts w:hint="default" w:ascii="Times New Roman" w:hAnsi="Times New Roman" w:eastAsia="仿宋_GB2312" w:cs="Times New Roman"/>
          <w:color w:val="auto"/>
          <w:kern w:val="0"/>
          <w:sz w:val="24"/>
          <w:szCs w:val="24"/>
          <w:highlight w:val="none"/>
        </w:rPr>
        <w:t>-其他多方面效应引起的倍频带衰减。</w:t>
      </w:r>
    </w:p>
    <w:p w14:paraId="6801A0A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2"/>
        <w:rPr>
          <w:rFonts w:hint="default" w:ascii="Times New Roman" w:hAnsi="Times New Roman" w:eastAsia="黑体" w:cs="Times New Roman"/>
          <w:b/>
          <w:bCs w:val="0"/>
          <w:color w:val="auto"/>
          <w:sz w:val="28"/>
          <w:szCs w:val="28"/>
          <w:lang w:val="en-US" w:eastAsia="zh-CN"/>
        </w:rPr>
      </w:pPr>
      <w:r>
        <w:rPr>
          <w:rFonts w:hint="default" w:ascii="Times New Roman" w:hAnsi="Times New Roman" w:eastAsia="黑体" w:cs="Times New Roman"/>
          <w:b/>
          <w:bCs w:val="0"/>
          <w:color w:val="auto"/>
          <w:sz w:val="28"/>
          <w:szCs w:val="28"/>
          <w:lang w:val="en-US" w:eastAsia="zh-CN"/>
        </w:rPr>
        <w:t>5.4.3噪声预测结果与影响分析</w:t>
      </w:r>
    </w:p>
    <w:p w14:paraId="346FD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eastAsia="zh-CN"/>
        </w:rPr>
      </w:pPr>
      <w:r>
        <w:rPr>
          <w:rFonts w:hint="eastAsia" w:ascii="Times New Roman" w:hAnsi="Times New Roman"/>
          <w:color w:val="auto"/>
          <w:lang w:eastAsia="zh-CN"/>
        </w:rPr>
        <w:t>为了分析本项目对周围声环境的影响程度，</w:t>
      </w:r>
      <w:r>
        <w:rPr>
          <w:rFonts w:hint="default" w:ascii="Calibri" w:hAnsi="Calibri" w:eastAsia="仿宋_GB2312" w:cs="宋体"/>
          <w:color w:val="auto"/>
          <w:sz w:val="24"/>
          <w:lang w:val="en-US" w:eastAsia="zh-CN"/>
        </w:rPr>
        <w:t>本次评价以噪声贡献值叠加噪声现状监测值作为评价量进行厂界噪声达标分析</w:t>
      </w:r>
      <w:r>
        <w:rPr>
          <w:rFonts w:hint="eastAsia"/>
          <w:color w:val="auto"/>
          <w:lang w:eastAsia="zh-CN"/>
        </w:rPr>
        <w:t>，</w:t>
      </w:r>
      <w:r>
        <w:rPr>
          <w:rFonts w:hint="eastAsia"/>
          <w:color w:val="auto"/>
          <w:lang w:val="en-US" w:eastAsia="zh-CN"/>
        </w:rPr>
        <w:t>对敏感点噪声以本项目预测值</w:t>
      </w:r>
      <w:r>
        <w:rPr>
          <w:rFonts w:hint="default" w:ascii="Calibri" w:hAnsi="Calibri" w:eastAsia="仿宋_GB2312" w:cs="宋体"/>
          <w:color w:val="auto"/>
          <w:sz w:val="24"/>
          <w:lang w:val="en-US" w:eastAsia="zh-CN"/>
        </w:rPr>
        <w:t>叠加噪声现状监测值作为评价量进行</w:t>
      </w:r>
      <w:r>
        <w:rPr>
          <w:rFonts w:hint="eastAsia"/>
          <w:color w:val="auto"/>
          <w:lang w:val="en-US" w:eastAsia="zh-CN"/>
        </w:rPr>
        <w:t>敏感点噪声达标性分析</w:t>
      </w:r>
      <w:r>
        <w:rPr>
          <w:rFonts w:hint="eastAsia" w:ascii="Times New Roman" w:hAnsi="Times New Roman"/>
          <w:color w:val="auto"/>
          <w:lang w:eastAsia="zh-CN"/>
        </w:rPr>
        <w:t>。</w:t>
      </w:r>
      <w:r>
        <w:rPr>
          <w:rFonts w:hint="eastAsia"/>
          <w:color w:val="auto"/>
          <w:lang w:val="en-US" w:eastAsia="zh-CN"/>
        </w:rPr>
        <w:t>具体见</w:t>
      </w:r>
      <w:r>
        <w:rPr>
          <w:rFonts w:hint="eastAsia" w:ascii="Times New Roman" w:hAnsi="Times New Roman"/>
          <w:color w:val="auto"/>
          <w:lang w:eastAsia="zh-CN"/>
        </w:rPr>
        <w:t>表5.4-</w:t>
      </w:r>
      <w:r>
        <w:rPr>
          <w:rFonts w:hint="eastAsia" w:ascii="Times New Roman" w:hAnsi="Times New Roman"/>
          <w:color w:val="auto"/>
          <w:lang w:val="en-US" w:eastAsia="zh-CN"/>
        </w:rPr>
        <w:t>1</w:t>
      </w:r>
      <w:r>
        <w:rPr>
          <w:rFonts w:hint="eastAsia" w:ascii="Times New Roman" w:hAnsi="Times New Roman"/>
          <w:color w:val="auto"/>
          <w:lang w:eastAsia="zh-CN"/>
        </w:rPr>
        <w:t>。</w:t>
      </w:r>
    </w:p>
    <w:p w14:paraId="600DF7FD">
      <w:pPr>
        <w:spacing w:line="240" w:lineRule="auto"/>
        <w:jc w:val="both"/>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1"/>
          <w:szCs w:val="21"/>
          <w:highlight w:val="none"/>
          <w:lang w:val="zh-CN"/>
        </w:rPr>
        <w:t>表</w:t>
      </w:r>
      <w:r>
        <w:rPr>
          <w:rFonts w:hint="default" w:ascii="Times New Roman" w:hAnsi="Times New Roman" w:eastAsia="宋体" w:cs="Times New Roman"/>
          <w:color w:val="auto"/>
          <w:kern w:val="0"/>
          <w:sz w:val="21"/>
          <w:szCs w:val="21"/>
          <w:highlight w:val="none"/>
        </w:rPr>
        <w:t>5.4-</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4"/>
          <w:highlight w:val="none"/>
        </w:rPr>
        <w:t xml:space="preserve"> </w:t>
      </w:r>
      <w:r>
        <w:rPr>
          <w:rFonts w:hint="eastAsia" w:ascii="Times New Roman" w:hAnsi="Times New Roman"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rPr>
        <w:t xml:space="preserve"> </w:t>
      </w:r>
      <w:r>
        <w:rPr>
          <w:rFonts w:hint="eastAsia" w:ascii="Times New Roman" w:hAnsi="Times New Roman" w:eastAsia="宋体" w:cs="Times New Roman"/>
          <w:color w:val="auto"/>
          <w:kern w:val="0"/>
          <w:sz w:val="24"/>
          <w:highlight w:val="none"/>
          <w:lang w:val="en-US" w:eastAsia="zh-CN"/>
        </w:rPr>
        <w:t xml:space="preserve">  </w:t>
      </w:r>
      <w:r>
        <w:rPr>
          <w:rFonts w:hint="eastAsia" w:eastAsia="宋体" w:cs="Times New Roman"/>
          <w:color w:val="auto"/>
          <w:kern w:val="0"/>
          <w:sz w:val="24"/>
          <w:highlight w:val="none"/>
          <w:lang w:val="en-US" w:eastAsia="zh-CN"/>
        </w:rPr>
        <w:t xml:space="preserve">     </w:t>
      </w:r>
      <w:r>
        <w:rPr>
          <w:rFonts w:hint="default" w:ascii="Times New Roman" w:hAnsi="Times New Roman" w:eastAsia="宋体" w:cs="Times New Roman"/>
          <w:b/>
          <w:bCs/>
          <w:color w:val="auto"/>
          <w:kern w:val="0"/>
          <w:sz w:val="24"/>
          <w:highlight w:val="none"/>
          <w:lang w:val="zh-CN"/>
        </w:rPr>
        <w:t>各预测点噪声叠加值表</w:t>
      </w:r>
      <w:r>
        <w:rPr>
          <w:rFonts w:hint="default" w:ascii="Times New Roman" w:hAnsi="Times New Roman" w:eastAsia="宋体" w:cs="Times New Roman"/>
          <w:b/>
          <w:bCs/>
          <w:color w:val="auto"/>
          <w:kern w:val="0"/>
          <w:sz w:val="24"/>
          <w:highlight w:val="none"/>
          <w:lang w:val="en-US" w:eastAsia="zh-CN"/>
        </w:rPr>
        <w:t xml:space="preserve">  </w:t>
      </w:r>
      <w:r>
        <w:rPr>
          <w:rFonts w:hint="eastAsia" w:eastAsia="宋体" w:cs="Times New Roman"/>
          <w:b/>
          <w:bCs/>
          <w:color w:val="auto"/>
          <w:kern w:val="0"/>
          <w:sz w:val="24"/>
          <w:highlight w:val="none"/>
          <w:lang w:val="en-US" w:eastAsia="zh-CN"/>
        </w:rPr>
        <w:t xml:space="preserve">             </w:t>
      </w:r>
      <w:r>
        <w:rPr>
          <w:rFonts w:hint="default" w:ascii="Times New Roman" w:hAnsi="Times New Roman" w:eastAsia="宋体" w:cs="Times New Roman"/>
          <w:b/>
          <w:bCs/>
          <w:color w:val="auto"/>
          <w:kern w:val="0"/>
          <w:szCs w:val="21"/>
          <w:highlight w:val="none"/>
        </w:rPr>
        <w:t>单位：</w:t>
      </w:r>
      <w:r>
        <w:rPr>
          <w:rFonts w:hint="default" w:ascii="Times New Roman" w:hAnsi="Times New Roman" w:eastAsia="宋体" w:cs="Times New Roman"/>
          <w:b/>
          <w:bCs/>
          <w:color w:val="auto"/>
          <w:kern w:val="0"/>
          <w:szCs w:val="21"/>
          <w:highlight w:val="none"/>
          <w:lang w:val="zh-CN"/>
        </w:rPr>
        <w:t>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5"/>
        <w:gridCol w:w="926"/>
        <w:gridCol w:w="2430"/>
        <w:gridCol w:w="1681"/>
        <w:gridCol w:w="1494"/>
        <w:gridCol w:w="1512"/>
      </w:tblGrid>
      <w:tr w14:paraId="07BD5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00" w:type="dxa"/>
            <w:gridSpan w:val="3"/>
            <w:vMerge w:val="restart"/>
            <w:noWrap w:val="0"/>
            <w:vAlign w:val="center"/>
          </w:tcPr>
          <w:p w14:paraId="03726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预测点位</w:t>
            </w:r>
          </w:p>
        </w:tc>
        <w:tc>
          <w:tcPr>
            <w:tcW w:w="1657" w:type="dxa"/>
            <w:vMerge w:val="restart"/>
            <w:noWrap w:val="0"/>
            <w:vAlign w:val="center"/>
          </w:tcPr>
          <w:p w14:paraId="2607D4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贡献值</w:t>
            </w:r>
          </w:p>
        </w:tc>
        <w:tc>
          <w:tcPr>
            <w:tcW w:w="2961" w:type="dxa"/>
            <w:gridSpan w:val="2"/>
            <w:noWrap w:val="0"/>
            <w:vAlign w:val="center"/>
          </w:tcPr>
          <w:p w14:paraId="3852E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w:t>
            </w:r>
          </w:p>
        </w:tc>
      </w:tr>
      <w:tr w14:paraId="652E3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00" w:type="dxa"/>
            <w:gridSpan w:val="3"/>
            <w:vMerge w:val="continue"/>
            <w:noWrap w:val="0"/>
            <w:vAlign w:val="center"/>
          </w:tcPr>
          <w:p w14:paraId="3A404C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p>
        </w:tc>
        <w:tc>
          <w:tcPr>
            <w:tcW w:w="1657" w:type="dxa"/>
            <w:vMerge w:val="continue"/>
            <w:noWrap w:val="0"/>
            <w:vAlign w:val="center"/>
          </w:tcPr>
          <w:p w14:paraId="51BD16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p>
        </w:tc>
        <w:tc>
          <w:tcPr>
            <w:tcW w:w="1472" w:type="dxa"/>
            <w:noWrap w:val="0"/>
            <w:vAlign w:val="center"/>
          </w:tcPr>
          <w:p w14:paraId="3EE83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昼间</w:t>
            </w:r>
          </w:p>
        </w:tc>
        <w:tc>
          <w:tcPr>
            <w:tcW w:w="1489" w:type="dxa"/>
            <w:noWrap w:val="0"/>
            <w:vAlign w:val="center"/>
          </w:tcPr>
          <w:p w14:paraId="6FDC77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夜间</w:t>
            </w:r>
          </w:p>
        </w:tc>
      </w:tr>
      <w:tr w14:paraId="1A736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92" w:type="dxa"/>
            <w:noWrap w:val="0"/>
            <w:vAlign w:val="center"/>
          </w:tcPr>
          <w:p w14:paraId="61A878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13" w:type="dxa"/>
            <w:vMerge w:val="restart"/>
            <w:noWrap w:val="0"/>
            <w:vAlign w:val="center"/>
          </w:tcPr>
          <w:p w14:paraId="086BF5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p>
        </w:tc>
        <w:tc>
          <w:tcPr>
            <w:tcW w:w="2395" w:type="dxa"/>
            <w:noWrap w:val="0"/>
            <w:vAlign w:val="center"/>
          </w:tcPr>
          <w:p w14:paraId="357AEB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厂界外北侧1</w:t>
            </w:r>
            <w:r>
              <w:rPr>
                <w:rFonts w:hint="eastAsia"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处</w:t>
            </w:r>
          </w:p>
        </w:tc>
        <w:tc>
          <w:tcPr>
            <w:tcW w:w="1657" w:type="dxa"/>
            <w:shd w:val="clear" w:color="auto" w:fill="auto"/>
            <w:noWrap w:val="0"/>
            <w:vAlign w:val="center"/>
          </w:tcPr>
          <w:p w14:paraId="45A0B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eastAsia"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3</w:t>
            </w:r>
          </w:p>
        </w:tc>
        <w:tc>
          <w:tcPr>
            <w:tcW w:w="1472" w:type="dxa"/>
            <w:vMerge w:val="restart"/>
            <w:noWrap w:val="0"/>
            <w:vAlign w:val="center"/>
          </w:tcPr>
          <w:p w14:paraId="54924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1489" w:type="dxa"/>
            <w:vMerge w:val="restart"/>
            <w:noWrap w:val="0"/>
            <w:vAlign w:val="center"/>
          </w:tcPr>
          <w:p w14:paraId="0C2CD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w:t>
            </w:r>
            <w:r>
              <w:rPr>
                <w:rFonts w:hint="eastAsia" w:ascii="Times New Roman" w:hAnsi="Times New Roman" w:eastAsia="宋体" w:cs="Times New Roman"/>
                <w:color w:val="auto"/>
                <w:sz w:val="21"/>
                <w:szCs w:val="21"/>
                <w:highlight w:val="none"/>
                <w:lang w:val="en-US" w:eastAsia="zh-CN"/>
              </w:rPr>
              <w:t>5</w:t>
            </w:r>
          </w:p>
        </w:tc>
      </w:tr>
      <w:tr w14:paraId="2CE20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92" w:type="dxa"/>
            <w:noWrap w:val="0"/>
            <w:vAlign w:val="center"/>
          </w:tcPr>
          <w:p w14:paraId="3BAD7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913" w:type="dxa"/>
            <w:vMerge w:val="continue"/>
            <w:noWrap w:val="0"/>
            <w:vAlign w:val="center"/>
          </w:tcPr>
          <w:p w14:paraId="6425A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395" w:type="dxa"/>
            <w:noWrap w:val="0"/>
            <w:vAlign w:val="center"/>
          </w:tcPr>
          <w:p w14:paraId="6E6DA2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厂界外东侧1</w:t>
            </w:r>
            <w:r>
              <w:rPr>
                <w:rFonts w:hint="eastAsia"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处</w:t>
            </w:r>
          </w:p>
        </w:tc>
        <w:tc>
          <w:tcPr>
            <w:tcW w:w="1657" w:type="dxa"/>
            <w:shd w:val="clear" w:color="auto" w:fill="auto"/>
            <w:noWrap w:val="0"/>
            <w:vAlign w:val="center"/>
          </w:tcPr>
          <w:p w14:paraId="58E03C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7</w:t>
            </w:r>
          </w:p>
        </w:tc>
        <w:tc>
          <w:tcPr>
            <w:tcW w:w="1472" w:type="dxa"/>
            <w:vMerge w:val="continue"/>
            <w:noWrap w:val="0"/>
            <w:vAlign w:val="center"/>
          </w:tcPr>
          <w:p w14:paraId="08B1F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89" w:type="dxa"/>
            <w:vMerge w:val="continue"/>
            <w:noWrap w:val="0"/>
            <w:vAlign w:val="center"/>
          </w:tcPr>
          <w:p w14:paraId="65697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7828B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92" w:type="dxa"/>
            <w:noWrap w:val="0"/>
            <w:vAlign w:val="center"/>
          </w:tcPr>
          <w:p w14:paraId="268E4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913" w:type="dxa"/>
            <w:vMerge w:val="continue"/>
            <w:noWrap w:val="0"/>
            <w:vAlign w:val="center"/>
          </w:tcPr>
          <w:p w14:paraId="53B588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395" w:type="dxa"/>
            <w:noWrap w:val="0"/>
            <w:vAlign w:val="center"/>
          </w:tcPr>
          <w:p w14:paraId="4D7FB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厂界外南侧1</w:t>
            </w:r>
            <w:r>
              <w:rPr>
                <w:rFonts w:hint="eastAsia"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处</w:t>
            </w:r>
          </w:p>
        </w:tc>
        <w:tc>
          <w:tcPr>
            <w:tcW w:w="1657" w:type="dxa"/>
            <w:shd w:val="clear" w:color="auto" w:fill="auto"/>
            <w:noWrap w:val="0"/>
            <w:vAlign w:val="center"/>
          </w:tcPr>
          <w:p w14:paraId="25A3B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8</w:t>
            </w:r>
          </w:p>
        </w:tc>
        <w:tc>
          <w:tcPr>
            <w:tcW w:w="1472" w:type="dxa"/>
            <w:vMerge w:val="continue"/>
            <w:noWrap w:val="0"/>
            <w:vAlign w:val="center"/>
          </w:tcPr>
          <w:p w14:paraId="456A6F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89" w:type="dxa"/>
            <w:vMerge w:val="continue"/>
            <w:noWrap w:val="0"/>
            <w:vAlign w:val="center"/>
          </w:tcPr>
          <w:p w14:paraId="4AB27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79A7C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92" w:type="dxa"/>
            <w:noWrap w:val="0"/>
            <w:vAlign w:val="center"/>
          </w:tcPr>
          <w:p w14:paraId="217718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913" w:type="dxa"/>
            <w:vMerge w:val="continue"/>
            <w:noWrap w:val="0"/>
            <w:vAlign w:val="center"/>
          </w:tcPr>
          <w:p w14:paraId="2748B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395" w:type="dxa"/>
            <w:noWrap w:val="0"/>
            <w:vAlign w:val="center"/>
          </w:tcPr>
          <w:p w14:paraId="13DB15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厂界外西侧1</w:t>
            </w:r>
            <w:r>
              <w:rPr>
                <w:rFonts w:hint="eastAsia"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处</w:t>
            </w:r>
          </w:p>
        </w:tc>
        <w:tc>
          <w:tcPr>
            <w:tcW w:w="1657" w:type="dxa"/>
            <w:shd w:val="clear" w:color="auto" w:fill="auto"/>
            <w:noWrap w:val="0"/>
            <w:vAlign w:val="center"/>
          </w:tcPr>
          <w:p w14:paraId="0C79A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r>
              <w:rPr>
                <w:rFonts w:hint="eastAsia"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6</w:t>
            </w:r>
          </w:p>
        </w:tc>
        <w:tc>
          <w:tcPr>
            <w:tcW w:w="1472" w:type="dxa"/>
            <w:vMerge w:val="continue"/>
            <w:noWrap w:val="0"/>
            <w:vAlign w:val="center"/>
          </w:tcPr>
          <w:p w14:paraId="2EC93D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89" w:type="dxa"/>
            <w:vMerge w:val="continue"/>
            <w:noWrap w:val="0"/>
            <w:vAlign w:val="center"/>
          </w:tcPr>
          <w:p w14:paraId="23F66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bl>
    <w:p w14:paraId="1478E9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eastAsia="zh-CN"/>
        </w:rPr>
      </w:pPr>
      <w:r>
        <w:rPr>
          <w:rFonts w:hint="eastAsia" w:ascii="Times New Roman" w:hAnsi="Times New Roman"/>
          <w:color w:val="auto"/>
          <w:lang w:eastAsia="zh-CN"/>
        </w:rPr>
        <w:t>根据分析及预测结果可以看到，项目噪声较大的生产设备采取防振、减振、安装隔声罩、消声器等措施，其设备噪声对厂界噪声贡献值满足《工业企业厂界环境噪声排放标准》（GB12348-2008）</w:t>
      </w:r>
      <w:r>
        <w:rPr>
          <w:rFonts w:hint="eastAsia" w:ascii="Times New Roman" w:hAnsi="Times New Roman"/>
          <w:color w:val="auto"/>
          <w:lang w:val="en-US" w:eastAsia="zh-CN"/>
        </w:rPr>
        <w:t>3</w:t>
      </w:r>
      <w:r>
        <w:rPr>
          <w:rFonts w:hint="eastAsia" w:ascii="Times New Roman" w:hAnsi="Times New Roman"/>
          <w:color w:val="auto"/>
          <w:lang w:eastAsia="zh-CN"/>
        </w:rPr>
        <w:t>类标准要求</w:t>
      </w:r>
      <w:r>
        <w:rPr>
          <w:rFonts w:hint="eastAsia"/>
          <w:color w:val="auto"/>
          <w:lang w:eastAsia="zh-CN"/>
        </w:rPr>
        <w:t>。</w:t>
      </w:r>
      <w:r>
        <w:rPr>
          <w:rFonts w:hint="eastAsia" w:ascii="Times New Roman" w:hAnsi="Times New Roman"/>
          <w:color w:val="auto"/>
          <w:lang w:eastAsia="zh-CN"/>
        </w:rPr>
        <w:t>可见本工程的设备噪声对厂界</w:t>
      </w:r>
      <w:r>
        <w:rPr>
          <w:rFonts w:hint="eastAsia"/>
          <w:color w:val="auto"/>
          <w:lang w:val="en-US" w:eastAsia="zh-CN"/>
        </w:rPr>
        <w:t>及敏感点</w:t>
      </w:r>
      <w:r>
        <w:rPr>
          <w:rFonts w:hint="eastAsia" w:ascii="Times New Roman" w:hAnsi="Times New Roman"/>
          <w:color w:val="auto"/>
          <w:lang w:eastAsia="zh-CN"/>
        </w:rPr>
        <w:t>声环境的影响较小，不会对厂界声环境产生明显影响。</w:t>
      </w:r>
    </w:p>
    <w:p w14:paraId="7574B4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eastAsia="zh-CN"/>
        </w:rPr>
      </w:pPr>
      <w:r>
        <w:rPr>
          <w:rFonts w:hint="default" w:ascii="Times New Roman" w:hAnsi="Times New Roman" w:eastAsia="仿宋_GB2312" w:cs="Times New Roman"/>
          <w:color w:val="auto"/>
          <w:highlight w:val="none"/>
        </w:rPr>
        <w:t>建设项目</w:t>
      </w:r>
      <w:r>
        <w:rPr>
          <w:rFonts w:hint="default" w:ascii="Times New Roman" w:hAnsi="Times New Roman" w:eastAsia="仿宋_GB2312" w:cs="Times New Roman"/>
          <w:color w:val="auto"/>
          <w:highlight w:val="none"/>
          <w:lang w:val="en-US" w:eastAsia="zh-CN"/>
        </w:rPr>
        <w:t>噪声</w:t>
      </w:r>
      <w:r>
        <w:rPr>
          <w:rFonts w:hint="default" w:ascii="Times New Roman" w:hAnsi="Times New Roman" w:eastAsia="仿宋_GB2312" w:cs="Times New Roman"/>
          <w:color w:val="auto"/>
          <w:highlight w:val="none"/>
        </w:rPr>
        <w:t>环境影响评价自查表详见</w:t>
      </w:r>
      <w:r>
        <w:rPr>
          <w:rFonts w:hint="eastAsia" w:cs="Times New Roman"/>
          <w:color w:val="auto"/>
          <w:highlight w:val="none"/>
          <w:lang w:val="en-US" w:eastAsia="zh-CN"/>
        </w:rPr>
        <w:t>表5.4-2</w:t>
      </w:r>
      <w:r>
        <w:rPr>
          <w:rFonts w:hint="default" w:ascii="Times New Roman" w:hAnsi="Times New Roman" w:eastAsia="仿宋_GB2312" w:cs="Times New Roman"/>
          <w:color w:val="auto"/>
          <w:highlight w:val="none"/>
        </w:rPr>
        <w:t>。</w:t>
      </w:r>
    </w:p>
    <w:p w14:paraId="5606A79B">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416" w:firstLineChars="200"/>
        <w:textAlignment w:val="auto"/>
        <w:rPr>
          <w:rFonts w:hint="default" w:eastAsia="仿宋_GB2312" w:cs="Times New Roman" w:asciiTheme="minorAscii" w:hAnsiTheme="minorAscii"/>
          <w:b w:val="0"/>
          <w:i w:val="0"/>
          <w:snapToGrid w:val="0"/>
          <w:color w:val="auto"/>
          <w:kern w:val="0"/>
          <w:sz w:val="24"/>
          <w:szCs w:val="22"/>
          <w:highlight w:val="none"/>
        </w:rPr>
      </w:pPr>
      <w:r>
        <w:rPr>
          <w:rFonts w:hint="default" w:ascii="Times New Roman" w:hAnsi="Times New Roman" w:eastAsia="宋体" w:cs="Times New Roman"/>
          <w:b w:val="0"/>
          <w:bCs w:val="0"/>
          <w:color w:val="auto"/>
          <w:spacing w:val="-1"/>
          <w:sz w:val="21"/>
          <w:szCs w:val="21"/>
        </w:rPr>
        <w:t>表</w:t>
      </w:r>
      <w:r>
        <w:rPr>
          <w:rFonts w:hint="default" w:ascii="Times New Roman" w:hAnsi="Times New Roman" w:eastAsia="宋体" w:cs="Times New Roman"/>
          <w:b w:val="0"/>
          <w:bCs w:val="0"/>
          <w:color w:val="auto"/>
          <w:spacing w:val="-1"/>
          <w:sz w:val="21"/>
          <w:szCs w:val="21"/>
          <w:lang w:val="en-US" w:eastAsia="zh-CN"/>
        </w:rPr>
        <w:t>5.4-2</w:t>
      </w:r>
      <w:r>
        <w:rPr>
          <w:rFonts w:hint="default" w:asciiTheme="minorAscii" w:hAnsiTheme="minorAscii"/>
          <w:b/>
          <w:snapToGrid w:val="0"/>
          <w:color w:val="auto"/>
          <w:kern w:val="0"/>
          <w:sz w:val="24"/>
          <w:szCs w:val="24"/>
        </w:rPr>
        <w:t xml:space="preserve"> </w:t>
      </w:r>
      <w:r>
        <w:rPr>
          <w:rFonts w:hint="default" w:asciiTheme="minorAscii" w:hAnsiTheme="minorAscii"/>
          <w:b/>
          <w:snapToGrid w:val="0"/>
          <w:color w:val="auto"/>
          <w:kern w:val="0"/>
          <w:sz w:val="24"/>
        </w:rPr>
        <w:t xml:space="preserve">        </w:t>
      </w:r>
      <w:r>
        <w:rPr>
          <w:rFonts w:hint="default" w:eastAsia="宋体" w:asciiTheme="minorAscii" w:hAnsiTheme="minorAscii"/>
          <w:b/>
          <w:snapToGrid w:val="0"/>
          <w:color w:val="auto"/>
          <w:kern w:val="0"/>
          <w:sz w:val="24"/>
          <w:lang w:val="en-US" w:eastAsia="zh-CN"/>
        </w:rPr>
        <w:t xml:space="preserve">      </w:t>
      </w:r>
      <w:r>
        <w:rPr>
          <w:rFonts w:hint="eastAsia" w:eastAsia="宋体" w:asciiTheme="minorAscii" w:hAnsiTheme="minorAscii"/>
          <w:b/>
          <w:snapToGrid w:val="0"/>
          <w:color w:val="auto"/>
          <w:kern w:val="0"/>
          <w:sz w:val="24"/>
          <w:lang w:val="en-US" w:eastAsia="zh-CN"/>
        </w:rPr>
        <w:t xml:space="preserve">  </w:t>
      </w:r>
      <w:r>
        <w:rPr>
          <w:rFonts w:hint="default" w:eastAsia="宋体" w:asciiTheme="minorAscii" w:hAnsiTheme="minorAscii"/>
          <w:b/>
          <w:snapToGrid w:val="0"/>
          <w:color w:val="auto"/>
          <w:kern w:val="0"/>
          <w:sz w:val="24"/>
          <w:lang w:val="en-US" w:eastAsia="zh-CN"/>
        </w:rPr>
        <w:t xml:space="preserve"> </w:t>
      </w:r>
      <w:r>
        <w:rPr>
          <w:rFonts w:hint="default" w:eastAsia="宋体" w:cs="Times New Roman" w:asciiTheme="minorAscii" w:hAnsiTheme="minorAscii"/>
          <w:b/>
          <w:bCs/>
          <w:color w:val="auto"/>
          <w:spacing w:val="-1"/>
          <w:sz w:val="24"/>
          <w:szCs w:val="24"/>
        </w:rPr>
        <w:t>声环境影响评价自查表</w:t>
      </w:r>
    </w:p>
    <w:tbl>
      <w:tblPr>
        <w:tblStyle w:val="46"/>
        <w:tblW w:w="508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95"/>
        <w:gridCol w:w="1406"/>
        <w:gridCol w:w="1622"/>
        <w:gridCol w:w="824"/>
        <w:gridCol w:w="746"/>
        <w:gridCol w:w="213"/>
        <w:gridCol w:w="926"/>
        <w:gridCol w:w="537"/>
        <w:gridCol w:w="475"/>
        <w:gridCol w:w="71"/>
        <w:gridCol w:w="1099"/>
      </w:tblGrid>
      <w:tr w14:paraId="188A32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3" w:type="dxa"/>
            <w:gridSpan w:val="2"/>
            <w:tcBorders>
              <w:tl2br w:val="nil"/>
              <w:tr2bl w:val="nil"/>
            </w:tcBorders>
            <w:noWrap w:val="0"/>
            <w:vAlign w:val="center"/>
          </w:tcPr>
          <w:p w14:paraId="4F6F5D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工作内</w:t>
            </w:r>
            <w:r>
              <w:rPr>
                <w:rFonts w:hint="default" w:ascii="Times New Roman" w:hAnsi="Times New Roman" w:eastAsia="宋体" w:cs="Times New Roman"/>
                <w:b/>
                <w:bCs/>
                <w:color w:val="auto"/>
                <w:spacing w:val="-1"/>
                <w:sz w:val="21"/>
                <w:szCs w:val="21"/>
              </w:rPr>
              <w:t>容</w:t>
            </w:r>
          </w:p>
        </w:tc>
        <w:tc>
          <w:tcPr>
            <w:tcW w:w="6490" w:type="dxa"/>
            <w:gridSpan w:val="9"/>
            <w:tcBorders>
              <w:tl2br w:val="nil"/>
              <w:tr2bl w:val="nil"/>
            </w:tcBorders>
            <w:noWrap w:val="0"/>
            <w:vAlign w:val="center"/>
          </w:tcPr>
          <w:p w14:paraId="1BCDD9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7"/>
                <w:sz w:val="21"/>
                <w:szCs w:val="21"/>
              </w:rPr>
              <w:t>自查项目</w:t>
            </w:r>
          </w:p>
        </w:tc>
      </w:tr>
      <w:tr w14:paraId="12D5AB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restart"/>
            <w:tcBorders>
              <w:tl2br w:val="nil"/>
              <w:tr2bl w:val="nil"/>
            </w:tcBorders>
            <w:noWrap w:val="0"/>
            <w:vAlign w:val="center"/>
          </w:tcPr>
          <w:p w14:paraId="6749AB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评价等</w:t>
            </w:r>
            <w:r>
              <w:rPr>
                <w:rFonts w:hint="default" w:ascii="Times New Roman" w:hAnsi="Times New Roman" w:eastAsia="宋体" w:cs="Times New Roman"/>
                <w:b/>
                <w:bCs/>
                <w:color w:val="auto"/>
                <w:spacing w:val="-1"/>
                <w:sz w:val="21"/>
                <w:szCs w:val="21"/>
              </w:rPr>
              <w:t>级</w:t>
            </w:r>
            <w:r>
              <w:rPr>
                <w:rFonts w:hint="default" w:ascii="Times New Roman" w:hAnsi="Times New Roman" w:eastAsia="宋体" w:cs="Times New Roman"/>
                <w:b/>
                <w:bCs/>
                <w:color w:val="auto"/>
                <w:spacing w:val="-4"/>
                <w:sz w:val="21"/>
                <w:szCs w:val="21"/>
              </w:rPr>
              <w:t>与</w:t>
            </w:r>
            <w:r>
              <w:rPr>
                <w:rFonts w:hint="default" w:ascii="Times New Roman" w:hAnsi="Times New Roman" w:eastAsia="宋体" w:cs="Times New Roman"/>
                <w:b/>
                <w:bCs/>
                <w:color w:val="auto"/>
                <w:spacing w:val="-2"/>
                <w:sz w:val="21"/>
                <w:szCs w:val="21"/>
              </w:rPr>
              <w:t>范围</w:t>
            </w:r>
          </w:p>
        </w:tc>
        <w:tc>
          <w:tcPr>
            <w:tcW w:w="1401" w:type="dxa"/>
            <w:tcBorders>
              <w:tl2br w:val="nil"/>
              <w:tr2bl w:val="nil"/>
            </w:tcBorders>
            <w:noWrap w:val="0"/>
            <w:vAlign w:val="center"/>
          </w:tcPr>
          <w:p w14:paraId="60F218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w:t>
            </w:r>
            <w:r>
              <w:rPr>
                <w:rFonts w:hint="default" w:ascii="Times New Roman" w:hAnsi="Times New Roman" w:eastAsia="宋体" w:cs="Times New Roman"/>
                <w:b/>
                <w:bCs/>
                <w:color w:val="auto"/>
                <w:spacing w:val="-1"/>
                <w:sz w:val="21"/>
                <w:szCs w:val="21"/>
              </w:rPr>
              <w:t>价等级</w:t>
            </w:r>
          </w:p>
        </w:tc>
        <w:tc>
          <w:tcPr>
            <w:tcW w:w="1617" w:type="dxa"/>
            <w:tcBorders>
              <w:tl2br w:val="nil"/>
              <w:tr2bl w:val="nil"/>
            </w:tcBorders>
            <w:noWrap w:val="0"/>
            <w:vAlign w:val="center"/>
          </w:tcPr>
          <w:p w14:paraId="1BF825F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一</w:t>
            </w:r>
            <w:r>
              <w:rPr>
                <w:rFonts w:hint="default" w:ascii="Times New Roman" w:hAnsi="Times New Roman" w:eastAsia="宋体" w:cs="Times New Roman"/>
                <w:color w:val="auto"/>
                <w:spacing w:val="-2"/>
                <w:sz w:val="21"/>
                <w:szCs w:val="21"/>
              </w:rPr>
              <w:t>级</w:t>
            </w:r>
            <w:r>
              <w:rPr>
                <w:rFonts w:hint="default" w:ascii="Times New Roman" w:hAnsi="Times New Roman" w:eastAsia="宋体" w:cs="Times New Roman"/>
                <w:color w:val="auto"/>
                <w:spacing w:val="-2"/>
                <w:sz w:val="21"/>
                <w:szCs w:val="21"/>
              </w:rPr>
              <w:sym w:font="Wingdings 2" w:char="00A3"/>
            </w:r>
          </w:p>
        </w:tc>
        <w:tc>
          <w:tcPr>
            <w:tcW w:w="2699" w:type="dxa"/>
            <w:gridSpan w:val="4"/>
            <w:tcBorders>
              <w:tl2br w:val="nil"/>
              <w:tr2bl w:val="nil"/>
            </w:tcBorders>
            <w:noWrap w:val="0"/>
            <w:vAlign w:val="center"/>
          </w:tcPr>
          <w:p w14:paraId="7A287B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二</w:t>
            </w:r>
            <w:r>
              <w:rPr>
                <w:rFonts w:hint="default" w:ascii="Times New Roman" w:hAnsi="Times New Roman" w:eastAsia="宋体" w:cs="Times New Roman"/>
                <w:color w:val="auto"/>
                <w:spacing w:val="-3"/>
                <w:sz w:val="21"/>
                <w:szCs w:val="21"/>
              </w:rPr>
              <w:t>级</w:t>
            </w:r>
            <w:r>
              <w:rPr>
                <w:rFonts w:hint="default" w:ascii="Times New Roman" w:hAnsi="Times New Roman" w:eastAsia="宋体" w:cs="Times New Roman"/>
                <w:color w:val="auto"/>
                <w:spacing w:val="-3"/>
                <w:sz w:val="21"/>
                <w:szCs w:val="21"/>
              </w:rPr>
              <w:sym w:font="Wingdings 2" w:char="00A3"/>
            </w:r>
          </w:p>
        </w:tc>
        <w:tc>
          <w:tcPr>
            <w:tcW w:w="2174" w:type="dxa"/>
            <w:gridSpan w:val="4"/>
            <w:tcBorders>
              <w:tl2br w:val="nil"/>
              <w:tr2bl w:val="nil"/>
            </w:tcBorders>
            <w:noWrap w:val="0"/>
            <w:vAlign w:val="center"/>
          </w:tcPr>
          <w:p w14:paraId="1A1E81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三级</w:t>
            </w:r>
            <w:r>
              <w:rPr>
                <w:rFonts w:hint="default" w:ascii="Times New Roman" w:hAnsi="Times New Roman" w:eastAsia="宋体" w:cs="Times New Roman"/>
                <w:color w:val="auto"/>
                <w:spacing w:val="-1"/>
                <w:sz w:val="21"/>
                <w:szCs w:val="21"/>
              </w:rPr>
              <w:sym w:font="Wingdings 2" w:char="0052"/>
            </w:r>
          </w:p>
        </w:tc>
      </w:tr>
      <w:tr w14:paraId="4CA789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continue"/>
            <w:tcBorders>
              <w:tl2br w:val="nil"/>
              <w:tr2bl w:val="nil"/>
            </w:tcBorders>
            <w:noWrap w:val="0"/>
            <w:vAlign w:val="center"/>
          </w:tcPr>
          <w:p w14:paraId="41B7C7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c>
          <w:tcPr>
            <w:tcW w:w="1401" w:type="dxa"/>
            <w:tcBorders>
              <w:tl2br w:val="nil"/>
              <w:tr2bl w:val="nil"/>
            </w:tcBorders>
            <w:noWrap w:val="0"/>
            <w:vAlign w:val="center"/>
          </w:tcPr>
          <w:p w14:paraId="5FFF16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w:t>
            </w:r>
            <w:r>
              <w:rPr>
                <w:rFonts w:hint="default" w:ascii="Times New Roman" w:hAnsi="Times New Roman" w:eastAsia="宋体" w:cs="Times New Roman"/>
                <w:b/>
                <w:bCs/>
                <w:color w:val="auto"/>
                <w:spacing w:val="-1"/>
                <w:sz w:val="21"/>
                <w:szCs w:val="21"/>
              </w:rPr>
              <w:t>价范围</w:t>
            </w:r>
          </w:p>
        </w:tc>
        <w:tc>
          <w:tcPr>
            <w:tcW w:w="1617" w:type="dxa"/>
            <w:tcBorders>
              <w:tl2br w:val="nil"/>
              <w:tr2bl w:val="nil"/>
            </w:tcBorders>
            <w:noWrap w:val="0"/>
            <w:vAlign w:val="center"/>
          </w:tcPr>
          <w:p w14:paraId="53B3E0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position w:val="1"/>
                <w:sz w:val="21"/>
                <w:szCs w:val="21"/>
              </w:rPr>
              <w:t>20</w:t>
            </w:r>
            <w:r>
              <w:rPr>
                <w:rFonts w:hint="default" w:ascii="Times New Roman" w:hAnsi="Times New Roman" w:eastAsia="宋体" w:cs="Times New Roman"/>
                <w:color w:val="auto"/>
                <w:position w:val="1"/>
                <w:sz w:val="21"/>
                <w:szCs w:val="21"/>
              </w:rPr>
              <w:t>0m</w:t>
            </w:r>
            <w:r>
              <w:rPr>
                <w:rFonts w:hint="default" w:ascii="Times New Roman" w:hAnsi="Times New Roman" w:eastAsia="宋体" w:cs="Times New Roman"/>
                <w:color w:val="auto"/>
                <w:position w:val="1"/>
                <w:sz w:val="21"/>
                <w:szCs w:val="21"/>
              </w:rPr>
              <w:sym w:font="Wingdings 2" w:char="0052"/>
            </w:r>
          </w:p>
        </w:tc>
        <w:tc>
          <w:tcPr>
            <w:tcW w:w="2699" w:type="dxa"/>
            <w:gridSpan w:val="4"/>
            <w:tcBorders>
              <w:tl2br w:val="nil"/>
              <w:tr2bl w:val="nil"/>
            </w:tcBorders>
            <w:noWrap w:val="0"/>
            <w:vAlign w:val="center"/>
          </w:tcPr>
          <w:p w14:paraId="56A7BD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大</w:t>
            </w:r>
            <w:r>
              <w:rPr>
                <w:rFonts w:hint="default" w:ascii="Times New Roman" w:hAnsi="Times New Roman" w:eastAsia="宋体" w:cs="Times New Roman"/>
                <w:color w:val="auto"/>
                <w:spacing w:val="-6"/>
                <w:sz w:val="21"/>
                <w:szCs w:val="21"/>
              </w:rPr>
              <w:t>于200m□</w:t>
            </w:r>
          </w:p>
        </w:tc>
        <w:tc>
          <w:tcPr>
            <w:tcW w:w="2174" w:type="dxa"/>
            <w:gridSpan w:val="4"/>
            <w:tcBorders>
              <w:tl2br w:val="nil"/>
              <w:tr2bl w:val="nil"/>
            </w:tcBorders>
            <w:noWrap w:val="0"/>
            <w:vAlign w:val="center"/>
          </w:tcPr>
          <w:p w14:paraId="2A6DA6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小</w:t>
            </w:r>
            <w:r>
              <w:rPr>
                <w:rFonts w:hint="default" w:ascii="Times New Roman" w:hAnsi="Times New Roman" w:eastAsia="宋体" w:cs="Times New Roman"/>
                <w:color w:val="auto"/>
                <w:spacing w:val="-6"/>
                <w:sz w:val="21"/>
                <w:szCs w:val="21"/>
              </w:rPr>
              <w:t>于200m□</w:t>
            </w:r>
          </w:p>
        </w:tc>
      </w:tr>
      <w:tr w14:paraId="0C7812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tcBorders>
              <w:tl2br w:val="nil"/>
              <w:tr2bl w:val="nil"/>
            </w:tcBorders>
            <w:noWrap w:val="0"/>
            <w:vAlign w:val="center"/>
          </w:tcPr>
          <w:p w14:paraId="31C4B4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w:t>
            </w:r>
            <w:r>
              <w:rPr>
                <w:rFonts w:hint="default" w:ascii="Times New Roman" w:hAnsi="Times New Roman" w:eastAsia="宋体" w:cs="Times New Roman"/>
                <w:b/>
                <w:bCs/>
                <w:color w:val="auto"/>
                <w:spacing w:val="-1"/>
                <w:sz w:val="21"/>
                <w:szCs w:val="21"/>
              </w:rPr>
              <w:t>价因子</w:t>
            </w:r>
          </w:p>
        </w:tc>
        <w:tc>
          <w:tcPr>
            <w:tcW w:w="1401" w:type="dxa"/>
            <w:tcBorders>
              <w:tl2br w:val="nil"/>
              <w:tr2bl w:val="nil"/>
            </w:tcBorders>
            <w:noWrap w:val="0"/>
            <w:vAlign w:val="center"/>
          </w:tcPr>
          <w:p w14:paraId="7F1CE99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w:t>
            </w:r>
            <w:r>
              <w:rPr>
                <w:rFonts w:hint="default" w:ascii="Times New Roman" w:hAnsi="Times New Roman" w:eastAsia="宋体" w:cs="Times New Roman"/>
                <w:b/>
                <w:bCs/>
                <w:color w:val="auto"/>
                <w:spacing w:val="-1"/>
                <w:sz w:val="21"/>
                <w:szCs w:val="21"/>
              </w:rPr>
              <w:t>价因子</w:t>
            </w:r>
          </w:p>
        </w:tc>
        <w:tc>
          <w:tcPr>
            <w:tcW w:w="6490" w:type="dxa"/>
            <w:gridSpan w:val="9"/>
            <w:tcBorders>
              <w:tl2br w:val="nil"/>
              <w:tr2bl w:val="nil"/>
            </w:tcBorders>
            <w:noWrap w:val="0"/>
            <w:vAlign w:val="center"/>
          </w:tcPr>
          <w:p w14:paraId="23262C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等效</w:t>
            </w:r>
            <w:r>
              <w:rPr>
                <w:rFonts w:hint="default" w:ascii="Times New Roman" w:hAnsi="Times New Roman" w:eastAsia="宋体" w:cs="Times New Roman"/>
                <w:color w:val="auto"/>
                <w:sz w:val="21"/>
                <w:szCs w:val="21"/>
              </w:rPr>
              <w:t>连续A声级</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 xml:space="preserve">     最大A声级</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 xml:space="preserve">  计权等效连续感觉噪声级</w:t>
            </w:r>
            <w:r>
              <w:rPr>
                <w:rFonts w:hint="default" w:ascii="Times New Roman" w:hAnsi="Times New Roman" w:eastAsia="宋体" w:cs="Times New Roman"/>
                <w:color w:val="auto"/>
                <w:sz w:val="21"/>
                <w:szCs w:val="21"/>
              </w:rPr>
              <w:sym w:font="Wingdings 2" w:char="00A3"/>
            </w:r>
          </w:p>
        </w:tc>
      </w:tr>
      <w:tr w14:paraId="1B54A6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tcBorders>
              <w:tl2br w:val="nil"/>
              <w:tr2bl w:val="nil"/>
            </w:tcBorders>
            <w:noWrap w:val="0"/>
            <w:vAlign w:val="center"/>
          </w:tcPr>
          <w:p w14:paraId="202C4A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w:t>
            </w:r>
            <w:r>
              <w:rPr>
                <w:rFonts w:hint="default" w:ascii="Times New Roman" w:hAnsi="Times New Roman" w:eastAsia="宋体" w:cs="Times New Roman"/>
                <w:b/>
                <w:bCs/>
                <w:color w:val="auto"/>
                <w:spacing w:val="-1"/>
                <w:sz w:val="21"/>
                <w:szCs w:val="21"/>
              </w:rPr>
              <w:t>价标准</w:t>
            </w:r>
          </w:p>
        </w:tc>
        <w:tc>
          <w:tcPr>
            <w:tcW w:w="1401" w:type="dxa"/>
            <w:tcBorders>
              <w:tl2br w:val="nil"/>
              <w:tr2bl w:val="nil"/>
            </w:tcBorders>
            <w:noWrap w:val="0"/>
            <w:vAlign w:val="center"/>
          </w:tcPr>
          <w:p w14:paraId="6B944D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w:t>
            </w:r>
            <w:r>
              <w:rPr>
                <w:rFonts w:hint="default" w:ascii="Times New Roman" w:hAnsi="Times New Roman" w:eastAsia="宋体" w:cs="Times New Roman"/>
                <w:b/>
                <w:bCs/>
                <w:color w:val="auto"/>
                <w:spacing w:val="-1"/>
                <w:sz w:val="21"/>
                <w:szCs w:val="21"/>
              </w:rPr>
              <w:t>价标准</w:t>
            </w:r>
          </w:p>
        </w:tc>
        <w:tc>
          <w:tcPr>
            <w:tcW w:w="1617" w:type="dxa"/>
            <w:tcBorders>
              <w:tl2br w:val="nil"/>
              <w:tr2bl w:val="nil"/>
            </w:tcBorders>
            <w:noWrap w:val="0"/>
            <w:vAlign w:val="center"/>
          </w:tcPr>
          <w:p w14:paraId="01D700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国家标准</w:t>
            </w:r>
            <w:r>
              <w:rPr>
                <w:rFonts w:hint="default" w:ascii="Times New Roman" w:hAnsi="Times New Roman" w:eastAsia="宋体" w:cs="Times New Roman"/>
                <w:color w:val="auto"/>
                <w:spacing w:val="-4"/>
                <w:sz w:val="21"/>
                <w:szCs w:val="21"/>
              </w:rPr>
              <w:sym w:font="Wingdings 2" w:char="0052"/>
            </w:r>
          </w:p>
        </w:tc>
        <w:tc>
          <w:tcPr>
            <w:tcW w:w="2699" w:type="dxa"/>
            <w:gridSpan w:val="4"/>
            <w:tcBorders>
              <w:tl2br w:val="nil"/>
              <w:tr2bl w:val="nil"/>
            </w:tcBorders>
            <w:noWrap w:val="0"/>
            <w:vAlign w:val="center"/>
          </w:tcPr>
          <w:p w14:paraId="3F4AEA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地</w:t>
            </w:r>
            <w:r>
              <w:rPr>
                <w:rFonts w:hint="default" w:ascii="Times New Roman" w:hAnsi="Times New Roman" w:eastAsia="宋体" w:cs="Times New Roman"/>
                <w:color w:val="auto"/>
                <w:spacing w:val="-1"/>
                <w:sz w:val="21"/>
                <w:szCs w:val="21"/>
              </w:rPr>
              <w:t>方标准</w:t>
            </w:r>
            <w:r>
              <w:rPr>
                <w:rFonts w:hint="default" w:ascii="Times New Roman" w:hAnsi="Times New Roman" w:eastAsia="宋体" w:cs="Times New Roman"/>
                <w:color w:val="auto"/>
                <w:spacing w:val="-1"/>
                <w:sz w:val="21"/>
                <w:szCs w:val="21"/>
              </w:rPr>
              <w:sym w:font="Wingdings 2" w:char="00A3"/>
            </w:r>
          </w:p>
        </w:tc>
        <w:tc>
          <w:tcPr>
            <w:tcW w:w="2174" w:type="dxa"/>
            <w:gridSpan w:val="4"/>
            <w:tcBorders>
              <w:tl2br w:val="nil"/>
              <w:tr2bl w:val="nil"/>
            </w:tcBorders>
            <w:noWrap w:val="0"/>
            <w:vAlign w:val="center"/>
          </w:tcPr>
          <w:p w14:paraId="006159F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国外标准</w:t>
            </w:r>
            <w:r>
              <w:rPr>
                <w:rFonts w:hint="default" w:ascii="Times New Roman" w:hAnsi="Times New Roman" w:eastAsia="宋体" w:cs="Times New Roman"/>
                <w:color w:val="auto"/>
                <w:spacing w:val="-4"/>
                <w:sz w:val="21"/>
                <w:szCs w:val="21"/>
              </w:rPr>
              <w:sym w:font="Wingdings 2" w:char="00A3"/>
            </w:r>
          </w:p>
        </w:tc>
      </w:tr>
      <w:tr w14:paraId="42B445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restart"/>
            <w:tcBorders>
              <w:tl2br w:val="nil"/>
              <w:tr2bl w:val="nil"/>
            </w:tcBorders>
            <w:noWrap w:val="0"/>
            <w:vAlign w:val="center"/>
          </w:tcPr>
          <w:p w14:paraId="698A1F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现状评</w:t>
            </w:r>
            <w:r>
              <w:rPr>
                <w:rFonts w:hint="default" w:ascii="Times New Roman" w:hAnsi="Times New Roman" w:eastAsia="宋体" w:cs="Times New Roman"/>
                <w:b/>
                <w:bCs/>
                <w:color w:val="auto"/>
                <w:spacing w:val="-1"/>
                <w:sz w:val="21"/>
                <w:szCs w:val="21"/>
              </w:rPr>
              <w:t>价</w:t>
            </w:r>
          </w:p>
        </w:tc>
        <w:tc>
          <w:tcPr>
            <w:tcW w:w="1401" w:type="dxa"/>
            <w:tcBorders>
              <w:tl2br w:val="nil"/>
              <w:tr2bl w:val="nil"/>
            </w:tcBorders>
            <w:noWrap w:val="0"/>
            <w:vAlign w:val="center"/>
          </w:tcPr>
          <w:p w14:paraId="3DB9DF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环</w:t>
            </w:r>
            <w:r>
              <w:rPr>
                <w:rFonts w:hint="default" w:ascii="Times New Roman" w:hAnsi="Times New Roman" w:eastAsia="宋体" w:cs="Times New Roman"/>
                <w:b/>
                <w:bCs/>
                <w:color w:val="auto"/>
                <w:spacing w:val="-1"/>
                <w:sz w:val="21"/>
                <w:szCs w:val="21"/>
              </w:rPr>
              <w:t>境功能区</w:t>
            </w:r>
          </w:p>
        </w:tc>
        <w:tc>
          <w:tcPr>
            <w:tcW w:w="1617" w:type="dxa"/>
            <w:tcBorders>
              <w:tl2br w:val="nil"/>
              <w:tr2bl w:val="nil"/>
            </w:tcBorders>
            <w:noWrap w:val="0"/>
            <w:vAlign w:val="center"/>
          </w:tcPr>
          <w:p w14:paraId="12E969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0类</w:t>
            </w:r>
            <w:r>
              <w:rPr>
                <w:rFonts w:hint="default" w:ascii="Times New Roman" w:hAnsi="Times New Roman" w:eastAsia="宋体" w:cs="Times New Roman"/>
                <w:color w:val="auto"/>
                <w:sz w:val="21"/>
                <w:szCs w:val="21"/>
              </w:rPr>
              <w:t>区□</w:t>
            </w:r>
          </w:p>
        </w:tc>
        <w:tc>
          <w:tcPr>
            <w:tcW w:w="821" w:type="dxa"/>
            <w:tcBorders>
              <w:tl2br w:val="nil"/>
              <w:tr2bl w:val="nil"/>
            </w:tcBorders>
            <w:noWrap w:val="0"/>
            <w:vAlign w:val="center"/>
          </w:tcPr>
          <w:p w14:paraId="5015EE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w:t>
            </w:r>
            <w:r>
              <w:rPr>
                <w:rFonts w:hint="default" w:ascii="Times New Roman" w:hAnsi="Times New Roman" w:eastAsia="宋体" w:cs="Times New Roman"/>
                <w:color w:val="auto"/>
                <w:spacing w:val="-3"/>
                <w:sz w:val="21"/>
                <w:szCs w:val="21"/>
              </w:rPr>
              <w:t>类区</w:t>
            </w:r>
            <w:r>
              <w:rPr>
                <w:rFonts w:hint="default" w:ascii="Times New Roman" w:hAnsi="Times New Roman" w:eastAsia="宋体" w:cs="Times New Roman"/>
                <w:color w:val="auto"/>
                <w:spacing w:val="-3"/>
                <w:sz w:val="21"/>
                <w:szCs w:val="21"/>
              </w:rPr>
              <w:sym w:font="Wingdings 2" w:char="00A3"/>
            </w:r>
          </w:p>
        </w:tc>
        <w:tc>
          <w:tcPr>
            <w:tcW w:w="955" w:type="dxa"/>
            <w:gridSpan w:val="2"/>
            <w:tcBorders>
              <w:tl2br w:val="nil"/>
              <w:tr2bl w:val="nil"/>
            </w:tcBorders>
            <w:noWrap w:val="0"/>
            <w:vAlign w:val="center"/>
          </w:tcPr>
          <w:p w14:paraId="5B83F9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2类区</w:t>
            </w:r>
            <w:r>
              <w:rPr>
                <w:rFonts w:hint="default" w:ascii="Times New Roman" w:hAnsi="Times New Roman" w:eastAsia="宋体" w:cs="Times New Roman"/>
                <w:color w:val="auto"/>
                <w:sz w:val="21"/>
                <w:szCs w:val="21"/>
              </w:rPr>
              <w:sym w:font="Wingdings 2" w:char="00A3"/>
            </w:r>
          </w:p>
        </w:tc>
        <w:tc>
          <w:tcPr>
            <w:tcW w:w="923" w:type="dxa"/>
            <w:tcBorders>
              <w:tl2br w:val="nil"/>
              <w:tr2bl w:val="nil"/>
            </w:tcBorders>
            <w:noWrap w:val="0"/>
            <w:vAlign w:val="center"/>
          </w:tcPr>
          <w:p w14:paraId="375CFC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3类区</w:t>
            </w:r>
            <w:r>
              <w:rPr>
                <w:rFonts w:hint="default" w:ascii="Times New Roman" w:hAnsi="Times New Roman" w:eastAsia="宋体" w:cs="Times New Roman"/>
                <w:color w:val="auto"/>
                <w:sz w:val="21"/>
                <w:szCs w:val="21"/>
              </w:rPr>
              <w:sym w:font="Wingdings 2" w:char="0052"/>
            </w:r>
          </w:p>
        </w:tc>
        <w:tc>
          <w:tcPr>
            <w:tcW w:w="1079" w:type="dxa"/>
            <w:gridSpan w:val="3"/>
            <w:tcBorders>
              <w:tl2br w:val="nil"/>
              <w:tr2bl w:val="nil"/>
            </w:tcBorders>
            <w:noWrap w:val="0"/>
            <w:vAlign w:val="center"/>
          </w:tcPr>
          <w:p w14:paraId="7F8B99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r>
              <w:rPr>
                <w:rFonts w:hint="default" w:ascii="Times New Roman" w:hAnsi="Times New Roman" w:eastAsia="宋体" w:cs="Times New Roman"/>
                <w:color w:val="auto"/>
                <w:sz w:val="21"/>
                <w:szCs w:val="21"/>
              </w:rPr>
              <w:t>a类区</w:t>
            </w:r>
            <w:r>
              <w:rPr>
                <w:rFonts w:hint="default" w:ascii="Times New Roman" w:hAnsi="Times New Roman" w:eastAsia="宋体" w:cs="Times New Roman"/>
                <w:color w:val="auto"/>
                <w:sz w:val="21"/>
                <w:szCs w:val="21"/>
              </w:rPr>
              <w:sym w:font="Wingdings 2" w:char="00A3"/>
            </w:r>
          </w:p>
        </w:tc>
        <w:tc>
          <w:tcPr>
            <w:tcW w:w="1095" w:type="dxa"/>
            <w:tcBorders>
              <w:tl2br w:val="nil"/>
              <w:tr2bl w:val="nil"/>
            </w:tcBorders>
            <w:noWrap w:val="0"/>
            <w:vAlign w:val="center"/>
          </w:tcPr>
          <w:p w14:paraId="6FEE83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r>
              <w:rPr>
                <w:rFonts w:hint="default" w:ascii="Times New Roman" w:hAnsi="Times New Roman" w:eastAsia="宋体" w:cs="Times New Roman"/>
                <w:color w:val="auto"/>
                <w:sz w:val="21"/>
                <w:szCs w:val="21"/>
              </w:rPr>
              <w:t>b类区</w:t>
            </w:r>
            <w:r>
              <w:rPr>
                <w:rFonts w:hint="default" w:ascii="Times New Roman" w:hAnsi="Times New Roman" w:eastAsia="宋体" w:cs="Times New Roman"/>
                <w:color w:val="auto"/>
                <w:sz w:val="21"/>
                <w:szCs w:val="21"/>
              </w:rPr>
              <w:sym w:font="Wingdings 2" w:char="00A3"/>
            </w:r>
          </w:p>
        </w:tc>
      </w:tr>
      <w:tr w14:paraId="125DB4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continue"/>
            <w:tcBorders>
              <w:tl2br w:val="nil"/>
              <w:tr2bl w:val="nil"/>
            </w:tcBorders>
            <w:noWrap w:val="0"/>
            <w:vAlign w:val="center"/>
          </w:tcPr>
          <w:p w14:paraId="098DDE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c>
          <w:tcPr>
            <w:tcW w:w="1401" w:type="dxa"/>
            <w:tcBorders>
              <w:tl2br w:val="nil"/>
              <w:tr2bl w:val="nil"/>
            </w:tcBorders>
            <w:noWrap w:val="0"/>
            <w:vAlign w:val="center"/>
          </w:tcPr>
          <w:p w14:paraId="337803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w:t>
            </w:r>
            <w:r>
              <w:rPr>
                <w:rFonts w:hint="default" w:ascii="Times New Roman" w:hAnsi="Times New Roman" w:eastAsia="宋体" w:cs="Times New Roman"/>
                <w:b/>
                <w:bCs/>
                <w:color w:val="auto"/>
                <w:spacing w:val="-1"/>
                <w:sz w:val="21"/>
                <w:szCs w:val="21"/>
              </w:rPr>
              <w:t>价年度</w:t>
            </w:r>
          </w:p>
        </w:tc>
        <w:tc>
          <w:tcPr>
            <w:tcW w:w="1617" w:type="dxa"/>
            <w:tcBorders>
              <w:tl2br w:val="nil"/>
              <w:tr2bl w:val="nil"/>
            </w:tcBorders>
            <w:noWrap w:val="0"/>
            <w:vAlign w:val="center"/>
          </w:tcPr>
          <w:p w14:paraId="696382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初期</w:t>
            </w:r>
            <w:r>
              <w:rPr>
                <w:rFonts w:hint="default" w:ascii="Times New Roman" w:hAnsi="Times New Roman" w:eastAsia="宋体" w:cs="Times New Roman"/>
                <w:color w:val="auto"/>
                <w:spacing w:val="-1"/>
                <w:sz w:val="21"/>
                <w:szCs w:val="21"/>
              </w:rPr>
              <w:sym w:font="Wingdings 2" w:char="00A3"/>
            </w:r>
          </w:p>
        </w:tc>
        <w:tc>
          <w:tcPr>
            <w:tcW w:w="1776" w:type="dxa"/>
            <w:gridSpan w:val="3"/>
            <w:tcBorders>
              <w:tl2br w:val="nil"/>
              <w:tr2bl w:val="nil"/>
            </w:tcBorders>
            <w:noWrap w:val="0"/>
            <w:vAlign w:val="center"/>
          </w:tcPr>
          <w:p w14:paraId="196309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近期</w:t>
            </w:r>
            <w:r>
              <w:rPr>
                <w:rFonts w:hint="default" w:ascii="Times New Roman" w:hAnsi="Times New Roman" w:eastAsia="宋体" w:cs="Times New Roman"/>
                <w:color w:val="auto"/>
                <w:spacing w:val="-1"/>
                <w:sz w:val="21"/>
                <w:szCs w:val="21"/>
              </w:rPr>
              <w:sym w:font="Wingdings 2" w:char="0052"/>
            </w:r>
          </w:p>
        </w:tc>
        <w:tc>
          <w:tcPr>
            <w:tcW w:w="1458" w:type="dxa"/>
            <w:gridSpan w:val="2"/>
            <w:tcBorders>
              <w:tl2br w:val="nil"/>
              <w:tr2bl w:val="nil"/>
            </w:tcBorders>
            <w:noWrap w:val="0"/>
            <w:vAlign w:val="center"/>
          </w:tcPr>
          <w:p w14:paraId="581873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中</w:t>
            </w:r>
            <w:r>
              <w:rPr>
                <w:rFonts w:hint="default" w:ascii="Times New Roman" w:hAnsi="Times New Roman" w:eastAsia="宋体" w:cs="Times New Roman"/>
                <w:color w:val="auto"/>
                <w:spacing w:val="-5"/>
                <w:sz w:val="21"/>
                <w:szCs w:val="21"/>
              </w:rPr>
              <w:t>期</w:t>
            </w:r>
            <w:r>
              <w:rPr>
                <w:rFonts w:hint="default" w:ascii="Times New Roman" w:hAnsi="Times New Roman" w:eastAsia="宋体" w:cs="Times New Roman"/>
                <w:color w:val="auto"/>
                <w:spacing w:val="-5"/>
                <w:sz w:val="21"/>
                <w:szCs w:val="21"/>
              </w:rPr>
              <w:sym w:font="Wingdings 2" w:char="00A3"/>
            </w:r>
          </w:p>
        </w:tc>
        <w:tc>
          <w:tcPr>
            <w:tcW w:w="1639" w:type="dxa"/>
            <w:gridSpan w:val="3"/>
            <w:tcBorders>
              <w:tl2br w:val="nil"/>
              <w:tr2bl w:val="nil"/>
            </w:tcBorders>
            <w:noWrap w:val="0"/>
            <w:vAlign w:val="center"/>
          </w:tcPr>
          <w:p w14:paraId="1DA42C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远期</w:t>
            </w:r>
            <w:r>
              <w:rPr>
                <w:rFonts w:hint="default" w:ascii="Times New Roman" w:hAnsi="Times New Roman" w:eastAsia="宋体" w:cs="Times New Roman"/>
                <w:color w:val="auto"/>
                <w:spacing w:val="-1"/>
                <w:sz w:val="21"/>
                <w:szCs w:val="21"/>
              </w:rPr>
              <w:sym w:font="Wingdings 2" w:char="00A3"/>
            </w:r>
          </w:p>
        </w:tc>
      </w:tr>
      <w:tr w14:paraId="62B5D5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continue"/>
            <w:tcBorders>
              <w:tl2br w:val="nil"/>
              <w:tr2bl w:val="nil"/>
            </w:tcBorders>
            <w:noWrap w:val="0"/>
            <w:vAlign w:val="center"/>
          </w:tcPr>
          <w:p w14:paraId="517BD1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c>
          <w:tcPr>
            <w:tcW w:w="1401" w:type="dxa"/>
            <w:tcBorders>
              <w:tl2br w:val="nil"/>
              <w:tr2bl w:val="nil"/>
            </w:tcBorders>
            <w:noWrap w:val="0"/>
            <w:vAlign w:val="center"/>
          </w:tcPr>
          <w:p w14:paraId="0D5CD33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现状</w:t>
            </w:r>
            <w:r>
              <w:rPr>
                <w:rFonts w:hint="default" w:ascii="Times New Roman" w:hAnsi="Times New Roman" w:eastAsia="宋体" w:cs="Times New Roman"/>
                <w:b/>
                <w:bCs/>
                <w:color w:val="auto"/>
                <w:spacing w:val="-1"/>
                <w:sz w:val="21"/>
                <w:szCs w:val="21"/>
              </w:rPr>
              <w:t>调查方法</w:t>
            </w:r>
          </w:p>
        </w:tc>
        <w:tc>
          <w:tcPr>
            <w:tcW w:w="6490" w:type="dxa"/>
            <w:gridSpan w:val="9"/>
            <w:tcBorders>
              <w:tl2br w:val="nil"/>
              <w:tr2bl w:val="nil"/>
            </w:tcBorders>
            <w:noWrap w:val="0"/>
            <w:vAlign w:val="center"/>
          </w:tcPr>
          <w:p w14:paraId="512943E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现场实测法</w:t>
            </w:r>
            <w:r>
              <w:rPr>
                <w:rFonts w:hint="default" w:ascii="Times New Roman" w:hAnsi="Times New Roman" w:eastAsia="宋体" w:cs="Times New Roman"/>
                <w:color w:val="auto"/>
                <w:spacing w:val="2"/>
                <w:sz w:val="21"/>
                <w:szCs w:val="21"/>
              </w:rPr>
              <w:sym w:font="Wingdings 2" w:char="0052"/>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1"/>
                <w:sz w:val="21"/>
                <w:szCs w:val="21"/>
              </w:rPr>
              <w:t xml:space="preserve">     现场实测加模型计算法</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 xml:space="preserve">     收集资料</w:t>
            </w:r>
            <w:r>
              <w:rPr>
                <w:rFonts w:hint="default" w:ascii="Times New Roman" w:hAnsi="Times New Roman" w:eastAsia="宋体" w:cs="Times New Roman"/>
                <w:color w:val="auto"/>
                <w:spacing w:val="1"/>
                <w:sz w:val="21"/>
                <w:szCs w:val="21"/>
              </w:rPr>
              <w:sym w:font="Wingdings 2" w:char="00A3"/>
            </w:r>
          </w:p>
        </w:tc>
      </w:tr>
      <w:tr w14:paraId="0B444D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continue"/>
            <w:tcBorders>
              <w:tl2br w:val="nil"/>
              <w:tr2bl w:val="nil"/>
            </w:tcBorders>
            <w:noWrap w:val="0"/>
            <w:vAlign w:val="center"/>
          </w:tcPr>
          <w:p w14:paraId="7B49CB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c>
          <w:tcPr>
            <w:tcW w:w="1401" w:type="dxa"/>
            <w:tcBorders>
              <w:tl2br w:val="nil"/>
              <w:tr2bl w:val="nil"/>
            </w:tcBorders>
            <w:noWrap w:val="0"/>
            <w:vAlign w:val="center"/>
          </w:tcPr>
          <w:p w14:paraId="63B90E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现状评</w:t>
            </w:r>
            <w:r>
              <w:rPr>
                <w:rFonts w:hint="default" w:ascii="Times New Roman" w:hAnsi="Times New Roman" w:eastAsia="宋体" w:cs="Times New Roman"/>
                <w:b/>
                <w:bCs/>
                <w:color w:val="auto"/>
                <w:spacing w:val="-1"/>
                <w:sz w:val="21"/>
                <w:szCs w:val="21"/>
              </w:rPr>
              <w:t>价</w:t>
            </w:r>
          </w:p>
        </w:tc>
        <w:tc>
          <w:tcPr>
            <w:tcW w:w="1617" w:type="dxa"/>
            <w:tcBorders>
              <w:tl2br w:val="nil"/>
              <w:tr2bl w:val="nil"/>
            </w:tcBorders>
            <w:noWrap w:val="0"/>
            <w:vAlign w:val="center"/>
          </w:tcPr>
          <w:p w14:paraId="381140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达</w:t>
            </w:r>
            <w:r>
              <w:rPr>
                <w:rFonts w:hint="default" w:ascii="Times New Roman" w:hAnsi="Times New Roman" w:eastAsia="宋体" w:cs="Times New Roman"/>
                <w:color w:val="auto"/>
                <w:spacing w:val="-1"/>
                <w:sz w:val="21"/>
                <w:szCs w:val="21"/>
              </w:rPr>
              <w:t>标百分比</w:t>
            </w:r>
          </w:p>
        </w:tc>
        <w:tc>
          <w:tcPr>
            <w:tcW w:w="4873" w:type="dxa"/>
            <w:gridSpan w:val="8"/>
            <w:tcBorders>
              <w:tl2br w:val="nil"/>
              <w:tr2bl w:val="nil"/>
            </w:tcBorders>
            <w:noWrap w:val="0"/>
            <w:vAlign w:val="center"/>
          </w:tcPr>
          <w:p w14:paraId="1B98AD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76B55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tcBorders>
              <w:tl2br w:val="nil"/>
              <w:tr2bl w:val="nil"/>
            </w:tcBorders>
            <w:noWrap w:val="0"/>
            <w:vAlign w:val="center"/>
          </w:tcPr>
          <w:p w14:paraId="14A5CB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5"/>
                <w:position w:val="6"/>
                <w:sz w:val="21"/>
                <w:szCs w:val="21"/>
              </w:rPr>
              <w:t>噪</w:t>
            </w:r>
            <w:r>
              <w:rPr>
                <w:rFonts w:hint="default" w:ascii="Times New Roman" w:hAnsi="Times New Roman" w:eastAsia="宋体" w:cs="Times New Roman"/>
                <w:b/>
                <w:bCs/>
                <w:color w:val="auto"/>
                <w:spacing w:val="-3"/>
                <w:position w:val="6"/>
                <w:sz w:val="21"/>
                <w:szCs w:val="21"/>
              </w:rPr>
              <w:t>声源</w:t>
            </w:r>
          </w:p>
          <w:p w14:paraId="4A5FB0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调</w:t>
            </w:r>
            <w:r>
              <w:rPr>
                <w:rFonts w:hint="default" w:ascii="Times New Roman" w:hAnsi="Times New Roman" w:eastAsia="宋体" w:cs="Times New Roman"/>
                <w:b/>
                <w:bCs/>
                <w:color w:val="auto"/>
                <w:spacing w:val="-2"/>
                <w:sz w:val="21"/>
                <w:szCs w:val="21"/>
              </w:rPr>
              <w:t>查</w:t>
            </w:r>
          </w:p>
        </w:tc>
        <w:tc>
          <w:tcPr>
            <w:tcW w:w="1401" w:type="dxa"/>
            <w:tcBorders>
              <w:tl2br w:val="nil"/>
              <w:tr2bl w:val="nil"/>
            </w:tcBorders>
            <w:noWrap w:val="0"/>
            <w:vAlign w:val="center"/>
          </w:tcPr>
          <w:p w14:paraId="4BBA21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4"/>
                <w:sz w:val="21"/>
                <w:szCs w:val="21"/>
              </w:rPr>
              <w:t>噪声</w:t>
            </w:r>
            <w:r>
              <w:rPr>
                <w:rFonts w:hint="default" w:ascii="Times New Roman" w:hAnsi="Times New Roman" w:eastAsia="宋体" w:cs="Times New Roman"/>
                <w:b/>
                <w:bCs/>
                <w:color w:val="auto"/>
                <w:spacing w:val="-2"/>
                <w:sz w:val="21"/>
                <w:szCs w:val="21"/>
              </w:rPr>
              <w:t>源</w:t>
            </w:r>
          </w:p>
          <w:p w14:paraId="359746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调查方</w:t>
            </w:r>
            <w:r>
              <w:rPr>
                <w:rFonts w:hint="default" w:ascii="Times New Roman" w:hAnsi="Times New Roman" w:eastAsia="宋体" w:cs="Times New Roman"/>
                <w:b/>
                <w:bCs/>
                <w:color w:val="auto"/>
                <w:sz w:val="21"/>
                <w:szCs w:val="21"/>
              </w:rPr>
              <w:t>法</w:t>
            </w:r>
          </w:p>
        </w:tc>
        <w:tc>
          <w:tcPr>
            <w:tcW w:w="1617" w:type="dxa"/>
            <w:tcBorders>
              <w:tl2br w:val="nil"/>
              <w:tr2bl w:val="nil"/>
            </w:tcBorders>
            <w:noWrap w:val="0"/>
            <w:vAlign w:val="center"/>
          </w:tcPr>
          <w:p w14:paraId="504363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现场</w:t>
            </w:r>
            <w:r>
              <w:rPr>
                <w:rFonts w:hint="default" w:ascii="Times New Roman" w:hAnsi="Times New Roman" w:eastAsia="宋体" w:cs="Times New Roman"/>
                <w:color w:val="auto"/>
                <w:spacing w:val="-1"/>
                <w:sz w:val="21"/>
                <w:szCs w:val="21"/>
              </w:rPr>
              <w:t>实测</w:t>
            </w:r>
            <w:r>
              <w:rPr>
                <w:rFonts w:hint="default" w:ascii="Times New Roman" w:hAnsi="Times New Roman" w:eastAsia="宋体" w:cs="Times New Roman"/>
                <w:color w:val="auto"/>
                <w:spacing w:val="-1"/>
                <w:sz w:val="21"/>
                <w:szCs w:val="21"/>
              </w:rPr>
              <w:sym w:font="Wingdings 2" w:char="00A3"/>
            </w:r>
          </w:p>
        </w:tc>
        <w:tc>
          <w:tcPr>
            <w:tcW w:w="4873" w:type="dxa"/>
            <w:gridSpan w:val="8"/>
            <w:tcBorders>
              <w:tl2br w:val="nil"/>
              <w:tr2bl w:val="nil"/>
            </w:tcBorders>
            <w:noWrap w:val="0"/>
            <w:vAlign w:val="center"/>
          </w:tcPr>
          <w:p w14:paraId="3F57D3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已有资料</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 xml:space="preserve">               研究成果</w:t>
            </w:r>
            <w:r>
              <w:rPr>
                <w:rFonts w:hint="default" w:ascii="Times New Roman" w:hAnsi="Times New Roman" w:eastAsia="宋体" w:cs="Times New Roman"/>
                <w:color w:val="auto"/>
                <w:sz w:val="21"/>
                <w:szCs w:val="21"/>
              </w:rPr>
              <w:sym w:font="Wingdings 2" w:char="00A3"/>
            </w:r>
          </w:p>
        </w:tc>
      </w:tr>
      <w:tr w14:paraId="0ED07B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restart"/>
            <w:tcBorders>
              <w:tl2br w:val="nil"/>
              <w:tr2bl w:val="nil"/>
            </w:tcBorders>
            <w:noWrap w:val="0"/>
            <w:vAlign w:val="center"/>
          </w:tcPr>
          <w:p w14:paraId="473467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声环境影</w:t>
            </w:r>
          </w:p>
          <w:p w14:paraId="63C364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响</w:t>
            </w:r>
            <w:r>
              <w:rPr>
                <w:rFonts w:hint="default" w:ascii="Times New Roman" w:hAnsi="Times New Roman" w:eastAsia="宋体" w:cs="Times New Roman"/>
                <w:b/>
                <w:bCs/>
                <w:color w:val="auto"/>
                <w:spacing w:val="-3"/>
                <w:sz w:val="21"/>
                <w:szCs w:val="21"/>
              </w:rPr>
              <w:t>预测与</w:t>
            </w:r>
          </w:p>
          <w:p w14:paraId="396372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评价</w:t>
            </w:r>
          </w:p>
        </w:tc>
        <w:tc>
          <w:tcPr>
            <w:tcW w:w="1401" w:type="dxa"/>
            <w:tcBorders>
              <w:tl2br w:val="nil"/>
              <w:tr2bl w:val="nil"/>
            </w:tcBorders>
            <w:noWrap w:val="0"/>
            <w:vAlign w:val="center"/>
          </w:tcPr>
          <w:p w14:paraId="0008DE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预测模</w:t>
            </w:r>
            <w:r>
              <w:rPr>
                <w:rFonts w:hint="default" w:ascii="Times New Roman" w:hAnsi="Times New Roman" w:eastAsia="宋体" w:cs="Times New Roman"/>
                <w:b/>
                <w:bCs/>
                <w:color w:val="auto"/>
                <w:spacing w:val="-1"/>
                <w:sz w:val="21"/>
                <w:szCs w:val="21"/>
              </w:rPr>
              <w:t>型</w:t>
            </w:r>
          </w:p>
        </w:tc>
        <w:tc>
          <w:tcPr>
            <w:tcW w:w="1617" w:type="dxa"/>
            <w:tcBorders>
              <w:tl2br w:val="nil"/>
              <w:tr2bl w:val="nil"/>
            </w:tcBorders>
            <w:noWrap w:val="0"/>
            <w:vAlign w:val="center"/>
          </w:tcPr>
          <w:p w14:paraId="39B13D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导则推荐模</w:t>
            </w:r>
            <w:r>
              <w:rPr>
                <w:rFonts w:hint="default" w:ascii="Times New Roman" w:hAnsi="Times New Roman" w:eastAsia="宋体" w:cs="Times New Roman"/>
                <w:color w:val="auto"/>
                <w:spacing w:val="-1"/>
                <w:sz w:val="21"/>
                <w:szCs w:val="21"/>
              </w:rPr>
              <w:t>型</w:t>
            </w:r>
            <w:r>
              <w:rPr>
                <w:rFonts w:hint="default" w:ascii="Times New Roman" w:hAnsi="Times New Roman" w:eastAsia="宋体" w:cs="Times New Roman"/>
                <w:color w:val="auto"/>
                <w:spacing w:val="-1"/>
                <w:sz w:val="21"/>
                <w:szCs w:val="21"/>
              </w:rPr>
              <w:sym w:font="Wingdings 2" w:char="0052"/>
            </w:r>
          </w:p>
        </w:tc>
        <w:tc>
          <w:tcPr>
            <w:tcW w:w="4873" w:type="dxa"/>
            <w:gridSpan w:val="8"/>
            <w:tcBorders>
              <w:tl2br w:val="nil"/>
              <w:tr2bl w:val="nil"/>
            </w:tcBorders>
            <w:noWrap w:val="0"/>
            <w:vAlign w:val="center"/>
          </w:tcPr>
          <w:p w14:paraId="0ED806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其</w:t>
            </w:r>
            <w:r>
              <w:rPr>
                <w:rFonts w:hint="default" w:ascii="Times New Roman" w:hAnsi="Times New Roman" w:eastAsia="宋体" w:cs="Times New Roman"/>
                <w:color w:val="auto"/>
                <w:spacing w:val="-2"/>
                <w:sz w:val="21"/>
                <w:szCs w:val="21"/>
              </w:rPr>
              <w:t>他</w:t>
            </w:r>
            <w:r>
              <w:rPr>
                <w:rFonts w:hint="default" w:ascii="Times New Roman" w:hAnsi="Times New Roman" w:eastAsia="宋体" w:cs="Times New Roman"/>
                <w:color w:val="auto"/>
                <w:spacing w:val="-2"/>
                <w:sz w:val="21"/>
                <w:szCs w:val="21"/>
              </w:rPr>
              <w:sym w:font="Wingdings 2" w:char="00A3"/>
            </w:r>
          </w:p>
        </w:tc>
      </w:tr>
      <w:tr w14:paraId="49840C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continue"/>
            <w:tcBorders>
              <w:tl2br w:val="nil"/>
              <w:tr2bl w:val="nil"/>
            </w:tcBorders>
            <w:noWrap w:val="0"/>
            <w:vAlign w:val="center"/>
          </w:tcPr>
          <w:p w14:paraId="3A4095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c>
          <w:tcPr>
            <w:tcW w:w="1401" w:type="dxa"/>
            <w:tcBorders>
              <w:tl2br w:val="nil"/>
              <w:tr2bl w:val="nil"/>
            </w:tcBorders>
            <w:noWrap w:val="0"/>
            <w:vAlign w:val="center"/>
          </w:tcPr>
          <w:p w14:paraId="0D6ADC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预测范</w:t>
            </w:r>
            <w:r>
              <w:rPr>
                <w:rFonts w:hint="default" w:ascii="Times New Roman" w:hAnsi="Times New Roman" w:eastAsia="宋体" w:cs="Times New Roman"/>
                <w:b/>
                <w:bCs/>
                <w:color w:val="auto"/>
                <w:spacing w:val="-1"/>
                <w:sz w:val="21"/>
                <w:szCs w:val="21"/>
              </w:rPr>
              <w:t>围</w:t>
            </w:r>
          </w:p>
        </w:tc>
        <w:tc>
          <w:tcPr>
            <w:tcW w:w="6490" w:type="dxa"/>
            <w:gridSpan w:val="9"/>
            <w:tcBorders>
              <w:tl2br w:val="nil"/>
              <w:tr2bl w:val="nil"/>
            </w:tcBorders>
            <w:noWrap w:val="0"/>
            <w:vAlign w:val="center"/>
          </w:tcPr>
          <w:p w14:paraId="1C4B2B3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 xml:space="preserve">            大于200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z w:val="21"/>
                <w:szCs w:val="21"/>
              </w:rPr>
              <w:t xml:space="preserve">            小于200m</w:t>
            </w:r>
            <w:r>
              <w:rPr>
                <w:rFonts w:hint="default" w:ascii="Times New Roman" w:hAnsi="Times New Roman" w:eastAsia="宋体" w:cs="Times New Roman"/>
                <w:color w:val="auto"/>
                <w:sz w:val="21"/>
                <w:szCs w:val="21"/>
              </w:rPr>
              <w:sym w:font="Wingdings 2" w:char="00A3"/>
            </w:r>
          </w:p>
        </w:tc>
      </w:tr>
      <w:tr w14:paraId="3F9D13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continue"/>
            <w:tcBorders>
              <w:tl2br w:val="nil"/>
              <w:tr2bl w:val="nil"/>
            </w:tcBorders>
            <w:noWrap w:val="0"/>
            <w:vAlign w:val="center"/>
          </w:tcPr>
          <w:p w14:paraId="6D0C62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c>
          <w:tcPr>
            <w:tcW w:w="1401" w:type="dxa"/>
            <w:tcBorders>
              <w:tl2br w:val="nil"/>
              <w:tr2bl w:val="nil"/>
            </w:tcBorders>
            <w:noWrap w:val="0"/>
            <w:vAlign w:val="center"/>
          </w:tcPr>
          <w:p w14:paraId="06A05C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预测因</w:t>
            </w:r>
            <w:r>
              <w:rPr>
                <w:rFonts w:hint="default" w:ascii="Times New Roman" w:hAnsi="Times New Roman" w:eastAsia="宋体" w:cs="Times New Roman"/>
                <w:b/>
                <w:bCs/>
                <w:color w:val="auto"/>
                <w:spacing w:val="-1"/>
                <w:sz w:val="21"/>
                <w:szCs w:val="21"/>
              </w:rPr>
              <w:t>子</w:t>
            </w:r>
          </w:p>
        </w:tc>
        <w:tc>
          <w:tcPr>
            <w:tcW w:w="6490" w:type="dxa"/>
            <w:gridSpan w:val="9"/>
            <w:tcBorders>
              <w:tl2br w:val="nil"/>
              <w:tr2bl w:val="nil"/>
            </w:tcBorders>
            <w:noWrap w:val="0"/>
            <w:vAlign w:val="center"/>
          </w:tcPr>
          <w:p w14:paraId="5D8069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等效连续</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pacing w:val="-1"/>
                <w:sz w:val="21"/>
                <w:szCs w:val="21"/>
              </w:rPr>
              <w:t>声级</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 xml:space="preserve">      最大</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pacing w:val="-1"/>
                <w:sz w:val="21"/>
                <w:szCs w:val="21"/>
              </w:rPr>
              <w:t xml:space="preserve">声级□   </w:t>
            </w:r>
            <w:r>
              <w:rPr>
                <w:rFonts w:hint="default" w:ascii="Times New Roman" w:hAnsi="Times New Roman" w:eastAsia="宋体" w:cs="Times New Roman"/>
                <w:color w:val="auto"/>
                <w:sz w:val="21"/>
                <w:szCs w:val="21"/>
              </w:rPr>
              <w:t xml:space="preserve"> 计权等效连续感觉噪声级□</w:t>
            </w:r>
          </w:p>
        </w:tc>
      </w:tr>
      <w:tr w14:paraId="67EF27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continue"/>
            <w:tcBorders>
              <w:tl2br w:val="nil"/>
              <w:tr2bl w:val="nil"/>
            </w:tcBorders>
            <w:noWrap w:val="0"/>
            <w:vAlign w:val="center"/>
          </w:tcPr>
          <w:p w14:paraId="25B235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c>
          <w:tcPr>
            <w:tcW w:w="1401" w:type="dxa"/>
            <w:tcBorders>
              <w:tl2br w:val="nil"/>
              <w:tr2bl w:val="nil"/>
            </w:tcBorders>
            <w:noWrap w:val="0"/>
            <w:vAlign w:val="center"/>
          </w:tcPr>
          <w:p w14:paraId="4E24B6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厂界噪声</w:t>
            </w:r>
          </w:p>
          <w:p w14:paraId="38BE181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贡献</w:t>
            </w:r>
            <w:r>
              <w:rPr>
                <w:rFonts w:hint="default" w:ascii="Times New Roman" w:hAnsi="Times New Roman" w:eastAsia="宋体" w:cs="Times New Roman"/>
                <w:b/>
                <w:bCs/>
                <w:color w:val="auto"/>
                <w:sz w:val="21"/>
                <w:szCs w:val="21"/>
              </w:rPr>
              <w:t>值</w:t>
            </w:r>
          </w:p>
        </w:tc>
        <w:tc>
          <w:tcPr>
            <w:tcW w:w="1617" w:type="dxa"/>
            <w:tcBorders>
              <w:tl2br w:val="nil"/>
              <w:tr2bl w:val="nil"/>
            </w:tcBorders>
            <w:noWrap w:val="0"/>
            <w:vAlign w:val="center"/>
          </w:tcPr>
          <w:p w14:paraId="413CCF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达标</w:t>
            </w:r>
            <w:r>
              <w:rPr>
                <w:rFonts w:hint="default" w:ascii="Times New Roman" w:hAnsi="Times New Roman" w:eastAsia="宋体" w:cs="Times New Roman"/>
                <w:color w:val="auto"/>
                <w:spacing w:val="-1"/>
                <w:sz w:val="21"/>
                <w:szCs w:val="21"/>
              </w:rPr>
              <w:sym w:font="Wingdings 2" w:char="0052"/>
            </w:r>
          </w:p>
        </w:tc>
        <w:tc>
          <w:tcPr>
            <w:tcW w:w="4873" w:type="dxa"/>
            <w:gridSpan w:val="8"/>
            <w:tcBorders>
              <w:tl2br w:val="nil"/>
              <w:tr2bl w:val="nil"/>
            </w:tcBorders>
            <w:noWrap w:val="0"/>
            <w:vAlign w:val="center"/>
          </w:tcPr>
          <w:p w14:paraId="02E805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不达标</w:t>
            </w:r>
            <w:r>
              <w:rPr>
                <w:rFonts w:hint="default" w:ascii="Times New Roman" w:hAnsi="Times New Roman" w:eastAsia="宋体" w:cs="Times New Roman"/>
                <w:color w:val="auto"/>
                <w:spacing w:val="-2"/>
                <w:sz w:val="21"/>
                <w:szCs w:val="21"/>
              </w:rPr>
              <w:sym w:font="Wingdings 2" w:char="00A3"/>
            </w:r>
          </w:p>
        </w:tc>
      </w:tr>
      <w:tr w14:paraId="4E3F07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continue"/>
            <w:tcBorders>
              <w:tl2br w:val="nil"/>
              <w:tr2bl w:val="nil"/>
            </w:tcBorders>
            <w:noWrap w:val="0"/>
            <w:vAlign w:val="center"/>
          </w:tcPr>
          <w:p w14:paraId="6F9C32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c>
          <w:tcPr>
            <w:tcW w:w="1401" w:type="dxa"/>
            <w:tcBorders>
              <w:tl2br w:val="nil"/>
              <w:tr2bl w:val="nil"/>
            </w:tcBorders>
            <w:noWrap w:val="0"/>
            <w:vAlign w:val="center"/>
          </w:tcPr>
          <w:p w14:paraId="40189C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声环境保护</w:t>
            </w:r>
            <w:r>
              <w:rPr>
                <w:rFonts w:hint="default" w:ascii="Times New Roman" w:hAnsi="Times New Roman" w:eastAsia="宋体" w:cs="Times New Roman"/>
                <w:b/>
                <w:bCs/>
                <w:color w:val="auto"/>
                <w:spacing w:val="-1"/>
                <w:sz w:val="21"/>
                <w:szCs w:val="21"/>
              </w:rPr>
              <w:t>目</w:t>
            </w:r>
            <w:r>
              <w:rPr>
                <w:rFonts w:hint="default" w:ascii="Times New Roman" w:hAnsi="Times New Roman" w:eastAsia="宋体" w:cs="Times New Roman"/>
                <w:b/>
                <w:bCs/>
                <w:color w:val="auto"/>
                <w:spacing w:val="-2"/>
                <w:sz w:val="21"/>
                <w:szCs w:val="21"/>
              </w:rPr>
              <w:t>标处</w:t>
            </w:r>
            <w:r>
              <w:rPr>
                <w:rFonts w:hint="default" w:ascii="Times New Roman" w:hAnsi="Times New Roman" w:eastAsia="宋体" w:cs="Times New Roman"/>
                <w:b/>
                <w:bCs/>
                <w:color w:val="auto"/>
                <w:spacing w:val="-1"/>
                <w:sz w:val="21"/>
                <w:szCs w:val="21"/>
              </w:rPr>
              <w:t>噪声值</w:t>
            </w:r>
          </w:p>
        </w:tc>
        <w:tc>
          <w:tcPr>
            <w:tcW w:w="1617" w:type="dxa"/>
            <w:tcBorders>
              <w:tl2br w:val="nil"/>
              <w:tr2bl w:val="nil"/>
            </w:tcBorders>
            <w:noWrap w:val="0"/>
            <w:vAlign w:val="center"/>
          </w:tcPr>
          <w:p w14:paraId="442ACE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达标</w:t>
            </w:r>
            <w:r>
              <w:rPr>
                <w:rFonts w:hint="default" w:ascii="Times New Roman" w:hAnsi="Times New Roman" w:eastAsia="宋体" w:cs="Times New Roman"/>
                <w:color w:val="auto"/>
                <w:spacing w:val="-1"/>
                <w:sz w:val="21"/>
                <w:szCs w:val="21"/>
              </w:rPr>
              <w:sym w:font="Wingdings 2" w:char="0052"/>
            </w:r>
          </w:p>
        </w:tc>
        <w:tc>
          <w:tcPr>
            <w:tcW w:w="4873" w:type="dxa"/>
            <w:gridSpan w:val="8"/>
            <w:tcBorders>
              <w:tl2br w:val="nil"/>
              <w:tr2bl w:val="nil"/>
            </w:tcBorders>
            <w:noWrap w:val="0"/>
            <w:vAlign w:val="center"/>
          </w:tcPr>
          <w:p w14:paraId="40B840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不达标</w:t>
            </w:r>
            <w:r>
              <w:rPr>
                <w:rFonts w:hint="default" w:ascii="Times New Roman" w:hAnsi="Times New Roman" w:eastAsia="宋体" w:cs="Times New Roman"/>
                <w:color w:val="auto"/>
                <w:spacing w:val="-2"/>
                <w:sz w:val="21"/>
                <w:szCs w:val="21"/>
              </w:rPr>
              <w:sym w:font="Wingdings 2" w:char="00A3"/>
            </w:r>
          </w:p>
        </w:tc>
      </w:tr>
      <w:tr w14:paraId="344D4F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restart"/>
            <w:tcBorders>
              <w:tl2br w:val="nil"/>
              <w:tr2bl w:val="nil"/>
            </w:tcBorders>
            <w:noWrap w:val="0"/>
            <w:vAlign w:val="center"/>
          </w:tcPr>
          <w:p w14:paraId="42F0B4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环境监测计划</w:t>
            </w:r>
          </w:p>
        </w:tc>
        <w:tc>
          <w:tcPr>
            <w:tcW w:w="1401" w:type="dxa"/>
            <w:tcBorders>
              <w:tl2br w:val="nil"/>
              <w:tr2bl w:val="nil"/>
            </w:tcBorders>
            <w:noWrap w:val="0"/>
            <w:vAlign w:val="center"/>
          </w:tcPr>
          <w:p w14:paraId="35E6E7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排放</w:t>
            </w:r>
            <w:r>
              <w:rPr>
                <w:rFonts w:hint="default" w:ascii="Times New Roman" w:hAnsi="Times New Roman" w:eastAsia="宋体" w:cs="Times New Roman"/>
                <w:b/>
                <w:bCs/>
                <w:color w:val="auto"/>
                <w:spacing w:val="-1"/>
                <w:sz w:val="21"/>
                <w:szCs w:val="21"/>
              </w:rPr>
              <w:t>监测</w:t>
            </w:r>
          </w:p>
        </w:tc>
        <w:tc>
          <w:tcPr>
            <w:tcW w:w="6490" w:type="dxa"/>
            <w:gridSpan w:val="9"/>
            <w:tcBorders>
              <w:tl2br w:val="nil"/>
              <w:tr2bl w:val="nil"/>
            </w:tcBorders>
            <w:noWrap w:val="0"/>
            <w:vAlign w:val="center"/>
          </w:tcPr>
          <w:p w14:paraId="553335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厂界监测</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 xml:space="preserve">   固定位置监测</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 xml:space="preserve">  自动监测</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 xml:space="preserve"> 手动</w:t>
            </w:r>
            <w:r>
              <w:rPr>
                <w:rFonts w:hint="default" w:ascii="Times New Roman" w:hAnsi="Times New Roman" w:eastAsia="宋体" w:cs="Times New Roman"/>
                <w:color w:val="auto"/>
                <w:sz w:val="21"/>
                <w:szCs w:val="21"/>
              </w:rPr>
              <w:t>监测</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 xml:space="preserve">  无监测</w:t>
            </w:r>
            <w:r>
              <w:rPr>
                <w:rFonts w:hint="default" w:ascii="Times New Roman" w:hAnsi="Times New Roman" w:eastAsia="宋体" w:cs="Times New Roman"/>
                <w:color w:val="auto"/>
                <w:sz w:val="21"/>
                <w:szCs w:val="21"/>
              </w:rPr>
              <w:sym w:font="Wingdings 2" w:char="00A3"/>
            </w:r>
          </w:p>
        </w:tc>
      </w:tr>
      <w:tr w14:paraId="02F739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vMerge w:val="continue"/>
            <w:tcBorders>
              <w:tl2br w:val="nil"/>
              <w:tr2bl w:val="nil"/>
            </w:tcBorders>
            <w:noWrap w:val="0"/>
            <w:vAlign w:val="center"/>
          </w:tcPr>
          <w:p w14:paraId="3D286BD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c>
          <w:tcPr>
            <w:tcW w:w="1401" w:type="dxa"/>
            <w:tcBorders>
              <w:tl2br w:val="nil"/>
              <w:tr2bl w:val="nil"/>
            </w:tcBorders>
            <w:noWrap w:val="0"/>
            <w:vAlign w:val="center"/>
          </w:tcPr>
          <w:p w14:paraId="5757F4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声环境保护</w:t>
            </w:r>
            <w:r>
              <w:rPr>
                <w:rFonts w:hint="default" w:ascii="Times New Roman" w:hAnsi="Times New Roman" w:eastAsia="宋体" w:cs="Times New Roman"/>
                <w:b/>
                <w:bCs/>
                <w:color w:val="auto"/>
                <w:spacing w:val="-1"/>
                <w:sz w:val="21"/>
                <w:szCs w:val="21"/>
              </w:rPr>
              <w:t>目</w:t>
            </w:r>
            <w:r>
              <w:rPr>
                <w:rFonts w:hint="default" w:ascii="Times New Roman" w:hAnsi="Times New Roman" w:eastAsia="宋体" w:cs="Times New Roman"/>
                <w:b/>
                <w:bCs/>
                <w:color w:val="auto"/>
                <w:spacing w:val="-2"/>
                <w:sz w:val="21"/>
                <w:szCs w:val="21"/>
              </w:rPr>
              <w:t>标处</w:t>
            </w:r>
            <w:r>
              <w:rPr>
                <w:rFonts w:hint="default" w:ascii="Times New Roman" w:hAnsi="Times New Roman" w:eastAsia="宋体" w:cs="Times New Roman"/>
                <w:b/>
                <w:bCs/>
                <w:color w:val="auto"/>
                <w:spacing w:val="-1"/>
                <w:sz w:val="21"/>
                <w:szCs w:val="21"/>
              </w:rPr>
              <w:t>噪声监测</w:t>
            </w:r>
          </w:p>
        </w:tc>
        <w:tc>
          <w:tcPr>
            <w:tcW w:w="3181" w:type="dxa"/>
            <w:gridSpan w:val="3"/>
            <w:tcBorders>
              <w:tl2br w:val="nil"/>
              <w:tr2bl w:val="nil"/>
            </w:tcBorders>
            <w:noWrap w:val="0"/>
            <w:vAlign w:val="center"/>
          </w:tcPr>
          <w:p w14:paraId="0778AFB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监测因子：</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1"/>
                <w:sz w:val="21"/>
                <w:szCs w:val="21"/>
              </w:rPr>
              <w:t xml:space="preserve">等效连续 </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pacing w:val="-1"/>
                <w:sz w:val="21"/>
                <w:szCs w:val="21"/>
              </w:rPr>
              <w:t>声级</w:t>
            </w:r>
            <w:r>
              <w:rPr>
                <w:rFonts w:hint="default" w:ascii="Times New Roman" w:hAnsi="Times New Roman" w:eastAsia="宋体" w:cs="Times New Roman"/>
                <w:color w:val="auto"/>
                <w:spacing w:val="-1"/>
                <w:sz w:val="21"/>
                <w:szCs w:val="21"/>
                <w:lang w:eastAsia="zh-CN"/>
              </w:rPr>
              <w:t>）</w:t>
            </w:r>
          </w:p>
        </w:tc>
        <w:tc>
          <w:tcPr>
            <w:tcW w:w="2143" w:type="dxa"/>
            <w:gridSpan w:val="4"/>
            <w:tcBorders>
              <w:tl2br w:val="nil"/>
              <w:tr2bl w:val="nil"/>
            </w:tcBorders>
            <w:noWrap w:val="0"/>
            <w:vAlign w:val="center"/>
          </w:tcPr>
          <w:p w14:paraId="3D2E86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3"/>
                <w:sz w:val="21"/>
                <w:szCs w:val="21"/>
              </w:rPr>
              <w:t>监</w:t>
            </w:r>
            <w:r>
              <w:rPr>
                <w:rFonts w:hint="default" w:ascii="Times New Roman" w:hAnsi="Times New Roman" w:eastAsia="宋体" w:cs="Times New Roman"/>
                <w:color w:val="auto"/>
                <w:spacing w:val="9"/>
                <w:sz w:val="21"/>
                <w:szCs w:val="21"/>
              </w:rPr>
              <w:t>测点位数</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lang w:val="en-US" w:eastAsia="zh-CN"/>
              </w:rPr>
              <w:t>4）</w:t>
            </w:r>
          </w:p>
        </w:tc>
        <w:tc>
          <w:tcPr>
            <w:tcW w:w="1166" w:type="dxa"/>
            <w:gridSpan w:val="2"/>
            <w:tcBorders>
              <w:tl2br w:val="nil"/>
              <w:tr2bl w:val="nil"/>
            </w:tcBorders>
            <w:noWrap w:val="0"/>
            <w:vAlign w:val="center"/>
          </w:tcPr>
          <w:p w14:paraId="2FEEF9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无监测</w:t>
            </w:r>
            <w:r>
              <w:rPr>
                <w:rFonts w:hint="default" w:ascii="Times New Roman" w:hAnsi="Times New Roman" w:eastAsia="宋体" w:cs="Times New Roman"/>
                <w:color w:val="auto"/>
                <w:spacing w:val="-1"/>
                <w:sz w:val="21"/>
                <w:szCs w:val="21"/>
              </w:rPr>
              <w:sym w:font="Wingdings 2" w:char="00A3"/>
            </w:r>
          </w:p>
        </w:tc>
      </w:tr>
      <w:tr w14:paraId="525FBE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92" w:type="dxa"/>
            <w:tcBorders>
              <w:tl2br w:val="nil"/>
              <w:tr2bl w:val="nil"/>
            </w:tcBorders>
            <w:noWrap w:val="0"/>
            <w:vAlign w:val="center"/>
          </w:tcPr>
          <w:p w14:paraId="1C1E7B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评</w:t>
            </w:r>
            <w:r>
              <w:rPr>
                <w:rFonts w:hint="default" w:ascii="Times New Roman" w:hAnsi="Times New Roman" w:eastAsia="宋体" w:cs="Times New Roman"/>
                <w:b/>
                <w:bCs/>
                <w:color w:val="auto"/>
                <w:spacing w:val="-1"/>
                <w:sz w:val="21"/>
                <w:szCs w:val="21"/>
              </w:rPr>
              <w:t>价结论</w:t>
            </w:r>
          </w:p>
        </w:tc>
        <w:tc>
          <w:tcPr>
            <w:tcW w:w="1401" w:type="dxa"/>
            <w:tcBorders>
              <w:tl2br w:val="nil"/>
              <w:tr2bl w:val="nil"/>
            </w:tcBorders>
            <w:noWrap w:val="0"/>
            <w:vAlign w:val="center"/>
          </w:tcPr>
          <w:p w14:paraId="2974F3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环境</w:t>
            </w:r>
            <w:r>
              <w:rPr>
                <w:rFonts w:hint="default" w:ascii="Times New Roman" w:hAnsi="Times New Roman" w:eastAsia="宋体" w:cs="Times New Roman"/>
                <w:b/>
                <w:bCs/>
                <w:color w:val="auto"/>
                <w:spacing w:val="-1"/>
                <w:sz w:val="21"/>
                <w:szCs w:val="21"/>
              </w:rPr>
              <w:t>影响</w:t>
            </w:r>
          </w:p>
        </w:tc>
        <w:tc>
          <w:tcPr>
            <w:tcW w:w="6490" w:type="dxa"/>
            <w:gridSpan w:val="9"/>
            <w:tcBorders>
              <w:tl2br w:val="nil"/>
              <w:tr2bl w:val="nil"/>
            </w:tcBorders>
            <w:noWrap w:val="0"/>
            <w:vAlign w:val="center"/>
          </w:tcPr>
          <w:p w14:paraId="177D77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可行</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z w:val="21"/>
                <w:szCs w:val="21"/>
              </w:rPr>
              <w:t xml:space="preserve">       不可行</w:t>
            </w:r>
            <w:r>
              <w:rPr>
                <w:rFonts w:hint="default" w:ascii="Times New Roman" w:hAnsi="Times New Roman" w:eastAsia="宋体" w:cs="Times New Roman"/>
                <w:color w:val="auto"/>
                <w:sz w:val="21"/>
                <w:szCs w:val="21"/>
              </w:rPr>
              <w:sym w:font="Wingdings 2" w:char="00A3"/>
            </w:r>
          </w:p>
        </w:tc>
      </w:tr>
      <w:tr w14:paraId="339DAC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883" w:type="dxa"/>
            <w:gridSpan w:val="11"/>
            <w:tcBorders>
              <w:tl2br w:val="nil"/>
              <w:tr2bl w:val="nil"/>
            </w:tcBorders>
            <w:noWrap w:val="0"/>
            <w:vAlign w:val="center"/>
          </w:tcPr>
          <w:p w14:paraId="4177E5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2"/>
                <w:sz w:val="21"/>
                <w:szCs w:val="21"/>
              </w:rPr>
              <w:t>注</w:t>
            </w:r>
            <w:r>
              <w:rPr>
                <w:rFonts w:hint="default" w:ascii="Times New Roman" w:hAnsi="Times New Roman" w:eastAsia="宋体" w:cs="Times New Roman"/>
                <w:color w:val="auto"/>
                <w:spacing w:val="-21"/>
                <w:sz w:val="21"/>
                <w:szCs w:val="21"/>
              </w:rPr>
              <w:t>：</w:t>
            </w:r>
            <w:r>
              <w:rPr>
                <w:rFonts w:hint="default" w:ascii="Times New Roman" w:hAnsi="Times New Roman" w:eastAsia="宋体" w:cs="Times New Roman"/>
                <w:color w:val="auto"/>
                <w:spacing w:val="-11"/>
                <w:sz w:val="21"/>
                <w:szCs w:val="21"/>
              </w:rPr>
              <w:t>“□”为勾选项 ，可 √ ；“(   )”  为内容填写项。</w:t>
            </w:r>
          </w:p>
        </w:tc>
      </w:tr>
    </w:tbl>
    <w:p w14:paraId="1DCA2EE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449" w:name="_Toc19108"/>
      <w:bookmarkStart w:id="450" w:name="_Toc21780"/>
      <w:bookmarkStart w:id="451" w:name="_Toc673"/>
      <w:bookmarkStart w:id="452" w:name="_Toc20417"/>
      <w:bookmarkStart w:id="453" w:name="_Toc19812"/>
      <w:bookmarkStart w:id="454" w:name="_Toc14294"/>
      <w:bookmarkStart w:id="455" w:name="_Toc18457"/>
      <w:bookmarkStart w:id="456" w:name="_Toc32495"/>
      <w:bookmarkStart w:id="457" w:name="_Toc11675"/>
      <w:r>
        <w:rPr>
          <w:rFonts w:hint="default" w:ascii="Times New Roman" w:hAnsi="Times New Roman" w:eastAsia="黑体" w:cs="Times New Roman"/>
          <w:b/>
          <w:color w:val="auto"/>
          <w:sz w:val="28"/>
          <w:szCs w:val="28"/>
          <w:highlight w:val="none"/>
          <w:lang w:val="en-US" w:eastAsia="zh-CN"/>
        </w:rPr>
        <w:t>5.5固体废弃物影响分析与评价</w:t>
      </w:r>
      <w:bookmarkEnd w:id="449"/>
      <w:bookmarkEnd w:id="450"/>
      <w:bookmarkEnd w:id="451"/>
      <w:bookmarkEnd w:id="452"/>
      <w:bookmarkEnd w:id="453"/>
      <w:bookmarkEnd w:id="454"/>
      <w:bookmarkEnd w:id="455"/>
      <w:bookmarkEnd w:id="456"/>
      <w:bookmarkEnd w:id="457"/>
    </w:p>
    <w:p w14:paraId="06C17E0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zh-CN" w:eastAsia="zh-CN"/>
        </w:rPr>
      </w:pPr>
      <w:r>
        <w:rPr>
          <w:rFonts w:hint="default" w:ascii="Times New Roman" w:hAnsi="Times New Roman" w:eastAsia="黑体" w:cs="Times New Roman"/>
          <w:b/>
          <w:color w:val="auto"/>
          <w:sz w:val="28"/>
          <w:szCs w:val="28"/>
          <w:highlight w:val="none"/>
          <w:lang w:val="zh-CN" w:eastAsia="zh-CN"/>
        </w:rPr>
        <w:t>5.5.1固体废物处置方案</w:t>
      </w:r>
    </w:p>
    <w:p w14:paraId="08051795">
      <w:pPr>
        <w:rPr>
          <w:rFonts w:hint="eastAsia"/>
          <w:color w:val="auto"/>
          <w:lang w:val="zh-CN" w:eastAsia="zh-CN"/>
        </w:rPr>
      </w:pPr>
      <w:r>
        <w:rPr>
          <w:rFonts w:hint="default"/>
          <w:color w:val="auto"/>
          <w:lang w:val="zh-CN" w:eastAsia="zh-CN"/>
        </w:rPr>
        <w:t>根据工程分析，</w:t>
      </w:r>
      <w:r>
        <w:rPr>
          <w:rFonts w:hint="default"/>
          <w:color w:val="auto"/>
          <w:lang w:val="en-US" w:eastAsia="zh-CN"/>
        </w:rPr>
        <w:t>本项目屠宰过程中产生的分割边角料、胃内容物暂存于内脏处理间粪便池内，</w:t>
      </w:r>
      <w:r>
        <w:rPr>
          <w:rFonts w:hint="eastAsia"/>
          <w:color w:val="auto"/>
          <w:lang w:val="en-US" w:eastAsia="zh-CN"/>
        </w:rPr>
        <w:t>由吸污车拉运至</w:t>
      </w:r>
      <w:r>
        <w:rPr>
          <w:rFonts w:hint="default"/>
          <w:color w:val="auto"/>
          <w:lang w:val="en-US" w:eastAsia="zh-CN"/>
        </w:rPr>
        <w:t>固原富田有机肥有限公司生产</w:t>
      </w:r>
      <w:r>
        <w:rPr>
          <w:rFonts w:hint="eastAsia"/>
          <w:color w:val="auto"/>
          <w:lang w:val="en-US" w:eastAsia="zh-CN"/>
        </w:rPr>
        <w:t>肥料，不在厂区储存；</w:t>
      </w:r>
      <w:r>
        <w:rPr>
          <w:rFonts w:hint="default"/>
          <w:color w:val="auto"/>
          <w:lang w:val="en-US" w:eastAsia="zh-CN"/>
        </w:rPr>
        <w:t>牛粪便（含牛尿）</w:t>
      </w:r>
      <w:r>
        <w:rPr>
          <w:rFonts w:hint="eastAsia"/>
          <w:color w:val="auto"/>
          <w:lang w:val="en-US" w:eastAsia="zh-CN"/>
        </w:rPr>
        <w:t>、</w:t>
      </w:r>
      <w:r>
        <w:rPr>
          <w:rFonts w:hint="default"/>
          <w:color w:val="auto"/>
          <w:lang w:val="en-US" w:eastAsia="zh-CN"/>
        </w:rPr>
        <w:t>羊粪便（含羊尿）运至固原富田有机肥有限公司生产</w:t>
      </w:r>
      <w:r>
        <w:rPr>
          <w:rFonts w:hint="eastAsia"/>
          <w:color w:val="auto"/>
          <w:lang w:val="en-US" w:eastAsia="zh-CN"/>
        </w:rPr>
        <w:t>肥料</w:t>
      </w:r>
      <w:r>
        <w:rPr>
          <w:rFonts w:hint="default"/>
          <w:color w:val="auto"/>
          <w:lang w:val="en-US" w:eastAsia="zh-CN"/>
        </w:rPr>
        <w:t>；病变内脏、不合格胴体、病死牛</w:t>
      </w:r>
      <w:r>
        <w:rPr>
          <w:rFonts w:hint="eastAsia"/>
          <w:color w:val="auto"/>
          <w:lang w:val="en-US" w:eastAsia="zh-CN"/>
        </w:rPr>
        <w:t>、病死羊集中收集后暂存于危废贮存库内的冰柜中，</w:t>
      </w:r>
      <w:r>
        <w:rPr>
          <w:rFonts w:hint="default"/>
          <w:color w:val="auto"/>
          <w:lang w:val="en-US" w:eastAsia="zh-CN"/>
        </w:rPr>
        <w:t>定期拉运至原州区动物疾病预防控制中心（动物卫生监督）</w:t>
      </w:r>
      <w:r>
        <w:rPr>
          <w:rFonts w:hint="eastAsia"/>
          <w:color w:val="auto"/>
          <w:lang w:val="en-US" w:eastAsia="zh-CN"/>
        </w:rPr>
        <w:t>指定场所进行</w:t>
      </w:r>
      <w:r>
        <w:rPr>
          <w:rFonts w:hint="default"/>
          <w:color w:val="auto"/>
          <w:lang w:val="en-US" w:eastAsia="zh-CN"/>
        </w:rPr>
        <w:t>无害化处置；生活垃圾收集后由环卫部门统一处置；污水处理站污泥</w:t>
      </w:r>
      <w:r>
        <w:rPr>
          <w:rFonts w:hint="eastAsia"/>
          <w:color w:val="auto"/>
          <w:lang w:val="en-US" w:eastAsia="zh-CN"/>
        </w:rPr>
        <w:t>脱水</w:t>
      </w:r>
      <w:r>
        <w:rPr>
          <w:rFonts w:hint="default"/>
          <w:color w:val="auto"/>
          <w:lang w:val="en-US" w:eastAsia="zh-CN"/>
        </w:rPr>
        <w:t>后拉运至固原富田有机肥有限公司生产</w:t>
      </w:r>
      <w:r>
        <w:rPr>
          <w:rFonts w:hint="eastAsia"/>
          <w:color w:val="auto"/>
          <w:lang w:val="en-US" w:eastAsia="zh-CN"/>
        </w:rPr>
        <w:t>肥料</w:t>
      </w:r>
      <w:r>
        <w:rPr>
          <w:rFonts w:hint="default"/>
          <w:color w:val="auto"/>
          <w:lang w:val="en-US" w:eastAsia="zh-CN"/>
        </w:rPr>
        <w:t>；废活性炭</w:t>
      </w:r>
      <w:r>
        <w:rPr>
          <w:rFonts w:hint="eastAsia"/>
          <w:color w:val="auto"/>
          <w:lang w:val="en-US" w:eastAsia="zh-CN"/>
        </w:rPr>
        <w:t>更换后交有资质单位处置，不在厂区内储存；</w:t>
      </w:r>
      <w:r>
        <w:rPr>
          <w:rFonts w:hint="default"/>
          <w:color w:val="auto"/>
          <w:lang w:val="en-US" w:eastAsia="zh-CN"/>
        </w:rPr>
        <w:t>废机油、废机油桶、检疫废物暂存于</w:t>
      </w:r>
      <w:r>
        <w:rPr>
          <w:rFonts w:hint="eastAsia"/>
          <w:color w:val="auto"/>
          <w:lang w:val="en-US" w:eastAsia="zh-CN"/>
        </w:rPr>
        <w:t>危废贮存库</w:t>
      </w:r>
      <w:r>
        <w:rPr>
          <w:rFonts w:hint="default"/>
          <w:color w:val="auto"/>
          <w:lang w:val="en-US" w:eastAsia="zh-CN"/>
        </w:rPr>
        <w:t>，</w:t>
      </w:r>
      <w:r>
        <w:rPr>
          <w:rFonts w:hint="eastAsia"/>
          <w:color w:val="auto"/>
          <w:lang w:val="en-US" w:eastAsia="zh-CN"/>
        </w:rPr>
        <w:t>定期</w:t>
      </w:r>
      <w:r>
        <w:rPr>
          <w:rFonts w:hint="default"/>
          <w:color w:val="auto"/>
          <w:lang w:val="en-US" w:eastAsia="zh-CN"/>
        </w:rPr>
        <w:t>交有资质的单位处置</w:t>
      </w:r>
      <w:r>
        <w:rPr>
          <w:rFonts w:hint="eastAsia" w:ascii="Times New Roman" w:hAnsi="Times New Roman"/>
          <w:color w:val="auto"/>
          <w:lang w:val="en-US" w:eastAsia="zh-CN"/>
        </w:rPr>
        <w:t>。</w:t>
      </w:r>
    </w:p>
    <w:p w14:paraId="32AFD8A4">
      <w:pPr>
        <w:bidi w:val="0"/>
        <w:rPr>
          <w:rFonts w:hint="eastAsia"/>
          <w:color w:val="auto"/>
          <w:lang w:val="zh-CN" w:eastAsia="zh-CN"/>
        </w:rPr>
      </w:pPr>
      <w:r>
        <w:rPr>
          <w:rFonts w:hint="eastAsia"/>
          <w:color w:val="auto"/>
          <w:lang w:val="zh-CN" w:eastAsia="zh-CN"/>
        </w:rPr>
        <w:t>本项目营运期固体废物产生种类及去向详见表</w:t>
      </w:r>
      <w:r>
        <w:rPr>
          <w:rFonts w:hint="eastAsia"/>
          <w:color w:val="auto"/>
          <w:lang w:val="en-US" w:eastAsia="zh-CN"/>
        </w:rPr>
        <w:t>5</w:t>
      </w:r>
      <w:r>
        <w:rPr>
          <w:rFonts w:hint="eastAsia"/>
          <w:color w:val="auto"/>
          <w:lang w:val="zh-CN" w:eastAsia="zh-CN"/>
        </w:rPr>
        <w:t>.5-1。</w:t>
      </w:r>
    </w:p>
    <w:p w14:paraId="7D0BF246">
      <w:pPr>
        <w:pStyle w:val="6"/>
        <w:adjustRightInd w:val="0"/>
        <w:snapToGrid w:val="0"/>
        <w:spacing w:line="240" w:lineRule="auto"/>
        <w:ind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1"/>
          <w:szCs w:val="21"/>
          <w:highlight w:val="none"/>
        </w:rPr>
        <w:t>表</w:t>
      </w:r>
      <w:r>
        <w:rPr>
          <w:rFonts w:hint="eastAsia" w:ascii="Times New Roman" w:hAnsi="Times New Roman" w:eastAsia="宋体" w:cs="Times New Roman"/>
          <w:snapToGrid w:val="0"/>
          <w:color w:val="auto"/>
          <w:kern w:val="0"/>
          <w:sz w:val="21"/>
          <w:szCs w:val="21"/>
          <w:highlight w:val="none"/>
          <w:lang w:val="en-US" w:eastAsia="zh-CN" w:bidi="ar-SA"/>
        </w:rPr>
        <w:t>5.5-1</w:t>
      </w:r>
      <w:r>
        <w:rPr>
          <w:rFonts w:hint="default"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b/>
          <w:bCs/>
          <w:color w:val="auto"/>
          <w:sz w:val="24"/>
          <w:highlight w:val="none"/>
        </w:rPr>
        <w:t>固体废物主要源强一览表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85"/>
        <w:gridCol w:w="96"/>
        <w:gridCol w:w="675"/>
        <w:gridCol w:w="131"/>
        <w:gridCol w:w="1146"/>
        <w:gridCol w:w="91"/>
        <w:gridCol w:w="630"/>
        <w:gridCol w:w="91"/>
        <w:gridCol w:w="1189"/>
        <w:gridCol w:w="1819"/>
        <w:gridCol w:w="195"/>
        <w:gridCol w:w="658"/>
        <w:gridCol w:w="189"/>
        <w:gridCol w:w="711"/>
        <w:gridCol w:w="91"/>
        <w:gridCol w:w="751"/>
      </w:tblGrid>
      <w:tr w14:paraId="01C639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5" w:type="dxa"/>
            <w:noWrap w:val="0"/>
            <w:vAlign w:val="center"/>
          </w:tcPr>
          <w:p w14:paraId="0FA22B1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编号</w:t>
            </w:r>
          </w:p>
        </w:tc>
        <w:tc>
          <w:tcPr>
            <w:tcW w:w="771" w:type="dxa"/>
            <w:gridSpan w:val="2"/>
            <w:noWrap w:val="0"/>
            <w:vAlign w:val="center"/>
          </w:tcPr>
          <w:p w14:paraId="17072FE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产污</w:t>
            </w:r>
          </w:p>
          <w:p w14:paraId="18367C1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环节</w:t>
            </w:r>
          </w:p>
        </w:tc>
        <w:tc>
          <w:tcPr>
            <w:tcW w:w="1277" w:type="dxa"/>
            <w:gridSpan w:val="2"/>
            <w:noWrap w:val="0"/>
            <w:vAlign w:val="center"/>
          </w:tcPr>
          <w:p w14:paraId="57B3BD0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固废</w:t>
            </w:r>
          </w:p>
          <w:p w14:paraId="7251000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721" w:type="dxa"/>
            <w:gridSpan w:val="2"/>
            <w:noWrap w:val="0"/>
            <w:vAlign w:val="center"/>
          </w:tcPr>
          <w:p w14:paraId="729512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固废</w:t>
            </w:r>
          </w:p>
          <w:p w14:paraId="3761DBA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成分</w:t>
            </w:r>
          </w:p>
        </w:tc>
        <w:tc>
          <w:tcPr>
            <w:tcW w:w="1280" w:type="dxa"/>
            <w:gridSpan w:val="2"/>
            <w:noWrap w:val="0"/>
            <w:vAlign w:val="center"/>
          </w:tcPr>
          <w:p w14:paraId="27CE5C9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性质</w:t>
            </w:r>
          </w:p>
        </w:tc>
        <w:tc>
          <w:tcPr>
            <w:tcW w:w="1819" w:type="dxa"/>
            <w:noWrap w:val="0"/>
            <w:vAlign w:val="center"/>
          </w:tcPr>
          <w:p w14:paraId="79C2D88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处理措施</w:t>
            </w:r>
          </w:p>
        </w:tc>
        <w:tc>
          <w:tcPr>
            <w:tcW w:w="853" w:type="dxa"/>
            <w:gridSpan w:val="2"/>
            <w:noWrap w:val="0"/>
            <w:vAlign w:val="center"/>
          </w:tcPr>
          <w:p w14:paraId="7D7BC2E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900" w:type="dxa"/>
            <w:gridSpan w:val="2"/>
            <w:noWrap w:val="0"/>
            <w:vAlign w:val="center"/>
          </w:tcPr>
          <w:p w14:paraId="0944FF60">
            <w:pPr>
              <w:pStyle w:val="4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处置率</w:t>
            </w:r>
          </w:p>
          <w:p w14:paraId="4610AB22">
            <w:pPr>
              <w:pStyle w:val="4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w:t>
            </w:r>
          </w:p>
        </w:tc>
        <w:tc>
          <w:tcPr>
            <w:tcW w:w="842" w:type="dxa"/>
            <w:gridSpan w:val="2"/>
            <w:noWrap w:val="0"/>
            <w:vAlign w:val="center"/>
          </w:tcPr>
          <w:p w14:paraId="4ED37703">
            <w:pPr>
              <w:pStyle w:val="4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r>
      <w:tr w14:paraId="56D1F8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48" w:type="dxa"/>
            <w:gridSpan w:val="16"/>
            <w:noWrap w:val="0"/>
            <w:vAlign w:val="center"/>
          </w:tcPr>
          <w:p w14:paraId="6ABE26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牛屠宰工艺固废</w:t>
            </w:r>
          </w:p>
        </w:tc>
      </w:tr>
      <w:tr w14:paraId="51A4E8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5" w:type="dxa"/>
            <w:noWrap w:val="0"/>
            <w:vAlign w:val="center"/>
          </w:tcPr>
          <w:p w14:paraId="5FDB895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771" w:type="dxa"/>
            <w:gridSpan w:val="2"/>
            <w:noWrap w:val="0"/>
            <w:vAlign w:val="center"/>
          </w:tcPr>
          <w:p w14:paraId="0B488AA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待宰圈</w:t>
            </w:r>
          </w:p>
        </w:tc>
        <w:tc>
          <w:tcPr>
            <w:tcW w:w="1277" w:type="dxa"/>
            <w:gridSpan w:val="2"/>
            <w:noWrap w:val="0"/>
            <w:vAlign w:val="center"/>
          </w:tcPr>
          <w:p w14:paraId="2CB73C1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牛粪便（含牛尿）</w:t>
            </w:r>
          </w:p>
        </w:tc>
        <w:tc>
          <w:tcPr>
            <w:tcW w:w="721" w:type="dxa"/>
            <w:gridSpan w:val="2"/>
            <w:vMerge w:val="restart"/>
            <w:noWrap w:val="0"/>
            <w:vAlign w:val="center"/>
          </w:tcPr>
          <w:p w14:paraId="4A8873B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有机质</w:t>
            </w:r>
          </w:p>
        </w:tc>
        <w:tc>
          <w:tcPr>
            <w:tcW w:w="1280" w:type="dxa"/>
            <w:gridSpan w:val="2"/>
            <w:noWrap w:val="0"/>
            <w:vAlign w:val="center"/>
          </w:tcPr>
          <w:p w14:paraId="583E809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1819" w:type="dxa"/>
            <w:vMerge w:val="restart"/>
            <w:noWrap w:val="0"/>
            <w:vAlign w:val="center"/>
          </w:tcPr>
          <w:p w14:paraId="1ACF33A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拉运至固原富田有机肥有限公司生产</w:t>
            </w:r>
            <w:r>
              <w:rPr>
                <w:rFonts w:hint="eastAsia" w:eastAsia="宋体" w:cs="Times New Roman"/>
                <w:b w:val="0"/>
                <w:bCs/>
                <w:color w:val="auto"/>
                <w:sz w:val="21"/>
                <w:szCs w:val="21"/>
                <w:highlight w:val="none"/>
                <w:lang w:val="en-US" w:eastAsia="zh-CN"/>
              </w:rPr>
              <w:t>肥料</w:t>
            </w:r>
          </w:p>
        </w:tc>
        <w:tc>
          <w:tcPr>
            <w:tcW w:w="853" w:type="dxa"/>
            <w:gridSpan w:val="2"/>
            <w:noWrap w:val="0"/>
            <w:vAlign w:val="center"/>
          </w:tcPr>
          <w:p w14:paraId="3E0B6DC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108.8</w:t>
            </w:r>
          </w:p>
        </w:tc>
        <w:tc>
          <w:tcPr>
            <w:tcW w:w="900" w:type="dxa"/>
            <w:gridSpan w:val="2"/>
            <w:noWrap w:val="0"/>
            <w:vAlign w:val="center"/>
          </w:tcPr>
          <w:p w14:paraId="2067FA4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71405AE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5618B0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5" w:type="dxa"/>
            <w:noWrap w:val="0"/>
            <w:vAlign w:val="center"/>
          </w:tcPr>
          <w:p w14:paraId="02C880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p>
        </w:tc>
        <w:tc>
          <w:tcPr>
            <w:tcW w:w="771" w:type="dxa"/>
            <w:gridSpan w:val="2"/>
            <w:vMerge w:val="restart"/>
            <w:noWrap w:val="0"/>
            <w:vAlign w:val="center"/>
          </w:tcPr>
          <w:p w14:paraId="4AE1EA3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屠宰</w:t>
            </w:r>
            <w:r>
              <w:rPr>
                <w:rFonts w:hint="eastAsia" w:ascii="Times New Roman" w:hAnsi="Times New Roman" w:eastAsia="宋体" w:cs="Times New Roman"/>
                <w:b w:val="0"/>
                <w:bCs/>
                <w:color w:val="auto"/>
                <w:sz w:val="21"/>
                <w:szCs w:val="21"/>
                <w:highlight w:val="none"/>
                <w:lang w:val="en-US" w:eastAsia="zh-CN"/>
              </w:rPr>
              <w:t>加工车间</w:t>
            </w:r>
          </w:p>
        </w:tc>
        <w:tc>
          <w:tcPr>
            <w:tcW w:w="1277" w:type="dxa"/>
            <w:gridSpan w:val="2"/>
            <w:noWrap w:val="0"/>
            <w:vAlign w:val="center"/>
          </w:tcPr>
          <w:p w14:paraId="2C5D33D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胃内容物</w:t>
            </w:r>
          </w:p>
        </w:tc>
        <w:tc>
          <w:tcPr>
            <w:tcW w:w="721" w:type="dxa"/>
            <w:gridSpan w:val="2"/>
            <w:vMerge w:val="continue"/>
            <w:noWrap w:val="0"/>
            <w:vAlign w:val="center"/>
          </w:tcPr>
          <w:p w14:paraId="50661D9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80" w:type="dxa"/>
            <w:gridSpan w:val="2"/>
            <w:noWrap w:val="0"/>
            <w:vAlign w:val="center"/>
          </w:tcPr>
          <w:p w14:paraId="41FA787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1819" w:type="dxa"/>
            <w:vMerge w:val="continue"/>
            <w:noWrap w:val="0"/>
            <w:vAlign w:val="center"/>
          </w:tcPr>
          <w:p w14:paraId="194C23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restart"/>
            <w:noWrap w:val="0"/>
            <w:vAlign w:val="center"/>
          </w:tcPr>
          <w:p w14:paraId="02FA908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lang w:val="en-US" w:eastAsia="zh-CN"/>
              </w:rPr>
              <w:t>50</w:t>
            </w:r>
          </w:p>
        </w:tc>
        <w:tc>
          <w:tcPr>
            <w:tcW w:w="900" w:type="dxa"/>
            <w:gridSpan w:val="2"/>
            <w:noWrap w:val="0"/>
            <w:vAlign w:val="center"/>
          </w:tcPr>
          <w:p w14:paraId="495A8F3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0993C60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03A320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5" w:type="dxa"/>
            <w:noWrap w:val="0"/>
            <w:vAlign w:val="center"/>
          </w:tcPr>
          <w:p w14:paraId="30D32B5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771" w:type="dxa"/>
            <w:gridSpan w:val="2"/>
            <w:vMerge w:val="continue"/>
            <w:noWrap w:val="0"/>
            <w:vAlign w:val="center"/>
          </w:tcPr>
          <w:p w14:paraId="1519A04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77" w:type="dxa"/>
            <w:gridSpan w:val="2"/>
            <w:noWrap w:val="0"/>
            <w:vAlign w:val="center"/>
          </w:tcPr>
          <w:p w14:paraId="2378908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分割边角料</w:t>
            </w:r>
          </w:p>
        </w:tc>
        <w:tc>
          <w:tcPr>
            <w:tcW w:w="721" w:type="dxa"/>
            <w:gridSpan w:val="2"/>
            <w:noWrap w:val="0"/>
            <w:vAlign w:val="center"/>
          </w:tcPr>
          <w:p w14:paraId="732C893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62481CA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组织</w:t>
            </w:r>
          </w:p>
        </w:tc>
        <w:tc>
          <w:tcPr>
            <w:tcW w:w="1280" w:type="dxa"/>
            <w:gridSpan w:val="2"/>
            <w:noWrap w:val="0"/>
            <w:vAlign w:val="center"/>
          </w:tcPr>
          <w:p w14:paraId="27AE549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一般固废</w:t>
            </w:r>
          </w:p>
        </w:tc>
        <w:tc>
          <w:tcPr>
            <w:tcW w:w="1819" w:type="dxa"/>
            <w:vMerge w:val="continue"/>
            <w:noWrap w:val="0"/>
            <w:vAlign w:val="center"/>
          </w:tcPr>
          <w:p w14:paraId="29F99E0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continue"/>
            <w:noWrap w:val="0"/>
            <w:vAlign w:val="center"/>
          </w:tcPr>
          <w:p w14:paraId="0F290B0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szCs w:val="21"/>
                <w:highlight w:val="none"/>
                <w:lang w:val="en-US" w:eastAsia="zh-CN"/>
              </w:rPr>
            </w:pPr>
          </w:p>
        </w:tc>
        <w:tc>
          <w:tcPr>
            <w:tcW w:w="900" w:type="dxa"/>
            <w:gridSpan w:val="2"/>
            <w:noWrap w:val="0"/>
            <w:vAlign w:val="center"/>
          </w:tcPr>
          <w:p w14:paraId="1315E9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2C7F479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r w14:paraId="517C12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5" w:type="dxa"/>
            <w:noWrap w:val="0"/>
            <w:vAlign w:val="center"/>
          </w:tcPr>
          <w:p w14:paraId="3A0202F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771" w:type="dxa"/>
            <w:gridSpan w:val="2"/>
            <w:vMerge w:val="restart"/>
            <w:noWrap w:val="0"/>
            <w:vAlign w:val="center"/>
          </w:tcPr>
          <w:p w14:paraId="672B4EF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屠宰</w:t>
            </w:r>
            <w:r>
              <w:rPr>
                <w:rFonts w:hint="eastAsia" w:ascii="Times New Roman" w:hAnsi="Times New Roman" w:eastAsia="宋体" w:cs="Times New Roman"/>
                <w:b w:val="0"/>
                <w:bCs/>
                <w:color w:val="auto"/>
                <w:sz w:val="21"/>
                <w:szCs w:val="21"/>
                <w:highlight w:val="none"/>
                <w:lang w:val="en-US" w:eastAsia="zh-CN"/>
              </w:rPr>
              <w:t>加工车间</w:t>
            </w:r>
          </w:p>
        </w:tc>
        <w:tc>
          <w:tcPr>
            <w:tcW w:w="1277" w:type="dxa"/>
            <w:gridSpan w:val="2"/>
            <w:noWrap w:val="0"/>
            <w:vAlign w:val="center"/>
          </w:tcPr>
          <w:p w14:paraId="28740B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病变</w:t>
            </w:r>
            <w:r>
              <w:rPr>
                <w:rFonts w:hint="default" w:ascii="Times New Roman" w:hAnsi="Times New Roman" w:eastAsia="宋体" w:cs="Times New Roman"/>
                <w:b w:val="0"/>
                <w:bCs/>
                <w:color w:val="auto"/>
                <w:sz w:val="21"/>
                <w:szCs w:val="21"/>
                <w:highlight w:val="none"/>
              </w:rPr>
              <w:t>内脏</w:t>
            </w:r>
          </w:p>
        </w:tc>
        <w:tc>
          <w:tcPr>
            <w:tcW w:w="721" w:type="dxa"/>
            <w:gridSpan w:val="2"/>
            <w:vMerge w:val="restart"/>
            <w:noWrap w:val="0"/>
            <w:vAlign w:val="center"/>
          </w:tcPr>
          <w:p w14:paraId="1DF082D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0209141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组织</w:t>
            </w:r>
          </w:p>
        </w:tc>
        <w:tc>
          <w:tcPr>
            <w:tcW w:w="1280" w:type="dxa"/>
            <w:gridSpan w:val="2"/>
            <w:noWrap w:val="0"/>
            <w:vAlign w:val="center"/>
          </w:tcPr>
          <w:p w14:paraId="441D35F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HW01-841-003-01</w:t>
            </w:r>
          </w:p>
        </w:tc>
        <w:tc>
          <w:tcPr>
            <w:tcW w:w="1819" w:type="dxa"/>
            <w:vMerge w:val="restart"/>
            <w:noWrap w:val="0"/>
            <w:vAlign w:val="center"/>
          </w:tcPr>
          <w:p w14:paraId="124D6F6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暂存于危废贮存库冷柜中，定期拉运至原州区动物疾病预防控制中心（动物卫生监督）指定地点进行无害化处置</w:t>
            </w:r>
          </w:p>
        </w:tc>
        <w:tc>
          <w:tcPr>
            <w:tcW w:w="853" w:type="dxa"/>
            <w:gridSpan w:val="2"/>
            <w:vMerge w:val="restart"/>
            <w:noWrap w:val="0"/>
            <w:vAlign w:val="center"/>
          </w:tcPr>
          <w:p w14:paraId="444B305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141.2</w:t>
            </w:r>
          </w:p>
        </w:tc>
        <w:tc>
          <w:tcPr>
            <w:tcW w:w="900" w:type="dxa"/>
            <w:gridSpan w:val="2"/>
            <w:noWrap w:val="0"/>
            <w:vAlign w:val="center"/>
          </w:tcPr>
          <w:p w14:paraId="5FF380C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6711B15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432E2B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5" w:type="dxa"/>
            <w:noWrap w:val="0"/>
            <w:vAlign w:val="center"/>
          </w:tcPr>
          <w:p w14:paraId="39AC95F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5</w:t>
            </w:r>
          </w:p>
        </w:tc>
        <w:tc>
          <w:tcPr>
            <w:tcW w:w="771" w:type="dxa"/>
            <w:gridSpan w:val="2"/>
            <w:vMerge w:val="continue"/>
            <w:noWrap w:val="0"/>
            <w:vAlign w:val="center"/>
          </w:tcPr>
          <w:p w14:paraId="15BD0C3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77" w:type="dxa"/>
            <w:gridSpan w:val="2"/>
            <w:noWrap w:val="0"/>
            <w:vAlign w:val="center"/>
          </w:tcPr>
          <w:p w14:paraId="0C1A248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不合格胴体</w:t>
            </w:r>
          </w:p>
        </w:tc>
        <w:tc>
          <w:tcPr>
            <w:tcW w:w="721" w:type="dxa"/>
            <w:gridSpan w:val="2"/>
            <w:vMerge w:val="continue"/>
            <w:noWrap w:val="0"/>
            <w:vAlign w:val="center"/>
          </w:tcPr>
          <w:p w14:paraId="39DB791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80" w:type="dxa"/>
            <w:gridSpan w:val="2"/>
            <w:noWrap w:val="0"/>
            <w:vAlign w:val="center"/>
          </w:tcPr>
          <w:p w14:paraId="1E15614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030-003-S82</w:t>
            </w:r>
          </w:p>
        </w:tc>
        <w:tc>
          <w:tcPr>
            <w:tcW w:w="1819" w:type="dxa"/>
            <w:vMerge w:val="continue"/>
            <w:noWrap w:val="0"/>
            <w:vAlign w:val="center"/>
          </w:tcPr>
          <w:p w14:paraId="3AB0DEE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continue"/>
            <w:noWrap w:val="0"/>
            <w:vAlign w:val="center"/>
          </w:tcPr>
          <w:p w14:paraId="13FD33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00" w:type="dxa"/>
            <w:gridSpan w:val="2"/>
            <w:noWrap w:val="0"/>
            <w:vAlign w:val="center"/>
          </w:tcPr>
          <w:p w14:paraId="40E2006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1145AF1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2714A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5" w:type="dxa"/>
            <w:noWrap w:val="0"/>
            <w:vAlign w:val="center"/>
          </w:tcPr>
          <w:p w14:paraId="772FE3E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6</w:t>
            </w:r>
          </w:p>
        </w:tc>
        <w:tc>
          <w:tcPr>
            <w:tcW w:w="771" w:type="dxa"/>
            <w:gridSpan w:val="2"/>
            <w:vMerge w:val="continue"/>
            <w:noWrap w:val="0"/>
            <w:vAlign w:val="center"/>
          </w:tcPr>
          <w:p w14:paraId="62CADFC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77" w:type="dxa"/>
            <w:gridSpan w:val="2"/>
            <w:noWrap w:val="0"/>
            <w:vAlign w:val="center"/>
          </w:tcPr>
          <w:p w14:paraId="182251C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病死</w:t>
            </w:r>
            <w:r>
              <w:rPr>
                <w:rFonts w:hint="eastAsia" w:ascii="Times New Roman" w:hAnsi="Times New Roman" w:eastAsia="宋体" w:cs="Times New Roman"/>
                <w:b w:val="0"/>
                <w:bCs/>
                <w:color w:val="auto"/>
                <w:sz w:val="21"/>
                <w:szCs w:val="21"/>
                <w:highlight w:val="none"/>
                <w:lang w:val="en-US" w:eastAsia="zh-CN"/>
              </w:rPr>
              <w:t>牛</w:t>
            </w:r>
          </w:p>
        </w:tc>
        <w:tc>
          <w:tcPr>
            <w:tcW w:w="721" w:type="dxa"/>
            <w:gridSpan w:val="2"/>
            <w:vMerge w:val="continue"/>
            <w:noWrap w:val="0"/>
            <w:vAlign w:val="center"/>
          </w:tcPr>
          <w:p w14:paraId="70A2F40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80" w:type="dxa"/>
            <w:gridSpan w:val="2"/>
            <w:noWrap w:val="0"/>
            <w:vAlign w:val="center"/>
          </w:tcPr>
          <w:p w14:paraId="290BD69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HW01</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841-00</w:t>
            </w:r>
            <w:r>
              <w:rPr>
                <w:rFonts w:hint="eastAsia"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-01</w:t>
            </w:r>
          </w:p>
        </w:tc>
        <w:tc>
          <w:tcPr>
            <w:tcW w:w="1819" w:type="dxa"/>
            <w:vMerge w:val="continue"/>
            <w:noWrap w:val="0"/>
            <w:vAlign w:val="center"/>
          </w:tcPr>
          <w:p w14:paraId="6CA758C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continue"/>
            <w:noWrap w:val="0"/>
            <w:vAlign w:val="center"/>
          </w:tcPr>
          <w:p w14:paraId="7993427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00" w:type="dxa"/>
            <w:gridSpan w:val="2"/>
            <w:noWrap w:val="0"/>
            <w:vAlign w:val="center"/>
          </w:tcPr>
          <w:p w14:paraId="2A5BF09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42EF901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45914F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48" w:type="dxa"/>
            <w:gridSpan w:val="16"/>
            <w:noWrap w:val="0"/>
            <w:vAlign w:val="center"/>
          </w:tcPr>
          <w:p w14:paraId="38E6CBB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羊</w:t>
            </w:r>
            <w:r>
              <w:rPr>
                <w:rFonts w:hint="default" w:ascii="Times New Roman" w:hAnsi="Times New Roman" w:eastAsia="宋体" w:cs="Times New Roman"/>
                <w:b w:val="0"/>
                <w:bCs/>
                <w:color w:val="auto"/>
                <w:sz w:val="21"/>
                <w:szCs w:val="21"/>
                <w:highlight w:val="none"/>
              </w:rPr>
              <w:t>屠宰工艺固废</w:t>
            </w:r>
          </w:p>
        </w:tc>
      </w:tr>
      <w:tr w14:paraId="108AB4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shd w:val="clear" w:color="auto" w:fill="auto"/>
            <w:noWrap w:val="0"/>
            <w:vAlign w:val="center"/>
          </w:tcPr>
          <w:p w14:paraId="1314D04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w:t>
            </w:r>
          </w:p>
        </w:tc>
        <w:tc>
          <w:tcPr>
            <w:tcW w:w="806" w:type="dxa"/>
            <w:gridSpan w:val="2"/>
            <w:shd w:val="clear" w:color="auto" w:fill="auto"/>
            <w:noWrap w:val="0"/>
            <w:vAlign w:val="center"/>
          </w:tcPr>
          <w:p w14:paraId="590D9A6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待宰圈</w:t>
            </w:r>
          </w:p>
        </w:tc>
        <w:tc>
          <w:tcPr>
            <w:tcW w:w="1237" w:type="dxa"/>
            <w:gridSpan w:val="2"/>
            <w:shd w:val="clear" w:color="auto" w:fill="auto"/>
            <w:noWrap w:val="0"/>
            <w:vAlign w:val="center"/>
          </w:tcPr>
          <w:p w14:paraId="6D34739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羊</w:t>
            </w:r>
            <w:r>
              <w:rPr>
                <w:rFonts w:hint="default" w:ascii="Times New Roman" w:hAnsi="Times New Roman" w:eastAsia="宋体" w:cs="Times New Roman"/>
                <w:b w:val="0"/>
                <w:bCs/>
                <w:color w:val="auto"/>
                <w:sz w:val="21"/>
                <w:szCs w:val="21"/>
                <w:highlight w:val="none"/>
              </w:rPr>
              <w:t>粪便（含</w:t>
            </w:r>
            <w:r>
              <w:rPr>
                <w:rFonts w:hint="eastAsia" w:ascii="Times New Roman" w:hAnsi="Times New Roman" w:eastAsia="宋体" w:cs="Times New Roman"/>
                <w:b w:val="0"/>
                <w:bCs/>
                <w:color w:val="auto"/>
                <w:sz w:val="21"/>
                <w:szCs w:val="21"/>
                <w:highlight w:val="none"/>
                <w:lang w:val="en-US" w:eastAsia="zh-CN"/>
              </w:rPr>
              <w:t>羊</w:t>
            </w:r>
            <w:r>
              <w:rPr>
                <w:rFonts w:hint="default" w:ascii="Times New Roman" w:hAnsi="Times New Roman" w:eastAsia="宋体" w:cs="Times New Roman"/>
                <w:b w:val="0"/>
                <w:bCs/>
                <w:color w:val="auto"/>
                <w:sz w:val="21"/>
                <w:szCs w:val="21"/>
                <w:highlight w:val="none"/>
              </w:rPr>
              <w:t>尿）</w:t>
            </w:r>
          </w:p>
        </w:tc>
        <w:tc>
          <w:tcPr>
            <w:tcW w:w="721" w:type="dxa"/>
            <w:gridSpan w:val="2"/>
            <w:vMerge w:val="restart"/>
            <w:shd w:val="clear" w:color="auto" w:fill="auto"/>
            <w:noWrap w:val="0"/>
            <w:vAlign w:val="center"/>
          </w:tcPr>
          <w:p w14:paraId="0D96CF0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有机质</w:t>
            </w:r>
          </w:p>
        </w:tc>
        <w:tc>
          <w:tcPr>
            <w:tcW w:w="1189" w:type="dxa"/>
            <w:shd w:val="clear" w:color="auto" w:fill="auto"/>
            <w:noWrap w:val="0"/>
            <w:vAlign w:val="center"/>
          </w:tcPr>
          <w:p w14:paraId="731DBB6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2014" w:type="dxa"/>
            <w:gridSpan w:val="2"/>
            <w:vMerge w:val="restart"/>
            <w:shd w:val="clear" w:color="auto" w:fill="auto"/>
            <w:noWrap w:val="0"/>
            <w:vAlign w:val="center"/>
          </w:tcPr>
          <w:p w14:paraId="5FAA239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拉运至固原富田有机肥有限公司生产肥料</w:t>
            </w:r>
          </w:p>
        </w:tc>
        <w:tc>
          <w:tcPr>
            <w:tcW w:w="847" w:type="dxa"/>
            <w:gridSpan w:val="2"/>
            <w:noWrap w:val="0"/>
            <w:vAlign w:val="center"/>
          </w:tcPr>
          <w:p w14:paraId="508B8D7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62</w:t>
            </w:r>
          </w:p>
        </w:tc>
        <w:tc>
          <w:tcPr>
            <w:tcW w:w="802" w:type="dxa"/>
            <w:gridSpan w:val="2"/>
            <w:shd w:val="clear" w:color="auto" w:fill="auto"/>
            <w:noWrap w:val="0"/>
            <w:vAlign w:val="center"/>
          </w:tcPr>
          <w:p w14:paraId="1D4A650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65C50C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4A8B5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shd w:val="clear" w:color="auto" w:fill="auto"/>
            <w:noWrap w:val="0"/>
            <w:vAlign w:val="center"/>
          </w:tcPr>
          <w:p w14:paraId="77A276E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2</w:t>
            </w:r>
          </w:p>
        </w:tc>
        <w:tc>
          <w:tcPr>
            <w:tcW w:w="806" w:type="dxa"/>
            <w:gridSpan w:val="2"/>
            <w:vMerge w:val="restart"/>
            <w:shd w:val="clear" w:color="auto" w:fill="auto"/>
            <w:noWrap w:val="0"/>
            <w:vAlign w:val="center"/>
          </w:tcPr>
          <w:p w14:paraId="1D54506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屠宰</w:t>
            </w:r>
            <w:r>
              <w:rPr>
                <w:rFonts w:hint="eastAsia" w:ascii="Times New Roman" w:hAnsi="Times New Roman" w:eastAsia="宋体" w:cs="Times New Roman"/>
                <w:b w:val="0"/>
                <w:bCs/>
                <w:color w:val="auto"/>
                <w:sz w:val="21"/>
                <w:szCs w:val="21"/>
                <w:highlight w:val="none"/>
                <w:lang w:val="en-US" w:eastAsia="zh-CN"/>
              </w:rPr>
              <w:t>加工车间</w:t>
            </w:r>
          </w:p>
        </w:tc>
        <w:tc>
          <w:tcPr>
            <w:tcW w:w="1237" w:type="dxa"/>
            <w:gridSpan w:val="2"/>
            <w:shd w:val="clear" w:color="auto" w:fill="auto"/>
            <w:noWrap w:val="0"/>
            <w:vAlign w:val="center"/>
          </w:tcPr>
          <w:p w14:paraId="2AFAEED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胃内容物</w:t>
            </w:r>
          </w:p>
        </w:tc>
        <w:tc>
          <w:tcPr>
            <w:tcW w:w="721" w:type="dxa"/>
            <w:gridSpan w:val="2"/>
            <w:vMerge w:val="continue"/>
            <w:noWrap w:val="0"/>
            <w:vAlign w:val="center"/>
          </w:tcPr>
          <w:p w14:paraId="740B48C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89" w:type="dxa"/>
            <w:shd w:val="clear" w:color="auto" w:fill="auto"/>
            <w:noWrap w:val="0"/>
            <w:vAlign w:val="center"/>
          </w:tcPr>
          <w:p w14:paraId="3DA9EA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2014" w:type="dxa"/>
            <w:gridSpan w:val="2"/>
            <w:vMerge w:val="continue"/>
            <w:noWrap w:val="0"/>
            <w:vAlign w:val="center"/>
          </w:tcPr>
          <w:p w14:paraId="17DAB2B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47" w:type="dxa"/>
            <w:gridSpan w:val="2"/>
            <w:vMerge w:val="restart"/>
            <w:noWrap w:val="0"/>
            <w:vAlign w:val="center"/>
          </w:tcPr>
          <w:p w14:paraId="3F8364F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270</w:t>
            </w:r>
          </w:p>
        </w:tc>
        <w:tc>
          <w:tcPr>
            <w:tcW w:w="802" w:type="dxa"/>
            <w:gridSpan w:val="2"/>
            <w:shd w:val="clear" w:color="auto" w:fill="auto"/>
            <w:noWrap w:val="0"/>
            <w:vAlign w:val="center"/>
          </w:tcPr>
          <w:p w14:paraId="0A88FD8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6F6EECC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6C7F56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shd w:val="clear" w:color="auto" w:fill="auto"/>
            <w:noWrap w:val="0"/>
            <w:vAlign w:val="center"/>
          </w:tcPr>
          <w:p w14:paraId="51F8D2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806" w:type="dxa"/>
            <w:gridSpan w:val="2"/>
            <w:vMerge w:val="continue"/>
            <w:shd w:val="clear" w:color="auto" w:fill="auto"/>
            <w:noWrap w:val="0"/>
            <w:vAlign w:val="center"/>
          </w:tcPr>
          <w:p w14:paraId="6923483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2AB3379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分割边角料</w:t>
            </w:r>
          </w:p>
        </w:tc>
        <w:tc>
          <w:tcPr>
            <w:tcW w:w="721" w:type="dxa"/>
            <w:gridSpan w:val="2"/>
            <w:noWrap w:val="0"/>
            <w:vAlign w:val="center"/>
          </w:tcPr>
          <w:p w14:paraId="30CCADD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543B7EE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组织</w:t>
            </w:r>
          </w:p>
        </w:tc>
        <w:tc>
          <w:tcPr>
            <w:tcW w:w="1189" w:type="dxa"/>
            <w:shd w:val="clear" w:color="auto" w:fill="auto"/>
            <w:noWrap w:val="0"/>
            <w:vAlign w:val="center"/>
          </w:tcPr>
          <w:p w14:paraId="6DBC8C2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030-003-S82</w:t>
            </w:r>
          </w:p>
        </w:tc>
        <w:tc>
          <w:tcPr>
            <w:tcW w:w="2014" w:type="dxa"/>
            <w:gridSpan w:val="2"/>
            <w:vMerge w:val="continue"/>
            <w:noWrap w:val="0"/>
            <w:vAlign w:val="center"/>
          </w:tcPr>
          <w:p w14:paraId="56EFEDA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47" w:type="dxa"/>
            <w:gridSpan w:val="2"/>
            <w:vMerge w:val="continue"/>
            <w:noWrap w:val="0"/>
            <w:vAlign w:val="center"/>
          </w:tcPr>
          <w:p w14:paraId="08F4B64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szCs w:val="21"/>
                <w:highlight w:val="none"/>
                <w:lang w:val="en-US" w:eastAsia="zh-CN"/>
              </w:rPr>
            </w:pPr>
          </w:p>
        </w:tc>
        <w:tc>
          <w:tcPr>
            <w:tcW w:w="802" w:type="dxa"/>
            <w:gridSpan w:val="2"/>
            <w:shd w:val="clear" w:color="auto" w:fill="auto"/>
            <w:noWrap w:val="0"/>
            <w:vAlign w:val="center"/>
          </w:tcPr>
          <w:p w14:paraId="7695B20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0EEDBC6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r w14:paraId="0B1F7D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shd w:val="clear" w:color="auto" w:fill="auto"/>
            <w:noWrap w:val="0"/>
            <w:vAlign w:val="center"/>
          </w:tcPr>
          <w:p w14:paraId="49274E9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4</w:t>
            </w:r>
          </w:p>
        </w:tc>
        <w:tc>
          <w:tcPr>
            <w:tcW w:w="806" w:type="dxa"/>
            <w:gridSpan w:val="2"/>
            <w:vMerge w:val="continue"/>
            <w:noWrap w:val="0"/>
            <w:vAlign w:val="center"/>
          </w:tcPr>
          <w:p w14:paraId="482E25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2B8154B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病变</w:t>
            </w:r>
            <w:r>
              <w:rPr>
                <w:rFonts w:hint="eastAsia" w:ascii="Times New Roman" w:hAnsi="Times New Roman" w:eastAsia="宋体" w:cs="Times New Roman"/>
                <w:b w:val="0"/>
                <w:bCs/>
                <w:color w:val="auto"/>
                <w:kern w:val="2"/>
                <w:sz w:val="21"/>
                <w:szCs w:val="21"/>
                <w:highlight w:val="none"/>
                <w:lang w:val="en-US" w:eastAsia="zh-CN" w:bidi="ar-SA"/>
              </w:rPr>
              <w:t>内脏</w:t>
            </w:r>
          </w:p>
        </w:tc>
        <w:tc>
          <w:tcPr>
            <w:tcW w:w="721" w:type="dxa"/>
            <w:gridSpan w:val="2"/>
            <w:vMerge w:val="restart"/>
            <w:shd w:val="clear" w:color="auto" w:fill="auto"/>
            <w:noWrap w:val="0"/>
            <w:vAlign w:val="center"/>
          </w:tcPr>
          <w:p w14:paraId="2927699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1C3D0EF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组织</w:t>
            </w:r>
          </w:p>
        </w:tc>
        <w:tc>
          <w:tcPr>
            <w:tcW w:w="1189" w:type="dxa"/>
            <w:shd w:val="clear" w:color="auto" w:fill="auto"/>
            <w:noWrap w:val="0"/>
            <w:vAlign w:val="center"/>
          </w:tcPr>
          <w:p w14:paraId="7492431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HW01-841-003-01</w:t>
            </w:r>
          </w:p>
        </w:tc>
        <w:tc>
          <w:tcPr>
            <w:tcW w:w="2014" w:type="dxa"/>
            <w:gridSpan w:val="2"/>
            <w:vMerge w:val="restart"/>
            <w:noWrap w:val="0"/>
            <w:vAlign w:val="center"/>
          </w:tcPr>
          <w:p w14:paraId="505A46E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暂存于危废贮存库冷柜中，定期</w:t>
            </w:r>
            <w:r>
              <w:rPr>
                <w:rFonts w:hint="default" w:ascii="Times New Roman" w:hAnsi="Times New Roman" w:eastAsia="宋体" w:cs="Times New Roman"/>
                <w:b w:val="0"/>
                <w:bCs/>
                <w:color w:val="auto"/>
                <w:sz w:val="21"/>
                <w:szCs w:val="21"/>
                <w:highlight w:val="none"/>
              </w:rPr>
              <w:t>拉运至原州区动物疾病预防控制中心（动物卫生监督）</w:t>
            </w:r>
            <w:r>
              <w:rPr>
                <w:rFonts w:hint="eastAsia" w:eastAsia="宋体" w:cs="Times New Roman"/>
                <w:b w:val="0"/>
                <w:bCs/>
                <w:color w:val="auto"/>
                <w:sz w:val="21"/>
                <w:szCs w:val="21"/>
                <w:highlight w:val="none"/>
                <w:lang w:val="en-US" w:eastAsia="zh-CN"/>
              </w:rPr>
              <w:t>指定地点进行</w:t>
            </w:r>
            <w:r>
              <w:rPr>
                <w:rFonts w:hint="default" w:ascii="Times New Roman" w:hAnsi="Times New Roman" w:eastAsia="宋体" w:cs="Times New Roman"/>
                <w:b w:val="0"/>
                <w:bCs/>
                <w:color w:val="auto"/>
                <w:sz w:val="21"/>
                <w:szCs w:val="21"/>
                <w:highlight w:val="none"/>
              </w:rPr>
              <w:t>无害化处置</w:t>
            </w:r>
          </w:p>
        </w:tc>
        <w:tc>
          <w:tcPr>
            <w:tcW w:w="847" w:type="dxa"/>
            <w:gridSpan w:val="2"/>
            <w:vMerge w:val="restart"/>
            <w:noWrap w:val="0"/>
            <w:vAlign w:val="center"/>
          </w:tcPr>
          <w:p w14:paraId="771AB0F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118</w:t>
            </w:r>
          </w:p>
        </w:tc>
        <w:tc>
          <w:tcPr>
            <w:tcW w:w="802" w:type="dxa"/>
            <w:gridSpan w:val="2"/>
            <w:shd w:val="clear" w:color="auto" w:fill="auto"/>
            <w:noWrap w:val="0"/>
            <w:vAlign w:val="center"/>
          </w:tcPr>
          <w:p w14:paraId="360718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08A61DC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67F695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shd w:val="clear" w:color="auto" w:fill="auto"/>
            <w:noWrap w:val="0"/>
            <w:vAlign w:val="center"/>
          </w:tcPr>
          <w:p w14:paraId="1900B4F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5</w:t>
            </w:r>
          </w:p>
        </w:tc>
        <w:tc>
          <w:tcPr>
            <w:tcW w:w="806" w:type="dxa"/>
            <w:gridSpan w:val="2"/>
            <w:vMerge w:val="continue"/>
            <w:noWrap w:val="0"/>
            <w:vAlign w:val="center"/>
          </w:tcPr>
          <w:p w14:paraId="0509B8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7DF0C9B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不合格</w:t>
            </w:r>
          </w:p>
          <w:p w14:paraId="1340783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胴体</w:t>
            </w:r>
          </w:p>
        </w:tc>
        <w:tc>
          <w:tcPr>
            <w:tcW w:w="721" w:type="dxa"/>
            <w:gridSpan w:val="2"/>
            <w:vMerge w:val="continue"/>
            <w:noWrap w:val="0"/>
            <w:vAlign w:val="center"/>
          </w:tcPr>
          <w:p w14:paraId="78C08D8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89" w:type="dxa"/>
            <w:shd w:val="clear" w:color="auto" w:fill="auto"/>
            <w:noWrap w:val="0"/>
            <w:vAlign w:val="center"/>
          </w:tcPr>
          <w:p w14:paraId="4A31536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030-003-S82</w:t>
            </w:r>
          </w:p>
        </w:tc>
        <w:tc>
          <w:tcPr>
            <w:tcW w:w="2014" w:type="dxa"/>
            <w:gridSpan w:val="2"/>
            <w:vMerge w:val="continue"/>
            <w:noWrap w:val="0"/>
            <w:vAlign w:val="center"/>
          </w:tcPr>
          <w:p w14:paraId="097836B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47" w:type="dxa"/>
            <w:gridSpan w:val="2"/>
            <w:vMerge w:val="continue"/>
            <w:noWrap w:val="0"/>
            <w:vAlign w:val="center"/>
          </w:tcPr>
          <w:p w14:paraId="35B3399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02" w:type="dxa"/>
            <w:gridSpan w:val="2"/>
            <w:shd w:val="clear" w:color="auto" w:fill="auto"/>
            <w:noWrap w:val="0"/>
            <w:vAlign w:val="center"/>
          </w:tcPr>
          <w:p w14:paraId="42A4C83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466F1AF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3955EB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shd w:val="clear" w:color="auto" w:fill="auto"/>
            <w:noWrap w:val="0"/>
            <w:vAlign w:val="center"/>
          </w:tcPr>
          <w:p w14:paraId="1B6E379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6</w:t>
            </w:r>
          </w:p>
        </w:tc>
        <w:tc>
          <w:tcPr>
            <w:tcW w:w="806" w:type="dxa"/>
            <w:gridSpan w:val="2"/>
            <w:vMerge w:val="continue"/>
            <w:noWrap w:val="0"/>
            <w:vAlign w:val="center"/>
          </w:tcPr>
          <w:p w14:paraId="7274350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1C2C19B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病死</w:t>
            </w:r>
            <w:r>
              <w:rPr>
                <w:rFonts w:hint="eastAsia" w:ascii="Times New Roman" w:hAnsi="Times New Roman" w:eastAsia="宋体" w:cs="Times New Roman"/>
                <w:b w:val="0"/>
                <w:bCs/>
                <w:color w:val="auto"/>
                <w:sz w:val="21"/>
                <w:szCs w:val="21"/>
                <w:highlight w:val="none"/>
                <w:lang w:val="en-US" w:eastAsia="zh-CN"/>
              </w:rPr>
              <w:t>羊</w:t>
            </w:r>
          </w:p>
        </w:tc>
        <w:tc>
          <w:tcPr>
            <w:tcW w:w="721" w:type="dxa"/>
            <w:gridSpan w:val="2"/>
            <w:vMerge w:val="continue"/>
            <w:noWrap w:val="0"/>
            <w:vAlign w:val="center"/>
          </w:tcPr>
          <w:p w14:paraId="06EB858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89" w:type="dxa"/>
            <w:shd w:val="clear" w:color="auto" w:fill="auto"/>
            <w:noWrap w:val="0"/>
            <w:vAlign w:val="center"/>
          </w:tcPr>
          <w:p w14:paraId="09A8CA9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HW01</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841-00</w:t>
            </w:r>
            <w:r>
              <w:rPr>
                <w:rFonts w:hint="eastAsia"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-01</w:t>
            </w:r>
          </w:p>
        </w:tc>
        <w:tc>
          <w:tcPr>
            <w:tcW w:w="2014" w:type="dxa"/>
            <w:gridSpan w:val="2"/>
            <w:vMerge w:val="continue"/>
            <w:shd w:val="clear" w:color="auto" w:fill="auto"/>
            <w:noWrap w:val="0"/>
            <w:vAlign w:val="center"/>
          </w:tcPr>
          <w:p w14:paraId="33C438B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847" w:type="dxa"/>
            <w:gridSpan w:val="2"/>
            <w:vMerge w:val="continue"/>
            <w:noWrap w:val="0"/>
            <w:vAlign w:val="center"/>
          </w:tcPr>
          <w:p w14:paraId="440A0FD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02" w:type="dxa"/>
            <w:gridSpan w:val="2"/>
            <w:shd w:val="clear" w:color="auto" w:fill="auto"/>
            <w:noWrap w:val="0"/>
            <w:vAlign w:val="center"/>
          </w:tcPr>
          <w:p w14:paraId="75CC1B4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1EE189C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50A1AA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48" w:type="dxa"/>
            <w:gridSpan w:val="16"/>
            <w:noWrap w:val="0"/>
            <w:vAlign w:val="center"/>
          </w:tcPr>
          <w:p w14:paraId="3A1E63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其他固废</w:t>
            </w:r>
          </w:p>
        </w:tc>
      </w:tr>
      <w:tr w14:paraId="1DD593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noWrap w:val="0"/>
            <w:vAlign w:val="center"/>
          </w:tcPr>
          <w:p w14:paraId="0C94336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8</w:t>
            </w:r>
          </w:p>
        </w:tc>
        <w:tc>
          <w:tcPr>
            <w:tcW w:w="806" w:type="dxa"/>
            <w:gridSpan w:val="2"/>
            <w:noWrap w:val="0"/>
            <w:vAlign w:val="center"/>
          </w:tcPr>
          <w:p w14:paraId="35013CF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员工</w:t>
            </w:r>
          </w:p>
          <w:p w14:paraId="7701F80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w:t>
            </w:r>
          </w:p>
        </w:tc>
        <w:tc>
          <w:tcPr>
            <w:tcW w:w="1237" w:type="dxa"/>
            <w:gridSpan w:val="2"/>
            <w:noWrap w:val="0"/>
            <w:vAlign w:val="center"/>
          </w:tcPr>
          <w:p w14:paraId="21BCEB4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w:t>
            </w:r>
          </w:p>
        </w:tc>
        <w:tc>
          <w:tcPr>
            <w:tcW w:w="721" w:type="dxa"/>
            <w:gridSpan w:val="2"/>
            <w:noWrap w:val="0"/>
            <w:vAlign w:val="center"/>
          </w:tcPr>
          <w:p w14:paraId="23424F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89" w:type="dxa"/>
            <w:noWrap w:val="0"/>
            <w:vAlign w:val="center"/>
          </w:tcPr>
          <w:p w14:paraId="0BAE88A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SW64-</w:t>
            </w:r>
            <w:r>
              <w:rPr>
                <w:rFonts w:hint="default" w:ascii="Times New Roman" w:hAnsi="Times New Roman" w:eastAsia="宋体" w:cs="Times New Roman"/>
                <w:b w:val="0"/>
                <w:bCs/>
                <w:color w:val="auto"/>
                <w:sz w:val="21"/>
                <w:szCs w:val="21"/>
                <w:highlight w:val="none"/>
              </w:rPr>
              <w:t>900-099-S64</w:t>
            </w:r>
          </w:p>
        </w:tc>
        <w:tc>
          <w:tcPr>
            <w:tcW w:w="2014" w:type="dxa"/>
            <w:gridSpan w:val="2"/>
            <w:noWrap w:val="0"/>
            <w:vAlign w:val="center"/>
          </w:tcPr>
          <w:p w14:paraId="0C8C1CA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生活垃圾由环卫部门统一处置</w:t>
            </w:r>
          </w:p>
        </w:tc>
        <w:tc>
          <w:tcPr>
            <w:tcW w:w="847" w:type="dxa"/>
            <w:gridSpan w:val="2"/>
            <w:noWrap w:val="0"/>
            <w:vAlign w:val="center"/>
          </w:tcPr>
          <w:p w14:paraId="0475889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4.29</w:t>
            </w:r>
          </w:p>
        </w:tc>
        <w:tc>
          <w:tcPr>
            <w:tcW w:w="802" w:type="dxa"/>
            <w:gridSpan w:val="2"/>
            <w:noWrap w:val="0"/>
            <w:vAlign w:val="center"/>
          </w:tcPr>
          <w:p w14:paraId="7DB671F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751" w:type="dxa"/>
            <w:noWrap w:val="0"/>
            <w:vAlign w:val="center"/>
          </w:tcPr>
          <w:p w14:paraId="53E9DCD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1765B9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noWrap w:val="0"/>
            <w:vAlign w:val="center"/>
          </w:tcPr>
          <w:p w14:paraId="416A97D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w:t>
            </w:r>
          </w:p>
        </w:tc>
        <w:tc>
          <w:tcPr>
            <w:tcW w:w="806" w:type="dxa"/>
            <w:gridSpan w:val="2"/>
            <w:noWrap w:val="0"/>
            <w:vAlign w:val="center"/>
          </w:tcPr>
          <w:p w14:paraId="218708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环保设施</w:t>
            </w:r>
          </w:p>
        </w:tc>
        <w:tc>
          <w:tcPr>
            <w:tcW w:w="1237" w:type="dxa"/>
            <w:gridSpan w:val="2"/>
            <w:noWrap w:val="0"/>
            <w:vAlign w:val="center"/>
          </w:tcPr>
          <w:p w14:paraId="5F39271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废活性炭</w:t>
            </w:r>
          </w:p>
        </w:tc>
        <w:tc>
          <w:tcPr>
            <w:tcW w:w="721" w:type="dxa"/>
            <w:gridSpan w:val="2"/>
            <w:noWrap w:val="0"/>
            <w:vAlign w:val="center"/>
          </w:tcPr>
          <w:p w14:paraId="68C73FF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1189" w:type="dxa"/>
            <w:noWrap w:val="0"/>
            <w:vAlign w:val="center"/>
          </w:tcPr>
          <w:p w14:paraId="313563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val="en-US" w:eastAsia="zh-CN"/>
              </w:rPr>
              <w:t>HW49</w:t>
            </w:r>
            <w:r>
              <w:rPr>
                <w:rFonts w:hint="eastAsia" w:ascii="Times New Roman" w:hAnsi="Times New Roman" w:eastAsia="宋体" w:cs="Times New Roman"/>
                <w:b w:val="0"/>
                <w:bCs/>
                <w:color w:val="auto"/>
                <w:sz w:val="21"/>
                <w:szCs w:val="21"/>
                <w:highlight w:val="none"/>
                <w:lang w:val="en-US" w:eastAsia="zh-CN"/>
              </w:rPr>
              <w:t>-900-039-49</w:t>
            </w:r>
          </w:p>
        </w:tc>
        <w:tc>
          <w:tcPr>
            <w:tcW w:w="2014" w:type="dxa"/>
            <w:gridSpan w:val="2"/>
            <w:noWrap w:val="0"/>
            <w:vAlign w:val="center"/>
          </w:tcPr>
          <w:p w14:paraId="297226A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更换后</w:t>
            </w:r>
            <w:r>
              <w:rPr>
                <w:rFonts w:hint="default" w:ascii="Times New Roman" w:hAnsi="Times New Roman" w:eastAsia="宋体" w:cs="Times New Roman"/>
                <w:b w:val="0"/>
                <w:bCs/>
                <w:color w:val="auto"/>
                <w:sz w:val="21"/>
                <w:szCs w:val="21"/>
                <w:highlight w:val="none"/>
              </w:rPr>
              <w:t>交有资质的单位处置</w:t>
            </w:r>
          </w:p>
        </w:tc>
        <w:tc>
          <w:tcPr>
            <w:tcW w:w="847" w:type="dxa"/>
            <w:gridSpan w:val="2"/>
            <w:noWrap w:val="0"/>
            <w:vAlign w:val="center"/>
          </w:tcPr>
          <w:p w14:paraId="4A35451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0.75</w:t>
            </w:r>
          </w:p>
        </w:tc>
        <w:tc>
          <w:tcPr>
            <w:tcW w:w="802" w:type="dxa"/>
            <w:gridSpan w:val="2"/>
            <w:noWrap w:val="0"/>
            <w:vAlign w:val="center"/>
          </w:tcPr>
          <w:p w14:paraId="6CFA8C9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100</w:t>
            </w:r>
          </w:p>
        </w:tc>
        <w:tc>
          <w:tcPr>
            <w:tcW w:w="751" w:type="dxa"/>
            <w:noWrap w:val="0"/>
            <w:vAlign w:val="center"/>
          </w:tcPr>
          <w:p w14:paraId="38CE3B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r>
      <w:tr w14:paraId="3D9B34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noWrap w:val="0"/>
            <w:vAlign w:val="center"/>
          </w:tcPr>
          <w:p w14:paraId="08724DB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c>
          <w:tcPr>
            <w:tcW w:w="806" w:type="dxa"/>
            <w:gridSpan w:val="2"/>
            <w:noWrap w:val="0"/>
            <w:vAlign w:val="center"/>
          </w:tcPr>
          <w:p w14:paraId="0301449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污水处理站</w:t>
            </w:r>
          </w:p>
        </w:tc>
        <w:tc>
          <w:tcPr>
            <w:tcW w:w="1237" w:type="dxa"/>
            <w:gridSpan w:val="2"/>
            <w:noWrap w:val="0"/>
            <w:vAlign w:val="center"/>
          </w:tcPr>
          <w:p w14:paraId="240E625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污泥</w:t>
            </w:r>
          </w:p>
        </w:tc>
        <w:tc>
          <w:tcPr>
            <w:tcW w:w="721" w:type="dxa"/>
            <w:gridSpan w:val="2"/>
            <w:noWrap w:val="0"/>
            <w:vAlign w:val="center"/>
          </w:tcPr>
          <w:p w14:paraId="1F7221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89" w:type="dxa"/>
            <w:noWrap w:val="0"/>
            <w:vAlign w:val="center"/>
          </w:tcPr>
          <w:p w14:paraId="3EFB69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SW07-</w:t>
            </w:r>
            <w:r>
              <w:rPr>
                <w:rFonts w:hint="default" w:ascii="Times New Roman" w:hAnsi="Times New Roman" w:eastAsia="宋体" w:cs="Times New Roman"/>
                <w:b w:val="0"/>
                <w:bCs/>
                <w:color w:val="auto"/>
                <w:sz w:val="21"/>
                <w:szCs w:val="21"/>
                <w:highlight w:val="none"/>
              </w:rPr>
              <w:t>135-001-S07</w:t>
            </w:r>
          </w:p>
        </w:tc>
        <w:tc>
          <w:tcPr>
            <w:tcW w:w="2014" w:type="dxa"/>
            <w:gridSpan w:val="2"/>
            <w:noWrap w:val="0"/>
            <w:vAlign w:val="center"/>
          </w:tcPr>
          <w:p w14:paraId="2D3196C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拉运至固原富田有机肥有限公司生产肥料</w:t>
            </w:r>
          </w:p>
        </w:tc>
        <w:tc>
          <w:tcPr>
            <w:tcW w:w="847" w:type="dxa"/>
            <w:gridSpan w:val="2"/>
            <w:noWrap w:val="0"/>
            <w:vAlign w:val="center"/>
          </w:tcPr>
          <w:p w14:paraId="29FF6F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15.65</w:t>
            </w:r>
          </w:p>
        </w:tc>
        <w:tc>
          <w:tcPr>
            <w:tcW w:w="802" w:type="dxa"/>
            <w:gridSpan w:val="2"/>
            <w:noWrap w:val="0"/>
            <w:vAlign w:val="center"/>
          </w:tcPr>
          <w:p w14:paraId="5DE8696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751" w:type="dxa"/>
            <w:noWrap w:val="0"/>
            <w:vAlign w:val="center"/>
          </w:tcPr>
          <w:p w14:paraId="2DC1D3F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1F5192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noWrap w:val="0"/>
            <w:vAlign w:val="center"/>
          </w:tcPr>
          <w:p w14:paraId="6B63FE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11</w:t>
            </w:r>
          </w:p>
        </w:tc>
        <w:tc>
          <w:tcPr>
            <w:tcW w:w="806" w:type="dxa"/>
            <w:gridSpan w:val="2"/>
            <w:noWrap w:val="0"/>
            <w:vAlign w:val="center"/>
          </w:tcPr>
          <w:p w14:paraId="7EA7D8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设备检修</w:t>
            </w:r>
          </w:p>
        </w:tc>
        <w:tc>
          <w:tcPr>
            <w:tcW w:w="1237" w:type="dxa"/>
            <w:gridSpan w:val="2"/>
            <w:noWrap w:val="0"/>
            <w:vAlign w:val="center"/>
          </w:tcPr>
          <w:p w14:paraId="30F6DEC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废机油、废机油桶</w:t>
            </w:r>
          </w:p>
        </w:tc>
        <w:tc>
          <w:tcPr>
            <w:tcW w:w="721" w:type="dxa"/>
            <w:gridSpan w:val="2"/>
            <w:noWrap w:val="0"/>
            <w:vAlign w:val="center"/>
          </w:tcPr>
          <w:p w14:paraId="71E777A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1189" w:type="dxa"/>
            <w:noWrap w:val="0"/>
            <w:vAlign w:val="center"/>
          </w:tcPr>
          <w:p w14:paraId="586FFAB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HW08-</w:t>
            </w:r>
            <w:r>
              <w:rPr>
                <w:rFonts w:hint="default" w:ascii="Times New Roman" w:hAnsi="Times New Roman" w:eastAsia="宋体" w:cs="Times New Roman"/>
                <w:b w:val="0"/>
                <w:bCs/>
                <w:color w:val="auto"/>
                <w:sz w:val="21"/>
                <w:szCs w:val="21"/>
                <w:highlight w:val="none"/>
              </w:rPr>
              <w:t>900-214-08</w:t>
            </w:r>
          </w:p>
        </w:tc>
        <w:tc>
          <w:tcPr>
            <w:tcW w:w="2014" w:type="dxa"/>
            <w:gridSpan w:val="2"/>
            <w:vMerge w:val="restart"/>
            <w:noWrap w:val="0"/>
            <w:vAlign w:val="center"/>
          </w:tcPr>
          <w:p w14:paraId="1508B7E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暂存于危废贮存库，定期</w:t>
            </w:r>
            <w:r>
              <w:rPr>
                <w:rFonts w:hint="default" w:ascii="Times New Roman" w:hAnsi="Times New Roman" w:eastAsia="宋体" w:cs="Times New Roman"/>
                <w:b w:val="0"/>
                <w:bCs/>
                <w:color w:val="auto"/>
                <w:sz w:val="21"/>
                <w:szCs w:val="21"/>
                <w:highlight w:val="none"/>
              </w:rPr>
              <w:t>交有资质的单位处置</w:t>
            </w:r>
          </w:p>
        </w:tc>
        <w:tc>
          <w:tcPr>
            <w:tcW w:w="847" w:type="dxa"/>
            <w:gridSpan w:val="2"/>
            <w:noWrap w:val="0"/>
            <w:vAlign w:val="center"/>
          </w:tcPr>
          <w:p w14:paraId="75A5E24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0.642</w:t>
            </w:r>
          </w:p>
        </w:tc>
        <w:tc>
          <w:tcPr>
            <w:tcW w:w="802" w:type="dxa"/>
            <w:gridSpan w:val="2"/>
            <w:noWrap w:val="0"/>
            <w:vAlign w:val="center"/>
          </w:tcPr>
          <w:p w14:paraId="079D009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100</w:t>
            </w:r>
          </w:p>
        </w:tc>
        <w:tc>
          <w:tcPr>
            <w:tcW w:w="751" w:type="dxa"/>
            <w:noWrap w:val="0"/>
            <w:vAlign w:val="center"/>
          </w:tcPr>
          <w:p w14:paraId="72D1176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r w14:paraId="481B53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81" w:type="dxa"/>
            <w:gridSpan w:val="2"/>
            <w:noWrap w:val="0"/>
            <w:vAlign w:val="center"/>
          </w:tcPr>
          <w:p w14:paraId="4576BC7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12</w:t>
            </w:r>
          </w:p>
        </w:tc>
        <w:tc>
          <w:tcPr>
            <w:tcW w:w="806" w:type="dxa"/>
            <w:gridSpan w:val="2"/>
            <w:noWrap w:val="0"/>
            <w:vAlign w:val="center"/>
          </w:tcPr>
          <w:p w14:paraId="542929D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检疫</w:t>
            </w:r>
          </w:p>
        </w:tc>
        <w:tc>
          <w:tcPr>
            <w:tcW w:w="1237" w:type="dxa"/>
            <w:gridSpan w:val="2"/>
            <w:noWrap w:val="0"/>
            <w:vAlign w:val="center"/>
          </w:tcPr>
          <w:p w14:paraId="35E83BC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检疫废物</w:t>
            </w:r>
          </w:p>
        </w:tc>
        <w:tc>
          <w:tcPr>
            <w:tcW w:w="721" w:type="dxa"/>
            <w:gridSpan w:val="2"/>
            <w:noWrap w:val="0"/>
            <w:vAlign w:val="center"/>
          </w:tcPr>
          <w:p w14:paraId="6E4CA5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1189" w:type="dxa"/>
            <w:noWrap w:val="0"/>
            <w:vAlign w:val="center"/>
          </w:tcPr>
          <w:p w14:paraId="4430D92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HW</w:t>
            </w:r>
            <w:r>
              <w:rPr>
                <w:rFonts w:hint="eastAsia" w:ascii="Times New Roman" w:hAnsi="Times New Roman" w:eastAsia="宋体" w:cs="Times New Roman"/>
                <w:color w:val="auto"/>
                <w:sz w:val="21"/>
                <w:szCs w:val="21"/>
                <w:lang w:val="en-US" w:eastAsia="zh-CN"/>
              </w:rPr>
              <w:t>01-841-002-01</w:t>
            </w:r>
          </w:p>
        </w:tc>
        <w:tc>
          <w:tcPr>
            <w:tcW w:w="2014" w:type="dxa"/>
            <w:gridSpan w:val="2"/>
            <w:vMerge w:val="continue"/>
            <w:noWrap w:val="0"/>
            <w:vAlign w:val="center"/>
          </w:tcPr>
          <w:p w14:paraId="3434146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47" w:type="dxa"/>
            <w:gridSpan w:val="2"/>
            <w:noWrap w:val="0"/>
            <w:vAlign w:val="center"/>
          </w:tcPr>
          <w:p w14:paraId="5702309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0.5</w:t>
            </w:r>
          </w:p>
        </w:tc>
        <w:tc>
          <w:tcPr>
            <w:tcW w:w="802" w:type="dxa"/>
            <w:gridSpan w:val="2"/>
            <w:noWrap w:val="0"/>
            <w:vAlign w:val="center"/>
          </w:tcPr>
          <w:p w14:paraId="332F4E5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100</w:t>
            </w:r>
          </w:p>
        </w:tc>
        <w:tc>
          <w:tcPr>
            <w:tcW w:w="751" w:type="dxa"/>
            <w:noWrap w:val="0"/>
            <w:vAlign w:val="center"/>
          </w:tcPr>
          <w:p w14:paraId="2EA3DA5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bl>
    <w:p w14:paraId="3FD3D513">
      <w:pPr>
        <w:spacing w:line="360" w:lineRule="auto"/>
        <w:rPr>
          <w:rFonts w:hint="eastAsia"/>
          <w:color w:val="auto"/>
          <w:lang w:val="en-US" w:eastAsia="zh-CN"/>
        </w:rPr>
      </w:pPr>
      <w:r>
        <w:rPr>
          <w:rFonts w:hint="eastAsia"/>
          <w:color w:val="auto"/>
          <w:lang w:val="en-US" w:eastAsia="zh-CN"/>
        </w:rPr>
        <w:t>根据表5.5-1可知，本项目全厂固废均可得到合理处置，均可以做到无害化处置，不会对周边环境产生影响。</w:t>
      </w:r>
    </w:p>
    <w:p w14:paraId="2B1DC88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zh-CN" w:eastAsia="zh-CN"/>
        </w:rPr>
      </w:pPr>
      <w:r>
        <w:rPr>
          <w:rFonts w:hint="default" w:ascii="Times New Roman" w:hAnsi="Times New Roman" w:eastAsia="黑体" w:cs="Times New Roman"/>
          <w:b/>
          <w:color w:val="auto"/>
          <w:sz w:val="28"/>
          <w:szCs w:val="28"/>
          <w:highlight w:val="none"/>
          <w:lang w:val="zh-CN" w:eastAsia="zh-CN"/>
        </w:rPr>
        <w:t>5.5.2运输过程环境影响分析</w:t>
      </w:r>
    </w:p>
    <w:p w14:paraId="3CA69806">
      <w:pPr>
        <w:spacing w:line="360" w:lineRule="auto"/>
        <w:rPr>
          <w:rFonts w:hint="eastAsia"/>
          <w:color w:val="auto"/>
          <w:lang w:val="en-US" w:eastAsia="zh-CN"/>
        </w:rPr>
      </w:pPr>
      <w:r>
        <w:rPr>
          <w:rFonts w:hint="eastAsia"/>
          <w:color w:val="auto"/>
          <w:lang w:val="en-US" w:eastAsia="zh-CN"/>
        </w:rPr>
        <w:t>本项目危险废物运输过程分为两个部分，一是危险废物厂区内部的转运作业，二是危险废物的厂外运输。企业对于危险废物厂内及厂外的运输过程，应严格按照《危险废物收集、贮存、运输技术规范》（HJ2025-2012）中要求执行。</w:t>
      </w:r>
    </w:p>
    <w:p w14:paraId="64E234A5">
      <w:pPr>
        <w:spacing w:line="360" w:lineRule="auto"/>
        <w:rPr>
          <w:rFonts w:hint="default" w:ascii="Times New Roman" w:hAnsi="Times New Roman"/>
          <w:color w:val="auto"/>
          <w:lang w:val="en-US" w:eastAsia="zh-CN"/>
        </w:rPr>
      </w:pPr>
      <w:r>
        <w:rPr>
          <w:rFonts w:hint="eastAsia"/>
          <w:color w:val="auto"/>
          <w:lang w:val="en-US" w:eastAsia="zh-CN"/>
        </w:rPr>
        <w:t>（1）危险废物内部转运作业</w:t>
      </w:r>
    </w:p>
    <w:p w14:paraId="0FAFAED8">
      <w:pPr>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t>本项目产生的危险废物在项目的产生点进行有效收集，厂区内采用小型</w:t>
      </w:r>
      <w:r>
        <w:rPr>
          <w:rFonts w:hint="eastAsia"/>
          <w:color w:val="auto"/>
          <w:lang w:val="en-US" w:eastAsia="zh-CN"/>
        </w:rPr>
        <w:t>推车</w:t>
      </w:r>
      <w:r>
        <w:rPr>
          <w:rFonts w:hint="default" w:ascii="Times New Roman" w:hAnsi="Times New Roman"/>
          <w:color w:val="auto"/>
          <w:lang w:val="en-US" w:eastAsia="zh-CN"/>
        </w:rPr>
        <w:t>作为运输工具，从产生点转运至危废贮存库，运输在厂区内完成，盛装危险废物的容器均符合《危险废物贮存污染控制标准》（GB18597-2023）</w:t>
      </w:r>
      <w:r>
        <w:rPr>
          <w:rFonts w:hint="eastAsia"/>
          <w:color w:val="auto"/>
          <w:lang w:val="en-US" w:eastAsia="zh-CN"/>
        </w:rPr>
        <w:t>。场内运输时，洒落的危险废物要及时清理，防止发生渗漏风险。且</w:t>
      </w:r>
      <w:r>
        <w:rPr>
          <w:rFonts w:hint="default" w:ascii="Times New Roman" w:hAnsi="Times New Roman"/>
          <w:color w:val="auto"/>
          <w:lang w:val="en-US" w:eastAsia="zh-CN"/>
        </w:rPr>
        <w:t>运输路线沿线无敏感目标，因此厂区内运输过程环境影响较小。</w:t>
      </w:r>
    </w:p>
    <w:p w14:paraId="6181258A">
      <w:pPr>
        <w:spacing w:line="360" w:lineRule="auto"/>
        <w:rPr>
          <w:rFonts w:hint="default" w:ascii="Times New Roman" w:hAnsi="Times New Roman"/>
          <w:color w:val="auto"/>
          <w:lang w:val="en-US" w:eastAsia="zh-CN"/>
        </w:rPr>
      </w:pPr>
      <w:r>
        <w:rPr>
          <w:rFonts w:hint="eastAsia"/>
          <w:color w:val="auto"/>
          <w:lang w:val="en-US" w:eastAsia="zh-CN"/>
        </w:rPr>
        <w:t>（2）危险废物的厂外运输</w:t>
      </w:r>
    </w:p>
    <w:p w14:paraId="78AA11B0">
      <w:pPr>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厂区外运输由有危废处理资质单位负责，</w:t>
      </w:r>
      <w:r>
        <w:rPr>
          <w:rFonts w:hint="eastAsia"/>
          <w:color w:val="auto"/>
          <w:lang w:val="en-US" w:eastAsia="zh-CN"/>
        </w:rPr>
        <w:t>采用密闭货车，避开环境敏感点进行运输</w:t>
      </w:r>
      <w:r>
        <w:rPr>
          <w:rFonts w:hint="eastAsia" w:ascii="Times New Roman" w:hAnsi="Times New Roman"/>
          <w:color w:val="auto"/>
          <w:lang w:val="en-US" w:eastAsia="zh-CN"/>
        </w:rPr>
        <w:t>，厂区外运输过程环境影响较小。因此，本项目危险废物在出厂前，按危险废物的</w:t>
      </w:r>
      <w:r>
        <w:rPr>
          <w:rFonts w:hint="eastAsia"/>
          <w:color w:val="auto"/>
          <w:lang w:val="en-US" w:eastAsia="zh-CN"/>
        </w:rPr>
        <w:t>管理</w:t>
      </w:r>
      <w:r>
        <w:rPr>
          <w:rFonts w:hint="eastAsia" w:ascii="Times New Roman" w:hAnsi="Times New Roman"/>
          <w:color w:val="auto"/>
          <w:lang w:val="en-US" w:eastAsia="zh-CN"/>
        </w:rPr>
        <w:t>要求，进行严格的包装，委托有资质的单位进行运输和处理后，不会对环境产生二次污染。</w:t>
      </w:r>
    </w:p>
    <w:p w14:paraId="73409769">
      <w:pPr>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运输过程的最大环境风险为交通事故造成的环境影响，因此要求承接的有资质处置单位，按照该单位的环境影响报告书及相关法规要求，采用专用的危险废物运输车辆运输，采取有效的运输过程风险防控和应急处置措施，杜绝交通事故发生。</w:t>
      </w:r>
    </w:p>
    <w:p w14:paraId="258FADC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zh-CN" w:eastAsia="zh-CN"/>
        </w:rPr>
      </w:pPr>
      <w:r>
        <w:rPr>
          <w:rFonts w:hint="eastAsia" w:ascii="Times New Roman" w:hAnsi="Times New Roman" w:eastAsia="黑体" w:cs="Times New Roman"/>
          <w:b/>
          <w:color w:val="auto"/>
          <w:sz w:val="28"/>
          <w:szCs w:val="28"/>
          <w:highlight w:val="none"/>
          <w:lang w:val="en-US" w:eastAsia="zh-CN"/>
        </w:rPr>
        <w:t>5.5.3</w:t>
      </w:r>
      <w:r>
        <w:rPr>
          <w:rFonts w:hint="default" w:ascii="Times New Roman" w:hAnsi="Times New Roman" w:eastAsia="黑体" w:cs="Times New Roman"/>
          <w:b/>
          <w:color w:val="auto"/>
          <w:sz w:val="28"/>
          <w:szCs w:val="28"/>
          <w:highlight w:val="none"/>
          <w:lang w:val="en-US" w:eastAsia="zh-CN"/>
        </w:rPr>
        <w:t>危险废物贮存影响分析</w:t>
      </w:r>
    </w:p>
    <w:p w14:paraId="0FD08DD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5.5.3.1危废贮存场所贮存能力分析</w:t>
      </w:r>
    </w:p>
    <w:p w14:paraId="51241BFA">
      <w:pPr>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t>本项目已设置1</w:t>
      </w:r>
      <w:r>
        <w:rPr>
          <w:rFonts w:hint="eastAsia"/>
          <w:color w:val="auto"/>
          <w:lang w:val="en-US" w:eastAsia="zh-CN"/>
        </w:rPr>
        <w:t>处1</w:t>
      </w:r>
      <w:r>
        <w:rPr>
          <w:rFonts w:hint="default" w:ascii="Times New Roman" w:hAnsi="Times New Roman"/>
          <w:color w:val="auto"/>
          <w:lang w:val="en-US" w:eastAsia="zh-CN"/>
        </w:rPr>
        <w:t>5m</w:t>
      </w:r>
      <w:r>
        <w:rPr>
          <w:rFonts w:hint="default" w:ascii="Times New Roman" w:hAnsi="Times New Roman"/>
          <w:color w:val="auto"/>
          <w:vertAlign w:val="superscript"/>
          <w:lang w:val="en-US" w:eastAsia="zh-CN"/>
        </w:rPr>
        <w:t>2</w:t>
      </w:r>
      <w:r>
        <w:rPr>
          <w:rFonts w:hint="eastAsia"/>
          <w:color w:val="auto"/>
          <w:lang w:val="en-US" w:eastAsia="zh-CN"/>
        </w:rPr>
        <w:t>危废贮存库</w:t>
      </w:r>
      <w:r>
        <w:rPr>
          <w:rFonts w:hint="default" w:ascii="Times New Roman" w:hAnsi="Times New Roman"/>
          <w:color w:val="auto"/>
          <w:lang w:val="en-US" w:eastAsia="zh-CN"/>
        </w:rPr>
        <w:t>，危险废物的贮存应留有搬运通道，按照其属性建立危险废物特性标识并贴在其危险废物包装容器外。危废贮存库</w:t>
      </w:r>
      <w:r>
        <w:rPr>
          <w:rFonts w:hint="eastAsia"/>
          <w:color w:val="auto"/>
          <w:lang w:val="en-US" w:eastAsia="zh-CN"/>
        </w:rPr>
        <w:t>内最大贮存量不得超过3t，贮存周期不得超过一年。</w:t>
      </w:r>
    </w:p>
    <w:p w14:paraId="5DCDCB12">
      <w:pPr>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t>项目运营期产生的</w:t>
      </w:r>
      <w:r>
        <w:rPr>
          <w:rFonts w:hint="eastAsia"/>
          <w:color w:val="auto"/>
          <w:lang w:val="en-US" w:eastAsia="zh-CN"/>
        </w:rPr>
        <w:t>危废</w:t>
      </w:r>
      <w:r>
        <w:rPr>
          <w:rFonts w:hint="default" w:ascii="Times New Roman" w:hAnsi="Times New Roman"/>
          <w:color w:val="auto"/>
          <w:lang w:val="en-US" w:eastAsia="zh-CN"/>
        </w:rPr>
        <w:t>利用密闭塑料桶盛装，每</w:t>
      </w:r>
      <w:r>
        <w:rPr>
          <w:rFonts w:hint="eastAsia"/>
          <w:color w:val="auto"/>
          <w:lang w:val="en-US" w:eastAsia="zh-CN"/>
        </w:rPr>
        <w:t>季度</w:t>
      </w:r>
      <w:r>
        <w:rPr>
          <w:rFonts w:hint="default" w:ascii="Times New Roman" w:hAnsi="Times New Roman"/>
          <w:color w:val="auto"/>
          <w:lang w:val="en-US" w:eastAsia="zh-CN"/>
        </w:rPr>
        <w:t>委托处置1次</w:t>
      </w:r>
      <w:r>
        <w:rPr>
          <w:rFonts w:hint="eastAsia"/>
          <w:color w:val="auto"/>
          <w:lang w:val="en-US" w:eastAsia="zh-CN"/>
        </w:rPr>
        <w:t>；产生的病变内脏、不合格胴体、病死牛及病死羊暂存于危废贮存库冰柜中，当冰柜储存量达到2/3时，及时拉运至原州区动物疾病预防控制中心（动物卫生监督）指定地点进行无害化处置，</w:t>
      </w:r>
      <w:r>
        <w:rPr>
          <w:rFonts w:hint="default" w:ascii="Times New Roman" w:hAnsi="Times New Roman"/>
          <w:color w:val="auto"/>
          <w:lang w:val="en-US" w:eastAsia="zh-CN"/>
        </w:rPr>
        <w:t>不会存在涨库等问题。</w:t>
      </w:r>
    </w:p>
    <w:p w14:paraId="2E55ED2F">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5.5.3.2危险废物贮存过程环境影响分析</w:t>
      </w:r>
    </w:p>
    <w:p w14:paraId="52C8B02A">
      <w:pPr>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t>本项目</w:t>
      </w:r>
      <w:r>
        <w:rPr>
          <w:rFonts w:hint="eastAsia"/>
          <w:color w:val="auto"/>
          <w:lang w:val="en-US" w:eastAsia="zh-CN"/>
        </w:rPr>
        <w:t>危废贮存库</w:t>
      </w:r>
      <w:r>
        <w:rPr>
          <w:rFonts w:hint="default" w:ascii="Times New Roman" w:hAnsi="Times New Roman"/>
          <w:color w:val="auto"/>
          <w:lang w:val="en-US" w:eastAsia="zh-CN"/>
        </w:rPr>
        <w:t>应根据《危险废物贮存污染控制标准》（GB 18597-2023）进行建设，采取“六防”（防风、防晒、防雨、防漏、防渗、防腐）措施，新建</w:t>
      </w:r>
      <w:r>
        <w:rPr>
          <w:rFonts w:hint="eastAsia"/>
          <w:color w:val="auto"/>
          <w:lang w:val="en-US" w:eastAsia="zh-CN"/>
        </w:rPr>
        <w:t>危废贮存库</w:t>
      </w:r>
      <w:r>
        <w:rPr>
          <w:rFonts w:hint="default" w:ascii="Times New Roman" w:hAnsi="Times New Roman"/>
          <w:color w:val="auto"/>
          <w:lang w:val="en-US" w:eastAsia="zh-CN"/>
        </w:rPr>
        <w:t>位于</w:t>
      </w:r>
      <w:r>
        <w:rPr>
          <w:rFonts w:hint="eastAsia"/>
          <w:color w:val="auto"/>
          <w:lang w:val="en-US" w:eastAsia="zh-CN"/>
        </w:rPr>
        <w:t>屠宰加工车间一层北侧，</w:t>
      </w:r>
      <w:r>
        <w:rPr>
          <w:rFonts w:hint="default" w:ascii="Times New Roman" w:hAnsi="Times New Roman"/>
          <w:color w:val="auto"/>
          <w:lang w:val="en-US" w:eastAsia="zh-CN"/>
        </w:rPr>
        <w:t>基本可满足本项目</w:t>
      </w:r>
      <w:r>
        <w:rPr>
          <w:rFonts w:hint="eastAsia"/>
          <w:color w:val="auto"/>
          <w:lang w:val="en-US" w:eastAsia="zh-CN"/>
        </w:rPr>
        <w:t>危险</w:t>
      </w:r>
      <w:r>
        <w:rPr>
          <w:rFonts w:hint="default" w:ascii="Times New Roman" w:hAnsi="Times New Roman"/>
          <w:color w:val="auto"/>
          <w:lang w:val="en-US" w:eastAsia="zh-CN"/>
        </w:rPr>
        <w:t>废物的储存要求。</w:t>
      </w:r>
    </w:p>
    <w:p w14:paraId="7B083251">
      <w:pPr>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t>①对大气环境的影响：本项目产生的危险废物主要是废活性炭、废机油、废机油桶、检疫废物。项目危险废物采用桶装储存，并储存于符合《危险废物贮存污染控制标准》（GB18597-2023）的</w:t>
      </w:r>
      <w:r>
        <w:rPr>
          <w:rFonts w:hint="eastAsia"/>
          <w:color w:val="auto"/>
          <w:lang w:val="en-US" w:eastAsia="zh-CN"/>
        </w:rPr>
        <w:t>危废贮存库</w:t>
      </w:r>
      <w:r>
        <w:rPr>
          <w:rFonts w:hint="default" w:ascii="Times New Roman" w:hAnsi="Times New Roman"/>
          <w:color w:val="auto"/>
          <w:lang w:val="en-US" w:eastAsia="zh-CN"/>
        </w:rPr>
        <w:t>内，对环境影响较小。</w:t>
      </w:r>
    </w:p>
    <w:p w14:paraId="7AE08187">
      <w:pPr>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t>②对地下水环境的影响：本项目</w:t>
      </w:r>
      <w:r>
        <w:rPr>
          <w:rFonts w:hint="eastAsia"/>
          <w:color w:val="auto"/>
          <w:lang w:val="en-US" w:eastAsia="zh-CN"/>
        </w:rPr>
        <w:t>危废贮存库</w:t>
      </w:r>
      <w:r>
        <w:rPr>
          <w:rFonts w:hint="default" w:ascii="Times New Roman" w:hAnsi="Times New Roman"/>
          <w:color w:val="auto"/>
          <w:lang w:val="en-US" w:eastAsia="zh-CN"/>
        </w:rPr>
        <w:t>按照《危险废物贮存污染控制标准》（GB18597-2023）的要求进行防渗建设，确保渗透系数≤10</w:t>
      </w:r>
      <w:r>
        <w:rPr>
          <w:rFonts w:hint="default" w:ascii="Times New Roman" w:hAnsi="Times New Roman"/>
          <w:color w:val="auto"/>
          <w:vertAlign w:val="superscript"/>
          <w:lang w:val="en-US" w:eastAsia="zh-CN"/>
        </w:rPr>
        <w:t>-10</w:t>
      </w:r>
      <w:r>
        <w:rPr>
          <w:rFonts w:hint="default" w:ascii="Times New Roman" w:hAnsi="Times New Roman"/>
          <w:color w:val="auto"/>
          <w:lang w:val="en-US" w:eastAsia="zh-CN"/>
        </w:rPr>
        <w:t>cm/s。对地下水的影响很小。</w:t>
      </w:r>
    </w:p>
    <w:p w14:paraId="09ABAE46">
      <w:pPr>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t>③对水环境的影响：本项目</w:t>
      </w:r>
      <w:r>
        <w:rPr>
          <w:rFonts w:hint="eastAsia"/>
          <w:color w:val="auto"/>
          <w:lang w:val="en-US" w:eastAsia="zh-CN"/>
        </w:rPr>
        <w:t>危废贮存库做重点防渗</w:t>
      </w:r>
      <w:r>
        <w:rPr>
          <w:rFonts w:hint="default" w:ascii="Times New Roman" w:hAnsi="Times New Roman"/>
          <w:color w:val="auto"/>
          <w:lang w:val="en-US" w:eastAsia="zh-CN"/>
        </w:rPr>
        <w:t>，</w:t>
      </w:r>
      <w:r>
        <w:rPr>
          <w:rFonts w:hint="eastAsia"/>
          <w:color w:val="auto"/>
          <w:lang w:val="en-US" w:eastAsia="zh-CN"/>
        </w:rPr>
        <w:t>采用桶装暂存，</w:t>
      </w:r>
      <w:r>
        <w:rPr>
          <w:rFonts w:hint="default" w:ascii="Times New Roman" w:hAnsi="Times New Roman"/>
          <w:color w:val="auto"/>
          <w:lang w:val="en-US" w:eastAsia="zh-CN"/>
        </w:rPr>
        <w:t>因此不会对水环境产生影响。</w:t>
      </w:r>
    </w:p>
    <w:p w14:paraId="13D2B3E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lang w:val="en-US" w:eastAsia="zh-CN"/>
        </w:rPr>
      </w:pPr>
      <w:r>
        <w:rPr>
          <w:rFonts w:hint="eastAsia"/>
          <w:color w:val="auto"/>
          <w:lang w:val="en-US" w:eastAsia="zh-CN"/>
        </w:rPr>
        <w:t>综上所述</w:t>
      </w:r>
      <w:r>
        <w:rPr>
          <w:rFonts w:hint="default" w:ascii="Times New Roman" w:hAnsi="Times New Roman"/>
          <w:color w:val="auto"/>
          <w:lang w:val="en-US" w:eastAsia="zh-CN"/>
        </w:rPr>
        <w:t>，危险废物贮存过程中对环境空气、地表水、地下水、土壤以及环境敏感保护目标影响不大。</w:t>
      </w:r>
    </w:p>
    <w:p w14:paraId="788B1F3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r>
        <w:rPr>
          <w:rFonts w:hint="eastAsia" w:ascii="Times New Roman" w:hAnsi="Times New Roman" w:eastAsia="黑体" w:cs="Times New Roman"/>
          <w:b/>
          <w:color w:val="auto"/>
          <w:sz w:val="28"/>
          <w:szCs w:val="28"/>
          <w:highlight w:val="none"/>
          <w:lang w:val="en-US" w:eastAsia="zh-CN"/>
        </w:rPr>
        <w:t>5.5.</w:t>
      </w:r>
      <w:r>
        <w:rPr>
          <w:rFonts w:hint="eastAsia" w:eastAsia="黑体" w:cs="Times New Roman"/>
          <w:b/>
          <w:color w:val="auto"/>
          <w:sz w:val="28"/>
          <w:szCs w:val="28"/>
          <w:highlight w:val="none"/>
          <w:lang w:val="en-US" w:eastAsia="zh-CN"/>
        </w:rPr>
        <w:t>4委托处置分析</w:t>
      </w:r>
    </w:p>
    <w:p w14:paraId="0CE3F7FE">
      <w:pPr>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t>本项目产生的危险废物暂存于</w:t>
      </w:r>
      <w:r>
        <w:rPr>
          <w:rFonts w:hint="eastAsia"/>
          <w:color w:val="auto"/>
          <w:lang w:val="en-US" w:eastAsia="zh-CN"/>
        </w:rPr>
        <w:t>危废贮存库</w:t>
      </w:r>
      <w:r>
        <w:rPr>
          <w:rFonts w:hint="default" w:ascii="Times New Roman" w:hAnsi="Times New Roman"/>
          <w:color w:val="auto"/>
          <w:lang w:val="en-US" w:eastAsia="zh-CN"/>
        </w:rPr>
        <w:t>内，</w:t>
      </w:r>
      <w:r>
        <w:rPr>
          <w:rFonts w:hint="eastAsia"/>
          <w:color w:val="auto"/>
          <w:lang w:val="en-US" w:eastAsia="zh-CN"/>
        </w:rPr>
        <w:t>项目不具备利用和处置能力，需要委托</w:t>
      </w:r>
      <w:r>
        <w:rPr>
          <w:rFonts w:hint="default" w:ascii="Times New Roman" w:hAnsi="Times New Roman"/>
          <w:color w:val="auto"/>
          <w:lang w:val="en-US" w:eastAsia="zh-CN"/>
        </w:rPr>
        <w:t>有资质单位进行</w:t>
      </w:r>
      <w:r>
        <w:rPr>
          <w:rFonts w:hint="eastAsia"/>
          <w:color w:val="auto"/>
          <w:lang w:val="en-US" w:eastAsia="zh-CN"/>
        </w:rPr>
        <w:t>安全</w:t>
      </w:r>
      <w:r>
        <w:rPr>
          <w:rFonts w:hint="default" w:ascii="Times New Roman" w:hAnsi="Times New Roman"/>
          <w:color w:val="auto"/>
          <w:lang w:val="en-US" w:eastAsia="zh-CN"/>
        </w:rPr>
        <w:t>处置；危险废物外委处置前，建设单位应与有资质的单位签订危险废物委托处置合同。危险废物的运输采取危险废物转移“电子联单”制度，保证运输安全，防止非法转移和非法处置，保证危险废物的安全监控，防止危险废物污染事故发生。</w:t>
      </w:r>
    </w:p>
    <w:p w14:paraId="5C5D483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lang w:val="en-US" w:eastAsia="zh-CN"/>
        </w:rPr>
      </w:pPr>
      <w:r>
        <w:rPr>
          <w:rFonts w:hint="eastAsia"/>
          <w:color w:val="auto"/>
          <w:lang w:val="en-US" w:eastAsia="zh-CN"/>
        </w:rPr>
        <w:t>建设单位需要</w:t>
      </w:r>
      <w:r>
        <w:rPr>
          <w:rFonts w:hint="default" w:ascii="Times New Roman" w:hAnsi="Times New Roman"/>
          <w:color w:val="auto"/>
          <w:lang w:val="en-US" w:eastAsia="zh-CN"/>
        </w:rPr>
        <w:t>通过</w:t>
      </w:r>
      <w:r>
        <w:rPr>
          <w:rFonts w:hint="eastAsia"/>
          <w:color w:val="auto"/>
          <w:lang w:val="en-US" w:eastAsia="zh-CN"/>
        </w:rPr>
        <w:t>宁夏回族自治区</w:t>
      </w:r>
      <w:r>
        <w:rPr>
          <w:rFonts w:hint="default" w:ascii="Times New Roman" w:hAnsi="Times New Roman"/>
          <w:color w:val="auto"/>
          <w:lang w:val="en-US" w:eastAsia="zh-CN"/>
        </w:rPr>
        <w:t>固体废物环境监管平台（以下简称信息系统）填写、运行危险废物电子转移联单，危险废物运输单位按照联单对危险废物填写的情况核实，通过扫描电子联单条码进行交接确认，并在运输过程中随车携带。危险废物运至接</w:t>
      </w:r>
      <w:r>
        <w:rPr>
          <w:rFonts w:hint="eastAsia"/>
          <w:color w:val="auto"/>
          <w:lang w:val="en-US" w:eastAsia="zh-CN"/>
        </w:rPr>
        <w:t>收</w:t>
      </w:r>
      <w:r>
        <w:rPr>
          <w:rFonts w:hint="default" w:ascii="Times New Roman" w:hAnsi="Times New Roman"/>
          <w:color w:val="auto"/>
          <w:lang w:val="en-US" w:eastAsia="zh-CN"/>
        </w:rPr>
        <w:t>单位后，运输单位将随车携带的纸质联单交接</w:t>
      </w:r>
      <w:r>
        <w:rPr>
          <w:rFonts w:hint="eastAsia"/>
          <w:color w:val="auto"/>
          <w:lang w:val="en-US" w:eastAsia="zh-CN"/>
        </w:rPr>
        <w:t>收</w:t>
      </w:r>
      <w:r>
        <w:rPr>
          <w:rFonts w:hint="default" w:ascii="Times New Roman" w:hAnsi="Times New Roman"/>
          <w:color w:val="auto"/>
          <w:lang w:val="en-US" w:eastAsia="zh-CN"/>
        </w:rPr>
        <w:t>单位，危险废物接</w:t>
      </w:r>
      <w:r>
        <w:rPr>
          <w:rFonts w:hint="eastAsia"/>
          <w:color w:val="auto"/>
          <w:lang w:val="en-US" w:eastAsia="zh-CN"/>
        </w:rPr>
        <w:t>收</w:t>
      </w:r>
      <w:r>
        <w:rPr>
          <w:rFonts w:hint="default" w:ascii="Times New Roman" w:hAnsi="Times New Roman"/>
          <w:color w:val="auto"/>
          <w:lang w:val="en-US" w:eastAsia="zh-CN"/>
        </w:rPr>
        <w:t>单位按照联单内容对危险废物核实验收，通过扫描电子联单条码进行接</w:t>
      </w:r>
      <w:r>
        <w:rPr>
          <w:rFonts w:hint="eastAsia"/>
          <w:color w:val="auto"/>
          <w:lang w:val="en-US" w:eastAsia="zh-CN"/>
        </w:rPr>
        <w:t>收</w:t>
      </w:r>
      <w:r>
        <w:rPr>
          <w:rFonts w:hint="default" w:ascii="Times New Roman" w:hAnsi="Times New Roman"/>
          <w:color w:val="auto"/>
          <w:lang w:val="en-US" w:eastAsia="zh-CN"/>
        </w:rPr>
        <w:t>确认。接</w:t>
      </w:r>
      <w:r>
        <w:rPr>
          <w:rFonts w:hint="eastAsia"/>
          <w:color w:val="auto"/>
          <w:lang w:val="en-US" w:eastAsia="zh-CN"/>
        </w:rPr>
        <w:t>收</w:t>
      </w:r>
      <w:r>
        <w:rPr>
          <w:rFonts w:hint="default" w:ascii="Times New Roman" w:hAnsi="Times New Roman"/>
          <w:color w:val="auto"/>
          <w:lang w:val="en-US" w:eastAsia="zh-CN"/>
        </w:rPr>
        <w:t>危险废物的当天，接</w:t>
      </w:r>
      <w:r>
        <w:rPr>
          <w:rFonts w:hint="eastAsia"/>
          <w:color w:val="auto"/>
          <w:lang w:val="en-US" w:eastAsia="zh-CN"/>
        </w:rPr>
        <w:t>收</w:t>
      </w:r>
      <w:r>
        <w:rPr>
          <w:rFonts w:hint="default" w:ascii="Times New Roman" w:hAnsi="Times New Roman"/>
          <w:color w:val="auto"/>
          <w:lang w:val="en-US" w:eastAsia="zh-CN"/>
        </w:rPr>
        <w:t>单位应当通过《信息系统》打印纸质联单。</w:t>
      </w:r>
    </w:p>
    <w:p w14:paraId="69A17AA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黑体" w:cs="Times New Roman"/>
          <w:b/>
          <w:color w:val="auto"/>
          <w:sz w:val="28"/>
          <w:szCs w:val="28"/>
          <w:highlight w:val="none"/>
          <w:lang w:val="en-US" w:eastAsia="zh-CN"/>
        </w:rPr>
      </w:pPr>
      <w:r>
        <w:rPr>
          <w:rFonts w:hint="eastAsia" w:ascii="Times New Roman" w:hAnsi="Times New Roman" w:eastAsia="黑体" w:cs="Times New Roman"/>
          <w:b/>
          <w:color w:val="auto"/>
          <w:sz w:val="28"/>
          <w:szCs w:val="28"/>
          <w:highlight w:val="none"/>
          <w:lang w:val="en-US" w:eastAsia="zh-CN"/>
        </w:rPr>
        <w:t>5.5.5小结</w:t>
      </w:r>
    </w:p>
    <w:p w14:paraId="7470D00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default"/>
          <w:color w:val="auto"/>
          <w:lang w:val="en-US" w:eastAsia="zh-CN"/>
        </w:rPr>
        <w:t>（1）结论</w:t>
      </w:r>
    </w:p>
    <w:p w14:paraId="2B76813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default"/>
          <w:color w:val="auto"/>
          <w:lang w:val="en-US" w:eastAsia="zh-CN"/>
        </w:rPr>
        <w:t>本项目各类固体废物均采取了相应的处置措施，建设单位应认真落实上述各种固体废物分类处置措施，保证各种固体废物得到有效处置，营运期产生的各种固体废物对环境的影响可得到有效的控制，从而避免项目产生的固废对地下水环境和土壤环境造成二次污染。</w:t>
      </w:r>
    </w:p>
    <w:p w14:paraId="62423DA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default"/>
          <w:color w:val="auto"/>
          <w:lang w:val="en-US" w:eastAsia="zh-CN"/>
        </w:rPr>
        <w:t>（2）建议</w:t>
      </w:r>
    </w:p>
    <w:p w14:paraId="54FAA26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default"/>
          <w:color w:val="auto"/>
          <w:lang w:val="en-US" w:eastAsia="zh-CN"/>
        </w:rPr>
        <w:t>①建设单位应确保本项目投产后，固体废物得到充分处置，减小堆存量，使各类的固体废物均得到妥善的处置，提高项目的社会效益、经济效益和环境效益。</w:t>
      </w:r>
    </w:p>
    <w:p w14:paraId="3750657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default"/>
          <w:color w:val="auto"/>
          <w:lang w:val="en-US" w:eastAsia="zh-CN"/>
        </w:rPr>
        <w:t>②危险固体废物的收集、运输和处置都应遵守国家有关规定，厂区内按规范设计、设置危险固体废物临时储存设施，对危险废物的收集、贮存、运输、处置危险废物的设施、场所应设置危险废物识别标志。收集、储存危险废物，必须按照危险废物特性进行分类，收集分类后，进行妥善处置。</w:t>
      </w:r>
    </w:p>
    <w:p w14:paraId="6993EF1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458" w:name="_Toc26991"/>
      <w:bookmarkStart w:id="459" w:name="_Toc26289"/>
      <w:bookmarkStart w:id="460" w:name="_Toc9676"/>
      <w:bookmarkStart w:id="461" w:name="_Toc7045"/>
      <w:bookmarkStart w:id="462" w:name="_Toc12688"/>
      <w:bookmarkStart w:id="463" w:name="_Toc3816"/>
      <w:bookmarkStart w:id="464" w:name="_Toc20764"/>
      <w:bookmarkStart w:id="465" w:name="_Toc21795"/>
      <w:bookmarkStart w:id="466" w:name="_Toc10222"/>
      <w:r>
        <w:rPr>
          <w:rFonts w:hint="default" w:ascii="Times New Roman" w:hAnsi="Times New Roman" w:eastAsia="黑体" w:cs="Times New Roman"/>
          <w:b/>
          <w:color w:val="auto"/>
          <w:sz w:val="28"/>
          <w:szCs w:val="28"/>
          <w:highlight w:val="none"/>
          <w:lang w:val="en-US" w:eastAsia="zh-CN"/>
        </w:rPr>
        <w:t>5.6环境风险分析</w:t>
      </w:r>
      <w:bookmarkEnd w:id="458"/>
      <w:bookmarkEnd w:id="459"/>
      <w:bookmarkEnd w:id="460"/>
      <w:bookmarkEnd w:id="461"/>
      <w:bookmarkEnd w:id="462"/>
      <w:bookmarkEnd w:id="463"/>
      <w:bookmarkEnd w:id="464"/>
      <w:bookmarkEnd w:id="465"/>
      <w:bookmarkEnd w:id="466"/>
    </w:p>
    <w:p w14:paraId="4BC7CAC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zh-CN" w:eastAsia="zh-CN"/>
        </w:rPr>
      </w:pPr>
      <w:r>
        <w:rPr>
          <w:rFonts w:hint="default" w:ascii="Times New Roman" w:hAnsi="Times New Roman" w:eastAsia="黑体" w:cs="Times New Roman"/>
          <w:b/>
          <w:color w:val="auto"/>
          <w:sz w:val="28"/>
          <w:szCs w:val="28"/>
          <w:highlight w:val="none"/>
          <w:lang w:val="zh-CN" w:eastAsia="zh-CN"/>
        </w:rPr>
        <w:t>5.6.1评价原则</w:t>
      </w:r>
    </w:p>
    <w:p w14:paraId="71FE53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eastAsia"/>
          <w:color w:val="auto"/>
          <w:lang w:eastAsia="zh-CN"/>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01F92FE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zh-CN" w:eastAsia="zh-CN"/>
        </w:rPr>
      </w:pPr>
      <w:r>
        <w:rPr>
          <w:rFonts w:hint="default" w:ascii="Times New Roman" w:hAnsi="Times New Roman" w:eastAsia="黑体" w:cs="Times New Roman"/>
          <w:b/>
          <w:color w:val="auto"/>
          <w:sz w:val="28"/>
          <w:szCs w:val="28"/>
          <w:highlight w:val="none"/>
          <w:lang w:val="zh-CN" w:eastAsia="zh-CN"/>
        </w:rPr>
        <w:t>5.6.2评价工作程序</w:t>
      </w:r>
    </w:p>
    <w:p w14:paraId="0AEEEA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eastAsia"/>
          <w:color w:val="auto"/>
          <w:lang w:eastAsia="zh-CN"/>
        </w:rPr>
        <w:t>评价工作程序见图5.6-1。</w:t>
      </w:r>
    </w:p>
    <w:p w14:paraId="7BE76304">
      <w:pPr>
        <w:bidi w:val="0"/>
        <w:ind w:left="0" w:leftChars="0" w:firstLine="0" w:firstLineChars="0"/>
        <w:jc w:val="center"/>
        <w:rPr>
          <w:rFonts w:ascii="Times New Roman" w:hAnsi="Times New Roman"/>
          <w:color w:val="auto"/>
        </w:rPr>
      </w:pPr>
      <w:r>
        <w:rPr>
          <w:rFonts w:ascii="Times New Roman" w:hAnsi="Times New Roman"/>
          <w:color w:val="auto"/>
        </w:rPr>
        <w:object>
          <v:shape id="_x0000_i1055" o:spt="75" type="#_x0000_t75" style="height:646.3pt;width:418.65pt;" o:ole="t" filled="f" o:preferrelative="t" stroked="f" coordsize="21600,21600">
            <v:path/>
            <v:fill on="f" focussize="0,0"/>
            <v:stroke on="f"/>
            <v:imagedata r:id="rId119" o:title=""/>
            <o:lock v:ext="edit" aspectratio="t"/>
            <w10:wrap type="none"/>
            <w10:anchorlock/>
          </v:shape>
          <o:OLEObject Type="Embed" ProgID="Visio.Drawing.11" ShapeID="_x0000_i1055" DrawAspect="Content" ObjectID="_1468075756" r:id="rId118">
            <o:LockedField>false</o:LockedField>
          </o:OLEObject>
        </w:object>
      </w:r>
    </w:p>
    <w:p w14:paraId="120D5C67">
      <w:pPr>
        <w:bidi w:val="0"/>
        <w:ind w:left="0" w:leftChars="0" w:firstLine="0" w:firstLineChars="0"/>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 xml:space="preserve">5.6-1     </w:t>
      </w:r>
      <w:r>
        <w:rPr>
          <w:rFonts w:hint="default" w:ascii="Times New Roman" w:hAnsi="Times New Roman" w:eastAsia="宋体" w:cs="Times New Roman"/>
          <w:b/>
          <w:bCs/>
          <w:color w:val="auto"/>
          <w:sz w:val="24"/>
          <w:szCs w:val="24"/>
        </w:rPr>
        <w:t>风险评价工作程序</w:t>
      </w:r>
    </w:p>
    <w:p w14:paraId="4CC204F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黑体" w:cs="Times New Roman"/>
          <w:b/>
          <w:color w:val="auto"/>
          <w:sz w:val="28"/>
          <w:szCs w:val="28"/>
          <w:highlight w:val="none"/>
          <w:lang w:val="en-US" w:eastAsia="zh-CN"/>
        </w:rPr>
      </w:pPr>
      <w:r>
        <w:rPr>
          <w:rFonts w:hint="eastAsia" w:ascii="Times New Roman" w:hAnsi="Times New Roman" w:eastAsia="黑体" w:cs="Times New Roman"/>
          <w:b/>
          <w:color w:val="auto"/>
          <w:sz w:val="28"/>
          <w:szCs w:val="28"/>
          <w:highlight w:val="none"/>
          <w:lang w:val="en-US" w:eastAsia="zh-CN"/>
        </w:rPr>
        <w:t>5.6.3环境风险评价依据</w:t>
      </w:r>
    </w:p>
    <w:p w14:paraId="00F218C9">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zh-CN" w:eastAsia="zh-CN"/>
        </w:rPr>
      </w:pPr>
      <w:r>
        <w:rPr>
          <w:rFonts w:hint="default" w:ascii="Times New Roman" w:hAnsi="Times New Roman" w:eastAsia="黑体" w:cs="Times New Roman"/>
          <w:b/>
          <w:bCs w:val="0"/>
          <w:color w:val="auto"/>
          <w:sz w:val="24"/>
          <w:szCs w:val="24"/>
          <w:lang w:val="en-US" w:eastAsia="zh-CN"/>
        </w:rPr>
        <w:t>5.6.3.1</w:t>
      </w:r>
      <w:r>
        <w:rPr>
          <w:rFonts w:hint="eastAsia" w:ascii="Times New Roman" w:hAnsi="Times New Roman" w:eastAsia="黑体" w:cs="Times New Roman"/>
          <w:b/>
          <w:bCs w:val="0"/>
          <w:color w:val="auto"/>
          <w:sz w:val="24"/>
          <w:szCs w:val="24"/>
          <w:lang w:val="zh-CN" w:eastAsia="zh-CN"/>
        </w:rPr>
        <w:t>风险</w:t>
      </w:r>
      <w:r>
        <w:rPr>
          <w:rFonts w:hint="default" w:ascii="Times New Roman" w:hAnsi="Times New Roman" w:eastAsia="黑体" w:cs="Times New Roman"/>
          <w:b/>
          <w:bCs w:val="0"/>
          <w:color w:val="auto"/>
          <w:sz w:val="24"/>
          <w:szCs w:val="24"/>
          <w:lang w:val="zh-CN" w:eastAsia="zh-CN"/>
        </w:rPr>
        <w:t>调查</w:t>
      </w:r>
    </w:p>
    <w:p w14:paraId="09BD0CC5">
      <w:pPr>
        <w:bidi w:val="0"/>
        <w:rPr>
          <w:rFonts w:hint="default" w:ascii="Times New Roman" w:hAnsi="Times New Roman" w:eastAsia="仿宋_GB2312" w:cs="Times New Roman"/>
          <w:color w:val="auto"/>
          <w:spacing w:val="0"/>
          <w:kern w:val="24"/>
          <w:sz w:val="24"/>
          <w:highlight w:val="none"/>
          <w:lang w:val="en-US" w:eastAsia="zh-CN"/>
        </w:rPr>
      </w:pPr>
      <w:r>
        <w:rPr>
          <w:rFonts w:hint="default" w:ascii="Times New Roman" w:hAnsi="Times New Roman" w:eastAsia="仿宋_GB2312" w:cs="Times New Roman"/>
          <w:color w:val="auto"/>
          <w:spacing w:val="0"/>
          <w:kern w:val="24"/>
          <w:sz w:val="24"/>
          <w:highlight w:val="none"/>
        </w:rPr>
        <w:t>本项目为牛</w:t>
      </w:r>
      <w:r>
        <w:rPr>
          <w:rFonts w:hint="eastAsia" w:ascii="Times New Roman" w:hAnsi="Times New Roman" w:cs="Times New Roman"/>
          <w:color w:val="auto"/>
          <w:spacing w:val="0"/>
          <w:kern w:val="24"/>
          <w:sz w:val="24"/>
          <w:highlight w:val="none"/>
          <w:lang w:val="en-US" w:eastAsia="zh-CN"/>
        </w:rPr>
        <w:t>羊</w:t>
      </w:r>
      <w:r>
        <w:rPr>
          <w:rFonts w:hint="default" w:ascii="Times New Roman" w:hAnsi="Times New Roman" w:eastAsia="仿宋_GB2312" w:cs="Times New Roman"/>
          <w:color w:val="auto"/>
          <w:spacing w:val="0"/>
          <w:kern w:val="24"/>
          <w:sz w:val="24"/>
          <w:highlight w:val="none"/>
        </w:rPr>
        <w:t>屠宰</w:t>
      </w:r>
      <w:r>
        <w:rPr>
          <w:rFonts w:hint="eastAsia" w:ascii="Times New Roman" w:hAnsi="Times New Roman" w:cs="Times New Roman"/>
          <w:color w:val="auto"/>
          <w:spacing w:val="0"/>
          <w:kern w:val="24"/>
          <w:sz w:val="24"/>
          <w:highlight w:val="none"/>
          <w:lang w:val="en-US" w:eastAsia="zh-CN"/>
        </w:rPr>
        <w:t>加工</w:t>
      </w:r>
      <w:r>
        <w:rPr>
          <w:rFonts w:hint="default" w:ascii="Times New Roman" w:hAnsi="Times New Roman" w:eastAsia="仿宋_GB2312" w:cs="Times New Roman"/>
          <w:color w:val="auto"/>
          <w:spacing w:val="0"/>
          <w:kern w:val="24"/>
          <w:sz w:val="24"/>
          <w:highlight w:val="none"/>
        </w:rPr>
        <w:t>建设项目，</w:t>
      </w:r>
      <w:r>
        <w:rPr>
          <w:rFonts w:hint="eastAsia" w:ascii="Times New Roman" w:hAnsi="Times New Roman" w:cs="Times New Roman"/>
          <w:color w:val="auto"/>
          <w:spacing w:val="0"/>
          <w:kern w:val="24"/>
          <w:sz w:val="24"/>
          <w:highlight w:val="none"/>
          <w:lang w:val="en-US" w:eastAsia="zh-CN"/>
        </w:rPr>
        <w:t>生产过程中使用的原辅材料主要有牛、羊、</w:t>
      </w:r>
      <w:r>
        <w:rPr>
          <w:rFonts w:hint="default" w:ascii="Times New Roman" w:hAnsi="Times New Roman" w:eastAsia="仿宋_GB2312" w:cs="Times New Roman"/>
          <w:color w:val="auto"/>
          <w:kern w:val="24"/>
          <w:sz w:val="24"/>
          <w:highlight w:val="none"/>
        </w:rPr>
        <w:t>料复合袋、纸箱制冷剂</w:t>
      </w:r>
      <w:r>
        <w:rPr>
          <w:rFonts w:hint="default" w:ascii="Times New Roman" w:hAnsi="Times New Roman" w:eastAsia="仿宋_GB2312" w:cs="Times New Roman"/>
          <w:color w:val="auto"/>
          <w:kern w:val="24"/>
          <w:sz w:val="24"/>
          <w:highlight w:val="none"/>
          <w:lang w:val="en-US" w:eastAsia="zh-CN"/>
        </w:rPr>
        <w:t>R507</w:t>
      </w:r>
      <w:r>
        <w:rPr>
          <w:rFonts w:hint="eastAsia" w:cs="Times New Roman"/>
          <w:color w:val="auto"/>
          <w:kern w:val="24"/>
          <w:sz w:val="24"/>
          <w:highlight w:val="none"/>
          <w:lang w:eastAsia="zh-CN"/>
        </w:rPr>
        <w:t>、</w:t>
      </w:r>
      <w:r>
        <w:rPr>
          <w:rFonts w:hint="eastAsia" w:cs="Times New Roman"/>
          <w:color w:val="auto"/>
          <w:kern w:val="24"/>
          <w:sz w:val="24"/>
          <w:highlight w:val="none"/>
          <w:lang w:val="en-US" w:eastAsia="zh-CN"/>
        </w:rPr>
        <w:t>碘伏、酒精、84消毒液（次氯酸钠）、过氧乙酸、火碱、医用双氧水，最终产品为牛、羊肉及其副产品。</w:t>
      </w:r>
    </w:p>
    <w:p w14:paraId="443C1A53">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根据《建设项目环境风险评价技术导则》（HJ169-2018），本次危险物质识别重点从污染物、火灾和爆炸伴生/次生物等，本项目涉及的物质识别结果见表5.6-1。</w:t>
      </w:r>
    </w:p>
    <w:p w14:paraId="1AC1497A">
      <w:pPr>
        <w:bidi w:val="0"/>
        <w:spacing w:line="240" w:lineRule="auto"/>
        <w:rPr>
          <w:rFonts w:hint="default" w:ascii="Times New Roman" w:hAnsi="Times New Roman" w:eastAsia="宋体" w:cs="Times New Roman"/>
          <w:color w:val="auto"/>
          <w:spacing w:val="0"/>
          <w:kern w:val="24"/>
          <w:sz w:val="24"/>
          <w:highlight w:val="none"/>
        </w:rPr>
      </w:pPr>
      <w:r>
        <w:rPr>
          <w:rFonts w:hint="default" w:ascii="Times New Roman" w:hAnsi="Times New Roman" w:eastAsia="宋体" w:cs="Times New Roman"/>
          <w:color w:val="auto"/>
          <w:sz w:val="21"/>
          <w:szCs w:val="21"/>
          <w:highlight w:val="none"/>
        </w:rPr>
        <w:t>表5.</w:t>
      </w:r>
      <w:r>
        <w:rPr>
          <w:rFonts w:hint="default" w:ascii="Times New Roman" w:hAnsi="Times New Roman" w:eastAsia="宋体" w:cs="Times New Roman"/>
          <w:color w:val="auto"/>
          <w:sz w:val="21"/>
          <w:szCs w:val="21"/>
          <w:highlight w:val="none"/>
          <w:lang w:val="en-US" w:eastAsia="zh-CN"/>
        </w:rPr>
        <w:t>6-1</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生产过程物料汇总表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555"/>
        <w:gridCol w:w="1785"/>
        <w:gridCol w:w="2182"/>
        <w:gridCol w:w="2171"/>
        <w:gridCol w:w="1088"/>
      </w:tblGrid>
      <w:tr w14:paraId="457A8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49" w:type="dxa"/>
            <w:gridSpan w:val="3"/>
            <w:vMerge w:val="restart"/>
            <w:tcBorders>
              <w:tl2br w:val="nil"/>
              <w:tr2bl w:val="nil"/>
            </w:tcBorders>
            <w:noWrap w:val="0"/>
            <w:vAlign w:val="center"/>
          </w:tcPr>
          <w:p w14:paraId="673D934D">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物料名称</w:t>
            </w:r>
          </w:p>
        </w:tc>
        <w:tc>
          <w:tcPr>
            <w:tcW w:w="5350" w:type="dxa"/>
            <w:gridSpan w:val="3"/>
            <w:tcBorders>
              <w:tl2br w:val="nil"/>
              <w:tr2bl w:val="nil"/>
            </w:tcBorders>
            <w:noWrap w:val="0"/>
            <w:vAlign w:val="center"/>
          </w:tcPr>
          <w:p w14:paraId="4928B7AD">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是否属于危险物质</w:t>
            </w:r>
          </w:p>
        </w:tc>
      </w:tr>
      <w:tr w14:paraId="69E06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49" w:type="dxa"/>
            <w:gridSpan w:val="3"/>
            <w:vMerge w:val="continue"/>
            <w:tcBorders>
              <w:tl2br w:val="nil"/>
              <w:tr2bl w:val="nil"/>
            </w:tcBorders>
            <w:noWrap w:val="0"/>
            <w:vAlign w:val="center"/>
          </w:tcPr>
          <w:p w14:paraId="4DE9CF5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color w:val="auto"/>
                <w:sz w:val="21"/>
                <w:szCs w:val="21"/>
                <w:highlight w:val="none"/>
              </w:rPr>
            </w:pPr>
          </w:p>
        </w:tc>
        <w:tc>
          <w:tcPr>
            <w:tcW w:w="2146" w:type="dxa"/>
            <w:tcBorders>
              <w:tl2br w:val="nil"/>
              <w:tr2bl w:val="nil"/>
            </w:tcBorders>
            <w:noWrap w:val="0"/>
            <w:vAlign w:val="center"/>
          </w:tcPr>
          <w:p w14:paraId="7886AC31">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B.1（风险物质）</w:t>
            </w:r>
          </w:p>
        </w:tc>
        <w:tc>
          <w:tcPr>
            <w:tcW w:w="2135" w:type="dxa"/>
            <w:tcBorders>
              <w:tl2br w:val="nil"/>
              <w:tr2bl w:val="nil"/>
            </w:tcBorders>
            <w:noWrap w:val="0"/>
            <w:vAlign w:val="center"/>
          </w:tcPr>
          <w:p w14:paraId="009D1667">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B.2</w:t>
            </w:r>
            <w:r>
              <w:rPr>
                <w:rFonts w:hint="eastAsia"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其他风险物质</w:t>
            </w:r>
            <w:r>
              <w:rPr>
                <w:rFonts w:hint="eastAsia" w:ascii="Times New Roman" w:hAnsi="Times New Roman" w:eastAsia="宋体" w:cs="Times New Roman"/>
                <w:b/>
                <w:color w:val="auto"/>
                <w:sz w:val="21"/>
                <w:szCs w:val="21"/>
                <w:highlight w:val="none"/>
                <w:lang w:eastAsia="zh-CN"/>
              </w:rPr>
              <w:t>）</w:t>
            </w:r>
          </w:p>
        </w:tc>
        <w:tc>
          <w:tcPr>
            <w:tcW w:w="1069" w:type="dxa"/>
            <w:tcBorders>
              <w:tl2br w:val="nil"/>
              <w:tr2bl w:val="nil"/>
            </w:tcBorders>
            <w:noWrap w:val="0"/>
            <w:vAlign w:val="center"/>
          </w:tcPr>
          <w:p w14:paraId="738717B7">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判定结果</w:t>
            </w:r>
          </w:p>
        </w:tc>
      </w:tr>
      <w:tr w14:paraId="07CC0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tcBorders>
              <w:tl2br w:val="nil"/>
              <w:tr2bl w:val="nil"/>
            </w:tcBorders>
            <w:noWrap w:val="0"/>
            <w:vAlign w:val="center"/>
          </w:tcPr>
          <w:p w14:paraId="4AE347A5">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原料</w:t>
            </w:r>
          </w:p>
        </w:tc>
        <w:tc>
          <w:tcPr>
            <w:tcW w:w="2301" w:type="dxa"/>
            <w:gridSpan w:val="2"/>
            <w:tcBorders>
              <w:tl2br w:val="nil"/>
              <w:tr2bl w:val="nil"/>
            </w:tcBorders>
            <w:noWrap w:val="0"/>
            <w:vAlign w:val="center"/>
          </w:tcPr>
          <w:p w14:paraId="361752C7">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val="en-US" w:eastAsia="zh-CN"/>
              </w:rPr>
              <w:t>/</w:t>
            </w:r>
          </w:p>
        </w:tc>
        <w:tc>
          <w:tcPr>
            <w:tcW w:w="2146" w:type="dxa"/>
            <w:tcBorders>
              <w:tl2br w:val="nil"/>
              <w:tr2bl w:val="nil"/>
            </w:tcBorders>
            <w:noWrap w:val="0"/>
            <w:vAlign w:val="center"/>
          </w:tcPr>
          <w:p w14:paraId="790AF189">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135" w:type="dxa"/>
            <w:tcBorders>
              <w:tl2br w:val="nil"/>
              <w:tr2bl w:val="nil"/>
            </w:tcBorders>
            <w:noWrap w:val="0"/>
            <w:vAlign w:val="center"/>
          </w:tcPr>
          <w:p w14:paraId="08B19ADE">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69" w:type="dxa"/>
            <w:tcBorders>
              <w:tl2br w:val="nil"/>
              <w:tr2bl w:val="nil"/>
            </w:tcBorders>
            <w:noWrap w:val="0"/>
            <w:vAlign w:val="center"/>
          </w:tcPr>
          <w:p w14:paraId="1FDF472B">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33815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Merge w:val="restart"/>
            <w:tcBorders>
              <w:tl2br w:val="nil"/>
              <w:tr2bl w:val="nil"/>
            </w:tcBorders>
            <w:noWrap w:val="0"/>
            <w:vAlign w:val="center"/>
          </w:tcPr>
          <w:p w14:paraId="30B6C90F">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辅料</w:t>
            </w:r>
          </w:p>
        </w:tc>
        <w:tc>
          <w:tcPr>
            <w:tcW w:w="2301" w:type="dxa"/>
            <w:gridSpan w:val="2"/>
            <w:tcBorders>
              <w:tl2br w:val="nil"/>
              <w:tr2bl w:val="nil"/>
            </w:tcBorders>
            <w:noWrap w:val="0"/>
            <w:vAlign w:val="center"/>
          </w:tcPr>
          <w:p w14:paraId="12B09F82">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eastAsia="zh-CN"/>
              </w:rPr>
              <w:t>制冷</w:t>
            </w:r>
            <w:r>
              <w:rPr>
                <w:rFonts w:hint="default" w:ascii="Times New Roman" w:hAnsi="Times New Roman" w:eastAsia="宋体" w:cs="Times New Roman"/>
                <w:color w:val="auto"/>
                <w:spacing w:val="-1"/>
                <w:sz w:val="21"/>
                <w:szCs w:val="21"/>
                <w:highlight w:val="none"/>
              </w:rPr>
              <w:t>剂</w:t>
            </w:r>
            <w:r>
              <w:rPr>
                <w:rFonts w:hint="default" w:ascii="Times New Roman" w:hAnsi="Times New Roman" w:eastAsia="宋体" w:cs="Times New Roman"/>
                <w:color w:val="auto"/>
                <w:spacing w:val="-1"/>
                <w:sz w:val="21"/>
                <w:szCs w:val="21"/>
                <w:highlight w:val="none"/>
                <w:lang w:val="en-US" w:eastAsia="zh-CN"/>
              </w:rPr>
              <w:t>507</w:t>
            </w:r>
          </w:p>
        </w:tc>
        <w:tc>
          <w:tcPr>
            <w:tcW w:w="2146" w:type="dxa"/>
            <w:tcBorders>
              <w:tl2br w:val="nil"/>
              <w:tr2bl w:val="nil"/>
            </w:tcBorders>
            <w:noWrap w:val="0"/>
            <w:vAlign w:val="center"/>
          </w:tcPr>
          <w:p w14:paraId="1E22CB13">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否</w:t>
            </w:r>
          </w:p>
        </w:tc>
        <w:tc>
          <w:tcPr>
            <w:tcW w:w="2135" w:type="dxa"/>
            <w:tcBorders>
              <w:tl2br w:val="nil"/>
              <w:tr2bl w:val="nil"/>
            </w:tcBorders>
            <w:noWrap w:val="0"/>
            <w:vAlign w:val="center"/>
          </w:tcPr>
          <w:p w14:paraId="3BC63D68">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z w:val="21"/>
                <w:szCs w:val="21"/>
                <w:highlight w:val="none"/>
              </w:rPr>
              <w:t>否</w:t>
            </w:r>
          </w:p>
        </w:tc>
        <w:tc>
          <w:tcPr>
            <w:tcW w:w="1069" w:type="dxa"/>
            <w:tcBorders>
              <w:tl2br w:val="nil"/>
              <w:tr2bl w:val="nil"/>
            </w:tcBorders>
            <w:noWrap w:val="0"/>
            <w:vAlign w:val="center"/>
          </w:tcPr>
          <w:p w14:paraId="17DCF545">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否</w:t>
            </w:r>
          </w:p>
        </w:tc>
      </w:tr>
      <w:tr w14:paraId="16EC9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Merge w:val="continue"/>
            <w:tcBorders>
              <w:tl2br w:val="nil"/>
              <w:tr2bl w:val="nil"/>
            </w:tcBorders>
            <w:noWrap w:val="0"/>
            <w:vAlign w:val="center"/>
          </w:tcPr>
          <w:p w14:paraId="197AE3A1">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46" w:type="dxa"/>
            <w:vMerge w:val="restart"/>
            <w:tcBorders>
              <w:tl2br w:val="nil"/>
              <w:tr2bl w:val="nil"/>
            </w:tcBorders>
            <w:noWrap w:val="0"/>
            <w:vAlign w:val="center"/>
          </w:tcPr>
          <w:p w14:paraId="64E34CC3">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消毒剂</w:t>
            </w:r>
          </w:p>
        </w:tc>
        <w:tc>
          <w:tcPr>
            <w:tcW w:w="1755" w:type="dxa"/>
            <w:tcBorders>
              <w:tl2br w:val="nil"/>
              <w:tr2bl w:val="nil"/>
            </w:tcBorders>
            <w:noWrap w:val="0"/>
            <w:vAlign w:val="center"/>
          </w:tcPr>
          <w:p w14:paraId="11EE09E9">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过氧乙酸</w:t>
            </w:r>
          </w:p>
        </w:tc>
        <w:tc>
          <w:tcPr>
            <w:tcW w:w="2146" w:type="dxa"/>
            <w:tcBorders>
              <w:tl2br w:val="nil"/>
              <w:tr2bl w:val="nil"/>
            </w:tcBorders>
            <w:noWrap w:val="0"/>
            <w:vAlign w:val="center"/>
          </w:tcPr>
          <w:p w14:paraId="0F95D161">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是</w:t>
            </w:r>
            <w:r>
              <w:rPr>
                <w:rFonts w:hint="default" w:ascii="Times New Roman" w:hAnsi="Times New Roman" w:eastAsia="宋体" w:cs="Times New Roman"/>
                <w:color w:val="auto"/>
                <w:spacing w:val="-1"/>
                <w:sz w:val="21"/>
                <w:szCs w:val="21"/>
                <w:highlight w:val="none"/>
              </w:rPr>
              <w:t>（CAS</w:t>
            </w:r>
            <w:r>
              <w:rPr>
                <w:rFonts w:hint="default" w:ascii="Times New Roman" w:hAnsi="Times New Roman" w:eastAsia="宋体" w:cs="Times New Roman"/>
                <w:color w:val="auto"/>
                <w:spacing w:val="-1"/>
                <w:sz w:val="21"/>
                <w:szCs w:val="21"/>
                <w:highlight w:val="none"/>
                <w:lang w:val="en-US" w:eastAsia="zh-CN"/>
              </w:rPr>
              <w:t>79</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lang w:val="en-US" w:eastAsia="zh-CN"/>
              </w:rPr>
              <w:t>21</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lang w:val="en-US" w:eastAsia="zh-CN"/>
              </w:rPr>
              <w:t>0</w:t>
            </w:r>
            <w:r>
              <w:rPr>
                <w:rFonts w:hint="default" w:ascii="Times New Roman" w:hAnsi="Times New Roman" w:eastAsia="宋体" w:cs="Times New Roman"/>
                <w:color w:val="auto"/>
                <w:spacing w:val="-1"/>
                <w:sz w:val="21"/>
                <w:szCs w:val="21"/>
                <w:highlight w:val="none"/>
              </w:rPr>
              <w:t>）</w:t>
            </w:r>
          </w:p>
        </w:tc>
        <w:tc>
          <w:tcPr>
            <w:tcW w:w="2135" w:type="dxa"/>
            <w:tcBorders>
              <w:tl2br w:val="nil"/>
              <w:tr2bl w:val="nil"/>
            </w:tcBorders>
            <w:noWrap w:val="0"/>
            <w:vAlign w:val="center"/>
          </w:tcPr>
          <w:p w14:paraId="524DA846">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c>
          <w:tcPr>
            <w:tcW w:w="1069" w:type="dxa"/>
            <w:tcBorders>
              <w:tl2br w:val="nil"/>
              <w:tr2bl w:val="nil"/>
            </w:tcBorders>
            <w:noWrap w:val="0"/>
            <w:vAlign w:val="center"/>
          </w:tcPr>
          <w:p w14:paraId="14535FE4">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是</w:t>
            </w:r>
          </w:p>
        </w:tc>
      </w:tr>
      <w:tr w14:paraId="29A26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Merge w:val="continue"/>
            <w:tcBorders>
              <w:tl2br w:val="nil"/>
              <w:tr2bl w:val="nil"/>
            </w:tcBorders>
            <w:noWrap w:val="0"/>
            <w:vAlign w:val="center"/>
          </w:tcPr>
          <w:p w14:paraId="7F6BB616">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46" w:type="dxa"/>
            <w:vMerge w:val="continue"/>
            <w:tcBorders>
              <w:tl2br w:val="nil"/>
              <w:tr2bl w:val="nil"/>
            </w:tcBorders>
            <w:noWrap w:val="0"/>
            <w:vAlign w:val="center"/>
          </w:tcPr>
          <w:p w14:paraId="2428F050">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p>
        </w:tc>
        <w:tc>
          <w:tcPr>
            <w:tcW w:w="1755" w:type="dxa"/>
            <w:tcBorders>
              <w:tl2br w:val="nil"/>
              <w:tr2bl w:val="nil"/>
            </w:tcBorders>
            <w:noWrap w:val="0"/>
            <w:vAlign w:val="center"/>
          </w:tcPr>
          <w:p w14:paraId="4C22FDE2">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火碱</w:t>
            </w:r>
          </w:p>
        </w:tc>
        <w:tc>
          <w:tcPr>
            <w:tcW w:w="2146" w:type="dxa"/>
            <w:tcBorders>
              <w:tl2br w:val="nil"/>
              <w:tr2bl w:val="nil"/>
            </w:tcBorders>
            <w:noWrap w:val="0"/>
            <w:vAlign w:val="center"/>
          </w:tcPr>
          <w:p w14:paraId="662B7539">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否</w:t>
            </w:r>
          </w:p>
        </w:tc>
        <w:tc>
          <w:tcPr>
            <w:tcW w:w="2135" w:type="dxa"/>
            <w:tcBorders>
              <w:tl2br w:val="nil"/>
              <w:tr2bl w:val="nil"/>
            </w:tcBorders>
            <w:noWrap w:val="0"/>
            <w:vAlign w:val="center"/>
          </w:tcPr>
          <w:p w14:paraId="0E779D66">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c>
          <w:tcPr>
            <w:tcW w:w="1069" w:type="dxa"/>
            <w:tcBorders>
              <w:tl2br w:val="nil"/>
              <w:tr2bl w:val="nil"/>
            </w:tcBorders>
            <w:noWrap w:val="0"/>
            <w:vAlign w:val="center"/>
          </w:tcPr>
          <w:p w14:paraId="4A645993">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否</w:t>
            </w:r>
          </w:p>
        </w:tc>
      </w:tr>
      <w:tr w14:paraId="7F58C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Merge w:val="continue"/>
            <w:tcBorders>
              <w:tl2br w:val="nil"/>
              <w:tr2bl w:val="nil"/>
            </w:tcBorders>
            <w:noWrap w:val="0"/>
            <w:vAlign w:val="center"/>
          </w:tcPr>
          <w:p w14:paraId="7F3F006D">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46" w:type="dxa"/>
            <w:vMerge w:val="continue"/>
            <w:tcBorders>
              <w:tl2br w:val="nil"/>
              <w:tr2bl w:val="nil"/>
            </w:tcBorders>
            <w:noWrap w:val="0"/>
            <w:vAlign w:val="center"/>
          </w:tcPr>
          <w:p w14:paraId="3DE494BF">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p>
        </w:tc>
        <w:tc>
          <w:tcPr>
            <w:tcW w:w="1755" w:type="dxa"/>
            <w:tcBorders>
              <w:tl2br w:val="nil"/>
              <w:tr2bl w:val="nil"/>
            </w:tcBorders>
            <w:noWrap w:val="0"/>
            <w:vAlign w:val="center"/>
          </w:tcPr>
          <w:p w14:paraId="4D8B8A6C">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75%酒精</w:t>
            </w:r>
          </w:p>
        </w:tc>
        <w:tc>
          <w:tcPr>
            <w:tcW w:w="2146" w:type="dxa"/>
            <w:tcBorders>
              <w:tl2br w:val="nil"/>
              <w:tr2bl w:val="nil"/>
            </w:tcBorders>
            <w:noWrap w:val="0"/>
            <w:vAlign w:val="center"/>
          </w:tcPr>
          <w:p w14:paraId="3A3E9E54">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否</w:t>
            </w:r>
          </w:p>
        </w:tc>
        <w:tc>
          <w:tcPr>
            <w:tcW w:w="2135" w:type="dxa"/>
            <w:tcBorders>
              <w:tl2br w:val="nil"/>
              <w:tr2bl w:val="nil"/>
            </w:tcBorders>
            <w:noWrap w:val="0"/>
            <w:vAlign w:val="center"/>
          </w:tcPr>
          <w:p w14:paraId="37F34595">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c>
          <w:tcPr>
            <w:tcW w:w="1069" w:type="dxa"/>
            <w:tcBorders>
              <w:tl2br w:val="nil"/>
              <w:tr2bl w:val="nil"/>
            </w:tcBorders>
            <w:noWrap w:val="0"/>
            <w:vAlign w:val="center"/>
          </w:tcPr>
          <w:p w14:paraId="211FBED7">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否</w:t>
            </w:r>
          </w:p>
        </w:tc>
      </w:tr>
      <w:tr w14:paraId="7204E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Merge w:val="continue"/>
            <w:tcBorders>
              <w:tl2br w:val="nil"/>
              <w:tr2bl w:val="nil"/>
            </w:tcBorders>
            <w:noWrap w:val="0"/>
            <w:vAlign w:val="center"/>
          </w:tcPr>
          <w:p w14:paraId="28F29CB8">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46" w:type="dxa"/>
            <w:vMerge w:val="continue"/>
            <w:tcBorders>
              <w:tl2br w:val="nil"/>
              <w:tr2bl w:val="nil"/>
            </w:tcBorders>
            <w:noWrap w:val="0"/>
            <w:vAlign w:val="center"/>
          </w:tcPr>
          <w:p w14:paraId="05FCD69E">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p>
        </w:tc>
        <w:tc>
          <w:tcPr>
            <w:tcW w:w="1755" w:type="dxa"/>
            <w:tcBorders>
              <w:tl2br w:val="nil"/>
              <w:tr2bl w:val="nil"/>
            </w:tcBorders>
            <w:noWrap w:val="0"/>
            <w:vAlign w:val="center"/>
          </w:tcPr>
          <w:p w14:paraId="422ADA05">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84消毒液（次氯酸钠）</w:t>
            </w:r>
          </w:p>
        </w:tc>
        <w:tc>
          <w:tcPr>
            <w:tcW w:w="2146" w:type="dxa"/>
            <w:tcBorders>
              <w:tl2br w:val="nil"/>
              <w:tr2bl w:val="nil"/>
            </w:tcBorders>
            <w:noWrap w:val="0"/>
            <w:vAlign w:val="center"/>
          </w:tcPr>
          <w:p w14:paraId="0A05D39A">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是（CAS</w:t>
            </w:r>
            <w:r>
              <w:rPr>
                <w:rFonts w:hint="default" w:ascii="Times New Roman" w:hAnsi="Times New Roman" w:eastAsia="宋体" w:cs="Times New Roman"/>
                <w:color w:val="auto"/>
                <w:spacing w:val="-1"/>
                <w:sz w:val="21"/>
                <w:szCs w:val="21"/>
                <w:highlight w:val="none"/>
                <w:lang w:val="en-US" w:eastAsia="zh-CN"/>
              </w:rPr>
              <w:t>7681</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lang w:val="en-US" w:eastAsia="zh-CN"/>
              </w:rPr>
              <w:t>5</w:t>
            </w:r>
            <w:r>
              <w:rPr>
                <w:rFonts w:hint="default" w:ascii="Times New Roman" w:hAnsi="Times New Roman" w:eastAsia="宋体" w:cs="Times New Roman"/>
                <w:color w:val="auto"/>
                <w:spacing w:val="-1"/>
                <w:sz w:val="21"/>
                <w:szCs w:val="21"/>
                <w:highlight w:val="none"/>
              </w:rPr>
              <w:t>2-</w:t>
            </w:r>
            <w:r>
              <w:rPr>
                <w:rFonts w:hint="default" w:ascii="Times New Roman" w:hAnsi="Times New Roman" w:eastAsia="宋体" w:cs="Times New Roman"/>
                <w:color w:val="auto"/>
                <w:spacing w:val="-1"/>
                <w:sz w:val="21"/>
                <w:szCs w:val="21"/>
                <w:highlight w:val="none"/>
                <w:lang w:val="en-US" w:eastAsia="zh-CN"/>
              </w:rPr>
              <w:t>9</w:t>
            </w:r>
            <w:r>
              <w:rPr>
                <w:rFonts w:hint="default" w:ascii="Times New Roman" w:hAnsi="Times New Roman" w:eastAsia="宋体" w:cs="Times New Roman"/>
                <w:color w:val="auto"/>
                <w:spacing w:val="-1"/>
                <w:sz w:val="21"/>
                <w:szCs w:val="21"/>
                <w:highlight w:val="none"/>
              </w:rPr>
              <w:t>）</w:t>
            </w:r>
          </w:p>
        </w:tc>
        <w:tc>
          <w:tcPr>
            <w:tcW w:w="2135" w:type="dxa"/>
            <w:tcBorders>
              <w:tl2br w:val="nil"/>
              <w:tr2bl w:val="nil"/>
            </w:tcBorders>
            <w:noWrap w:val="0"/>
            <w:vAlign w:val="center"/>
          </w:tcPr>
          <w:p w14:paraId="5AD376BF">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c>
          <w:tcPr>
            <w:tcW w:w="1069" w:type="dxa"/>
            <w:tcBorders>
              <w:tl2br w:val="nil"/>
              <w:tr2bl w:val="nil"/>
            </w:tcBorders>
            <w:noWrap w:val="0"/>
            <w:vAlign w:val="center"/>
          </w:tcPr>
          <w:p w14:paraId="16F1225D">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是</w:t>
            </w:r>
          </w:p>
        </w:tc>
      </w:tr>
      <w:tr w14:paraId="1790D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Merge w:val="continue"/>
            <w:tcBorders>
              <w:tl2br w:val="nil"/>
              <w:tr2bl w:val="nil"/>
            </w:tcBorders>
            <w:noWrap w:val="0"/>
            <w:vAlign w:val="center"/>
          </w:tcPr>
          <w:p w14:paraId="423998CB">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46" w:type="dxa"/>
            <w:vMerge w:val="continue"/>
            <w:tcBorders>
              <w:tl2br w:val="nil"/>
              <w:tr2bl w:val="nil"/>
            </w:tcBorders>
            <w:noWrap w:val="0"/>
            <w:vAlign w:val="center"/>
          </w:tcPr>
          <w:p w14:paraId="0A823993">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p>
        </w:tc>
        <w:tc>
          <w:tcPr>
            <w:tcW w:w="1755" w:type="dxa"/>
            <w:tcBorders>
              <w:tl2br w:val="nil"/>
              <w:tr2bl w:val="nil"/>
            </w:tcBorders>
            <w:noWrap w:val="0"/>
            <w:vAlign w:val="center"/>
          </w:tcPr>
          <w:p w14:paraId="556BF0D0">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碘伏</w:t>
            </w:r>
          </w:p>
        </w:tc>
        <w:tc>
          <w:tcPr>
            <w:tcW w:w="2146" w:type="dxa"/>
            <w:tcBorders>
              <w:tl2br w:val="nil"/>
              <w:tr2bl w:val="nil"/>
            </w:tcBorders>
            <w:noWrap w:val="0"/>
            <w:vAlign w:val="center"/>
          </w:tcPr>
          <w:p w14:paraId="43C73AA7">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否</w:t>
            </w:r>
          </w:p>
        </w:tc>
        <w:tc>
          <w:tcPr>
            <w:tcW w:w="2135" w:type="dxa"/>
            <w:tcBorders>
              <w:tl2br w:val="nil"/>
              <w:tr2bl w:val="nil"/>
            </w:tcBorders>
            <w:noWrap w:val="0"/>
            <w:vAlign w:val="center"/>
          </w:tcPr>
          <w:p w14:paraId="3B05FAD3">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c>
          <w:tcPr>
            <w:tcW w:w="1069" w:type="dxa"/>
            <w:tcBorders>
              <w:tl2br w:val="nil"/>
              <w:tr2bl w:val="nil"/>
            </w:tcBorders>
            <w:noWrap w:val="0"/>
            <w:vAlign w:val="center"/>
          </w:tcPr>
          <w:p w14:paraId="51CDD27D">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否</w:t>
            </w:r>
          </w:p>
        </w:tc>
      </w:tr>
      <w:tr w14:paraId="50555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Merge w:val="continue"/>
            <w:tcBorders>
              <w:tl2br w:val="nil"/>
              <w:tr2bl w:val="nil"/>
            </w:tcBorders>
            <w:noWrap w:val="0"/>
            <w:vAlign w:val="center"/>
          </w:tcPr>
          <w:p w14:paraId="27608021">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46" w:type="dxa"/>
            <w:vMerge w:val="continue"/>
            <w:tcBorders>
              <w:tl2br w:val="nil"/>
              <w:tr2bl w:val="nil"/>
            </w:tcBorders>
            <w:noWrap w:val="0"/>
            <w:vAlign w:val="center"/>
          </w:tcPr>
          <w:p w14:paraId="3321CF57">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p>
        </w:tc>
        <w:tc>
          <w:tcPr>
            <w:tcW w:w="1755" w:type="dxa"/>
            <w:tcBorders>
              <w:tl2br w:val="nil"/>
              <w:tr2bl w:val="nil"/>
            </w:tcBorders>
            <w:noWrap w:val="0"/>
            <w:vAlign w:val="center"/>
          </w:tcPr>
          <w:p w14:paraId="6DC3F0AD">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双氧水</w:t>
            </w:r>
          </w:p>
        </w:tc>
        <w:tc>
          <w:tcPr>
            <w:tcW w:w="2146" w:type="dxa"/>
            <w:tcBorders>
              <w:tl2br w:val="nil"/>
              <w:tr2bl w:val="nil"/>
            </w:tcBorders>
            <w:noWrap w:val="0"/>
            <w:vAlign w:val="center"/>
          </w:tcPr>
          <w:p w14:paraId="17F1FA5B">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否</w:t>
            </w:r>
          </w:p>
        </w:tc>
        <w:tc>
          <w:tcPr>
            <w:tcW w:w="2135" w:type="dxa"/>
            <w:tcBorders>
              <w:tl2br w:val="nil"/>
              <w:tr2bl w:val="nil"/>
            </w:tcBorders>
            <w:noWrap w:val="0"/>
            <w:vAlign w:val="center"/>
          </w:tcPr>
          <w:p w14:paraId="3D036AC9">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c>
          <w:tcPr>
            <w:tcW w:w="1069" w:type="dxa"/>
            <w:tcBorders>
              <w:tl2br w:val="nil"/>
              <w:tr2bl w:val="nil"/>
            </w:tcBorders>
            <w:noWrap w:val="0"/>
            <w:vAlign w:val="center"/>
          </w:tcPr>
          <w:p w14:paraId="18DC483F">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否</w:t>
            </w:r>
          </w:p>
        </w:tc>
      </w:tr>
      <w:tr w14:paraId="6D5E7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8" w:type="dxa"/>
            <w:vMerge w:val="continue"/>
            <w:tcBorders>
              <w:tl2br w:val="nil"/>
              <w:tr2bl w:val="nil"/>
            </w:tcBorders>
            <w:noWrap w:val="0"/>
            <w:vAlign w:val="center"/>
          </w:tcPr>
          <w:p w14:paraId="3B90197B">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301" w:type="dxa"/>
            <w:gridSpan w:val="2"/>
            <w:tcBorders>
              <w:tl2br w:val="nil"/>
              <w:tr2bl w:val="nil"/>
            </w:tcBorders>
            <w:noWrap w:val="0"/>
            <w:vAlign w:val="center"/>
          </w:tcPr>
          <w:p w14:paraId="2CF158A3">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1"/>
                <w:sz w:val="21"/>
                <w:szCs w:val="21"/>
                <w:highlight w:val="none"/>
                <w:lang w:val="en-US" w:eastAsia="zh-CN"/>
              </w:rPr>
            </w:pPr>
            <w:r>
              <w:rPr>
                <w:rFonts w:hint="eastAsia" w:eastAsia="宋体" w:cs="Times New Roman"/>
                <w:color w:val="auto"/>
                <w:spacing w:val="-1"/>
                <w:sz w:val="21"/>
                <w:szCs w:val="21"/>
                <w:highlight w:val="none"/>
                <w:lang w:val="en-US" w:eastAsia="zh-CN"/>
              </w:rPr>
              <w:t>废机油</w:t>
            </w:r>
          </w:p>
        </w:tc>
        <w:tc>
          <w:tcPr>
            <w:tcW w:w="2146" w:type="dxa"/>
            <w:tcBorders>
              <w:tl2br w:val="nil"/>
              <w:tr2bl w:val="nil"/>
            </w:tcBorders>
            <w:noWrap w:val="0"/>
            <w:vAlign w:val="center"/>
          </w:tcPr>
          <w:p w14:paraId="0964E9BE">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1"/>
                <w:sz w:val="21"/>
                <w:szCs w:val="21"/>
                <w:highlight w:val="none"/>
                <w:lang w:val="en-US" w:eastAsia="zh-CN"/>
              </w:rPr>
            </w:pPr>
            <w:r>
              <w:rPr>
                <w:rFonts w:hint="eastAsia" w:ascii="Times New Roman" w:hAnsi="Times New Roman" w:eastAsia="宋体" w:cs="Times New Roman"/>
                <w:color w:val="auto"/>
                <w:spacing w:val="-1"/>
                <w:sz w:val="21"/>
                <w:szCs w:val="21"/>
                <w:highlight w:val="none"/>
                <w:lang w:val="en-US" w:eastAsia="zh-CN"/>
              </w:rPr>
              <w:t>是</w:t>
            </w:r>
          </w:p>
        </w:tc>
        <w:tc>
          <w:tcPr>
            <w:tcW w:w="2135" w:type="dxa"/>
            <w:tcBorders>
              <w:tl2br w:val="nil"/>
              <w:tr2bl w:val="nil"/>
            </w:tcBorders>
            <w:noWrap w:val="0"/>
            <w:vAlign w:val="center"/>
          </w:tcPr>
          <w:p w14:paraId="047DF54B">
            <w:pPr>
              <w:pStyle w:val="47"/>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69" w:type="dxa"/>
            <w:tcBorders>
              <w:tl2br w:val="nil"/>
              <w:tr2bl w:val="nil"/>
            </w:tcBorders>
            <w:noWrap w:val="0"/>
            <w:vAlign w:val="center"/>
          </w:tcPr>
          <w:p w14:paraId="754479F9">
            <w:pPr>
              <w:keepNext w:val="0"/>
              <w:keepLines w:val="0"/>
              <w:pageBreakBefore w:val="0"/>
              <w:widowControl w:val="0"/>
              <w:tabs>
                <w:tab w:val="left" w:pos="1843"/>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1"/>
                <w:sz w:val="21"/>
                <w:szCs w:val="21"/>
                <w:highlight w:val="none"/>
                <w:lang w:val="en-US" w:eastAsia="zh-CN"/>
              </w:rPr>
            </w:pPr>
            <w:r>
              <w:rPr>
                <w:rFonts w:hint="eastAsia" w:eastAsia="宋体" w:cs="Times New Roman"/>
                <w:color w:val="auto"/>
                <w:spacing w:val="-1"/>
                <w:sz w:val="21"/>
                <w:szCs w:val="21"/>
                <w:highlight w:val="none"/>
                <w:lang w:val="en-US" w:eastAsia="zh-CN"/>
              </w:rPr>
              <w:t>是</w:t>
            </w:r>
          </w:p>
        </w:tc>
      </w:tr>
    </w:tbl>
    <w:p w14:paraId="77F66326">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snapToGrid w:val="0"/>
          <w:color w:val="auto"/>
          <w:kern w:val="0"/>
          <w:highlight w:val="none"/>
        </w:rPr>
        <w:t>根据表5.</w:t>
      </w:r>
      <w:r>
        <w:rPr>
          <w:rFonts w:hint="default" w:ascii="Times New Roman" w:hAnsi="Times New Roman" w:cs="Times New Roman"/>
          <w:snapToGrid w:val="0"/>
          <w:color w:val="auto"/>
          <w:kern w:val="0"/>
          <w:highlight w:val="none"/>
          <w:lang w:val="en-US" w:eastAsia="zh-CN"/>
        </w:rPr>
        <w:t>6-1</w:t>
      </w:r>
      <w:r>
        <w:rPr>
          <w:rFonts w:hint="default" w:ascii="Times New Roman" w:hAnsi="Times New Roman" w:eastAsia="仿宋_GB2312" w:cs="Times New Roman"/>
          <w:snapToGrid w:val="0"/>
          <w:color w:val="auto"/>
          <w:kern w:val="0"/>
          <w:highlight w:val="none"/>
        </w:rPr>
        <w:t>可知，本项目生产过程中的危险物质有</w:t>
      </w:r>
      <w:r>
        <w:rPr>
          <w:rFonts w:hint="eastAsia" w:cs="Times New Roman"/>
          <w:snapToGrid w:val="0"/>
          <w:color w:val="auto"/>
          <w:kern w:val="0"/>
          <w:highlight w:val="none"/>
          <w:lang w:val="en-US" w:eastAsia="zh-CN"/>
        </w:rPr>
        <w:t>3</w:t>
      </w:r>
      <w:r>
        <w:rPr>
          <w:rFonts w:hint="default" w:ascii="Times New Roman" w:hAnsi="Times New Roman" w:eastAsia="仿宋_GB2312" w:cs="Times New Roman"/>
          <w:snapToGrid w:val="0"/>
          <w:color w:val="auto"/>
          <w:kern w:val="0"/>
          <w:highlight w:val="none"/>
        </w:rPr>
        <w:t>种，包括</w:t>
      </w:r>
      <w:r>
        <w:rPr>
          <w:rFonts w:hint="default" w:ascii="Times New Roman" w:hAnsi="Times New Roman" w:cs="Times New Roman"/>
          <w:snapToGrid w:val="0"/>
          <w:color w:val="auto"/>
          <w:kern w:val="0"/>
          <w:highlight w:val="none"/>
          <w:lang w:eastAsia="zh-CN"/>
        </w:rPr>
        <w:t>过氧乙酸、次氯酸钠、</w:t>
      </w:r>
      <w:r>
        <w:rPr>
          <w:rFonts w:hint="eastAsia" w:cs="Times New Roman"/>
          <w:snapToGrid w:val="0"/>
          <w:color w:val="auto"/>
          <w:kern w:val="0"/>
          <w:highlight w:val="none"/>
          <w:lang w:val="en-US" w:eastAsia="zh-CN"/>
        </w:rPr>
        <w:t>废机油</w:t>
      </w:r>
      <w:r>
        <w:rPr>
          <w:rFonts w:hint="default" w:ascii="Times New Roman" w:hAnsi="Times New Roman" w:eastAsia="仿宋_GB2312" w:cs="Times New Roman"/>
          <w:snapToGrid w:val="0"/>
          <w:color w:val="auto"/>
          <w:kern w:val="0"/>
          <w:highlight w:val="none"/>
        </w:rPr>
        <w:t>。</w:t>
      </w:r>
    </w:p>
    <w:p w14:paraId="0B44871E">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zh-CN" w:eastAsia="zh-CN"/>
        </w:rPr>
      </w:pPr>
      <w:r>
        <w:rPr>
          <w:rFonts w:hint="default" w:ascii="Times New Roman" w:hAnsi="Times New Roman" w:eastAsia="黑体" w:cs="Times New Roman"/>
          <w:b/>
          <w:bCs w:val="0"/>
          <w:color w:val="auto"/>
          <w:sz w:val="24"/>
          <w:szCs w:val="24"/>
          <w:lang w:val="en-US" w:eastAsia="zh-CN"/>
        </w:rPr>
        <w:t>5.6.3.</w:t>
      </w:r>
      <w:r>
        <w:rPr>
          <w:rFonts w:hint="eastAsia" w:ascii="Times New Roman" w:hAnsi="Times New Roman" w:eastAsia="黑体" w:cs="Times New Roman"/>
          <w:b/>
          <w:bCs w:val="0"/>
          <w:color w:val="auto"/>
          <w:sz w:val="24"/>
          <w:szCs w:val="24"/>
          <w:lang w:val="en-US" w:eastAsia="zh-CN"/>
        </w:rPr>
        <w:t>2</w:t>
      </w:r>
      <w:r>
        <w:rPr>
          <w:rFonts w:hint="default" w:ascii="Times New Roman" w:hAnsi="Times New Roman" w:eastAsia="黑体" w:cs="Times New Roman"/>
          <w:b/>
          <w:bCs w:val="0"/>
          <w:color w:val="auto"/>
          <w:sz w:val="24"/>
          <w:szCs w:val="24"/>
          <w:lang w:val="en-US" w:eastAsia="zh-CN"/>
        </w:rPr>
        <w:t>物质危险特性识别</w:t>
      </w:r>
    </w:p>
    <w:p w14:paraId="6B83A6BE">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根据危险物质识别结果，本次重点调查项目涉及的危险物质种类，收集了过氧乙酸、次氯酸钠、NH</w:t>
      </w:r>
      <w:r>
        <w:rPr>
          <w:rFonts w:hint="default" w:ascii="Times New Roman" w:hAnsi="Times New Roman" w:eastAsia="仿宋_GB2312" w:cs="Times New Roman"/>
          <w:color w:val="auto"/>
          <w:spacing w:val="0"/>
          <w:kern w:val="24"/>
          <w:sz w:val="24"/>
          <w:highlight w:val="none"/>
          <w:vertAlign w:val="subscript"/>
        </w:rPr>
        <w:t>3</w:t>
      </w:r>
      <w:r>
        <w:rPr>
          <w:rFonts w:hint="default" w:ascii="Times New Roman" w:hAnsi="Times New Roman" w:eastAsia="仿宋_GB2312" w:cs="Times New Roman"/>
          <w:color w:val="auto"/>
          <w:spacing w:val="0"/>
          <w:kern w:val="24"/>
          <w:sz w:val="24"/>
          <w:highlight w:val="none"/>
        </w:rPr>
        <w:t>、H</w:t>
      </w:r>
      <w:r>
        <w:rPr>
          <w:rFonts w:hint="default" w:ascii="Times New Roman" w:hAnsi="Times New Roman" w:eastAsia="仿宋_GB2312" w:cs="Times New Roman"/>
          <w:color w:val="auto"/>
          <w:spacing w:val="0"/>
          <w:kern w:val="24"/>
          <w:sz w:val="24"/>
          <w:highlight w:val="none"/>
          <w:vertAlign w:val="subscript"/>
        </w:rPr>
        <w:t>2</w:t>
      </w:r>
      <w:r>
        <w:rPr>
          <w:rFonts w:hint="default" w:ascii="Times New Roman" w:hAnsi="Times New Roman" w:eastAsia="仿宋_GB2312" w:cs="Times New Roman"/>
          <w:color w:val="auto"/>
          <w:spacing w:val="0"/>
          <w:kern w:val="24"/>
          <w:sz w:val="24"/>
          <w:highlight w:val="none"/>
        </w:rPr>
        <w:t>S</w:t>
      </w:r>
      <w:r>
        <w:rPr>
          <w:rFonts w:hint="eastAsia" w:cs="Times New Roman"/>
          <w:color w:val="auto"/>
          <w:spacing w:val="0"/>
          <w:kern w:val="24"/>
          <w:sz w:val="24"/>
          <w:highlight w:val="none"/>
          <w:lang w:eastAsia="zh-CN"/>
        </w:rPr>
        <w:t>、</w:t>
      </w:r>
      <w:r>
        <w:rPr>
          <w:rFonts w:hint="eastAsia" w:cs="Times New Roman"/>
          <w:color w:val="auto"/>
          <w:spacing w:val="0"/>
          <w:kern w:val="24"/>
          <w:sz w:val="24"/>
          <w:highlight w:val="none"/>
          <w:lang w:val="en-US" w:eastAsia="zh-CN"/>
        </w:rPr>
        <w:t>废机油</w:t>
      </w:r>
      <w:r>
        <w:rPr>
          <w:rFonts w:hint="default" w:ascii="Times New Roman" w:hAnsi="Times New Roman" w:eastAsia="仿宋_GB2312" w:cs="Times New Roman"/>
          <w:color w:val="auto"/>
          <w:spacing w:val="0"/>
          <w:kern w:val="24"/>
          <w:sz w:val="24"/>
          <w:highlight w:val="none"/>
        </w:rPr>
        <w:t>物质安全技术说明书（MSDS）资料，主要风险特性汇总情况见表5.6-2。</w:t>
      </w:r>
    </w:p>
    <w:p w14:paraId="78114F94">
      <w:pPr>
        <w:bidi w:val="0"/>
        <w:spacing w:line="240" w:lineRule="auto"/>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宋体" w:cs="Times New Roman"/>
          <w:color w:val="auto"/>
          <w:sz w:val="21"/>
          <w:szCs w:val="21"/>
          <w:highlight w:val="none"/>
        </w:rPr>
        <w:t>表5.</w:t>
      </w:r>
      <w:r>
        <w:rPr>
          <w:rFonts w:hint="default" w:ascii="Times New Roman" w:hAnsi="Times New Roman" w:eastAsia="宋体" w:cs="Times New Roman"/>
          <w:color w:val="auto"/>
          <w:sz w:val="21"/>
          <w:szCs w:val="21"/>
          <w:highlight w:val="none"/>
          <w:lang w:val="en-US" w:eastAsia="zh-CN"/>
        </w:rPr>
        <w:t>6-2</w:t>
      </w:r>
      <w:r>
        <w:rPr>
          <w:rFonts w:hint="default" w:ascii="Times New Roman" w:hAnsi="Times New Roman" w:cs="Times New Roman"/>
          <w:b/>
          <w:color w:val="auto"/>
          <w:sz w:val="24"/>
          <w:highlight w:val="none"/>
        </w:rPr>
        <w:t xml:space="preserve">  </w:t>
      </w:r>
      <w:r>
        <w:rPr>
          <w:rFonts w:hint="eastAsia"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物质易燃易爆性分类</w:t>
      </w:r>
    </w:p>
    <w:tbl>
      <w:tblPr>
        <w:tblStyle w:val="27"/>
        <w:tblW w:w="48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6"/>
        <w:gridCol w:w="774"/>
        <w:gridCol w:w="856"/>
        <w:gridCol w:w="856"/>
        <w:gridCol w:w="1051"/>
        <w:gridCol w:w="4514"/>
      </w:tblGrid>
      <w:tr w14:paraId="6A054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8" w:type="pct"/>
            <w:noWrap w:val="0"/>
            <w:vAlign w:val="center"/>
          </w:tcPr>
          <w:p w14:paraId="224A1716">
            <w:pPr>
              <w:pStyle w:val="48"/>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eastAsia="ja-JP"/>
              </w:rPr>
            </w:pPr>
            <w:r>
              <w:rPr>
                <w:rFonts w:hint="default" w:ascii="Times New Roman" w:hAnsi="Times New Roman" w:eastAsia="宋体" w:cs="Times New Roman"/>
                <w:b/>
                <w:color w:val="auto"/>
                <w:sz w:val="21"/>
                <w:szCs w:val="21"/>
                <w:highlight w:val="none"/>
                <w:lang w:eastAsia="ja-JP"/>
              </w:rPr>
              <w:t>序号</w:t>
            </w:r>
          </w:p>
        </w:tc>
        <w:tc>
          <w:tcPr>
            <w:tcW w:w="441" w:type="pct"/>
            <w:noWrap w:val="0"/>
            <w:vAlign w:val="center"/>
          </w:tcPr>
          <w:p w14:paraId="5AA35627">
            <w:pPr>
              <w:pStyle w:val="48"/>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eastAsia="ja-JP"/>
              </w:rPr>
            </w:pPr>
            <w:r>
              <w:rPr>
                <w:rFonts w:hint="default" w:ascii="Times New Roman" w:hAnsi="Times New Roman" w:eastAsia="宋体" w:cs="Times New Roman"/>
                <w:b/>
                <w:color w:val="auto"/>
                <w:sz w:val="21"/>
                <w:szCs w:val="21"/>
                <w:highlight w:val="none"/>
                <w:lang w:eastAsia="ja-JP"/>
              </w:rPr>
              <w:t>物料</w:t>
            </w:r>
          </w:p>
          <w:p w14:paraId="0CB9A925">
            <w:pPr>
              <w:pStyle w:val="48"/>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eastAsia="ja-JP"/>
              </w:rPr>
            </w:pPr>
            <w:r>
              <w:rPr>
                <w:rFonts w:hint="default" w:ascii="Times New Roman" w:hAnsi="Times New Roman" w:eastAsia="宋体" w:cs="Times New Roman"/>
                <w:b/>
                <w:color w:val="auto"/>
                <w:sz w:val="21"/>
                <w:szCs w:val="21"/>
                <w:highlight w:val="none"/>
                <w:lang w:eastAsia="ja-JP"/>
              </w:rPr>
              <w:t>名称</w:t>
            </w:r>
          </w:p>
        </w:tc>
        <w:tc>
          <w:tcPr>
            <w:tcW w:w="488" w:type="pct"/>
            <w:noWrap w:val="0"/>
            <w:vAlign w:val="center"/>
          </w:tcPr>
          <w:p w14:paraId="2473F86B">
            <w:pPr>
              <w:pStyle w:val="48"/>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eastAsia="ja-JP"/>
              </w:rPr>
            </w:pPr>
            <w:r>
              <w:rPr>
                <w:rFonts w:hint="default" w:ascii="Times New Roman" w:hAnsi="Times New Roman" w:eastAsia="宋体" w:cs="Times New Roman"/>
                <w:b/>
                <w:color w:val="auto"/>
                <w:sz w:val="21"/>
                <w:szCs w:val="21"/>
                <w:highlight w:val="none"/>
                <w:lang w:eastAsia="ja-JP"/>
              </w:rPr>
              <w:t>沸点（℃）</w:t>
            </w:r>
          </w:p>
        </w:tc>
        <w:tc>
          <w:tcPr>
            <w:tcW w:w="488" w:type="pct"/>
            <w:noWrap w:val="0"/>
            <w:vAlign w:val="center"/>
          </w:tcPr>
          <w:p w14:paraId="3672E10A">
            <w:pPr>
              <w:pStyle w:val="48"/>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eastAsia="ja-JP"/>
              </w:rPr>
            </w:pPr>
            <w:r>
              <w:rPr>
                <w:rFonts w:hint="default" w:ascii="Times New Roman" w:hAnsi="Times New Roman" w:eastAsia="宋体" w:cs="Times New Roman"/>
                <w:b/>
                <w:color w:val="auto"/>
                <w:sz w:val="21"/>
                <w:szCs w:val="21"/>
                <w:highlight w:val="none"/>
                <w:lang w:eastAsia="ja-JP"/>
              </w:rPr>
              <w:t>闪点（℃）</w:t>
            </w:r>
          </w:p>
        </w:tc>
        <w:tc>
          <w:tcPr>
            <w:tcW w:w="599" w:type="pct"/>
            <w:noWrap w:val="0"/>
            <w:vAlign w:val="center"/>
          </w:tcPr>
          <w:p w14:paraId="005F7B01">
            <w:pPr>
              <w:pStyle w:val="48"/>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eastAsia="ja-JP"/>
              </w:rPr>
            </w:pPr>
            <w:r>
              <w:rPr>
                <w:rFonts w:hint="default" w:ascii="Times New Roman" w:hAnsi="Times New Roman" w:eastAsia="宋体" w:cs="Times New Roman"/>
                <w:b/>
                <w:color w:val="auto"/>
                <w:sz w:val="21"/>
                <w:szCs w:val="21"/>
                <w:highlight w:val="none"/>
                <w:lang w:eastAsia="ja-JP"/>
              </w:rPr>
              <w:t>爆炸极限（%）</w:t>
            </w:r>
          </w:p>
        </w:tc>
        <w:tc>
          <w:tcPr>
            <w:tcW w:w="2574" w:type="pct"/>
            <w:noWrap w:val="0"/>
            <w:vAlign w:val="center"/>
          </w:tcPr>
          <w:p w14:paraId="2DAFD0DF">
            <w:pPr>
              <w:pStyle w:val="48"/>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eastAsia="ja-JP"/>
              </w:rPr>
            </w:pPr>
            <w:r>
              <w:rPr>
                <w:rFonts w:hint="default" w:ascii="Times New Roman" w:hAnsi="Times New Roman" w:eastAsia="宋体" w:cs="Times New Roman"/>
                <w:b/>
                <w:color w:val="auto"/>
                <w:sz w:val="21"/>
                <w:szCs w:val="21"/>
                <w:highlight w:val="none"/>
              </w:rPr>
              <w:t>危险特性</w:t>
            </w:r>
          </w:p>
        </w:tc>
      </w:tr>
      <w:tr w14:paraId="5DBEB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8" w:type="pct"/>
            <w:noWrap w:val="0"/>
            <w:vAlign w:val="center"/>
          </w:tcPr>
          <w:p w14:paraId="1836E84F">
            <w:pPr>
              <w:pStyle w:val="48"/>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eastAsia="ja-JP"/>
              </w:rPr>
            </w:pPr>
            <w:r>
              <w:rPr>
                <w:rFonts w:hint="default" w:ascii="Times New Roman" w:hAnsi="Times New Roman" w:eastAsia="宋体" w:cs="Times New Roman"/>
                <w:b/>
                <w:color w:val="auto"/>
                <w:sz w:val="21"/>
                <w:szCs w:val="21"/>
                <w:highlight w:val="none"/>
                <w:lang w:eastAsia="ja-JP"/>
              </w:rPr>
              <w:t>1</w:t>
            </w:r>
          </w:p>
        </w:tc>
        <w:tc>
          <w:tcPr>
            <w:tcW w:w="441" w:type="pct"/>
            <w:noWrap w:val="0"/>
            <w:vAlign w:val="center"/>
          </w:tcPr>
          <w:p w14:paraId="22D8EFF4">
            <w:pPr>
              <w:pStyle w:val="4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过氧乙酸</w:t>
            </w:r>
          </w:p>
        </w:tc>
        <w:tc>
          <w:tcPr>
            <w:tcW w:w="488" w:type="pct"/>
            <w:noWrap w:val="0"/>
            <w:vAlign w:val="center"/>
          </w:tcPr>
          <w:p w14:paraId="50DEE602">
            <w:pPr>
              <w:pStyle w:val="4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w:t>
            </w:r>
          </w:p>
        </w:tc>
        <w:tc>
          <w:tcPr>
            <w:tcW w:w="488" w:type="pct"/>
            <w:noWrap w:val="0"/>
            <w:vAlign w:val="center"/>
          </w:tcPr>
          <w:p w14:paraId="56B2169E">
            <w:pPr>
              <w:pStyle w:val="4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40.5</w:t>
            </w:r>
          </w:p>
        </w:tc>
        <w:tc>
          <w:tcPr>
            <w:tcW w:w="599" w:type="pct"/>
            <w:noWrap w:val="0"/>
            <w:vAlign w:val="center"/>
          </w:tcPr>
          <w:p w14:paraId="1EDE433B">
            <w:pPr>
              <w:pStyle w:val="4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ja-JP"/>
              </w:rPr>
            </w:pPr>
            <w:r>
              <w:rPr>
                <w:rFonts w:hint="default" w:ascii="Times New Roman" w:hAnsi="Times New Roman" w:eastAsia="宋体" w:cs="Times New Roman"/>
                <w:color w:val="auto"/>
                <w:sz w:val="21"/>
                <w:szCs w:val="21"/>
                <w:highlight w:val="none"/>
                <w:lang w:val="en-US" w:eastAsia="zh-CN"/>
              </w:rPr>
              <w:t>/</w:t>
            </w:r>
          </w:p>
        </w:tc>
        <w:tc>
          <w:tcPr>
            <w:tcW w:w="2574" w:type="pct"/>
            <w:noWrap w:val="0"/>
            <w:vAlign w:val="center"/>
          </w:tcPr>
          <w:p w14:paraId="7FCACC05">
            <w:pPr>
              <w:pStyle w:val="48"/>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易燃，加热至100℃时即猛烈分解，遇火或受热、受震都可起爆。与还原剂、促进剂、有机物、可燃物等接触剧烈反应，有燃烧爆炸的危险</w:t>
            </w:r>
          </w:p>
        </w:tc>
      </w:tr>
      <w:tr w14:paraId="6871E2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8" w:type="pct"/>
            <w:noWrap w:val="0"/>
            <w:vAlign w:val="center"/>
          </w:tcPr>
          <w:p w14:paraId="4E2F049B">
            <w:pPr>
              <w:pStyle w:val="48"/>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1"/>
                <w:highlight w:val="none"/>
                <w:lang w:val="en-US" w:eastAsia="ja-JP" w:bidi="ar-SA"/>
              </w:rPr>
            </w:pPr>
            <w:r>
              <w:rPr>
                <w:rFonts w:hint="default" w:ascii="Times New Roman" w:hAnsi="Times New Roman" w:eastAsia="宋体" w:cs="Times New Roman"/>
                <w:b/>
                <w:color w:val="auto"/>
                <w:sz w:val="21"/>
                <w:szCs w:val="21"/>
                <w:highlight w:val="none"/>
                <w:lang w:val="en-US" w:eastAsia="zh-CN"/>
              </w:rPr>
              <w:t>2</w:t>
            </w:r>
          </w:p>
        </w:tc>
        <w:tc>
          <w:tcPr>
            <w:tcW w:w="441" w:type="pct"/>
            <w:noWrap w:val="0"/>
            <w:vAlign w:val="center"/>
          </w:tcPr>
          <w:p w14:paraId="7494408A">
            <w:pPr>
              <w:pStyle w:val="48"/>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次氯酸钠</w:t>
            </w:r>
          </w:p>
        </w:tc>
        <w:tc>
          <w:tcPr>
            <w:tcW w:w="488" w:type="pct"/>
            <w:noWrap w:val="0"/>
            <w:vAlign w:val="center"/>
          </w:tcPr>
          <w:p w14:paraId="7B19A9AD">
            <w:pPr>
              <w:pStyle w:val="48"/>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ja-JP" w:bidi="ar-SA"/>
              </w:rPr>
            </w:pPr>
            <w:r>
              <w:rPr>
                <w:rFonts w:hint="default" w:ascii="Times New Roman" w:hAnsi="Times New Roman" w:eastAsia="宋体" w:cs="Times New Roman"/>
                <w:color w:val="auto"/>
                <w:sz w:val="21"/>
                <w:szCs w:val="21"/>
                <w:highlight w:val="none"/>
                <w:lang w:val="en-US" w:eastAsia="zh-CN"/>
              </w:rPr>
              <w:t>-6</w:t>
            </w:r>
          </w:p>
        </w:tc>
        <w:tc>
          <w:tcPr>
            <w:tcW w:w="488" w:type="pct"/>
            <w:noWrap w:val="0"/>
            <w:vAlign w:val="center"/>
          </w:tcPr>
          <w:p w14:paraId="2908B547">
            <w:pPr>
              <w:pStyle w:val="48"/>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ja-JP" w:bidi="ar-SA"/>
              </w:rPr>
            </w:pPr>
            <w:r>
              <w:rPr>
                <w:rFonts w:hint="default" w:ascii="Times New Roman" w:hAnsi="Times New Roman" w:eastAsia="宋体" w:cs="Times New Roman"/>
                <w:color w:val="auto"/>
                <w:sz w:val="21"/>
                <w:szCs w:val="21"/>
                <w:highlight w:val="none"/>
                <w:lang w:val="en-US" w:eastAsia="zh-CN"/>
              </w:rPr>
              <w:t>/</w:t>
            </w:r>
          </w:p>
        </w:tc>
        <w:tc>
          <w:tcPr>
            <w:tcW w:w="599" w:type="pct"/>
            <w:noWrap w:val="0"/>
            <w:vAlign w:val="center"/>
          </w:tcPr>
          <w:p w14:paraId="34474BEA">
            <w:pPr>
              <w:pStyle w:val="48"/>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ja-JP" w:bidi="ar-SA"/>
              </w:rPr>
            </w:pPr>
            <w:r>
              <w:rPr>
                <w:rFonts w:hint="default" w:ascii="Times New Roman" w:hAnsi="Times New Roman" w:eastAsia="宋体" w:cs="Times New Roman"/>
                <w:color w:val="auto"/>
                <w:sz w:val="21"/>
                <w:szCs w:val="21"/>
                <w:highlight w:val="none"/>
                <w:lang w:val="en-US" w:eastAsia="zh-CN"/>
              </w:rPr>
              <w:t>/</w:t>
            </w:r>
          </w:p>
        </w:tc>
        <w:tc>
          <w:tcPr>
            <w:tcW w:w="2574" w:type="pct"/>
            <w:noWrap w:val="0"/>
            <w:vAlign w:val="center"/>
          </w:tcPr>
          <w:p w14:paraId="681F34C0">
            <w:pPr>
              <w:pStyle w:val="48"/>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lang w:eastAsia="ja-JP"/>
              </w:rPr>
            </w:pPr>
            <w:r>
              <w:rPr>
                <w:rFonts w:hint="default" w:ascii="Times New Roman" w:hAnsi="Times New Roman" w:eastAsia="宋体" w:cs="Times New Roman"/>
                <w:color w:val="auto"/>
                <w:kern w:val="0"/>
                <w:sz w:val="21"/>
                <w:szCs w:val="21"/>
                <w:highlight w:val="none"/>
                <w:lang w:val="en-US" w:eastAsia="zh-CN" w:bidi="ar-SA"/>
              </w:rPr>
              <w:t>次氯酸钠放出的游离氯可引起中毒</w:t>
            </w:r>
            <w:r>
              <w:rPr>
                <w:rFonts w:hint="eastAsia"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亦可引起皮肤病</w:t>
            </w:r>
            <w:r>
              <w:rPr>
                <w:rFonts w:hint="eastAsia"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受高热分解产生有毒品走私案的腐蚀性气体。有腐蚀性。</w:t>
            </w:r>
          </w:p>
        </w:tc>
      </w:tr>
      <w:tr w14:paraId="418C3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8" w:type="pct"/>
            <w:noWrap w:val="0"/>
            <w:vAlign w:val="center"/>
          </w:tcPr>
          <w:p w14:paraId="7639B806">
            <w:pPr>
              <w:pStyle w:val="48"/>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eastAsia="宋体" w:cs="Times New Roman"/>
                <w:b/>
                <w:color w:val="auto"/>
                <w:sz w:val="21"/>
                <w:szCs w:val="21"/>
                <w:highlight w:val="none"/>
                <w:lang w:val="en-US" w:eastAsia="zh-CN"/>
              </w:rPr>
              <w:t>3</w:t>
            </w:r>
          </w:p>
        </w:tc>
        <w:tc>
          <w:tcPr>
            <w:tcW w:w="441" w:type="pct"/>
            <w:noWrap w:val="0"/>
            <w:vAlign w:val="center"/>
          </w:tcPr>
          <w:p w14:paraId="67848CEF">
            <w:pPr>
              <w:pStyle w:val="48"/>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废机油</w:t>
            </w:r>
          </w:p>
        </w:tc>
        <w:tc>
          <w:tcPr>
            <w:tcW w:w="488" w:type="pct"/>
            <w:noWrap w:val="0"/>
            <w:vAlign w:val="center"/>
          </w:tcPr>
          <w:p w14:paraId="2E90F843">
            <w:pPr>
              <w:pStyle w:val="48"/>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488" w:type="pct"/>
            <w:noWrap w:val="0"/>
            <w:vAlign w:val="center"/>
          </w:tcPr>
          <w:p w14:paraId="633B4AB6">
            <w:pPr>
              <w:pStyle w:val="48"/>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185</w:t>
            </w:r>
          </w:p>
        </w:tc>
        <w:tc>
          <w:tcPr>
            <w:tcW w:w="599" w:type="pct"/>
            <w:noWrap w:val="0"/>
            <w:vAlign w:val="center"/>
          </w:tcPr>
          <w:p w14:paraId="58783E14">
            <w:pPr>
              <w:pStyle w:val="48"/>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2574" w:type="pct"/>
            <w:noWrap w:val="0"/>
            <w:vAlign w:val="center"/>
          </w:tcPr>
          <w:p w14:paraId="432612DB">
            <w:pPr>
              <w:pStyle w:val="48"/>
              <w:adjustRightInd w:val="0"/>
              <w:snapToGrid w:val="0"/>
              <w:spacing w:line="240" w:lineRule="auto"/>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w:t>
            </w:r>
            <w:r>
              <w:rPr>
                <w:rFonts w:hint="eastAsia" w:eastAsia="宋体" w:cs="Times New Roman"/>
                <w:color w:val="auto"/>
                <w:sz w:val="21"/>
                <w:szCs w:val="21"/>
                <w:highlight w:val="none"/>
                <w:lang w:val="en-US" w:eastAsia="zh-CN"/>
              </w:rPr>
              <w:t>机油</w:t>
            </w:r>
            <w:r>
              <w:rPr>
                <w:rFonts w:hint="default" w:ascii="Times New Roman" w:hAnsi="Times New Roman" w:eastAsia="宋体" w:cs="Times New Roman"/>
                <w:color w:val="auto"/>
                <w:sz w:val="21"/>
                <w:szCs w:val="21"/>
                <w:highlight w:val="none"/>
              </w:rPr>
              <w:t>含有多环芳烃、苯类、重金属等有毒物质。如果随意倾倒，不仅会对水土造成严重污染，还会对人体健康造成严重危害。如果把废弃的矿物油倒入土壤中，就会导致受污染土壤中微生物的死亡和灭绝。废弃矿物油中的有毒物质可通过人体和动物的表皮渗入血液，并积聚在体内，导致各种细胞正常功能的丧失。它被认为是一种致癌和致突变化合物。</w:t>
            </w:r>
          </w:p>
        </w:tc>
      </w:tr>
    </w:tbl>
    <w:p w14:paraId="4A82BCD9">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highlight w:val="none"/>
        </w:rPr>
        <w:t>根据物质危险特性识别结果可知，</w:t>
      </w:r>
      <w:r>
        <w:rPr>
          <w:rFonts w:hint="default" w:ascii="Times New Roman" w:hAnsi="Times New Roman" w:eastAsia="仿宋_GB2312" w:cs="Times New Roman"/>
          <w:color w:val="auto"/>
          <w:highlight w:val="none"/>
          <w:lang w:eastAsia="zh-CN"/>
        </w:rPr>
        <w:t>过氧乙酸</w:t>
      </w:r>
      <w:r>
        <w:rPr>
          <w:rFonts w:hint="default" w:ascii="Times New Roman" w:hAnsi="Times New Roman" w:cs="Times New Roman"/>
          <w:color w:val="auto"/>
          <w:highlight w:val="none"/>
          <w:lang w:eastAsia="zh-CN"/>
        </w:rPr>
        <w:t>为</w:t>
      </w:r>
      <w:r>
        <w:rPr>
          <w:rFonts w:hint="default" w:ascii="Times New Roman" w:hAnsi="Times New Roman" w:eastAsia="仿宋_GB2312" w:cs="Times New Roman"/>
          <w:color w:val="auto"/>
          <w:highlight w:val="none"/>
        </w:rPr>
        <w:t>易燃风险</w:t>
      </w:r>
      <w:r>
        <w:rPr>
          <w:rFonts w:hint="default" w:ascii="Times New Roman" w:hAnsi="Times New Roman" w:eastAsia="仿宋_GB2312" w:cs="Times New Roman"/>
          <w:color w:val="auto"/>
          <w:highlight w:val="none"/>
          <w:lang w:eastAsia="zh-CN"/>
        </w:rPr>
        <w:t>物质，次氯酸钠属于腐蚀性物质</w:t>
      </w:r>
      <w:r>
        <w:rPr>
          <w:rFonts w:hint="default" w:ascii="Times New Roman" w:hAnsi="Times New Roman" w:eastAsia="仿宋_GB2312" w:cs="Times New Roman"/>
          <w:color w:val="auto"/>
          <w:highlight w:val="none"/>
        </w:rPr>
        <w:t>，</w:t>
      </w:r>
      <w:r>
        <w:rPr>
          <w:rFonts w:hint="eastAsia" w:cs="Times New Roman"/>
          <w:color w:val="auto"/>
          <w:highlight w:val="none"/>
          <w:lang w:val="en-US" w:eastAsia="zh-CN"/>
        </w:rPr>
        <w:t>废机油属于毒性物质</w:t>
      </w:r>
      <w:r>
        <w:rPr>
          <w:rFonts w:hint="default" w:ascii="Times New Roman" w:hAnsi="Times New Roman" w:eastAsia="仿宋_GB2312" w:cs="Times New Roman"/>
          <w:color w:val="auto"/>
          <w:highlight w:val="none"/>
        </w:rPr>
        <w:t>。</w:t>
      </w:r>
    </w:p>
    <w:p w14:paraId="3ACF80C2">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5.6.3.3风险潜势初判</w:t>
      </w:r>
    </w:p>
    <w:p w14:paraId="6AB4449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b w:val="0"/>
          <w:bCs w:val="0"/>
          <w:snapToGrid/>
          <w:color w:val="auto"/>
          <w:kern w:val="0"/>
          <w:sz w:val="24"/>
          <w:szCs w:val="20"/>
          <w:lang w:val="en-US" w:eastAsia="zh-CN" w:bidi="ar-SA"/>
        </w:rPr>
        <w:t>根据《建设项目环境风险评价技术导则》（HJ169-2018）附录B确定危险物质的临界量。按照附录C定量分析危险物质数量与临界量的比值（Q）和所属行业及生产工艺特点（M）对危险物质及工艺系统危险性（P）等级进行判断。</w:t>
      </w:r>
    </w:p>
    <w:p w14:paraId="42DBC92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b w:val="0"/>
          <w:bCs w:val="0"/>
          <w:snapToGrid/>
          <w:color w:val="auto"/>
          <w:kern w:val="0"/>
          <w:sz w:val="24"/>
          <w:szCs w:val="20"/>
          <w:lang w:val="en-US" w:eastAsia="zh-CN" w:bidi="ar-SA"/>
        </w:rPr>
        <w:t>（1）危险物质数量与临界量比值（Q）</w:t>
      </w:r>
    </w:p>
    <w:p w14:paraId="2686AFA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b w:val="0"/>
          <w:bCs w:val="0"/>
          <w:snapToGrid/>
          <w:color w:val="auto"/>
          <w:kern w:val="0"/>
          <w:sz w:val="24"/>
          <w:szCs w:val="20"/>
          <w:lang w:val="en-US" w:eastAsia="zh-CN" w:bidi="ar-SA"/>
        </w:rPr>
        <w:t>计算所涉及的每种危险物质在厂界内最大存在量与附录B中临界量的比值Q具体计算方法如下；</w:t>
      </w:r>
    </w:p>
    <w:p w14:paraId="67EFB2B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b w:val="0"/>
          <w:bCs w:val="0"/>
          <w:snapToGrid/>
          <w:color w:val="auto"/>
          <w:kern w:val="0"/>
          <w:sz w:val="24"/>
          <w:szCs w:val="20"/>
          <w:lang w:val="en-US" w:eastAsia="zh-CN" w:bidi="ar-SA"/>
        </w:rPr>
        <w:t>当涉及一种危险物质时，计算该物质的总量与其临界量比值，即为Q；</w:t>
      </w:r>
    </w:p>
    <w:p w14:paraId="49662A8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b w:val="0"/>
          <w:bCs w:val="0"/>
          <w:snapToGrid/>
          <w:color w:val="auto"/>
          <w:kern w:val="0"/>
          <w:sz w:val="24"/>
          <w:szCs w:val="20"/>
          <w:lang w:val="en-US" w:eastAsia="zh-CN" w:bidi="ar-SA"/>
        </w:rPr>
        <w:t>当存在多种危险物质时，则按如下式计算物质总量与其临界量比值（Q）：</w:t>
      </w:r>
    </w:p>
    <w:p w14:paraId="695236F2">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color w:val="auto"/>
          <w:position w:val="-10"/>
        </w:rPr>
        <w:drawing>
          <wp:inline distT="0" distB="0" distL="0" distR="0">
            <wp:extent cx="1248410" cy="323850"/>
            <wp:effectExtent l="0" t="0" r="889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20"/>
                    <a:stretch>
                      <a:fillRect/>
                    </a:stretch>
                  </pic:blipFill>
                  <pic:spPr>
                    <a:xfrm>
                      <a:off x="0" y="0"/>
                      <a:ext cx="1249013" cy="324311"/>
                    </a:xfrm>
                    <a:prstGeom prst="rect">
                      <a:avLst/>
                    </a:prstGeom>
                  </pic:spPr>
                </pic:pic>
              </a:graphicData>
            </a:graphic>
          </wp:inline>
        </w:drawing>
      </w:r>
    </w:p>
    <w:p w14:paraId="2019681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b w:val="0"/>
          <w:bCs w:val="0"/>
          <w:snapToGrid/>
          <w:color w:val="auto"/>
          <w:kern w:val="0"/>
          <w:sz w:val="24"/>
          <w:szCs w:val="20"/>
          <w:lang w:val="en-US" w:eastAsia="zh-CN" w:bidi="ar-SA"/>
        </w:rPr>
        <w:t>式中：q</w:t>
      </w:r>
      <w:r>
        <w:rPr>
          <w:rFonts w:hint="default" w:ascii="Times New Roman" w:hAnsi="Times New Roman" w:eastAsia="仿宋_GB2312" w:cs="Times New Roman"/>
          <w:b w:val="0"/>
          <w:bCs w:val="0"/>
          <w:snapToGrid/>
          <w:color w:val="auto"/>
          <w:kern w:val="0"/>
          <w:sz w:val="24"/>
          <w:szCs w:val="20"/>
          <w:vertAlign w:val="subscript"/>
          <w:lang w:val="en-US" w:eastAsia="zh-CN" w:bidi="ar-SA"/>
        </w:rPr>
        <w:t>1</w:t>
      </w:r>
      <w:r>
        <w:rPr>
          <w:rFonts w:hint="default" w:ascii="Times New Roman" w:hAnsi="Times New Roman" w:eastAsia="仿宋_GB2312" w:cs="Times New Roman"/>
          <w:b w:val="0"/>
          <w:bCs w:val="0"/>
          <w:snapToGrid/>
          <w:color w:val="auto"/>
          <w:kern w:val="0"/>
          <w:sz w:val="24"/>
          <w:szCs w:val="20"/>
          <w:lang w:val="en-US" w:eastAsia="zh-CN" w:bidi="ar-SA"/>
        </w:rPr>
        <w:t>、q</w:t>
      </w:r>
      <w:r>
        <w:rPr>
          <w:rFonts w:hint="default" w:ascii="Times New Roman" w:hAnsi="Times New Roman" w:eastAsia="仿宋_GB2312" w:cs="Times New Roman"/>
          <w:b w:val="0"/>
          <w:bCs w:val="0"/>
          <w:snapToGrid/>
          <w:color w:val="auto"/>
          <w:kern w:val="0"/>
          <w:sz w:val="24"/>
          <w:szCs w:val="20"/>
          <w:vertAlign w:val="subscript"/>
          <w:lang w:val="en-US" w:eastAsia="zh-CN" w:bidi="ar-SA"/>
        </w:rPr>
        <w:t>2</w:t>
      </w:r>
      <w:r>
        <w:rPr>
          <w:rFonts w:hint="default" w:ascii="Times New Roman" w:hAnsi="Times New Roman" w:eastAsia="仿宋_GB2312" w:cs="Times New Roman"/>
          <w:b w:val="0"/>
          <w:bCs w:val="0"/>
          <w:snapToGrid/>
          <w:color w:val="auto"/>
          <w:kern w:val="0"/>
          <w:sz w:val="24"/>
          <w:szCs w:val="20"/>
          <w:lang w:val="en-US" w:eastAsia="zh-CN" w:bidi="ar-SA"/>
        </w:rPr>
        <w:t>...........，q</w:t>
      </w:r>
      <w:r>
        <w:rPr>
          <w:rFonts w:hint="default" w:ascii="Times New Roman" w:hAnsi="Times New Roman" w:eastAsia="仿宋_GB2312" w:cs="Times New Roman"/>
          <w:b w:val="0"/>
          <w:bCs w:val="0"/>
          <w:snapToGrid/>
          <w:color w:val="auto"/>
          <w:kern w:val="0"/>
          <w:sz w:val="24"/>
          <w:szCs w:val="20"/>
          <w:vertAlign w:val="subscript"/>
          <w:lang w:val="en-US" w:eastAsia="zh-CN" w:bidi="ar-SA"/>
        </w:rPr>
        <w:t>n</w:t>
      </w:r>
      <w:r>
        <w:rPr>
          <w:rFonts w:hint="default" w:ascii="Times New Roman" w:hAnsi="Times New Roman" w:eastAsia="仿宋_GB2312" w:cs="Times New Roman"/>
          <w:b w:val="0"/>
          <w:bCs w:val="0"/>
          <w:snapToGrid/>
          <w:color w:val="auto"/>
          <w:kern w:val="0"/>
          <w:sz w:val="24"/>
          <w:szCs w:val="20"/>
          <w:lang w:val="en-US" w:eastAsia="zh-CN" w:bidi="ar-SA"/>
        </w:rPr>
        <w:t>为每种危险化学品实际存在量，t。</w:t>
      </w:r>
    </w:p>
    <w:p w14:paraId="1E1F237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b w:val="0"/>
          <w:bCs w:val="0"/>
          <w:snapToGrid/>
          <w:color w:val="auto"/>
          <w:kern w:val="0"/>
          <w:sz w:val="24"/>
          <w:szCs w:val="20"/>
          <w:lang w:val="en-US" w:eastAsia="zh-CN" w:bidi="ar-SA"/>
        </w:rPr>
        <w:t>Q</w:t>
      </w:r>
      <w:r>
        <w:rPr>
          <w:rFonts w:hint="default" w:ascii="Times New Roman" w:hAnsi="Times New Roman" w:eastAsia="仿宋_GB2312" w:cs="Times New Roman"/>
          <w:b w:val="0"/>
          <w:bCs w:val="0"/>
          <w:snapToGrid/>
          <w:color w:val="auto"/>
          <w:kern w:val="0"/>
          <w:sz w:val="24"/>
          <w:szCs w:val="20"/>
          <w:vertAlign w:val="subscript"/>
          <w:lang w:val="en-US" w:eastAsia="zh-CN" w:bidi="ar-SA"/>
        </w:rPr>
        <w:t>1</w:t>
      </w:r>
      <w:r>
        <w:rPr>
          <w:rFonts w:hint="default" w:ascii="Times New Roman" w:hAnsi="Times New Roman" w:eastAsia="仿宋_GB2312" w:cs="Times New Roman"/>
          <w:b w:val="0"/>
          <w:bCs w:val="0"/>
          <w:snapToGrid/>
          <w:color w:val="auto"/>
          <w:kern w:val="0"/>
          <w:sz w:val="24"/>
          <w:szCs w:val="20"/>
          <w:lang w:val="en-US" w:eastAsia="zh-CN" w:bidi="ar-SA"/>
        </w:rPr>
        <w:t>、Q</w:t>
      </w:r>
      <w:r>
        <w:rPr>
          <w:rFonts w:hint="default" w:ascii="Times New Roman" w:hAnsi="Times New Roman" w:eastAsia="仿宋_GB2312" w:cs="Times New Roman"/>
          <w:b w:val="0"/>
          <w:bCs w:val="0"/>
          <w:snapToGrid/>
          <w:color w:val="auto"/>
          <w:kern w:val="0"/>
          <w:sz w:val="24"/>
          <w:szCs w:val="20"/>
          <w:vertAlign w:val="subscript"/>
          <w:lang w:val="en-US" w:eastAsia="zh-CN" w:bidi="ar-SA"/>
        </w:rPr>
        <w:t>2</w:t>
      </w:r>
      <w:r>
        <w:rPr>
          <w:rFonts w:hint="default" w:ascii="Times New Roman" w:hAnsi="Times New Roman" w:eastAsia="仿宋_GB2312" w:cs="Times New Roman"/>
          <w:b w:val="0"/>
          <w:bCs w:val="0"/>
          <w:snapToGrid/>
          <w:color w:val="auto"/>
          <w:kern w:val="0"/>
          <w:sz w:val="24"/>
          <w:szCs w:val="20"/>
          <w:lang w:val="en-US" w:eastAsia="zh-CN" w:bidi="ar-SA"/>
        </w:rPr>
        <w:t>............，Q</w:t>
      </w:r>
      <w:r>
        <w:rPr>
          <w:rFonts w:hint="default" w:ascii="Times New Roman" w:hAnsi="Times New Roman" w:eastAsia="仿宋_GB2312" w:cs="Times New Roman"/>
          <w:b w:val="0"/>
          <w:bCs w:val="0"/>
          <w:snapToGrid/>
          <w:color w:val="auto"/>
          <w:kern w:val="0"/>
          <w:sz w:val="24"/>
          <w:szCs w:val="20"/>
          <w:vertAlign w:val="subscript"/>
          <w:lang w:val="en-US" w:eastAsia="zh-CN" w:bidi="ar-SA"/>
        </w:rPr>
        <w:t>n</w:t>
      </w:r>
      <w:r>
        <w:rPr>
          <w:rFonts w:hint="default" w:ascii="Times New Roman" w:hAnsi="Times New Roman" w:eastAsia="仿宋_GB2312" w:cs="Times New Roman"/>
          <w:b w:val="0"/>
          <w:bCs w:val="0"/>
          <w:snapToGrid/>
          <w:color w:val="auto"/>
          <w:kern w:val="0"/>
          <w:sz w:val="24"/>
          <w:szCs w:val="20"/>
          <w:lang w:val="en-US" w:eastAsia="zh-CN" w:bidi="ar-SA"/>
        </w:rPr>
        <w:t>为与各危险化学品相对应的临界量，t。</w:t>
      </w:r>
    </w:p>
    <w:p w14:paraId="0BF0B06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b w:val="0"/>
          <w:bCs w:val="0"/>
          <w:snapToGrid/>
          <w:color w:val="auto"/>
          <w:kern w:val="0"/>
          <w:sz w:val="24"/>
          <w:szCs w:val="20"/>
          <w:lang w:val="en-US" w:eastAsia="zh-CN" w:bidi="ar-SA"/>
        </w:rPr>
        <w:t>当Q＜1时，该项目环境风险潜势为Ⅰ。</w:t>
      </w:r>
    </w:p>
    <w:p w14:paraId="648F6BF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snapToGrid/>
          <w:color w:val="auto"/>
          <w:kern w:val="0"/>
          <w:sz w:val="24"/>
          <w:szCs w:val="20"/>
          <w:lang w:val="en-US" w:eastAsia="zh-CN" w:bidi="ar-SA"/>
        </w:rPr>
      </w:pPr>
      <w:r>
        <w:rPr>
          <w:rFonts w:hint="default" w:ascii="Times New Roman" w:hAnsi="Times New Roman" w:eastAsia="仿宋_GB2312" w:cs="Times New Roman"/>
          <w:b w:val="0"/>
          <w:bCs w:val="0"/>
          <w:snapToGrid/>
          <w:color w:val="auto"/>
          <w:kern w:val="0"/>
          <w:sz w:val="24"/>
          <w:szCs w:val="20"/>
          <w:lang w:val="en-US" w:eastAsia="zh-CN" w:bidi="ar-SA"/>
        </w:rPr>
        <w:t>当Q≥1时，将Q值划分为：（1）1≤Q＜10；（2）10≤Q＜100；（3）Q≥100。</w:t>
      </w:r>
    </w:p>
    <w:p w14:paraId="3269DCC3">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b w:val="0"/>
          <w:bCs w:val="0"/>
          <w:snapToGrid/>
          <w:color w:val="auto"/>
          <w:kern w:val="0"/>
          <w:sz w:val="24"/>
          <w:szCs w:val="20"/>
          <w:lang w:val="en-US" w:eastAsia="zh-CN" w:bidi="ar-SA"/>
        </w:rPr>
        <w:t>针对企业的生产原料、燃料、辅助生产物料等，对照《建设项目环境风险评价技术导则》（HJ169-2018）附录B环境风险物质，该项目风险物质数量与临界量比值（Q）为1.6248×10</w:t>
      </w:r>
      <w:r>
        <w:rPr>
          <w:rFonts w:hint="default" w:ascii="Times New Roman" w:hAnsi="Times New Roman" w:eastAsia="仿宋_GB2312" w:cs="Times New Roman"/>
          <w:b w:val="0"/>
          <w:bCs w:val="0"/>
          <w:snapToGrid/>
          <w:color w:val="auto"/>
          <w:kern w:val="0"/>
          <w:sz w:val="24"/>
          <w:szCs w:val="20"/>
          <w:vertAlign w:val="superscript"/>
          <w:lang w:val="en-US" w:eastAsia="zh-CN" w:bidi="ar-SA"/>
        </w:rPr>
        <w:t>-7</w:t>
      </w:r>
      <w:r>
        <w:rPr>
          <w:rFonts w:hint="default" w:ascii="Times New Roman" w:hAnsi="Times New Roman" w:eastAsia="仿宋_GB2312" w:cs="Times New Roman"/>
          <w:b w:val="0"/>
          <w:bCs w:val="0"/>
          <w:snapToGrid/>
          <w:color w:val="auto"/>
          <w:kern w:val="0"/>
          <w:sz w:val="24"/>
          <w:szCs w:val="20"/>
          <w:lang w:val="en-US" w:eastAsia="zh-CN" w:bidi="ar-SA"/>
        </w:rPr>
        <w:t>，具体Q值确定详见表</w:t>
      </w:r>
      <w:r>
        <w:rPr>
          <w:rFonts w:hint="eastAsia" w:ascii="Times New Roman" w:hAnsi="Times New Roman" w:cs="Times New Roman"/>
          <w:b w:val="0"/>
          <w:bCs w:val="0"/>
          <w:snapToGrid/>
          <w:color w:val="auto"/>
          <w:kern w:val="0"/>
          <w:sz w:val="24"/>
          <w:szCs w:val="20"/>
          <w:lang w:val="en-US" w:eastAsia="zh-CN" w:bidi="ar-SA"/>
        </w:rPr>
        <w:t>5.6-3</w:t>
      </w:r>
      <w:r>
        <w:rPr>
          <w:rFonts w:hint="default" w:ascii="Times New Roman" w:hAnsi="Times New Roman" w:eastAsia="仿宋_GB2312" w:cs="Times New Roman"/>
          <w:b w:val="0"/>
          <w:bCs w:val="0"/>
          <w:snapToGrid/>
          <w:color w:val="auto"/>
          <w:kern w:val="0"/>
          <w:sz w:val="24"/>
          <w:szCs w:val="20"/>
          <w:lang w:val="en-US" w:eastAsia="zh-CN" w:bidi="ar-SA"/>
        </w:rPr>
        <w:t>。</w:t>
      </w:r>
    </w:p>
    <w:p w14:paraId="507643A9">
      <w:pPr>
        <w:keepNext w:val="0"/>
        <w:keepLines w:val="0"/>
        <w:pageBreakBefore w:val="0"/>
        <w:kinsoku/>
        <w:wordWrap/>
        <w:overflowPunct w:val="0"/>
        <w:topLinePunct w:val="0"/>
        <w:bidi w:val="0"/>
        <w:adjustRightInd/>
        <w:snapToGrid/>
        <w:spacing w:line="240" w:lineRule="auto"/>
        <w:ind w:firstLine="420"/>
        <w:jc w:val="both"/>
        <w:rPr>
          <w:rFonts w:hint="default" w:ascii="Times New Roman" w:hAnsi="Times New Roman" w:cs="Times New Roman"/>
          <w:b/>
          <w:bCs/>
          <w:color w:val="auto"/>
          <w:highlight w:val="none"/>
        </w:rPr>
      </w:pPr>
      <w:r>
        <w:rPr>
          <w:rStyle w:val="37"/>
          <w:rFonts w:hint="default" w:ascii="Times New Roman" w:hAnsi="Times New Roman" w:eastAsia="宋体" w:cs="Times New Roman"/>
          <w:color w:val="auto"/>
          <w:kern w:val="2"/>
          <w:sz w:val="21"/>
          <w:szCs w:val="21"/>
          <w:highlight w:val="none"/>
          <w:lang w:val="en-US" w:eastAsia="zh-CN"/>
        </w:rPr>
        <w:t>表</w:t>
      </w:r>
      <w:r>
        <w:rPr>
          <w:rStyle w:val="37"/>
          <w:rFonts w:hint="eastAsia" w:ascii="Times New Roman" w:hAnsi="Times New Roman" w:eastAsia="宋体" w:cs="Times New Roman"/>
          <w:color w:val="auto"/>
          <w:kern w:val="2"/>
          <w:sz w:val="21"/>
          <w:szCs w:val="21"/>
          <w:highlight w:val="none"/>
          <w:lang w:val="en-US" w:eastAsia="zh-CN"/>
        </w:rPr>
        <w:t>5.6-3</w:t>
      </w:r>
      <w:r>
        <w:rPr>
          <w:rFonts w:hint="default" w:ascii="Times New Roman" w:hAnsi="Times New Roman" w:cs="Times New Roman"/>
          <w:iCs/>
          <w:color w:val="auto"/>
          <w:highlight w:val="none"/>
        </w:rPr>
        <w:t xml:space="preserve"> </w:t>
      </w:r>
      <w:r>
        <w:rPr>
          <w:rFonts w:hint="eastAsia" w:cs="Times New Roman"/>
          <w:iCs/>
          <w:color w:val="auto"/>
          <w:highlight w:val="none"/>
          <w:lang w:val="en-US" w:eastAsia="zh-CN"/>
        </w:rPr>
        <w:t xml:space="preserve">     </w:t>
      </w:r>
      <w:r>
        <w:rPr>
          <w:rFonts w:hint="default" w:ascii="Times New Roman" w:hAnsi="Times New Roman" w:cs="Times New Roman"/>
          <w:iCs/>
          <w:color w:val="auto"/>
          <w:highlight w:val="none"/>
        </w:rPr>
        <w:t xml:space="preserve"> </w:t>
      </w:r>
      <w:r>
        <w:rPr>
          <w:rStyle w:val="37"/>
          <w:rFonts w:hint="default" w:ascii="Times New Roman" w:hAnsi="Times New Roman" w:eastAsia="宋体" w:cs="Times New Roman"/>
          <w:b/>
          <w:bCs/>
          <w:color w:val="auto"/>
          <w:kern w:val="2"/>
          <w:sz w:val="24"/>
          <w:szCs w:val="24"/>
          <w:highlight w:val="none"/>
          <w:lang w:val="en-US" w:eastAsia="zh-CN"/>
        </w:rPr>
        <w:t>本项目危险物质数量与临界量比值（Q）计算</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856"/>
        <w:gridCol w:w="1883"/>
        <w:gridCol w:w="1831"/>
        <w:gridCol w:w="1571"/>
        <w:gridCol w:w="1034"/>
      </w:tblGrid>
      <w:tr w14:paraId="3C1FE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noWrap w:val="0"/>
            <w:vAlign w:val="center"/>
          </w:tcPr>
          <w:p w14:paraId="082C103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序号</w:t>
            </w:r>
          </w:p>
        </w:tc>
        <w:tc>
          <w:tcPr>
            <w:tcW w:w="1819" w:type="dxa"/>
            <w:noWrap w:val="0"/>
            <w:vAlign w:val="center"/>
          </w:tcPr>
          <w:p w14:paraId="1C83491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物质名称</w:t>
            </w:r>
          </w:p>
        </w:tc>
        <w:tc>
          <w:tcPr>
            <w:tcW w:w="1845" w:type="dxa"/>
            <w:noWrap w:val="0"/>
            <w:vAlign w:val="center"/>
          </w:tcPr>
          <w:p w14:paraId="1ECA195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CAS</w:t>
            </w:r>
          </w:p>
        </w:tc>
        <w:tc>
          <w:tcPr>
            <w:tcW w:w="1794" w:type="dxa"/>
            <w:noWrap w:val="0"/>
            <w:vAlign w:val="center"/>
          </w:tcPr>
          <w:p w14:paraId="4BB8376A">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存在量（t）</w:t>
            </w:r>
          </w:p>
        </w:tc>
        <w:tc>
          <w:tcPr>
            <w:tcW w:w="1540" w:type="dxa"/>
            <w:noWrap w:val="0"/>
            <w:vAlign w:val="center"/>
          </w:tcPr>
          <w:p w14:paraId="6479968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临界量（t）</w:t>
            </w:r>
          </w:p>
        </w:tc>
        <w:tc>
          <w:tcPr>
            <w:tcW w:w="1013" w:type="dxa"/>
            <w:noWrap w:val="0"/>
            <w:vAlign w:val="center"/>
          </w:tcPr>
          <w:p w14:paraId="096FB4EF">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Q</w:t>
            </w:r>
          </w:p>
        </w:tc>
      </w:tr>
      <w:tr w14:paraId="763E0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noWrap w:val="0"/>
            <w:vAlign w:val="center"/>
          </w:tcPr>
          <w:p w14:paraId="0FB3F1E5">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w:t>
            </w:r>
          </w:p>
        </w:tc>
        <w:tc>
          <w:tcPr>
            <w:tcW w:w="1819" w:type="dxa"/>
            <w:noWrap w:val="0"/>
            <w:vAlign w:val="center"/>
          </w:tcPr>
          <w:p w14:paraId="15664928">
            <w:pPr>
              <w:keepNext w:val="0"/>
              <w:keepLines w:val="0"/>
              <w:pageBreakBefore w:val="0"/>
              <w:widowControl/>
              <w:kinsoku/>
              <w:wordWrap/>
              <w:overflowPunct/>
              <w:topLinePunct w:val="0"/>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val="0"/>
                <w:bCs w:val="0"/>
                <w:color w:val="auto"/>
                <w:kern w:val="0"/>
                <w:sz w:val="21"/>
                <w:szCs w:val="21"/>
                <w:highlight w:val="none"/>
                <w:lang w:val="en-GB" w:eastAsia="zh-CN"/>
              </w:rPr>
              <w:t>过氧乙酸</w:t>
            </w:r>
          </w:p>
        </w:tc>
        <w:tc>
          <w:tcPr>
            <w:tcW w:w="1845" w:type="dxa"/>
            <w:noWrap w:val="0"/>
            <w:vAlign w:val="center"/>
          </w:tcPr>
          <w:p w14:paraId="17E14CD0">
            <w:pPr>
              <w:pStyle w:val="17"/>
              <w:keepNext w:val="0"/>
              <w:keepLines w:val="0"/>
              <w:pageBreakBefore w:val="0"/>
              <w:widowControl/>
              <w:kinsoku/>
              <w:wordWrap/>
              <w:overflowPunct/>
              <w:topLinePunct w:val="0"/>
              <w:bidi w:val="0"/>
              <w:adjustRightInd/>
              <w:snapToGrid/>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auto"/>
                <w:kern w:val="0"/>
                <w:sz w:val="21"/>
                <w:szCs w:val="21"/>
                <w:highlight w:val="none"/>
                <w:lang w:val="en-GB"/>
              </w:rPr>
            </w:pPr>
            <w:r>
              <w:rPr>
                <w:rFonts w:hint="default" w:ascii="Times New Roman" w:hAnsi="Times New Roman" w:eastAsia="宋体" w:cs="Times New Roman"/>
                <w:b w:val="0"/>
                <w:bCs w:val="0"/>
                <w:snapToGrid w:val="0"/>
                <w:color w:val="auto"/>
                <w:kern w:val="0"/>
                <w:sz w:val="21"/>
                <w:szCs w:val="21"/>
                <w:highlight w:val="none"/>
                <w:lang w:val="en-US" w:eastAsia="zh-CN"/>
              </w:rPr>
              <w:t>79-21-0</w:t>
            </w:r>
          </w:p>
        </w:tc>
        <w:tc>
          <w:tcPr>
            <w:tcW w:w="1794" w:type="dxa"/>
            <w:noWrap w:val="0"/>
            <w:vAlign w:val="center"/>
          </w:tcPr>
          <w:p w14:paraId="3227268B">
            <w:pPr>
              <w:pStyle w:val="17"/>
              <w:keepNext w:val="0"/>
              <w:keepLines w:val="0"/>
              <w:pageBreakBefore w:val="0"/>
              <w:widowControl/>
              <w:kinsoku/>
              <w:wordWrap/>
              <w:overflowPunct/>
              <w:topLinePunct w:val="0"/>
              <w:autoSpaceDE w:val="0"/>
              <w:autoSpaceDN w:val="0"/>
              <w:bidi w:val="0"/>
              <w:adjustRightInd/>
              <w:snapToGrid/>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val="en-US" w:eastAsia="zh-CN"/>
              </w:rPr>
              <w:t>3</w:t>
            </w:r>
          </w:p>
        </w:tc>
        <w:tc>
          <w:tcPr>
            <w:tcW w:w="1540" w:type="dxa"/>
            <w:noWrap w:val="0"/>
            <w:vAlign w:val="center"/>
          </w:tcPr>
          <w:p w14:paraId="4931C37D">
            <w:pPr>
              <w:pStyle w:val="17"/>
              <w:keepNext w:val="0"/>
              <w:keepLines w:val="0"/>
              <w:pageBreakBefore w:val="0"/>
              <w:widowControl/>
              <w:kinsoku/>
              <w:wordWrap/>
              <w:overflowPunct/>
              <w:topLinePunct w:val="0"/>
              <w:bidi w:val="0"/>
              <w:adjustRightInd/>
              <w:snapToGrid/>
              <w:spacing w:after="0" w:line="240" w:lineRule="auto"/>
              <w:ind w:left="0" w:leftChars="0" w:firstLine="0" w:firstLineChars="0"/>
              <w:contextualSpacing/>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5</w:t>
            </w:r>
          </w:p>
        </w:tc>
        <w:tc>
          <w:tcPr>
            <w:tcW w:w="1013" w:type="dxa"/>
            <w:noWrap w:val="0"/>
            <w:vAlign w:val="center"/>
          </w:tcPr>
          <w:p w14:paraId="1CF6076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0.6</w:t>
            </w:r>
          </w:p>
        </w:tc>
      </w:tr>
      <w:tr w14:paraId="1520C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noWrap w:val="0"/>
            <w:vAlign w:val="center"/>
          </w:tcPr>
          <w:p w14:paraId="5F2B02F1">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2</w:t>
            </w:r>
          </w:p>
        </w:tc>
        <w:tc>
          <w:tcPr>
            <w:tcW w:w="1819" w:type="dxa"/>
            <w:noWrap w:val="0"/>
            <w:vAlign w:val="center"/>
          </w:tcPr>
          <w:p w14:paraId="4691E041">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次氯酸钠</w:t>
            </w:r>
          </w:p>
        </w:tc>
        <w:tc>
          <w:tcPr>
            <w:tcW w:w="1845" w:type="dxa"/>
            <w:noWrap w:val="0"/>
            <w:vAlign w:val="center"/>
          </w:tcPr>
          <w:p w14:paraId="18DB3EA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7681-52-9</w:t>
            </w:r>
          </w:p>
        </w:tc>
        <w:tc>
          <w:tcPr>
            <w:tcW w:w="1794" w:type="dxa"/>
            <w:noWrap w:val="0"/>
            <w:vAlign w:val="center"/>
          </w:tcPr>
          <w:p w14:paraId="2341CDF7">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1</w:t>
            </w:r>
          </w:p>
        </w:tc>
        <w:tc>
          <w:tcPr>
            <w:tcW w:w="1540" w:type="dxa"/>
            <w:noWrap w:val="0"/>
            <w:vAlign w:val="center"/>
          </w:tcPr>
          <w:p w14:paraId="242FB8F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5</w:t>
            </w:r>
          </w:p>
        </w:tc>
        <w:tc>
          <w:tcPr>
            <w:tcW w:w="1013" w:type="dxa"/>
            <w:noWrap w:val="0"/>
            <w:vAlign w:val="center"/>
          </w:tcPr>
          <w:p w14:paraId="1A0B967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0.2</w:t>
            </w:r>
          </w:p>
        </w:tc>
      </w:tr>
      <w:tr w14:paraId="1EC5D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shd w:val="clear" w:color="auto" w:fill="auto"/>
            <w:noWrap w:val="0"/>
            <w:vAlign w:val="center"/>
          </w:tcPr>
          <w:p w14:paraId="6DF3C942">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kern w:val="0"/>
                <w:sz w:val="21"/>
                <w:szCs w:val="21"/>
                <w:highlight w:val="none"/>
                <w:lang w:val="en-US" w:eastAsia="zh-CN"/>
              </w:rPr>
              <w:t>3</w:t>
            </w:r>
          </w:p>
        </w:tc>
        <w:tc>
          <w:tcPr>
            <w:tcW w:w="1819" w:type="dxa"/>
            <w:shd w:val="clear" w:color="auto" w:fill="auto"/>
            <w:noWrap w:val="0"/>
            <w:vAlign w:val="center"/>
          </w:tcPr>
          <w:p w14:paraId="63E71018">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kern w:val="0"/>
                <w:sz w:val="21"/>
                <w:szCs w:val="21"/>
                <w:highlight w:val="none"/>
                <w:lang w:val="en-US" w:eastAsia="zh-CN"/>
              </w:rPr>
              <w:t>废机油</w:t>
            </w:r>
          </w:p>
        </w:tc>
        <w:tc>
          <w:tcPr>
            <w:tcW w:w="1845" w:type="dxa"/>
            <w:shd w:val="clear" w:color="auto" w:fill="auto"/>
            <w:noWrap w:val="0"/>
            <w:vAlign w:val="center"/>
          </w:tcPr>
          <w:p w14:paraId="44CCFD3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kern w:val="0"/>
                <w:sz w:val="21"/>
                <w:szCs w:val="21"/>
                <w:highlight w:val="none"/>
                <w:lang w:val="en-US" w:eastAsia="zh-CN"/>
              </w:rPr>
              <w:t>/</w:t>
            </w:r>
          </w:p>
        </w:tc>
        <w:tc>
          <w:tcPr>
            <w:tcW w:w="1794" w:type="dxa"/>
            <w:shd w:val="clear" w:color="auto" w:fill="auto"/>
            <w:noWrap w:val="0"/>
            <w:vAlign w:val="center"/>
          </w:tcPr>
          <w:p w14:paraId="2EF07C9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kern w:val="0"/>
                <w:sz w:val="21"/>
                <w:szCs w:val="21"/>
                <w:highlight w:val="none"/>
                <w:lang w:val="en-US" w:eastAsia="zh-CN"/>
              </w:rPr>
              <w:t>0.64</w:t>
            </w:r>
          </w:p>
        </w:tc>
        <w:tc>
          <w:tcPr>
            <w:tcW w:w="1540" w:type="dxa"/>
            <w:shd w:val="clear" w:color="auto" w:fill="auto"/>
            <w:noWrap w:val="0"/>
            <w:vAlign w:val="center"/>
          </w:tcPr>
          <w:p w14:paraId="7DFDD515">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kern w:val="0"/>
                <w:sz w:val="21"/>
                <w:szCs w:val="21"/>
                <w:highlight w:val="none"/>
                <w:lang w:val="en-US" w:eastAsia="zh-CN"/>
              </w:rPr>
              <w:t>2500</w:t>
            </w:r>
          </w:p>
        </w:tc>
        <w:tc>
          <w:tcPr>
            <w:tcW w:w="1013" w:type="dxa"/>
            <w:shd w:val="clear" w:color="auto" w:fill="auto"/>
            <w:noWrap w:val="0"/>
            <w:vAlign w:val="center"/>
          </w:tcPr>
          <w:p w14:paraId="312C3C37">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kern w:val="0"/>
                <w:sz w:val="21"/>
                <w:szCs w:val="21"/>
                <w:highlight w:val="none"/>
                <w:lang w:val="en-US" w:eastAsia="zh-CN"/>
              </w:rPr>
              <w:t>0.000256</w:t>
            </w:r>
          </w:p>
        </w:tc>
      </w:tr>
      <w:tr w14:paraId="4C220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2" w:type="dxa"/>
            <w:gridSpan w:val="3"/>
            <w:noWrap w:val="0"/>
            <w:vAlign w:val="center"/>
          </w:tcPr>
          <w:p w14:paraId="32DC042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GB"/>
              </w:rPr>
            </w:pPr>
            <w:r>
              <w:rPr>
                <w:rFonts w:hint="default" w:ascii="Times New Roman" w:hAnsi="Times New Roman" w:eastAsia="宋体" w:cs="Times New Roman"/>
                <w:b/>
                <w:bCs/>
                <w:color w:val="auto"/>
                <w:kern w:val="0"/>
                <w:sz w:val="21"/>
                <w:szCs w:val="21"/>
                <w:highlight w:val="none"/>
                <w:lang w:val="en-GB"/>
              </w:rPr>
              <w:t>合计（Q）</w:t>
            </w:r>
          </w:p>
        </w:tc>
        <w:tc>
          <w:tcPr>
            <w:tcW w:w="4347" w:type="dxa"/>
            <w:gridSpan w:val="3"/>
            <w:noWrap w:val="0"/>
            <w:vAlign w:val="center"/>
          </w:tcPr>
          <w:p w14:paraId="48AA755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0.8</w:t>
            </w:r>
            <w:r>
              <w:rPr>
                <w:rFonts w:hint="eastAsia" w:eastAsia="宋体" w:cs="Times New Roman"/>
                <w:b/>
                <w:bCs/>
                <w:color w:val="auto"/>
                <w:kern w:val="0"/>
                <w:sz w:val="21"/>
                <w:szCs w:val="21"/>
                <w:highlight w:val="none"/>
                <w:lang w:val="en-US" w:eastAsia="zh-CN"/>
              </w:rPr>
              <w:t>00256</w:t>
            </w:r>
          </w:p>
        </w:tc>
      </w:tr>
    </w:tbl>
    <w:p w14:paraId="41D8FA34">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z w:val="24"/>
          <w:highlight w:val="none"/>
        </w:rPr>
        <w:t>根据上表，本项目Q值</w:t>
      </w:r>
      <w:r>
        <w:rPr>
          <w:rFonts w:hint="default" w:ascii="Times New Roman" w:hAnsi="Times New Roman" w:eastAsia="仿宋_GB2312" w:cs="Times New Roman"/>
          <w:color w:val="auto"/>
          <w:sz w:val="24"/>
          <w:szCs w:val="24"/>
          <w:highlight w:val="none"/>
        </w:rPr>
        <w:t>为</w:t>
      </w:r>
      <w:r>
        <w:rPr>
          <w:rFonts w:hint="default" w:ascii="Times New Roman" w:hAnsi="Times New Roman" w:eastAsia="仿宋_GB2312" w:cs="Times New Roman"/>
          <w:snapToGrid w:val="0"/>
          <w:color w:val="auto"/>
          <w:kern w:val="0"/>
          <w:sz w:val="24"/>
          <w:szCs w:val="24"/>
          <w:highlight w:val="none"/>
          <w:lang w:val="en-US" w:eastAsia="zh-CN"/>
        </w:rPr>
        <w:t>0.8</w:t>
      </w:r>
      <w:r>
        <w:rPr>
          <w:rFonts w:hint="eastAsia" w:cs="Times New Roman"/>
          <w:snapToGrid w:val="0"/>
          <w:color w:val="auto"/>
          <w:kern w:val="0"/>
          <w:sz w:val="24"/>
          <w:szCs w:val="24"/>
          <w:highlight w:val="none"/>
          <w:lang w:val="en-US" w:eastAsia="zh-CN"/>
        </w:rPr>
        <w:t>00256</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highlight w:val="none"/>
        </w:rPr>
        <w:t>属于</w:t>
      </w:r>
      <w:r>
        <w:rPr>
          <w:rFonts w:hint="default" w:ascii="Times New Roman" w:hAnsi="Times New Roman" w:eastAsia="仿宋_GB2312" w:cs="Times New Roman"/>
          <w:snapToGrid w:val="0"/>
          <w:color w:val="auto"/>
          <w:kern w:val="0"/>
          <w:sz w:val="24"/>
          <w:highlight w:val="none"/>
        </w:rPr>
        <w:t>Q＜1范围</w:t>
      </w:r>
      <w:r>
        <w:rPr>
          <w:rFonts w:hint="default" w:ascii="Times New Roman" w:hAnsi="Times New Roman" w:eastAsia="仿宋_GB2312" w:cs="Times New Roman"/>
          <w:color w:val="auto"/>
          <w:sz w:val="24"/>
          <w:highlight w:val="none"/>
        </w:rPr>
        <w:t>。</w:t>
      </w:r>
    </w:p>
    <w:p w14:paraId="0FBE0B77">
      <w:pPr>
        <w:bidi w:val="0"/>
        <w:rPr>
          <w:rFonts w:hint="default" w:ascii="Times New Roman" w:hAnsi="Times New Roman" w:eastAsia="仿宋_GB2312" w:cs="Times New Roman"/>
          <w:color w:val="auto"/>
          <w:spacing w:val="0"/>
          <w:kern w:val="24"/>
          <w:sz w:val="24"/>
          <w:highlight w:val="none"/>
        </w:rPr>
      </w:pPr>
      <w:r>
        <w:rPr>
          <w:rFonts w:hint="eastAsia" w:ascii="Times New Roman" w:hAnsi="Times New Roman" w:cs="Times New Roman"/>
          <w:color w:val="auto"/>
          <w:spacing w:val="0"/>
          <w:kern w:val="24"/>
          <w:sz w:val="24"/>
          <w:highlight w:val="none"/>
          <w:lang w:eastAsia="zh-CN"/>
        </w:rPr>
        <w:t>（</w:t>
      </w:r>
      <w:r>
        <w:rPr>
          <w:rFonts w:hint="eastAsia" w:ascii="Times New Roman" w:hAnsi="Times New Roman" w:cs="Times New Roman"/>
          <w:color w:val="auto"/>
          <w:spacing w:val="0"/>
          <w:kern w:val="24"/>
          <w:sz w:val="24"/>
          <w:highlight w:val="none"/>
          <w:lang w:val="en-US" w:eastAsia="zh-CN"/>
        </w:rPr>
        <w:t>2</w:t>
      </w:r>
      <w:r>
        <w:rPr>
          <w:rFonts w:hint="eastAsia" w:ascii="Times New Roman" w:hAnsi="Times New Roman" w:cs="Times New Roman"/>
          <w:color w:val="auto"/>
          <w:spacing w:val="0"/>
          <w:kern w:val="24"/>
          <w:sz w:val="24"/>
          <w:highlight w:val="none"/>
          <w:lang w:eastAsia="zh-CN"/>
        </w:rPr>
        <w:t>）</w:t>
      </w:r>
      <w:r>
        <w:rPr>
          <w:rFonts w:hint="default" w:ascii="Times New Roman" w:hAnsi="Times New Roman" w:eastAsia="仿宋_GB2312" w:cs="Times New Roman"/>
          <w:color w:val="auto"/>
          <w:spacing w:val="0"/>
          <w:kern w:val="24"/>
          <w:sz w:val="24"/>
          <w:highlight w:val="none"/>
        </w:rPr>
        <w:t>环境风险潜势判断</w:t>
      </w:r>
    </w:p>
    <w:p w14:paraId="5EBAA3AF">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建设项目各要素环境风险潜势划分为Ⅰ、Ⅱ、Ⅲ、Ⅳ/Ⅳ+级。按照</w:t>
      </w:r>
      <w:r>
        <w:rPr>
          <w:rFonts w:hint="default" w:ascii="Times New Roman" w:hAnsi="Times New Roman" w:eastAsia="仿宋_GB2312" w:cs="Times New Roman"/>
          <w:color w:val="auto"/>
          <w:spacing w:val="0"/>
          <w:kern w:val="2"/>
          <w:sz w:val="24"/>
          <w:szCs w:val="24"/>
          <w:highlight w:val="none"/>
        </w:rPr>
        <w:t>《建设项目环境风险评价技术导则》（HJ169-2018）</w:t>
      </w:r>
      <w:r>
        <w:rPr>
          <w:rFonts w:hint="default" w:ascii="Times New Roman" w:hAnsi="Times New Roman" w:eastAsia="仿宋_GB2312" w:cs="Times New Roman"/>
          <w:color w:val="auto"/>
          <w:spacing w:val="0"/>
          <w:kern w:val="24"/>
          <w:sz w:val="24"/>
          <w:highlight w:val="none"/>
        </w:rPr>
        <w:t>要求，当Q＜1时，环境风险潜势为I。故本项目环境风险潜势为I。</w:t>
      </w:r>
    </w:p>
    <w:p w14:paraId="329DC47F">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5.6.3.4评价工作等级</w:t>
      </w:r>
    </w:p>
    <w:p w14:paraId="4897E69E">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根据《建设项目环境风险评价技术导则》（HJ169-2018），环境风险评价工作等级划分为一级、二级、三级。根据建设项目涉及的物质及工艺系统危险性和所在地的环境敏感性确定环境风险潜势，按照下表确定工作等级。风险潜势为IV及以上，进行一级评价；风险潜势为III，进行二级评价；风险潜势为II，进行三级评价；风险潜势为I，可开展简单分析，风险评价等级划分详见表5.6-4。</w:t>
      </w:r>
    </w:p>
    <w:p w14:paraId="11DB263D">
      <w:pPr>
        <w:adjustRightInd w:val="0"/>
        <w:snapToGrid w:val="0"/>
        <w:spacing w:line="240" w:lineRule="auto"/>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Cs/>
          <w:color w:val="auto"/>
          <w:sz w:val="21"/>
          <w:szCs w:val="21"/>
          <w:highlight w:val="none"/>
        </w:rPr>
        <w:t>表5.6-</w:t>
      </w:r>
      <w:r>
        <w:rPr>
          <w:rFonts w:hint="default" w:ascii="Times New Roman" w:hAnsi="Times New Roman" w:eastAsia="宋体" w:cs="Times New Roman"/>
          <w:bCs/>
          <w:color w:val="auto"/>
          <w:sz w:val="21"/>
          <w:szCs w:val="21"/>
          <w:highlight w:val="none"/>
          <w:lang w:val="en-US" w:eastAsia="zh-CN"/>
        </w:rPr>
        <w:t>4</w:t>
      </w:r>
      <w:r>
        <w:rPr>
          <w:rFonts w:hint="default" w:ascii="Times New Roman" w:hAnsi="Times New Roman" w:eastAsia="宋体" w:cs="Times New Roman"/>
          <w:b/>
          <w:color w:val="auto"/>
          <w:highlight w:val="none"/>
        </w:rPr>
        <w:t xml:space="preserve"> </w:t>
      </w:r>
      <w:r>
        <w:rPr>
          <w:rFonts w:hint="eastAsia" w:ascii="Times New Roman" w:hAnsi="Times New Roman" w:eastAsia="宋体" w:cs="Times New Roman"/>
          <w:b/>
          <w:color w:val="auto"/>
          <w:highlight w:val="none"/>
          <w:lang w:val="en-US" w:eastAsia="zh-CN"/>
        </w:rPr>
        <w:t xml:space="preserve">        </w:t>
      </w:r>
      <w:r>
        <w:rPr>
          <w:rFonts w:hint="eastAsia" w:eastAsia="宋体" w:cs="Times New Roman"/>
          <w:b/>
          <w:color w:val="auto"/>
          <w:highlight w:val="none"/>
          <w:lang w:val="en-US" w:eastAsia="zh-CN"/>
        </w:rPr>
        <w:t xml:space="preserve">  </w:t>
      </w:r>
      <w:r>
        <w:rPr>
          <w:rFonts w:hint="eastAsia" w:ascii="Times New Roman" w:hAns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sz w:val="24"/>
          <w:highlight w:val="none"/>
        </w:rPr>
        <w:t>评价工作等级划分表</w:t>
      </w:r>
    </w:p>
    <w:tbl>
      <w:tblPr>
        <w:tblStyle w:val="27"/>
        <w:tblW w:w="503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7"/>
        <w:gridCol w:w="1834"/>
        <w:gridCol w:w="1832"/>
        <w:gridCol w:w="1619"/>
        <w:gridCol w:w="1465"/>
      </w:tblGrid>
      <w:tr w14:paraId="42AD9C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267" w:type="dxa"/>
            <w:noWrap w:val="0"/>
            <w:vAlign w:val="center"/>
          </w:tcPr>
          <w:p w14:paraId="50B79C47">
            <w:pPr>
              <w:pStyle w:val="47"/>
              <w:spacing w:line="24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风险潜势</w:t>
            </w:r>
          </w:p>
        </w:tc>
        <w:tc>
          <w:tcPr>
            <w:tcW w:w="1834" w:type="dxa"/>
            <w:noWrap w:val="0"/>
            <w:vAlign w:val="center"/>
          </w:tcPr>
          <w:p w14:paraId="5A25EDD3">
            <w:pPr>
              <w:pStyle w:val="47"/>
              <w:spacing w:line="24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Ⅳ、Ⅳ</w:t>
            </w:r>
            <w:r>
              <w:rPr>
                <w:rFonts w:hint="default" w:ascii="Times New Roman" w:hAnsi="Times New Roman" w:eastAsia="宋体" w:cs="Times New Roman"/>
                <w:b/>
                <w:color w:val="auto"/>
                <w:sz w:val="21"/>
                <w:szCs w:val="21"/>
                <w:highlight w:val="none"/>
                <w:vertAlign w:val="superscript"/>
              </w:rPr>
              <w:t>+</w:t>
            </w:r>
          </w:p>
        </w:tc>
        <w:tc>
          <w:tcPr>
            <w:tcW w:w="1832" w:type="dxa"/>
            <w:noWrap w:val="0"/>
            <w:vAlign w:val="center"/>
          </w:tcPr>
          <w:p w14:paraId="5636099E">
            <w:pPr>
              <w:pStyle w:val="47"/>
              <w:spacing w:line="24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Ⅲ</w:t>
            </w:r>
          </w:p>
        </w:tc>
        <w:tc>
          <w:tcPr>
            <w:tcW w:w="1619" w:type="dxa"/>
            <w:noWrap w:val="0"/>
            <w:vAlign w:val="center"/>
          </w:tcPr>
          <w:p w14:paraId="22DB1AE0">
            <w:pPr>
              <w:pStyle w:val="47"/>
              <w:spacing w:line="24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Ⅱ</w:t>
            </w:r>
          </w:p>
        </w:tc>
        <w:tc>
          <w:tcPr>
            <w:tcW w:w="1465" w:type="dxa"/>
            <w:noWrap w:val="0"/>
            <w:vAlign w:val="center"/>
          </w:tcPr>
          <w:p w14:paraId="543DED38">
            <w:pPr>
              <w:pStyle w:val="47"/>
              <w:spacing w:line="24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Ⅰ</w:t>
            </w:r>
          </w:p>
        </w:tc>
      </w:tr>
      <w:tr w14:paraId="7FE01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2267" w:type="dxa"/>
            <w:noWrap w:val="0"/>
            <w:vAlign w:val="center"/>
          </w:tcPr>
          <w:p w14:paraId="06E60FD3">
            <w:pPr>
              <w:pStyle w:val="47"/>
              <w:spacing w:line="24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评价工作等级</w:t>
            </w:r>
          </w:p>
        </w:tc>
        <w:tc>
          <w:tcPr>
            <w:tcW w:w="1834" w:type="dxa"/>
            <w:noWrap w:val="0"/>
            <w:vAlign w:val="center"/>
          </w:tcPr>
          <w:p w14:paraId="373794B6">
            <w:pPr>
              <w:pStyle w:val="47"/>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1832" w:type="dxa"/>
            <w:noWrap w:val="0"/>
            <w:vAlign w:val="center"/>
          </w:tcPr>
          <w:p w14:paraId="346229C7">
            <w:pPr>
              <w:pStyle w:val="47"/>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1619" w:type="dxa"/>
            <w:noWrap w:val="0"/>
            <w:vAlign w:val="center"/>
          </w:tcPr>
          <w:p w14:paraId="5BB3950A">
            <w:pPr>
              <w:pStyle w:val="47"/>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465" w:type="dxa"/>
            <w:noWrap w:val="0"/>
            <w:vAlign w:val="center"/>
          </w:tcPr>
          <w:p w14:paraId="28DF2142">
            <w:pPr>
              <w:pStyle w:val="47"/>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p>
        </w:tc>
      </w:tr>
      <w:tr w14:paraId="281792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267" w:type="dxa"/>
            <w:noWrap w:val="0"/>
            <w:vAlign w:val="center"/>
          </w:tcPr>
          <w:p w14:paraId="7E6C9CB9">
            <w:pPr>
              <w:pStyle w:val="47"/>
              <w:spacing w:line="24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w:t>
            </w:r>
          </w:p>
        </w:tc>
        <w:tc>
          <w:tcPr>
            <w:tcW w:w="6750" w:type="dxa"/>
            <w:gridSpan w:val="4"/>
            <w:noWrap w:val="0"/>
            <w:vAlign w:val="center"/>
          </w:tcPr>
          <w:p w14:paraId="09678DCF">
            <w:pPr>
              <w:pStyle w:val="47"/>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p>
        </w:tc>
      </w:tr>
    </w:tbl>
    <w:p w14:paraId="2B1D321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综上所述，本项目评价工作等级为简单分析。</w:t>
      </w:r>
    </w:p>
    <w:p w14:paraId="436DEA7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r>
        <w:rPr>
          <w:rFonts w:hint="default" w:ascii="Times New Roman" w:hAnsi="Times New Roman" w:eastAsia="黑体" w:cs="Times New Roman"/>
          <w:b/>
          <w:color w:val="auto"/>
          <w:sz w:val="28"/>
          <w:szCs w:val="28"/>
          <w:highlight w:val="none"/>
          <w:lang w:val="en-US" w:eastAsia="zh-CN"/>
        </w:rPr>
        <w:t>5.6.4环境敏感目标调查</w:t>
      </w:r>
    </w:p>
    <w:p w14:paraId="126D5C8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项目位于固原市固原经济开发区轻工产业园</w:t>
      </w:r>
      <w:r>
        <w:rPr>
          <w:rFonts w:hint="eastAsia" w:cs="Times New Roman"/>
          <w:color w:val="auto"/>
          <w:kern w:val="2"/>
          <w:sz w:val="24"/>
          <w:szCs w:val="24"/>
          <w:lang w:val="en-US" w:eastAsia="zh-CN" w:bidi="ar-SA"/>
        </w:rPr>
        <w:t>（中河乡）</w:t>
      </w:r>
      <w:r>
        <w:rPr>
          <w:rFonts w:hint="default" w:ascii="Times New Roman" w:hAnsi="Times New Roman" w:eastAsia="仿宋_GB2312" w:cs="Times New Roman"/>
          <w:color w:val="auto"/>
          <w:spacing w:val="0"/>
          <w:kern w:val="24"/>
          <w:sz w:val="24"/>
          <w:highlight w:val="none"/>
        </w:rPr>
        <w:t>，结合前文确定的各环境要素评价范围及现场踏勘情况，确定环境敏感目标调查范围为以厂址为中心，半径为3km的圆形区域，</w:t>
      </w:r>
      <w:r>
        <w:rPr>
          <w:rFonts w:hint="eastAsia" w:cs="Times New Roman"/>
          <w:color w:val="auto"/>
          <w:spacing w:val="0"/>
          <w:kern w:val="24"/>
          <w:sz w:val="24"/>
          <w:highlight w:val="none"/>
          <w:lang w:val="en-US" w:eastAsia="zh-CN"/>
        </w:rPr>
        <w:t>厂界</w:t>
      </w:r>
      <w:r>
        <w:rPr>
          <w:rFonts w:hint="default" w:ascii="Times New Roman" w:hAnsi="Times New Roman" w:eastAsia="仿宋_GB2312" w:cs="Times New Roman"/>
          <w:color w:val="auto"/>
          <w:spacing w:val="0"/>
          <w:kern w:val="24"/>
          <w:sz w:val="24"/>
          <w:highlight w:val="none"/>
        </w:rPr>
        <w:t>项目周边环境敏感目标具体见表5.6-5。</w:t>
      </w:r>
    </w:p>
    <w:p w14:paraId="3230F4CA">
      <w:pPr>
        <w:pStyle w:val="40"/>
        <w:widowControl w:val="0"/>
        <w:adjustRightInd/>
        <w:spacing w:line="240" w:lineRule="auto"/>
        <w:ind w:left="0" w:leftChars="0" w:firstLine="420" w:firstLineChars="200"/>
        <w:jc w:val="both"/>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sz w:val="21"/>
          <w:szCs w:val="21"/>
          <w:highlight w:val="none"/>
        </w:rPr>
        <w:t>表</w:t>
      </w:r>
      <w:r>
        <w:rPr>
          <w:rFonts w:hint="eastAsia" w:ascii="Times New Roman" w:hAnsi="Times New Roman" w:eastAsia="宋体" w:cs="Times New Roman"/>
          <w:color w:val="auto"/>
          <w:sz w:val="21"/>
          <w:szCs w:val="21"/>
          <w:highlight w:val="none"/>
          <w:lang w:val="en-US" w:eastAsia="zh-CN"/>
        </w:rPr>
        <w:t>5.6-5</w:t>
      </w:r>
      <w:r>
        <w:rPr>
          <w:rFonts w:hint="default" w:ascii="Times New Roman" w:hAnsi="Times New Roman" w:eastAsia="宋体" w:cs="Times New Roman"/>
          <w:b/>
          <w:color w:val="auto"/>
          <w:highlight w:val="none"/>
        </w:rPr>
        <w:t xml:space="preserve"> </w:t>
      </w:r>
      <w:r>
        <w:rPr>
          <w:rFonts w:hint="eastAsia" w:asci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 xml:space="preserve"> 项目</w:t>
      </w:r>
      <w:r>
        <w:rPr>
          <w:rFonts w:hint="eastAsia" w:ascii="Times New Roman" w:eastAsia="宋体" w:cs="Times New Roman"/>
          <w:b/>
          <w:color w:val="auto"/>
          <w:highlight w:val="none"/>
          <w:lang w:val="en-US" w:eastAsia="zh-CN"/>
        </w:rPr>
        <w:t>周边环境敏感</w:t>
      </w:r>
      <w:r>
        <w:rPr>
          <w:rFonts w:hint="default" w:ascii="Times New Roman" w:hAnsi="Times New Roman" w:eastAsia="宋体" w:cs="Times New Roman"/>
          <w:b/>
          <w:color w:val="auto"/>
          <w:highlight w:val="none"/>
        </w:rPr>
        <w:t>保护目标一览表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4"/>
        <w:gridCol w:w="1759"/>
        <w:gridCol w:w="1603"/>
        <w:gridCol w:w="956"/>
        <w:gridCol w:w="1852"/>
        <w:gridCol w:w="895"/>
        <w:gridCol w:w="1129"/>
      </w:tblGrid>
      <w:tr w14:paraId="0618C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restart"/>
            <w:noWrap w:val="0"/>
            <w:vAlign w:val="center"/>
          </w:tcPr>
          <w:p w14:paraId="7C33695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w:t>
            </w:r>
          </w:p>
          <w:p w14:paraId="5329B05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要素</w:t>
            </w:r>
          </w:p>
        </w:tc>
        <w:tc>
          <w:tcPr>
            <w:tcW w:w="3362" w:type="dxa"/>
            <w:gridSpan w:val="2"/>
            <w:noWrap w:val="0"/>
            <w:vAlign w:val="center"/>
          </w:tcPr>
          <w:p w14:paraId="4FBBA4A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snapToGrid w:val="0"/>
                <w:color w:val="auto"/>
                <w:kern w:val="0"/>
                <w:sz w:val="21"/>
                <w:szCs w:val="21"/>
                <w:highlight w:val="none"/>
              </w:rPr>
              <w:t>坐标（经纬度）</w:t>
            </w:r>
          </w:p>
        </w:tc>
        <w:tc>
          <w:tcPr>
            <w:tcW w:w="956" w:type="dxa"/>
            <w:vMerge w:val="restart"/>
            <w:noWrap w:val="0"/>
            <w:vAlign w:val="center"/>
          </w:tcPr>
          <w:p w14:paraId="2D818E8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保护对象</w:t>
            </w:r>
          </w:p>
        </w:tc>
        <w:tc>
          <w:tcPr>
            <w:tcW w:w="1852" w:type="dxa"/>
            <w:vMerge w:val="restart"/>
            <w:noWrap w:val="0"/>
            <w:vAlign w:val="center"/>
          </w:tcPr>
          <w:p w14:paraId="1D0CB27E">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保护内容</w:t>
            </w:r>
          </w:p>
        </w:tc>
        <w:tc>
          <w:tcPr>
            <w:tcW w:w="895" w:type="dxa"/>
            <w:vMerge w:val="restart"/>
            <w:noWrap w:val="0"/>
            <w:vAlign w:val="center"/>
          </w:tcPr>
          <w:p w14:paraId="243936E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29" w:type="dxa"/>
            <w:vMerge w:val="restart"/>
            <w:noWrap w:val="0"/>
            <w:vAlign w:val="center"/>
          </w:tcPr>
          <w:p w14:paraId="2B0B815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距厂界最近距离/m</w:t>
            </w:r>
          </w:p>
        </w:tc>
      </w:tr>
      <w:tr w14:paraId="61092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tcBorders>
              <w:bottom w:val="single" w:color="auto" w:sz="4" w:space="0"/>
            </w:tcBorders>
            <w:noWrap w:val="0"/>
            <w:vAlign w:val="center"/>
          </w:tcPr>
          <w:p w14:paraId="760E8D0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1759" w:type="dxa"/>
            <w:noWrap w:val="0"/>
            <w:vAlign w:val="center"/>
          </w:tcPr>
          <w:p w14:paraId="296E468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1603" w:type="dxa"/>
            <w:noWrap w:val="0"/>
            <w:vAlign w:val="center"/>
          </w:tcPr>
          <w:p w14:paraId="64E85CB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956" w:type="dxa"/>
            <w:vMerge w:val="continue"/>
            <w:noWrap w:val="0"/>
            <w:vAlign w:val="center"/>
          </w:tcPr>
          <w:p w14:paraId="24D4138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1852" w:type="dxa"/>
            <w:vMerge w:val="continue"/>
            <w:noWrap w:val="0"/>
            <w:vAlign w:val="center"/>
          </w:tcPr>
          <w:p w14:paraId="33B0514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895" w:type="dxa"/>
            <w:vMerge w:val="continue"/>
            <w:noWrap w:val="0"/>
            <w:vAlign w:val="center"/>
          </w:tcPr>
          <w:p w14:paraId="733E057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1129" w:type="dxa"/>
            <w:vMerge w:val="continue"/>
            <w:noWrap w:val="0"/>
            <w:vAlign w:val="center"/>
          </w:tcPr>
          <w:p w14:paraId="6D5EB18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r>
      <w:tr w14:paraId="66677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restart"/>
            <w:tcBorders>
              <w:top w:val="single" w:color="auto" w:sz="4" w:space="0"/>
            </w:tcBorders>
            <w:noWrap w:val="0"/>
            <w:vAlign w:val="center"/>
          </w:tcPr>
          <w:p w14:paraId="458DCE4B">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环境风险</w:t>
            </w:r>
          </w:p>
        </w:tc>
        <w:tc>
          <w:tcPr>
            <w:tcW w:w="1759" w:type="dxa"/>
            <w:noWrap w:val="0"/>
            <w:vAlign w:val="center"/>
          </w:tcPr>
          <w:p w14:paraId="24FA81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106°11′2.375″</w:t>
            </w:r>
          </w:p>
        </w:tc>
        <w:tc>
          <w:tcPr>
            <w:tcW w:w="1603" w:type="dxa"/>
            <w:noWrap w:val="0"/>
            <w:vAlign w:val="center"/>
          </w:tcPr>
          <w:p w14:paraId="31CF1B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36°0′7.738″</w:t>
            </w:r>
          </w:p>
        </w:tc>
        <w:tc>
          <w:tcPr>
            <w:tcW w:w="956" w:type="dxa"/>
            <w:noWrap w:val="0"/>
            <w:vAlign w:val="center"/>
          </w:tcPr>
          <w:p w14:paraId="6F0FE8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油坊沟村</w:t>
            </w:r>
          </w:p>
        </w:tc>
        <w:tc>
          <w:tcPr>
            <w:tcW w:w="1852" w:type="dxa"/>
            <w:noWrap w:val="0"/>
            <w:vAlign w:val="center"/>
          </w:tcPr>
          <w:p w14:paraId="600B03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居民，约100户</w:t>
            </w:r>
          </w:p>
        </w:tc>
        <w:tc>
          <w:tcPr>
            <w:tcW w:w="895" w:type="dxa"/>
            <w:noWrap w:val="0"/>
            <w:vAlign w:val="center"/>
          </w:tcPr>
          <w:p w14:paraId="268F1D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1129" w:type="dxa"/>
            <w:noWrap w:val="0"/>
            <w:vAlign w:val="center"/>
          </w:tcPr>
          <w:p w14:paraId="26A95D9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140</w:t>
            </w:r>
          </w:p>
        </w:tc>
      </w:tr>
      <w:tr w14:paraId="51235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4D6A6CE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6E08AE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106°9′54.416″</w:t>
            </w:r>
          </w:p>
        </w:tc>
        <w:tc>
          <w:tcPr>
            <w:tcW w:w="1603" w:type="dxa"/>
            <w:noWrap w:val="0"/>
            <w:vAlign w:val="center"/>
          </w:tcPr>
          <w:p w14:paraId="6F4FAC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36°0′29.947″</w:t>
            </w:r>
          </w:p>
        </w:tc>
        <w:tc>
          <w:tcPr>
            <w:tcW w:w="956" w:type="dxa"/>
            <w:noWrap w:val="0"/>
            <w:vAlign w:val="center"/>
          </w:tcPr>
          <w:p w14:paraId="13133A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上潘</w:t>
            </w:r>
          </w:p>
          <w:p w14:paraId="320F2D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家庄</w:t>
            </w:r>
          </w:p>
        </w:tc>
        <w:tc>
          <w:tcPr>
            <w:tcW w:w="1852" w:type="dxa"/>
            <w:noWrap w:val="0"/>
            <w:vAlign w:val="center"/>
          </w:tcPr>
          <w:p w14:paraId="2B7DC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居民，约50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3C5EB3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w:t>
            </w:r>
          </w:p>
        </w:tc>
        <w:tc>
          <w:tcPr>
            <w:tcW w:w="1129" w:type="dxa"/>
            <w:noWrap w:val="0"/>
            <w:vAlign w:val="center"/>
          </w:tcPr>
          <w:p w14:paraId="63BF03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2000</w:t>
            </w:r>
          </w:p>
        </w:tc>
      </w:tr>
      <w:tr w14:paraId="3052E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32DD9D0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523282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106°10′19.194″</w:t>
            </w:r>
          </w:p>
        </w:tc>
        <w:tc>
          <w:tcPr>
            <w:tcW w:w="1603" w:type="dxa"/>
            <w:noWrap w:val="0"/>
            <w:vAlign w:val="center"/>
          </w:tcPr>
          <w:p w14:paraId="5C4F88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36°0′30.990″</w:t>
            </w:r>
          </w:p>
        </w:tc>
        <w:tc>
          <w:tcPr>
            <w:tcW w:w="956" w:type="dxa"/>
            <w:noWrap w:val="0"/>
            <w:vAlign w:val="center"/>
          </w:tcPr>
          <w:p w14:paraId="03C49E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潘家庄</w:t>
            </w:r>
          </w:p>
        </w:tc>
        <w:tc>
          <w:tcPr>
            <w:tcW w:w="1852" w:type="dxa"/>
            <w:noWrap w:val="0"/>
            <w:vAlign w:val="center"/>
          </w:tcPr>
          <w:p w14:paraId="7FD316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居民，约150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67455B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w:t>
            </w:r>
          </w:p>
        </w:tc>
        <w:tc>
          <w:tcPr>
            <w:tcW w:w="1129" w:type="dxa"/>
            <w:noWrap w:val="0"/>
            <w:vAlign w:val="center"/>
          </w:tcPr>
          <w:p w14:paraId="30A66600">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1346</w:t>
            </w:r>
          </w:p>
        </w:tc>
      </w:tr>
      <w:tr w14:paraId="5CA79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5CA0786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200BA0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106°10′30.259″</w:t>
            </w:r>
          </w:p>
        </w:tc>
        <w:tc>
          <w:tcPr>
            <w:tcW w:w="1603" w:type="dxa"/>
            <w:noWrap w:val="0"/>
            <w:vAlign w:val="center"/>
          </w:tcPr>
          <w:p w14:paraId="48E544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36°0′47.405″</w:t>
            </w:r>
          </w:p>
        </w:tc>
        <w:tc>
          <w:tcPr>
            <w:tcW w:w="956" w:type="dxa"/>
            <w:noWrap w:val="0"/>
            <w:vAlign w:val="center"/>
          </w:tcPr>
          <w:p w14:paraId="6C994A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下潘家庄</w:t>
            </w:r>
          </w:p>
        </w:tc>
        <w:tc>
          <w:tcPr>
            <w:tcW w:w="1852" w:type="dxa"/>
            <w:noWrap w:val="0"/>
            <w:vAlign w:val="center"/>
          </w:tcPr>
          <w:p w14:paraId="2F705F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eastAsia" w:eastAsia="宋体" w:cs="Times New Roman"/>
                <w:color w:val="auto"/>
                <w:sz w:val="21"/>
                <w:szCs w:val="21"/>
                <w:highlight w:val="none"/>
                <w:lang w:val="en-US" w:eastAsia="zh-CN"/>
              </w:rPr>
              <w:t>居民，约200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1249C4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w:t>
            </w:r>
          </w:p>
        </w:tc>
        <w:tc>
          <w:tcPr>
            <w:tcW w:w="1129" w:type="dxa"/>
            <w:noWrap w:val="0"/>
            <w:vAlign w:val="center"/>
          </w:tcPr>
          <w:p w14:paraId="3C2D3BE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1394</w:t>
            </w:r>
          </w:p>
        </w:tc>
      </w:tr>
      <w:tr w14:paraId="0F06C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532507E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7970A5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106°10′12.067″</w:t>
            </w:r>
          </w:p>
        </w:tc>
        <w:tc>
          <w:tcPr>
            <w:tcW w:w="1603" w:type="dxa"/>
            <w:noWrap w:val="0"/>
            <w:vAlign w:val="center"/>
          </w:tcPr>
          <w:p w14:paraId="34A90C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35°59′33.595″</w:t>
            </w:r>
          </w:p>
        </w:tc>
        <w:tc>
          <w:tcPr>
            <w:tcW w:w="956" w:type="dxa"/>
            <w:noWrap w:val="0"/>
            <w:vAlign w:val="center"/>
          </w:tcPr>
          <w:p w14:paraId="260062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孙家庄</w:t>
            </w:r>
          </w:p>
        </w:tc>
        <w:tc>
          <w:tcPr>
            <w:tcW w:w="1852" w:type="dxa"/>
            <w:noWrap w:val="0"/>
            <w:vAlign w:val="center"/>
          </w:tcPr>
          <w:p w14:paraId="698AF5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eastAsia" w:eastAsia="宋体" w:cs="Times New Roman"/>
                <w:color w:val="auto"/>
                <w:sz w:val="21"/>
                <w:szCs w:val="21"/>
                <w:highlight w:val="none"/>
                <w:lang w:val="en-US" w:eastAsia="zh-CN"/>
              </w:rPr>
              <w:t>居民，约350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16837D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SW</w:t>
            </w:r>
          </w:p>
        </w:tc>
        <w:tc>
          <w:tcPr>
            <w:tcW w:w="1129" w:type="dxa"/>
            <w:noWrap w:val="0"/>
            <w:vAlign w:val="center"/>
          </w:tcPr>
          <w:p w14:paraId="46765C5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1800</w:t>
            </w:r>
          </w:p>
        </w:tc>
      </w:tr>
      <w:tr w14:paraId="2C212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11E0687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0EDCF2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106°11′6.758″</w:t>
            </w:r>
          </w:p>
        </w:tc>
        <w:tc>
          <w:tcPr>
            <w:tcW w:w="1603" w:type="dxa"/>
            <w:noWrap w:val="0"/>
            <w:vAlign w:val="center"/>
          </w:tcPr>
          <w:p w14:paraId="08B4AD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35°58′53.812″</w:t>
            </w:r>
          </w:p>
        </w:tc>
        <w:tc>
          <w:tcPr>
            <w:tcW w:w="956" w:type="dxa"/>
            <w:noWrap w:val="0"/>
            <w:vAlign w:val="center"/>
          </w:tcPr>
          <w:p w14:paraId="59B9CA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吴庄村</w:t>
            </w:r>
          </w:p>
        </w:tc>
        <w:tc>
          <w:tcPr>
            <w:tcW w:w="1852" w:type="dxa"/>
            <w:noWrap w:val="0"/>
            <w:vAlign w:val="center"/>
          </w:tcPr>
          <w:p w14:paraId="560FAB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eastAsia" w:eastAsia="宋体" w:cs="Times New Roman"/>
                <w:color w:val="auto"/>
                <w:sz w:val="21"/>
                <w:szCs w:val="21"/>
                <w:highlight w:val="none"/>
                <w:lang w:val="en-US" w:eastAsia="zh-CN"/>
              </w:rPr>
              <w:t>居民，约2000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30DC65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w:t>
            </w:r>
          </w:p>
        </w:tc>
        <w:tc>
          <w:tcPr>
            <w:tcW w:w="1129" w:type="dxa"/>
            <w:noWrap w:val="0"/>
            <w:vAlign w:val="center"/>
          </w:tcPr>
          <w:p w14:paraId="42CA5244">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2110</w:t>
            </w:r>
          </w:p>
        </w:tc>
      </w:tr>
      <w:tr w14:paraId="7DF42E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42CA420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2DA4B7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106°11′47.661″</w:t>
            </w:r>
          </w:p>
        </w:tc>
        <w:tc>
          <w:tcPr>
            <w:tcW w:w="1603" w:type="dxa"/>
            <w:noWrap w:val="0"/>
            <w:vAlign w:val="center"/>
          </w:tcPr>
          <w:p w14:paraId="255748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36°0′7.197″</w:t>
            </w:r>
          </w:p>
        </w:tc>
        <w:tc>
          <w:tcPr>
            <w:tcW w:w="956" w:type="dxa"/>
            <w:noWrap w:val="0"/>
            <w:vAlign w:val="center"/>
          </w:tcPr>
          <w:p w14:paraId="5596E1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上苦</w:t>
            </w:r>
          </w:p>
          <w:p w14:paraId="405A76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井儿</w:t>
            </w:r>
          </w:p>
        </w:tc>
        <w:tc>
          <w:tcPr>
            <w:tcW w:w="1852" w:type="dxa"/>
            <w:noWrap w:val="0"/>
            <w:vAlign w:val="center"/>
          </w:tcPr>
          <w:p w14:paraId="7BE340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居民，约600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7AE626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E</w:t>
            </w:r>
          </w:p>
        </w:tc>
        <w:tc>
          <w:tcPr>
            <w:tcW w:w="1129" w:type="dxa"/>
            <w:noWrap w:val="0"/>
            <w:vAlign w:val="center"/>
          </w:tcPr>
          <w:p w14:paraId="2A532AE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400</w:t>
            </w:r>
          </w:p>
        </w:tc>
      </w:tr>
      <w:tr w14:paraId="0B2AF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7D35F63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49F57B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106°11′36.228″</w:t>
            </w:r>
          </w:p>
        </w:tc>
        <w:tc>
          <w:tcPr>
            <w:tcW w:w="1603" w:type="dxa"/>
            <w:noWrap w:val="0"/>
            <w:vAlign w:val="center"/>
          </w:tcPr>
          <w:p w14:paraId="6EF1D6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36°0′6.966″</w:t>
            </w:r>
          </w:p>
        </w:tc>
        <w:tc>
          <w:tcPr>
            <w:tcW w:w="956" w:type="dxa"/>
            <w:noWrap w:val="0"/>
            <w:vAlign w:val="center"/>
          </w:tcPr>
          <w:p w14:paraId="2A6293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苦井村</w:t>
            </w:r>
          </w:p>
        </w:tc>
        <w:tc>
          <w:tcPr>
            <w:tcW w:w="1852" w:type="dxa"/>
            <w:noWrap w:val="0"/>
            <w:vAlign w:val="center"/>
          </w:tcPr>
          <w:p w14:paraId="6C8E6E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居民，约1200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71B2DF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E</w:t>
            </w:r>
          </w:p>
        </w:tc>
        <w:tc>
          <w:tcPr>
            <w:tcW w:w="1129" w:type="dxa"/>
            <w:noWrap w:val="0"/>
            <w:vAlign w:val="center"/>
          </w:tcPr>
          <w:p w14:paraId="24E7CA6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650</w:t>
            </w:r>
          </w:p>
        </w:tc>
      </w:tr>
      <w:tr w14:paraId="6FE05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7A93DF9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69B6BD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106°12′1.367″</w:t>
            </w:r>
          </w:p>
        </w:tc>
        <w:tc>
          <w:tcPr>
            <w:tcW w:w="1603" w:type="dxa"/>
            <w:noWrap w:val="0"/>
            <w:vAlign w:val="center"/>
          </w:tcPr>
          <w:p w14:paraId="3DFE38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36°0′19.591″</w:t>
            </w:r>
          </w:p>
        </w:tc>
        <w:tc>
          <w:tcPr>
            <w:tcW w:w="956" w:type="dxa"/>
            <w:noWrap w:val="0"/>
            <w:vAlign w:val="center"/>
          </w:tcPr>
          <w:p w14:paraId="502D66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下苦</w:t>
            </w:r>
          </w:p>
          <w:p w14:paraId="379CE2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井儿</w:t>
            </w:r>
          </w:p>
        </w:tc>
        <w:tc>
          <w:tcPr>
            <w:tcW w:w="1852" w:type="dxa"/>
            <w:noWrap w:val="0"/>
            <w:vAlign w:val="center"/>
          </w:tcPr>
          <w:p w14:paraId="46A7E7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居民，约500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2C5757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E</w:t>
            </w:r>
          </w:p>
        </w:tc>
        <w:tc>
          <w:tcPr>
            <w:tcW w:w="1129" w:type="dxa"/>
            <w:noWrap w:val="0"/>
            <w:vAlign w:val="center"/>
          </w:tcPr>
          <w:p w14:paraId="185CEF8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1260</w:t>
            </w:r>
          </w:p>
        </w:tc>
      </w:tr>
      <w:tr w14:paraId="74BC2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4061BEB6">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4028DB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106°12′20.839″</w:t>
            </w:r>
          </w:p>
        </w:tc>
        <w:tc>
          <w:tcPr>
            <w:tcW w:w="1603" w:type="dxa"/>
            <w:noWrap w:val="0"/>
            <w:vAlign w:val="center"/>
          </w:tcPr>
          <w:p w14:paraId="72B0D3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35°59′9.687″</w:t>
            </w:r>
          </w:p>
        </w:tc>
        <w:tc>
          <w:tcPr>
            <w:tcW w:w="956" w:type="dxa"/>
            <w:noWrap w:val="0"/>
            <w:vAlign w:val="center"/>
          </w:tcPr>
          <w:p w14:paraId="3C4FA4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深沟村</w:t>
            </w:r>
          </w:p>
        </w:tc>
        <w:tc>
          <w:tcPr>
            <w:tcW w:w="1852" w:type="dxa"/>
            <w:noWrap w:val="0"/>
            <w:vAlign w:val="center"/>
          </w:tcPr>
          <w:p w14:paraId="50224C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居民，约2800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1911F0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SE</w:t>
            </w:r>
          </w:p>
        </w:tc>
        <w:tc>
          <w:tcPr>
            <w:tcW w:w="1129" w:type="dxa"/>
            <w:noWrap w:val="0"/>
            <w:vAlign w:val="center"/>
          </w:tcPr>
          <w:p w14:paraId="714D87A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2280</w:t>
            </w:r>
          </w:p>
        </w:tc>
      </w:tr>
      <w:tr w14:paraId="3ECA9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2B364FE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79970A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106°10′34.932″</w:t>
            </w:r>
          </w:p>
        </w:tc>
        <w:tc>
          <w:tcPr>
            <w:tcW w:w="1603" w:type="dxa"/>
            <w:noWrap w:val="0"/>
            <w:vAlign w:val="center"/>
          </w:tcPr>
          <w:p w14:paraId="7C54B4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36°1′27.187″</w:t>
            </w:r>
          </w:p>
        </w:tc>
        <w:tc>
          <w:tcPr>
            <w:tcW w:w="956" w:type="dxa"/>
            <w:noWrap w:val="0"/>
            <w:vAlign w:val="center"/>
          </w:tcPr>
          <w:p w14:paraId="4B662C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中河村</w:t>
            </w:r>
          </w:p>
        </w:tc>
        <w:tc>
          <w:tcPr>
            <w:tcW w:w="1852" w:type="dxa"/>
            <w:noWrap w:val="0"/>
            <w:vAlign w:val="center"/>
          </w:tcPr>
          <w:p w14:paraId="0F444F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居民，约3200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2A1C1F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NW</w:t>
            </w:r>
          </w:p>
        </w:tc>
        <w:tc>
          <w:tcPr>
            <w:tcW w:w="1129" w:type="dxa"/>
            <w:noWrap w:val="0"/>
            <w:vAlign w:val="center"/>
          </w:tcPr>
          <w:p w14:paraId="45B96A5D">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1900</w:t>
            </w:r>
          </w:p>
        </w:tc>
      </w:tr>
      <w:tr w14:paraId="02F1B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1DFC266A">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62BB6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106°11′26.090″</w:t>
            </w:r>
          </w:p>
        </w:tc>
        <w:tc>
          <w:tcPr>
            <w:tcW w:w="1603" w:type="dxa"/>
            <w:noWrap w:val="0"/>
            <w:vAlign w:val="center"/>
          </w:tcPr>
          <w:p w14:paraId="3A65E6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36°1′32.479″</w:t>
            </w:r>
          </w:p>
        </w:tc>
        <w:tc>
          <w:tcPr>
            <w:tcW w:w="956" w:type="dxa"/>
            <w:noWrap w:val="0"/>
            <w:vAlign w:val="center"/>
          </w:tcPr>
          <w:p w14:paraId="769284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大营城</w:t>
            </w:r>
          </w:p>
        </w:tc>
        <w:tc>
          <w:tcPr>
            <w:tcW w:w="1852" w:type="dxa"/>
            <w:noWrap w:val="0"/>
            <w:vAlign w:val="center"/>
          </w:tcPr>
          <w:p w14:paraId="7CB712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895" w:type="dxa"/>
            <w:noWrap w:val="0"/>
            <w:vAlign w:val="center"/>
          </w:tcPr>
          <w:p w14:paraId="03BC38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N</w:t>
            </w:r>
          </w:p>
        </w:tc>
        <w:tc>
          <w:tcPr>
            <w:tcW w:w="1129" w:type="dxa"/>
            <w:noWrap w:val="0"/>
            <w:vAlign w:val="center"/>
          </w:tcPr>
          <w:p w14:paraId="7A3A2C98">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2300</w:t>
            </w:r>
          </w:p>
        </w:tc>
      </w:tr>
      <w:tr w14:paraId="28253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452E5432">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1DEB86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106°12′24.798″</w:t>
            </w:r>
          </w:p>
        </w:tc>
        <w:tc>
          <w:tcPr>
            <w:tcW w:w="1603" w:type="dxa"/>
            <w:noWrap w:val="0"/>
            <w:vAlign w:val="center"/>
          </w:tcPr>
          <w:p w14:paraId="1A2B51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36°1′29.698″</w:t>
            </w:r>
          </w:p>
        </w:tc>
        <w:tc>
          <w:tcPr>
            <w:tcW w:w="956" w:type="dxa"/>
            <w:noWrap w:val="0"/>
            <w:vAlign w:val="center"/>
          </w:tcPr>
          <w:p w14:paraId="742F05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庙湾村</w:t>
            </w:r>
          </w:p>
        </w:tc>
        <w:tc>
          <w:tcPr>
            <w:tcW w:w="1852" w:type="dxa"/>
            <w:noWrap w:val="0"/>
            <w:vAlign w:val="center"/>
          </w:tcPr>
          <w:p w14:paraId="60B324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居民，约3500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26DA7D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NE</w:t>
            </w:r>
          </w:p>
        </w:tc>
        <w:tc>
          <w:tcPr>
            <w:tcW w:w="1129" w:type="dxa"/>
            <w:noWrap w:val="0"/>
            <w:vAlign w:val="center"/>
          </w:tcPr>
          <w:p w14:paraId="59A546F9">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2200</w:t>
            </w:r>
          </w:p>
        </w:tc>
      </w:tr>
      <w:tr w14:paraId="28EDA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3705CBF3">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56C099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106°9′42.424″</w:t>
            </w:r>
          </w:p>
        </w:tc>
        <w:tc>
          <w:tcPr>
            <w:tcW w:w="1603" w:type="dxa"/>
            <w:noWrap w:val="0"/>
            <w:vAlign w:val="center"/>
          </w:tcPr>
          <w:p w14:paraId="6F1A42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35°59′35.371″</w:t>
            </w:r>
          </w:p>
        </w:tc>
        <w:tc>
          <w:tcPr>
            <w:tcW w:w="956" w:type="dxa"/>
            <w:noWrap w:val="0"/>
            <w:vAlign w:val="center"/>
          </w:tcPr>
          <w:p w14:paraId="29A0E7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后磨河</w:t>
            </w:r>
          </w:p>
        </w:tc>
        <w:tc>
          <w:tcPr>
            <w:tcW w:w="1852" w:type="dxa"/>
            <w:noWrap w:val="0"/>
            <w:vAlign w:val="center"/>
          </w:tcPr>
          <w:p w14:paraId="3BA4FD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居民，约120</w:t>
            </w:r>
            <w:r>
              <w:rPr>
                <w:rFonts w:hint="eastAsia" w:eastAsia="宋体" w:cs="Times New Roman"/>
                <w:color w:val="auto"/>
                <w:spacing w:val="-1"/>
                <w:sz w:val="21"/>
                <w:szCs w:val="21"/>
                <w:highlight w:val="none"/>
                <w:lang w:val="en-US" w:eastAsia="zh-CN"/>
              </w:rPr>
              <w:t>户</w:t>
            </w:r>
          </w:p>
        </w:tc>
        <w:tc>
          <w:tcPr>
            <w:tcW w:w="895" w:type="dxa"/>
            <w:noWrap w:val="0"/>
            <w:vAlign w:val="center"/>
          </w:tcPr>
          <w:p w14:paraId="25F253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SW</w:t>
            </w:r>
          </w:p>
        </w:tc>
        <w:tc>
          <w:tcPr>
            <w:tcW w:w="1129" w:type="dxa"/>
            <w:noWrap w:val="0"/>
            <w:vAlign w:val="center"/>
          </w:tcPr>
          <w:p w14:paraId="6430F705">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2479</w:t>
            </w:r>
          </w:p>
        </w:tc>
      </w:tr>
      <w:tr w14:paraId="758B2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4" w:type="dxa"/>
            <w:vMerge w:val="continue"/>
            <w:noWrap w:val="0"/>
            <w:vAlign w:val="center"/>
          </w:tcPr>
          <w:p w14:paraId="292D0637">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59" w:type="dxa"/>
            <w:noWrap w:val="0"/>
            <w:vAlign w:val="center"/>
          </w:tcPr>
          <w:p w14:paraId="2E523B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106°12′39.841″</w:t>
            </w:r>
          </w:p>
        </w:tc>
        <w:tc>
          <w:tcPr>
            <w:tcW w:w="1603" w:type="dxa"/>
            <w:noWrap w:val="0"/>
            <w:vAlign w:val="center"/>
          </w:tcPr>
          <w:p w14:paraId="6EA523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36°0′34.195″</w:t>
            </w:r>
          </w:p>
        </w:tc>
        <w:tc>
          <w:tcPr>
            <w:tcW w:w="956" w:type="dxa"/>
            <w:noWrap w:val="0"/>
            <w:vAlign w:val="center"/>
          </w:tcPr>
          <w:p w14:paraId="7ADFD4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长城村</w:t>
            </w:r>
          </w:p>
        </w:tc>
        <w:tc>
          <w:tcPr>
            <w:tcW w:w="1852" w:type="dxa"/>
            <w:noWrap w:val="0"/>
            <w:vAlign w:val="center"/>
          </w:tcPr>
          <w:p w14:paraId="20BD8E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居民，约150户</w:t>
            </w:r>
          </w:p>
        </w:tc>
        <w:tc>
          <w:tcPr>
            <w:tcW w:w="895" w:type="dxa"/>
            <w:noWrap w:val="0"/>
            <w:vAlign w:val="center"/>
          </w:tcPr>
          <w:p w14:paraId="26256F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E</w:t>
            </w:r>
          </w:p>
        </w:tc>
        <w:tc>
          <w:tcPr>
            <w:tcW w:w="1129" w:type="dxa"/>
            <w:noWrap w:val="0"/>
            <w:vAlign w:val="center"/>
          </w:tcPr>
          <w:p w14:paraId="5710BDFF">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1920</w:t>
            </w:r>
          </w:p>
        </w:tc>
      </w:tr>
    </w:tbl>
    <w:p w14:paraId="6A3CA1A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r>
        <w:rPr>
          <w:rFonts w:hint="default" w:ascii="Times New Roman" w:hAnsi="Times New Roman" w:eastAsia="黑体" w:cs="Times New Roman"/>
          <w:b/>
          <w:color w:val="auto"/>
          <w:sz w:val="28"/>
          <w:szCs w:val="28"/>
          <w:highlight w:val="none"/>
          <w:lang w:val="en-US" w:eastAsia="zh-CN"/>
        </w:rPr>
        <w:t>5.6.5环境风险物质识别</w:t>
      </w:r>
    </w:p>
    <w:p w14:paraId="3638E95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风险识别主要包括物质危险性识别、生产系统危险性识别和危险物质向环境转移的途径识别。</w:t>
      </w:r>
    </w:p>
    <w:p w14:paraId="38CE6945">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5.6.5.1物质危险性单元识别</w:t>
      </w:r>
    </w:p>
    <w:p w14:paraId="3A1259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项目工程特征和危险物质特性识别结果，主要风险物质为</w:t>
      </w:r>
      <w:r>
        <w:rPr>
          <w:rFonts w:hint="default" w:ascii="Times New Roman" w:hAnsi="Times New Roman" w:eastAsia="仿宋_GB2312" w:cs="Times New Roman"/>
          <w:color w:val="auto"/>
          <w:sz w:val="24"/>
          <w:szCs w:val="24"/>
          <w:highlight w:val="none"/>
          <w:lang w:eastAsia="zh-CN"/>
        </w:rPr>
        <w:t>过氧乙酸</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eastAsia="zh-CN"/>
        </w:rPr>
        <w:t>次氯酸钠</w:t>
      </w:r>
      <w:r>
        <w:rPr>
          <w:rFonts w:hint="eastAsia" w:cs="Times New Roman"/>
          <w:color w:val="auto"/>
          <w:sz w:val="24"/>
          <w:szCs w:val="24"/>
          <w:highlight w:val="none"/>
          <w:lang w:val="en-US" w:eastAsia="zh-CN"/>
        </w:rPr>
        <w:t>及废机油</w:t>
      </w:r>
      <w:r>
        <w:rPr>
          <w:rFonts w:hint="default" w:ascii="Times New Roman" w:hAnsi="Times New Roman" w:eastAsia="仿宋_GB2312" w:cs="Times New Roman"/>
          <w:color w:val="auto"/>
          <w:sz w:val="24"/>
          <w:szCs w:val="24"/>
          <w:highlight w:val="none"/>
        </w:rPr>
        <w:t>，主要风险事故类型为易燃风险</w:t>
      </w:r>
      <w:r>
        <w:rPr>
          <w:rFonts w:hint="default" w:ascii="Times New Roman" w:hAnsi="Times New Roman" w:eastAsia="仿宋_GB2312" w:cs="Times New Roman"/>
          <w:color w:val="auto"/>
          <w:sz w:val="24"/>
          <w:szCs w:val="24"/>
          <w:highlight w:val="none"/>
          <w:lang w:eastAsia="zh-CN"/>
        </w:rPr>
        <w:t>物质、腐蚀性物质、</w:t>
      </w:r>
      <w:r>
        <w:rPr>
          <w:rFonts w:hint="default" w:ascii="Times New Roman" w:hAnsi="Times New Roman" w:eastAsia="仿宋_GB2312" w:cs="Times New Roman"/>
          <w:color w:val="auto"/>
          <w:sz w:val="24"/>
          <w:szCs w:val="24"/>
          <w:highlight w:val="none"/>
        </w:rPr>
        <w:t>毒性物质，火灾和爆炸伴生/次生物等。</w:t>
      </w:r>
    </w:p>
    <w:p w14:paraId="4920E30C">
      <w:pPr>
        <w:adjustRightInd w:val="0"/>
        <w:snapToGrid w:val="0"/>
        <w:spacing w:line="360" w:lineRule="auto"/>
        <w:ind w:firstLine="480" w:firstLine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根据本项目特点，在运营过程中发生可能造成环境风险的因素主要有以下三方面：</w:t>
      </w:r>
    </w:p>
    <w:p w14:paraId="5F78C2CB">
      <w:pPr>
        <w:bidi w:val="0"/>
        <w:rPr>
          <w:rFonts w:hint="default" w:ascii="Times New Roman" w:hAnsi="Times New Roman" w:eastAsia="仿宋_GB2312" w:cs="Times New Roman"/>
          <w:color w:val="auto"/>
          <w:spacing w:val="0"/>
          <w:kern w:val="24"/>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default" w:ascii="Times New Roman" w:hAnsi="Times New Roman" w:eastAsia="仿宋_GB2312" w:cs="Times New Roman"/>
          <w:color w:val="auto"/>
          <w:kern w:val="24"/>
          <w:sz w:val="24"/>
          <w:highlight w:val="none"/>
        </w:rPr>
        <w:t>生产系统风险分析</w:t>
      </w:r>
    </w:p>
    <w:p w14:paraId="4667B033">
      <w:pPr>
        <w:bidi w:val="0"/>
        <w:rPr>
          <w:rFonts w:hint="default" w:ascii="Times New Roman" w:hAnsi="Times New Roman" w:eastAsia="仿宋_GB2312" w:cs="Times New Roman"/>
          <w:color w:val="auto"/>
          <w:spacing w:val="0"/>
          <w:kern w:val="24"/>
          <w:sz w:val="24"/>
          <w:highlight w:val="none"/>
        </w:rPr>
      </w:pPr>
      <w:r>
        <w:rPr>
          <w:rFonts w:hint="eastAsia" w:ascii="Times New Roman" w:hAnsi="Times New Roman" w:cs="Times New Roman"/>
          <w:color w:val="auto"/>
          <w:spacing w:val="0"/>
          <w:kern w:val="24"/>
          <w:sz w:val="24"/>
          <w:highlight w:val="none"/>
          <w:lang w:val="en-US" w:eastAsia="zh-CN"/>
        </w:rPr>
        <w:t>牛、羊</w:t>
      </w:r>
      <w:r>
        <w:rPr>
          <w:rFonts w:hint="default" w:ascii="Times New Roman" w:hAnsi="Times New Roman" w:eastAsia="仿宋_GB2312" w:cs="Times New Roman"/>
          <w:color w:val="auto"/>
          <w:spacing w:val="0"/>
          <w:kern w:val="24"/>
          <w:sz w:val="24"/>
          <w:highlight w:val="none"/>
        </w:rPr>
        <w:t>屠宰过程中，产生的粪污如果处理不当，渗入地下，对区域地下水环境造成污染隐患，具有一定的环境风险。</w:t>
      </w:r>
    </w:p>
    <w:p w14:paraId="717722D5">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本项目生产过程中使用的消毒剂过氧乙酸为易燃风险物质，易燃，加热至100℃时即猛烈分解，遇火或受热、受震都可起爆。与还原剂、促进剂、有机物、可燃物等接触剧烈反应，有燃烧爆炸的危险；次氯酸钠具有腐蚀性，发生泄漏后会对环境空气造成污染，人体吸入后会对身体造成危害。</w:t>
      </w:r>
    </w:p>
    <w:p w14:paraId="735F9230">
      <w:pPr>
        <w:bidi w:val="0"/>
        <w:rPr>
          <w:rFonts w:hint="default" w:ascii="Times New Roman" w:hAnsi="Times New Roman" w:eastAsia="仿宋_GB2312" w:cs="Times New Roman"/>
          <w:color w:val="auto"/>
          <w:spacing w:val="0"/>
          <w:kern w:val="24"/>
          <w:sz w:val="24"/>
          <w:highlight w:val="none"/>
        </w:rPr>
      </w:pPr>
      <w:r>
        <w:rPr>
          <w:rFonts w:hint="eastAsia" w:ascii="Times New Roman" w:hAnsi="Times New Roman" w:cs="Times New Roman"/>
          <w:color w:val="auto"/>
          <w:spacing w:val="0"/>
          <w:kern w:val="24"/>
          <w:sz w:val="24"/>
          <w:highlight w:val="none"/>
          <w:lang w:eastAsia="zh-CN"/>
        </w:rPr>
        <w:t>（</w:t>
      </w:r>
      <w:r>
        <w:rPr>
          <w:rFonts w:hint="eastAsia" w:ascii="Times New Roman" w:hAnsi="Times New Roman" w:cs="Times New Roman"/>
          <w:color w:val="auto"/>
          <w:spacing w:val="0"/>
          <w:kern w:val="24"/>
          <w:sz w:val="24"/>
          <w:highlight w:val="none"/>
          <w:lang w:val="en-US" w:eastAsia="zh-CN"/>
        </w:rPr>
        <w:t>2</w:t>
      </w:r>
      <w:r>
        <w:rPr>
          <w:rFonts w:hint="eastAsia" w:ascii="Times New Roman" w:hAnsi="Times New Roman" w:cs="Times New Roman"/>
          <w:color w:val="auto"/>
          <w:spacing w:val="0"/>
          <w:kern w:val="24"/>
          <w:sz w:val="24"/>
          <w:highlight w:val="none"/>
          <w:lang w:eastAsia="zh-CN"/>
        </w:rPr>
        <w:t>）</w:t>
      </w:r>
      <w:r>
        <w:rPr>
          <w:rFonts w:hint="default" w:ascii="Times New Roman" w:hAnsi="Times New Roman" w:eastAsia="仿宋_GB2312" w:cs="Times New Roman"/>
          <w:color w:val="auto"/>
          <w:spacing w:val="0"/>
          <w:kern w:val="24"/>
          <w:sz w:val="24"/>
          <w:highlight w:val="none"/>
        </w:rPr>
        <w:t>环保工程风险分析</w:t>
      </w:r>
    </w:p>
    <w:p w14:paraId="66B9A83D">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项目厂区污水处理站、化粪池防渗设施发生故障，废水渗入地下；污水处理站</w:t>
      </w:r>
      <w:r>
        <w:rPr>
          <w:rFonts w:hint="eastAsia" w:ascii="Times New Roman" w:hAnsi="Times New Roman" w:cs="Times New Roman"/>
          <w:color w:val="auto"/>
          <w:spacing w:val="0"/>
          <w:kern w:val="24"/>
          <w:sz w:val="24"/>
          <w:highlight w:val="none"/>
          <w:lang w:val="en-US" w:eastAsia="zh-CN"/>
        </w:rPr>
        <w:t>及屠宰加工车间</w:t>
      </w:r>
      <w:r>
        <w:rPr>
          <w:rFonts w:hint="default" w:ascii="Times New Roman" w:hAnsi="Times New Roman" w:eastAsia="仿宋_GB2312" w:cs="Times New Roman"/>
          <w:color w:val="auto"/>
          <w:spacing w:val="0"/>
          <w:kern w:val="24"/>
          <w:sz w:val="24"/>
          <w:highlight w:val="none"/>
        </w:rPr>
        <w:t>废气处理设施发生故障，废气超标排放</w:t>
      </w:r>
      <w:r>
        <w:rPr>
          <w:rFonts w:hint="eastAsia" w:cs="Times New Roman"/>
          <w:color w:val="auto"/>
          <w:spacing w:val="0"/>
          <w:kern w:val="24"/>
          <w:sz w:val="24"/>
          <w:highlight w:val="none"/>
          <w:lang w:eastAsia="zh-CN"/>
        </w:rPr>
        <w:t>；</w:t>
      </w:r>
      <w:r>
        <w:rPr>
          <w:rFonts w:hint="eastAsia" w:cs="Times New Roman"/>
          <w:color w:val="auto"/>
          <w:spacing w:val="0"/>
          <w:kern w:val="24"/>
          <w:sz w:val="24"/>
          <w:highlight w:val="none"/>
          <w:lang w:val="en-US" w:eastAsia="zh-CN"/>
        </w:rPr>
        <w:t>废机油存放不当，</w:t>
      </w:r>
      <w:r>
        <w:rPr>
          <w:rFonts w:hint="eastAsia"/>
          <w:color w:val="auto"/>
          <w:lang w:val="en-US" w:eastAsia="zh-CN"/>
        </w:rPr>
        <w:t>危废贮存库</w:t>
      </w:r>
      <w:r>
        <w:rPr>
          <w:rFonts w:hint="eastAsia" w:cs="Times New Roman"/>
          <w:color w:val="auto"/>
          <w:spacing w:val="0"/>
          <w:kern w:val="24"/>
          <w:sz w:val="24"/>
          <w:highlight w:val="none"/>
          <w:lang w:val="en-US" w:eastAsia="zh-CN"/>
        </w:rPr>
        <w:t>发生渗漏，导致地下水污染</w:t>
      </w:r>
      <w:r>
        <w:rPr>
          <w:rFonts w:hint="default" w:ascii="Times New Roman" w:hAnsi="Times New Roman" w:eastAsia="仿宋_GB2312" w:cs="Times New Roman"/>
          <w:color w:val="auto"/>
          <w:spacing w:val="0"/>
          <w:kern w:val="24"/>
          <w:sz w:val="24"/>
          <w:highlight w:val="none"/>
        </w:rPr>
        <w:t>。</w:t>
      </w:r>
    </w:p>
    <w:p w14:paraId="4B8C777D">
      <w:pPr>
        <w:bidi w:val="0"/>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根据《建设项目环境风险评价技术导则》（HJ169-2018）附录B和前述的危险物质识别结果及分布区域见表5.6-6。</w:t>
      </w:r>
    </w:p>
    <w:p w14:paraId="79277180">
      <w:pPr>
        <w:tabs>
          <w:tab w:val="left" w:pos="1843"/>
        </w:tabs>
        <w:adjustRightInd w:val="0"/>
        <w:snapToGrid w:val="0"/>
        <w:spacing w:line="240" w:lineRule="auto"/>
        <w:ind w:firstLine="525" w:firstLineChars="250"/>
        <w:jc w:val="both"/>
        <w:rPr>
          <w:rFonts w:hint="default" w:ascii="Times New Roman" w:hAnsi="Times New Roman" w:cs="Times New Roman"/>
          <w:b/>
          <w:color w:val="auto"/>
          <w:highlight w:val="none"/>
        </w:rPr>
      </w:pPr>
      <w:r>
        <w:rPr>
          <w:rFonts w:hint="default" w:ascii="Times New Roman" w:hAnsi="Times New Roman" w:eastAsia="宋体" w:cs="Times New Roman"/>
          <w:bCs/>
          <w:color w:val="auto"/>
          <w:kern w:val="2"/>
          <w:sz w:val="21"/>
          <w:szCs w:val="21"/>
          <w:highlight w:val="none"/>
          <w:lang w:val="en-US" w:eastAsia="zh-CN" w:bidi="ar-SA"/>
        </w:rPr>
        <w:t>表5.6-6</w:t>
      </w:r>
      <w:r>
        <w:rPr>
          <w:rFonts w:hint="eastAsia" w:ascii="Times New Roman" w:hAnsi="Times New Roman" w:eastAsia="宋体" w:cs="Times New Roman"/>
          <w:bCs/>
          <w:color w:val="auto"/>
          <w:kern w:val="2"/>
          <w:sz w:val="21"/>
          <w:szCs w:val="21"/>
          <w:highlight w:val="none"/>
          <w:lang w:val="en-US" w:eastAsia="zh-CN" w:bidi="ar-SA"/>
        </w:rPr>
        <w:t xml:space="preserve">          </w:t>
      </w:r>
      <w:r>
        <w:rPr>
          <w:rFonts w:hint="default" w:ascii="Times New Roman" w:hAnsi="Times New Roman" w:cs="Times New Roman"/>
          <w:b/>
          <w:color w:val="auto"/>
          <w:highlight w:val="none"/>
        </w:rPr>
        <w:t xml:space="preserve">  </w:t>
      </w:r>
      <w:r>
        <w:rPr>
          <w:rFonts w:hint="default" w:ascii="Times New Roman" w:hAnsi="Times New Roman" w:eastAsia="宋体" w:cs="Times New Roman"/>
          <w:b/>
          <w:bCs/>
          <w:color w:val="auto"/>
          <w:kern w:val="2"/>
          <w:sz w:val="24"/>
          <w:szCs w:val="24"/>
          <w:highlight w:val="none"/>
          <w:lang w:val="en-US" w:eastAsia="zh-CN" w:bidi="ar-SA"/>
        </w:rPr>
        <w:t>危险物质危险特性及分布一览表</w:t>
      </w:r>
    </w:p>
    <w:tbl>
      <w:tblPr>
        <w:tblStyle w:val="27"/>
        <w:tblW w:w="515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11"/>
        <w:gridCol w:w="1219"/>
        <w:gridCol w:w="1400"/>
        <w:gridCol w:w="1232"/>
        <w:gridCol w:w="1550"/>
        <w:gridCol w:w="905"/>
        <w:gridCol w:w="2024"/>
      </w:tblGrid>
      <w:tr w14:paraId="715BF5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09" w:type="dxa"/>
            <w:noWrap w:val="0"/>
            <w:vAlign w:val="center"/>
          </w:tcPr>
          <w:p w14:paraId="43A63B10">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系统</w:t>
            </w:r>
          </w:p>
        </w:tc>
        <w:tc>
          <w:tcPr>
            <w:tcW w:w="1215" w:type="dxa"/>
            <w:noWrap w:val="0"/>
            <w:vAlign w:val="center"/>
          </w:tcPr>
          <w:p w14:paraId="5C1A98D6">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危险单元</w:t>
            </w:r>
          </w:p>
        </w:tc>
        <w:tc>
          <w:tcPr>
            <w:tcW w:w="1395" w:type="dxa"/>
            <w:noWrap w:val="0"/>
            <w:vAlign w:val="center"/>
          </w:tcPr>
          <w:p w14:paraId="63271F27">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风险源</w:t>
            </w:r>
          </w:p>
        </w:tc>
        <w:tc>
          <w:tcPr>
            <w:tcW w:w="1228" w:type="dxa"/>
            <w:noWrap w:val="0"/>
            <w:vAlign w:val="center"/>
          </w:tcPr>
          <w:p w14:paraId="7CA5E34D">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主要危险</w:t>
            </w:r>
          </w:p>
          <w:p w14:paraId="28E73AAD">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物质</w:t>
            </w:r>
          </w:p>
        </w:tc>
        <w:tc>
          <w:tcPr>
            <w:tcW w:w="1545" w:type="dxa"/>
            <w:noWrap w:val="0"/>
            <w:vAlign w:val="center"/>
          </w:tcPr>
          <w:p w14:paraId="57346E5F">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环境风险</w:t>
            </w:r>
          </w:p>
          <w:p w14:paraId="375EC66F">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类型</w:t>
            </w:r>
          </w:p>
        </w:tc>
        <w:tc>
          <w:tcPr>
            <w:tcW w:w="902" w:type="dxa"/>
            <w:noWrap w:val="0"/>
            <w:vAlign w:val="center"/>
          </w:tcPr>
          <w:p w14:paraId="4071EB7B">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环境影</w:t>
            </w:r>
          </w:p>
          <w:p w14:paraId="1702736F">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响途径</w:t>
            </w:r>
          </w:p>
        </w:tc>
        <w:tc>
          <w:tcPr>
            <w:tcW w:w="2017" w:type="dxa"/>
            <w:noWrap w:val="0"/>
            <w:vAlign w:val="center"/>
          </w:tcPr>
          <w:p w14:paraId="3ACCEC9D">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可能受影响的</w:t>
            </w:r>
          </w:p>
          <w:p w14:paraId="5B8F8D79">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环境敏感目标</w:t>
            </w:r>
          </w:p>
        </w:tc>
      </w:tr>
      <w:tr w14:paraId="3CE08B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09" w:type="dxa"/>
            <w:vMerge w:val="restart"/>
            <w:noWrap w:val="0"/>
            <w:vAlign w:val="center"/>
          </w:tcPr>
          <w:p w14:paraId="6F51A776">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生产系统</w:t>
            </w:r>
          </w:p>
        </w:tc>
        <w:tc>
          <w:tcPr>
            <w:tcW w:w="1215" w:type="dxa"/>
            <w:vMerge w:val="restart"/>
            <w:noWrap w:val="0"/>
            <w:vAlign w:val="center"/>
          </w:tcPr>
          <w:p w14:paraId="0D42AB51">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屠宰</w:t>
            </w:r>
            <w:r>
              <w:rPr>
                <w:rFonts w:hint="eastAsia" w:ascii="Times New Roman" w:hAnsi="Times New Roman" w:eastAsia="宋体" w:cs="Times New Roman"/>
                <w:snapToGrid w:val="0"/>
                <w:color w:val="auto"/>
                <w:sz w:val="21"/>
                <w:szCs w:val="21"/>
                <w:highlight w:val="none"/>
                <w:lang w:val="en-US" w:eastAsia="zh-CN"/>
              </w:rPr>
              <w:t>加工</w:t>
            </w:r>
            <w:r>
              <w:rPr>
                <w:rFonts w:hint="default" w:ascii="Times New Roman" w:hAnsi="Times New Roman" w:eastAsia="宋体" w:cs="Times New Roman"/>
                <w:snapToGrid w:val="0"/>
                <w:color w:val="auto"/>
                <w:sz w:val="21"/>
                <w:szCs w:val="21"/>
                <w:highlight w:val="none"/>
                <w:lang w:eastAsia="zh-CN"/>
              </w:rPr>
              <w:t>车间</w:t>
            </w:r>
          </w:p>
        </w:tc>
        <w:tc>
          <w:tcPr>
            <w:tcW w:w="1395" w:type="dxa"/>
            <w:noWrap w:val="0"/>
            <w:vAlign w:val="center"/>
          </w:tcPr>
          <w:p w14:paraId="18F8AB0D">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屠宰车间、待宰圈</w:t>
            </w:r>
          </w:p>
        </w:tc>
        <w:tc>
          <w:tcPr>
            <w:tcW w:w="1228" w:type="dxa"/>
            <w:noWrap w:val="0"/>
            <w:vAlign w:val="center"/>
          </w:tcPr>
          <w:p w14:paraId="04C8E89B">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eastAsia="zh-CN"/>
              </w:rPr>
              <w:t>过氧乙酸</w:t>
            </w:r>
          </w:p>
        </w:tc>
        <w:tc>
          <w:tcPr>
            <w:tcW w:w="1545" w:type="dxa"/>
            <w:noWrap w:val="0"/>
            <w:vAlign w:val="center"/>
          </w:tcPr>
          <w:p w14:paraId="36DBD13C">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rPr>
              <w:t>火灾爆炸伴生/次生产物</w:t>
            </w:r>
          </w:p>
        </w:tc>
        <w:tc>
          <w:tcPr>
            <w:tcW w:w="902" w:type="dxa"/>
            <w:noWrap w:val="0"/>
            <w:vAlign w:val="center"/>
          </w:tcPr>
          <w:p w14:paraId="6AAB05F2">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snapToGrid w:val="0"/>
                <w:color w:val="auto"/>
                <w:kern w:val="0"/>
                <w:sz w:val="21"/>
                <w:szCs w:val="21"/>
                <w:highlight w:val="none"/>
              </w:rPr>
              <w:t>大气</w:t>
            </w:r>
          </w:p>
        </w:tc>
        <w:tc>
          <w:tcPr>
            <w:tcW w:w="2017" w:type="dxa"/>
            <w:vMerge w:val="restart"/>
            <w:noWrap w:val="0"/>
            <w:vAlign w:val="center"/>
          </w:tcPr>
          <w:p w14:paraId="098223ED">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油坊沟村、</w:t>
            </w:r>
            <w:r>
              <w:rPr>
                <w:rFonts w:hint="eastAsia" w:eastAsia="宋体" w:cs="Times New Roman"/>
                <w:color w:val="auto"/>
                <w:sz w:val="21"/>
                <w:szCs w:val="21"/>
                <w:highlight w:val="none"/>
                <w:lang w:val="en-US" w:eastAsia="zh-CN"/>
              </w:rPr>
              <w:t>上潘家庄、潘家庄、下潘家庄、孙家庄、吴庄村、上苦井儿、苦井村、下苦井儿、深沟村、徐家坡、中河村、大营城、庙湾村、后磨河、长城村</w:t>
            </w:r>
          </w:p>
        </w:tc>
      </w:tr>
      <w:tr w14:paraId="5F8414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09" w:type="dxa"/>
            <w:vMerge w:val="continue"/>
            <w:noWrap w:val="0"/>
            <w:vAlign w:val="center"/>
          </w:tcPr>
          <w:p w14:paraId="234A52D8">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1215" w:type="dxa"/>
            <w:vMerge w:val="continue"/>
            <w:noWrap w:val="0"/>
            <w:vAlign w:val="center"/>
          </w:tcPr>
          <w:p w14:paraId="5C37E38A">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p>
        </w:tc>
        <w:tc>
          <w:tcPr>
            <w:tcW w:w="1395" w:type="dxa"/>
            <w:noWrap w:val="0"/>
            <w:vAlign w:val="center"/>
          </w:tcPr>
          <w:p w14:paraId="68CD4C70">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危废贮存库</w:t>
            </w:r>
          </w:p>
        </w:tc>
        <w:tc>
          <w:tcPr>
            <w:tcW w:w="1228" w:type="dxa"/>
            <w:noWrap w:val="0"/>
            <w:vAlign w:val="center"/>
          </w:tcPr>
          <w:p w14:paraId="5DAD6376">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eastAsia="宋体" w:cs="Times New Roman"/>
                <w:snapToGrid w:val="0"/>
                <w:color w:val="auto"/>
                <w:sz w:val="21"/>
                <w:szCs w:val="21"/>
                <w:highlight w:val="none"/>
                <w:lang w:val="en-US" w:eastAsia="zh-CN"/>
              </w:rPr>
              <w:t>废机油</w:t>
            </w:r>
          </w:p>
        </w:tc>
        <w:tc>
          <w:tcPr>
            <w:tcW w:w="1545" w:type="dxa"/>
            <w:noWrap w:val="0"/>
            <w:vAlign w:val="center"/>
          </w:tcPr>
          <w:p w14:paraId="271A1298">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毒性物质</w:t>
            </w:r>
            <w:r>
              <w:rPr>
                <w:rFonts w:hint="eastAsia" w:eastAsia="宋体" w:cs="Times New Roman"/>
                <w:snapToGrid w:val="0"/>
                <w:color w:val="auto"/>
                <w:sz w:val="21"/>
                <w:szCs w:val="21"/>
                <w:highlight w:val="none"/>
                <w:lang w:eastAsia="zh-CN"/>
              </w:rPr>
              <w:t>泄漏</w:t>
            </w:r>
          </w:p>
        </w:tc>
        <w:tc>
          <w:tcPr>
            <w:tcW w:w="902" w:type="dxa"/>
            <w:noWrap w:val="0"/>
            <w:vAlign w:val="center"/>
          </w:tcPr>
          <w:p w14:paraId="0B59F2B4">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地下水</w:t>
            </w:r>
          </w:p>
        </w:tc>
        <w:tc>
          <w:tcPr>
            <w:tcW w:w="2017" w:type="dxa"/>
            <w:vMerge w:val="continue"/>
            <w:noWrap w:val="0"/>
            <w:vAlign w:val="center"/>
          </w:tcPr>
          <w:p w14:paraId="57351E46">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45E0EF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09" w:type="dxa"/>
            <w:vMerge w:val="restart"/>
            <w:noWrap w:val="0"/>
            <w:vAlign w:val="center"/>
          </w:tcPr>
          <w:p w14:paraId="76A30DC3">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环保工程</w:t>
            </w:r>
          </w:p>
        </w:tc>
        <w:tc>
          <w:tcPr>
            <w:tcW w:w="1215" w:type="dxa"/>
            <w:vMerge w:val="restart"/>
            <w:noWrap w:val="0"/>
            <w:vAlign w:val="center"/>
          </w:tcPr>
          <w:p w14:paraId="14CBB3B1">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污水处理区</w:t>
            </w:r>
          </w:p>
        </w:tc>
        <w:tc>
          <w:tcPr>
            <w:tcW w:w="1395" w:type="dxa"/>
            <w:vMerge w:val="restart"/>
            <w:noWrap w:val="0"/>
            <w:vAlign w:val="center"/>
          </w:tcPr>
          <w:p w14:paraId="0E974E9A">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污水处理站</w:t>
            </w:r>
          </w:p>
        </w:tc>
        <w:tc>
          <w:tcPr>
            <w:tcW w:w="1228" w:type="dxa"/>
            <w:noWrap w:val="0"/>
            <w:vAlign w:val="center"/>
          </w:tcPr>
          <w:p w14:paraId="3091D2A4">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NH</w:t>
            </w:r>
            <w:r>
              <w:rPr>
                <w:rFonts w:hint="default" w:ascii="Times New Roman" w:hAnsi="Times New Roman" w:eastAsia="宋体" w:cs="Times New Roman"/>
                <w:snapToGrid w:val="0"/>
                <w:color w:val="auto"/>
                <w:sz w:val="21"/>
                <w:szCs w:val="21"/>
                <w:highlight w:val="none"/>
                <w:vertAlign w:val="sub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snapToGrid w:val="0"/>
                <w:color w:val="auto"/>
                <w:sz w:val="21"/>
                <w:szCs w:val="21"/>
                <w:highlight w:val="none"/>
                <w:vertAlign w:val="subscript"/>
              </w:rPr>
              <w:t>2</w:t>
            </w:r>
            <w:r>
              <w:rPr>
                <w:rFonts w:hint="default" w:ascii="Times New Roman" w:hAnsi="Times New Roman" w:eastAsia="宋体" w:cs="Times New Roman"/>
                <w:snapToGrid w:val="0"/>
                <w:color w:val="auto"/>
                <w:sz w:val="21"/>
                <w:szCs w:val="21"/>
                <w:highlight w:val="none"/>
              </w:rPr>
              <w:t>S</w:t>
            </w:r>
          </w:p>
        </w:tc>
        <w:tc>
          <w:tcPr>
            <w:tcW w:w="1545" w:type="dxa"/>
            <w:noWrap w:val="0"/>
            <w:vAlign w:val="center"/>
          </w:tcPr>
          <w:p w14:paraId="0F2A97CF">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毒性物质</w:t>
            </w:r>
            <w:r>
              <w:rPr>
                <w:rFonts w:hint="eastAsia" w:eastAsia="宋体" w:cs="Times New Roman"/>
                <w:snapToGrid w:val="0"/>
                <w:color w:val="auto"/>
                <w:sz w:val="21"/>
                <w:szCs w:val="21"/>
                <w:highlight w:val="none"/>
                <w:lang w:eastAsia="zh-CN"/>
              </w:rPr>
              <w:t>泄漏</w:t>
            </w:r>
          </w:p>
        </w:tc>
        <w:tc>
          <w:tcPr>
            <w:tcW w:w="902" w:type="dxa"/>
            <w:noWrap w:val="0"/>
            <w:vAlign w:val="center"/>
          </w:tcPr>
          <w:p w14:paraId="120924F1">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大气</w:t>
            </w:r>
          </w:p>
        </w:tc>
        <w:tc>
          <w:tcPr>
            <w:tcW w:w="2017" w:type="dxa"/>
            <w:vMerge w:val="continue"/>
            <w:noWrap w:val="0"/>
            <w:vAlign w:val="center"/>
          </w:tcPr>
          <w:p w14:paraId="44EC80F3">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69CF71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709" w:type="dxa"/>
            <w:vMerge w:val="continue"/>
            <w:noWrap w:val="0"/>
            <w:vAlign w:val="center"/>
          </w:tcPr>
          <w:p w14:paraId="5E5FD48E">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highlight w:val="none"/>
              </w:rPr>
            </w:pPr>
          </w:p>
        </w:tc>
        <w:tc>
          <w:tcPr>
            <w:tcW w:w="1215" w:type="dxa"/>
            <w:vMerge w:val="continue"/>
            <w:noWrap w:val="0"/>
            <w:vAlign w:val="center"/>
          </w:tcPr>
          <w:p w14:paraId="57365B1E">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395" w:type="dxa"/>
            <w:vMerge w:val="continue"/>
            <w:noWrap w:val="0"/>
            <w:vAlign w:val="center"/>
          </w:tcPr>
          <w:p w14:paraId="33CCE8F3">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228" w:type="dxa"/>
            <w:noWrap w:val="0"/>
            <w:vAlign w:val="center"/>
          </w:tcPr>
          <w:p w14:paraId="40E14F30">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次氯酸钠</w:t>
            </w:r>
          </w:p>
        </w:tc>
        <w:tc>
          <w:tcPr>
            <w:tcW w:w="1545" w:type="dxa"/>
            <w:noWrap w:val="0"/>
            <w:vAlign w:val="center"/>
          </w:tcPr>
          <w:p w14:paraId="7212CD37">
            <w:pPr>
              <w:keepNext w:val="0"/>
              <w:keepLines w:val="0"/>
              <w:pageBreakBefore w:val="0"/>
              <w:widowControl w:val="0"/>
              <w:tabs>
                <w:tab w:val="left" w:pos="1843"/>
              </w:tabs>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泄漏</w:t>
            </w:r>
          </w:p>
        </w:tc>
        <w:tc>
          <w:tcPr>
            <w:tcW w:w="902" w:type="dxa"/>
            <w:noWrap w:val="0"/>
            <w:vAlign w:val="center"/>
          </w:tcPr>
          <w:p w14:paraId="6F28FA4F">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土壤</w:t>
            </w:r>
          </w:p>
        </w:tc>
        <w:tc>
          <w:tcPr>
            <w:tcW w:w="2017" w:type="dxa"/>
            <w:vMerge w:val="continue"/>
            <w:noWrap w:val="0"/>
            <w:vAlign w:val="center"/>
          </w:tcPr>
          <w:p w14:paraId="677B4EFE">
            <w:pPr>
              <w:keepNext w:val="0"/>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bl>
    <w:p w14:paraId="7A9CA95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r>
        <w:rPr>
          <w:rFonts w:hint="default" w:ascii="Times New Roman" w:hAnsi="Times New Roman" w:eastAsia="黑体" w:cs="Times New Roman"/>
          <w:b/>
          <w:color w:val="auto"/>
          <w:sz w:val="28"/>
          <w:szCs w:val="28"/>
          <w:highlight w:val="none"/>
          <w:lang w:val="en-US" w:eastAsia="zh-CN"/>
        </w:rPr>
        <w:t>5.6.6环境风险影响分析</w:t>
      </w:r>
    </w:p>
    <w:p w14:paraId="6D0303A1">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5.6.6.1化学品泄漏引发火灾爆炸次生污染物影响分析</w:t>
      </w:r>
    </w:p>
    <w:p w14:paraId="0FFF81E0">
      <w:pPr>
        <w:bidi w:val="0"/>
        <w:spacing w:line="360" w:lineRule="auto"/>
        <w:rPr>
          <w:rFonts w:hint="default" w:ascii="Times New Roman" w:hAnsi="Times New Roman" w:eastAsia="仿宋_GB2312" w:cs="Times New Roman"/>
          <w:color w:val="auto"/>
          <w:spacing w:val="0"/>
          <w:kern w:val="24"/>
          <w:sz w:val="24"/>
          <w:highlight w:val="none"/>
        </w:rPr>
      </w:pPr>
      <w:r>
        <w:rPr>
          <w:rFonts w:hint="default" w:ascii="Times New Roman" w:hAnsi="Times New Roman" w:eastAsia="仿宋_GB2312" w:cs="Times New Roman"/>
          <w:color w:val="auto"/>
          <w:spacing w:val="0"/>
          <w:kern w:val="24"/>
          <w:sz w:val="24"/>
          <w:highlight w:val="none"/>
        </w:rPr>
        <w:t>项目</w:t>
      </w:r>
      <w:r>
        <w:rPr>
          <w:rFonts w:hint="eastAsia" w:cs="Times New Roman"/>
          <w:color w:val="auto"/>
          <w:spacing w:val="0"/>
          <w:kern w:val="24"/>
          <w:sz w:val="24"/>
          <w:highlight w:val="none"/>
          <w:lang w:val="en-US" w:eastAsia="zh-CN"/>
        </w:rPr>
        <w:t>使用</w:t>
      </w:r>
      <w:r>
        <w:rPr>
          <w:rFonts w:hint="default" w:ascii="Times New Roman" w:hAnsi="Times New Roman" w:eastAsia="仿宋_GB2312" w:cs="Times New Roman"/>
          <w:color w:val="auto"/>
          <w:spacing w:val="0"/>
          <w:kern w:val="24"/>
          <w:sz w:val="24"/>
          <w:highlight w:val="none"/>
        </w:rPr>
        <w:t>的化学品泄漏，将对工作人员的身体健康造成不利影响，化学品外排进入地表水体和地下水会对周边环境造成不利影响。根据建设单位提供资料，本项目使用消毒剂过氧乙酸采用瓶装进行储存，次氯酸钠采用袋装，若发生泄漏，可能会引起火灾、爆炸危险。</w:t>
      </w:r>
    </w:p>
    <w:p w14:paraId="16DA8263">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5.6.6.2废水事故性排放</w:t>
      </w:r>
    </w:p>
    <w:p w14:paraId="28BE5570">
      <w:pPr>
        <w:bidi w:val="0"/>
        <w:spacing w:line="360" w:lineRule="auto"/>
        <w:rPr>
          <w:rFonts w:hint="eastAsia"/>
          <w:color w:val="auto"/>
          <w:lang w:eastAsia="zh-CN"/>
        </w:rPr>
      </w:pPr>
      <w:r>
        <w:rPr>
          <w:rFonts w:hint="eastAsia"/>
          <w:color w:val="auto"/>
          <w:lang w:eastAsia="zh-CN"/>
        </w:rPr>
        <w:t>污水处理站建成运行后，一旦出现机械设施或电力故障即会造成污水处理设施不能正常运行，污水事故排放，对区域地表水环境质量产生较大的影响。</w:t>
      </w:r>
    </w:p>
    <w:p w14:paraId="1E16F74C">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5.6.6.3污水处理站停车检修</w:t>
      </w:r>
    </w:p>
    <w:p w14:paraId="254030B2">
      <w:pPr>
        <w:bidi w:val="0"/>
        <w:spacing w:line="360" w:lineRule="auto"/>
        <w:rPr>
          <w:rFonts w:hint="eastAsia"/>
          <w:color w:val="auto"/>
          <w:lang w:eastAsia="zh-CN"/>
        </w:rPr>
      </w:pPr>
      <w:r>
        <w:rPr>
          <w:rFonts w:hint="eastAsia"/>
          <w:color w:val="auto"/>
          <w:lang w:eastAsia="zh-CN"/>
        </w:rPr>
        <w:t>在维护污水系统正常运行过程中产生的维修风险，可能会给维护系统的工作人员带来健康损害。当污水系统某一构筑物出现运行异常，必须立即予以排除，此时需操作人员进入井下操作，污水中的各类以气体形式存在的有毒污染物质会产生劳动安全上的危害风险。建设单位拟先对操作人员进行安全培训，并根据实际情况配备防毒面具等安全用品。这样通过加强管理，提高劳动人员技术素养，可将风险降至最低。本项目废水处理设施事故主要表现为屠宰等生产废水未经过处理设施处理后排放，不回用。由于其初始浓度较高，超标排放的风险较大，因此控制废水在处理设施事故的情况下仍然不超标进入环境是十分必要的。</w:t>
      </w:r>
    </w:p>
    <w:p w14:paraId="4FD19EB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5.6.6.4恶臭气体处理装置事故性排放</w:t>
      </w:r>
    </w:p>
    <w:p w14:paraId="718253A6">
      <w:pPr>
        <w:bidi w:val="0"/>
        <w:spacing w:line="360" w:lineRule="auto"/>
        <w:rPr>
          <w:rFonts w:hint="eastAsia"/>
          <w:color w:val="auto"/>
          <w:lang w:eastAsia="zh-CN"/>
        </w:rPr>
      </w:pPr>
      <w:r>
        <w:rPr>
          <w:rFonts w:hint="eastAsia"/>
          <w:color w:val="auto"/>
          <w:lang w:eastAsia="zh-CN"/>
        </w:rPr>
        <w:t>废气收集装置或者废气处理装置长期运行，管理检修不善时，有可能出现废气处理装置失效，若未能及时发现将出现恶臭气体大量外溢，废气污染物非正常排放时对周围大气环境影响较大。发现此类情况出现，应立即停止生产，待设备恢复正常后方可继续生产。由此可知，本项目主要废气污染物事故排放时，废气影响浓度虽未超过标准要求，但明显高于废气处理设施正常运行时的贡献值，导致大气污染物最大落地浓度出现增大，对周围环境影响较大，应杜绝此类情况的发生。若项目污染防治装置若发生故障，项目必须立即停止生产，待装置修复正常运行后方可投入生产，防止项目污染物排放对周边大气环境造成较大污染。</w:t>
      </w:r>
    </w:p>
    <w:p w14:paraId="663DC629">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5.6.6.5地下水环境风险影响分析</w:t>
      </w:r>
    </w:p>
    <w:p w14:paraId="1CC9FCD7">
      <w:pPr>
        <w:bidi w:val="0"/>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不开采地下水，厂址周边无生活供水水源，厂址也不属于生活供水水源的补给区，地下水环境敏感程度属于不敏感。项目运营期污水处理站、污水收集管道及化粪池的泄漏污水可能会通过包气带缓慢渗入浅层地下水，造成浅层地下水的污染。</w:t>
      </w:r>
    </w:p>
    <w:p w14:paraId="3C2CD787">
      <w:pPr>
        <w:bidi w:val="0"/>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本项目运营期屠宰废水必须进行妥善管理，否则会造成污染地下水的隐患；污水管道的跑、冒、滴、漏等也会造成地下水环境污染。评价针对污染地下水途径，建议采取以下防渗措施：</w:t>
      </w:r>
    </w:p>
    <w:p w14:paraId="1EBDCF33">
      <w:pPr>
        <w:bidi w:val="0"/>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①屠宰车间地面全部硬化防渗处理，屠宰废水经污水管道排入厂区污水处理站处理，污水管道密闭且防渗。</w:t>
      </w:r>
    </w:p>
    <w:p w14:paraId="05BC1892">
      <w:pPr>
        <w:bidi w:val="0"/>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②做好厂区污水处理站、化粪池、污水管道等的防渗。</w:t>
      </w:r>
    </w:p>
    <w:p w14:paraId="2E1AC621">
      <w:pPr>
        <w:bidi w:val="0"/>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综上分析，在落实好防渗、防污措施后，本项目污染物能得到有效处理，能够避免因下渗或泄漏对地下水造成影响。</w:t>
      </w:r>
    </w:p>
    <w:p w14:paraId="6822D937">
      <w:pPr>
        <w:bidi w:val="0"/>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综上所述，通过采取上述有效防治措施后，本项目运营期对地下水环境影响较小。</w:t>
      </w:r>
    </w:p>
    <w:p w14:paraId="29CD20C5">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5.6.6.6</w:t>
      </w:r>
      <w:r>
        <w:rPr>
          <w:rFonts w:hint="default" w:ascii="Times New Roman" w:hAnsi="Times New Roman" w:eastAsia="黑体" w:cs="Times New Roman"/>
          <w:b/>
          <w:bCs w:val="0"/>
          <w:color w:val="auto"/>
          <w:sz w:val="24"/>
          <w:szCs w:val="24"/>
          <w:lang w:val="en-US" w:eastAsia="zh-CN"/>
        </w:rPr>
        <w:t>动物疫病事故影响分析</w:t>
      </w:r>
    </w:p>
    <w:p w14:paraId="3189E93C">
      <w:pPr>
        <w:bidi w:val="0"/>
        <w:spacing w:line="360" w:lineRule="auto"/>
        <w:rPr>
          <w:rFonts w:hint="eastAsia"/>
          <w:color w:val="auto"/>
          <w:lang w:eastAsia="zh-CN"/>
        </w:rPr>
      </w:pPr>
      <w:r>
        <w:rPr>
          <w:rFonts w:hint="eastAsia"/>
          <w:color w:val="auto"/>
          <w:lang w:eastAsia="zh-CN"/>
        </w:rPr>
        <w:t>项目如果接纳的畜禽在</w:t>
      </w:r>
      <w:r>
        <w:rPr>
          <w:rFonts w:hint="eastAsia"/>
          <w:color w:val="auto"/>
          <w:lang w:val="en-US" w:eastAsia="zh-CN"/>
        </w:rPr>
        <w:t>待宰</w:t>
      </w:r>
      <w:r>
        <w:rPr>
          <w:rFonts w:hint="eastAsia"/>
          <w:color w:val="auto"/>
          <w:lang w:eastAsia="zh-CN"/>
        </w:rPr>
        <w:t>期间染病而出现病死或携带传染病菌的畜禽，不加处理将会出现病死动物肉类，如任其外售，将会严重危害广大居民的身心健康，甚至会引发更严重的瘟疫灾害。</w:t>
      </w:r>
    </w:p>
    <w:p w14:paraId="047010D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r>
        <w:rPr>
          <w:rFonts w:hint="default" w:ascii="Times New Roman" w:hAnsi="Times New Roman" w:eastAsia="黑体" w:cs="Times New Roman"/>
          <w:b/>
          <w:color w:val="auto"/>
          <w:sz w:val="28"/>
          <w:szCs w:val="28"/>
          <w:highlight w:val="none"/>
          <w:lang w:val="en-US" w:eastAsia="zh-CN"/>
        </w:rPr>
        <w:t>5.6.7环境风险防范措施及应急要求</w:t>
      </w:r>
    </w:p>
    <w:p w14:paraId="37FD1CF8">
      <w:pPr>
        <w:bidi w:val="0"/>
        <w:spacing w:line="360" w:lineRule="auto"/>
        <w:rPr>
          <w:rFonts w:hint="eastAsia"/>
          <w:color w:val="auto"/>
          <w:lang w:val="en-US" w:eastAsia="zh-CN"/>
        </w:rPr>
      </w:pPr>
      <w:r>
        <w:rPr>
          <w:rFonts w:hint="eastAsia"/>
          <w:color w:val="auto"/>
          <w:lang w:val="en-US" w:eastAsia="zh-CN"/>
        </w:rPr>
        <w:t>（1）环保措施风险分析与防范措施</w:t>
      </w:r>
    </w:p>
    <w:p w14:paraId="2F1C4AAA">
      <w:pPr>
        <w:bidi w:val="0"/>
        <w:spacing w:line="360" w:lineRule="auto"/>
        <w:rPr>
          <w:rFonts w:hint="eastAsia"/>
          <w:color w:val="auto"/>
          <w:lang w:val="en-US" w:eastAsia="zh-CN"/>
        </w:rPr>
      </w:pPr>
      <w:r>
        <w:rPr>
          <w:rFonts w:hint="eastAsia"/>
          <w:color w:val="auto"/>
          <w:lang w:val="en-US" w:eastAsia="zh-CN"/>
        </w:rPr>
        <w:t>①废气事故排放对环境的影响分析与防范措施</w:t>
      </w:r>
    </w:p>
    <w:p w14:paraId="3B8CDC53">
      <w:pPr>
        <w:bidi w:val="0"/>
        <w:spacing w:line="360" w:lineRule="auto"/>
        <w:rPr>
          <w:rFonts w:hint="eastAsia"/>
          <w:color w:val="auto"/>
          <w:lang w:val="en-US" w:eastAsia="zh-CN"/>
        </w:rPr>
      </w:pPr>
      <w:r>
        <w:rPr>
          <w:rFonts w:hint="eastAsia"/>
          <w:color w:val="auto"/>
          <w:lang w:val="en-US" w:eastAsia="zh-CN"/>
        </w:rPr>
        <w:t>在正常情况下，项目污水处理站及屠宰加工车间产生的H</w:t>
      </w:r>
      <w:r>
        <w:rPr>
          <w:rFonts w:hint="eastAsia"/>
          <w:color w:val="auto"/>
          <w:vertAlign w:val="subscript"/>
          <w:lang w:val="en-US" w:eastAsia="zh-CN"/>
        </w:rPr>
        <w:t>2</w:t>
      </w:r>
      <w:r>
        <w:rPr>
          <w:rFonts w:hint="eastAsia"/>
          <w:color w:val="auto"/>
          <w:lang w:val="en-US" w:eastAsia="zh-CN"/>
        </w:rPr>
        <w:t>S、NH</w:t>
      </w:r>
      <w:r>
        <w:rPr>
          <w:rFonts w:hint="eastAsia"/>
          <w:color w:val="auto"/>
          <w:vertAlign w:val="subscript"/>
          <w:lang w:val="en-US" w:eastAsia="zh-CN"/>
        </w:rPr>
        <w:t>3</w:t>
      </w:r>
      <w:r>
        <w:rPr>
          <w:rFonts w:hint="eastAsia"/>
          <w:color w:val="auto"/>
          <w:lang w:val="en-US" w:eastAsia="zh-CN"/>
        </w:rPr>
        <w:t>等有害物质经活性炭吸附处理后可确保达标排放，对周边环境影响轻微。但当本项目的污水处理站及屠宰加工车间废气处理设施出现故障，不能正常运行时，导致废气超标排放，或直接排放到大气环境中，将会对项目所在地的局部大气环境造成比较严重的影响。</w:t>
      </w:r>
    </w:p>
    <w:p w14:paraId="647102FE">
      <w:pPr>
        <w:bidi w:val="0"/>
        <w:spacing w:line="360" w:lineRule="auto"/>
        <w:rPr>
          <w:rFonts w:hint="eastAsia"/>
          <w:color w:val="auto"/>
          <w:lang w:val="en-US" w:eastAsia="zh-CN"/>
        </w:rPr>
      </w:pPr>
      <w:r>
        <w:rPr>
          <w:rFonts w:hint="eastAsia"/>
          <w:color w:val="auto"/>
          <w:lang w:val="en-US" w:eastAsia="zh-CN"/>
        </w:rPr>
        <w:t>因此，在日常生产过程中，要加强环保处理设施的故障排查和维护，从源头上杜绝污染物事故排放。若发现污水处理站及屠宰加工车间废气处理设施出现故障，应立刻向应急指挥部报告，同时暂停屠宰及使用污水处理站，并及时抢修等措施，降低事故排放对环境和人群健康的不利影响。</w:t>
      </w:r>
    </w:p>
    <w:p w14:paraId="4D3B99FA">
      <w:pPr>
        <w:bidi w:val="0"/>
        <w:spacing w:line="360" w:lineRule="auto"/>
        <w:rPr>
          <w:rFonts w:hint="eastAsia"/>
          <w:color w:val="auto"/>
          <w:lang w:val="en-US" w:eastAsia="zh-CN"/>
        </w:rPr>
      </w:pPr>
      <w:r>
        <w:rPr>
          <w:rFonts w:hint="default" w:ascii="Times New Roman" w:hAnsi="Times New Roman" w:cs="Times New Roman"/>
          <w:color w:val="auto"/>
          <w:lang w:val="en-US" w:eastAsia="zh-CN"/>
        </w:rPr>
        <w:t>②</w:t>
      </w:r>
      <w:r>
        <w:rPr>
          <w:rFonts w:hint="eastAsia"/>
          <w:color w:val="auto"/>
          <w:lang w:val="en-US" w:eastAsia="zh-CN"/>
        </w:rPr>
        <w:t>废水事故排放对环境的影响分析与防范措施</w:t>
      </w:r>
    </w:p>
    <w:p w14:paraId="63C5F30E">
      <w:pPr>
        <w:bidi w:val="0"/>
        <w:spacing w:line="360" w:lineRule="auto"/>
        <w:rPr>
          <w:rFonts w:hint="eastAsia"/>
          <w:color w:val="auto"/>
          <w:lang w:val="en-US" w:eastAsia="zh-CN"/>
        </w:rPr>
      </w:pPr>
      <w:r>
        <w:rPr>
          <w:rFonts w:hint="eastAsia"/>
          <w:color w:val="auto"/>
          <w:lang w:val="en-US" w:eastAsia="zh-CN"/>
        </w:rPr>
        <w:t>本项目废水事故排放对环境的影响主要为化粪池、污水处理站等设施出现下渗对地下水环境的影响。</w:t>
      </w:r>
    </w:p>
    <w:p w14:paraId="7D0FE483">
      <w:pPr>
        <w:bidi w:val="0"/>
        <w:spacing w:line="360" w:lineRule="auto"/>
        <w:rPr>
          <w:rFonts w:hint="eastAsia"/>
          <w:color w:val="auto"/>
          <w:lang w:val="en-US" w:eastAsia="zh-CN"/>
        </w:rPr>
      </w:pPr>
      <w:r>
        <w:rPr>
          <w:rFonts w:hint="eastAsia"/>
          <w:color w:val="auto"/>
          <w:lang w:val="en-US" w:eastAsia="zh-CN"/>
        </w:rPr>
        <w:t>A、地下水环境污染影响分析</w:t>
      </w:r>
    </w:p>
    <w:p w14:paraId="485D36B6">
      <w:pPr>
        <w:bidi w:val="0"/>
        <w:spacing w:line="360" w:lineRule="auto"/>
        <w:rPr>
          <w:rFonts w:hint="eastAsia"/>
          <w:color w:val="auto"/>
          <w:lang w:val="en-US" w:eastAsia="zh-CN"/>
        </w:rPr>
      </w:pPr>
      <w:r>
        <w:rPr>
          <w:rFonts w:hint="eastAsia"/>
          <w:color w:val="auto"/>
          <w:lang w:val="en-US" w:eastAsia="zh-CN"/>
        </w:rPr>
        <w:t>废水处理系统等设施出现下渗时，废水将会渗入地下污染地下水，废水中有毒、有害成分进入地下水中，会使地下水溶解氧含量减少，水质中有毒成分增多，严重时使水体发黑、变臭、失去使用价值。一旦污染了地下水，将极难治理恢复，造成较持久性的污染。</w:t>
      </w:r>
    </w:p>
    <w:p w14:paraId="0A318059">
      <w:pPr>
        <w:bidi w:val="0"/>
        <w:spacing w:line="360" w:lineRule="auto"/>
        <w:rPr>
          <w:rFonts w:hint="eastAsia"/>
          <w:color w:val="auto"/>
          <w:lang w:val="en-US" w:eastAsia="zh-CN"/>
        </w:rPr>
      </w:pPr>
      <w:r>
        <w:rPr>
          <w:rFonts w:hint="eastAsia"/>
          <w:color w:val="auto"/>
          <w:lang w:val="en-US" w:eastAsia="zh-CN"/>
        </w:rPr>
        <w:t>可见事故排污对环境的危害极大，应坚决杜绝本项目废水事故排放及设施渗透事故的发生。一旦出现事故，应该立即停止排污，待处理系统恢复正常且配有防渗措施后，再将废水经正常的处理系统处理后排放。</w:t>
      </w:r>
    </w:p>
    <w:p w14:paraId="1BC17200">
      <w:pPr>
        <w:bidi w:val="0"/>
        <w:spacing w:line="360" w:lineRule="auto"/>
        <w:rPr>
          <w:rFonts w:hint="eastAsia"/>
          <w:color w:val="auto"/>
          <w:lang w:val="en-US" w:eastAsia="zh-CN"/>
        </w:rPr>
      </w:pPr>
      <w:r>
        <w:rPr>
          <w:rFonts w:hint="eastAsia"/>
          <w:color w:val="auto"/>
          <w:lang w:val="en-US" w:eastAsia="zh-CN"/>
        </w:rPr>
        <w:t>B、废水事故排放防范措施</w:t>
      </w:r>
    </w:p>
    <w:p w14:paraId="696AED82">
      <w:pPr>
        <w:bidi w:val="0"/>
        <w:spacing w:line="360" w:lineRule="auto"/>
        <w:rPr>
          <w:rFonts w:hint="eastAsia"/>
          <w:color w:val="auto"/>
          <w:lang w:val="en-US" w:eastAsia="zh-CN"/>
        </w:rPr>
      </w:pPr>
      <w:r>
        <w:rPr>
          <w:rFonts w:hint="eastAsia"/>
          <w:color w:val="auto"/>
          <w:lang w:val="en-US" w:eastAsia="zh-CN"/>
        </w:rPr>
        <w:t>根据本项目的特点，提出以下措施：</w:t>
      </w:r>
    </w:p>
    <w:p w14:paraId="60841AAB">
      <w:pPr>
        <w:bidi w:val="0"/>
        <w:spacing w:line="360" w:lineRule="auto"/>
        <w:rPr>
          <w:rFonts w:hint="eastAsia"/>
          <w:color w:val="auto"/>
          <w:lang w:val="en-US" w:eastAsia="zh-CN"/>
        </w:rPr>
      </w:pPr>
      <w:r>
        <w:rPr>
          <w:rFonts w:hint="eastAsia"/>
          <w:color w:val="auto"/>
          <w:lang w:val="en-US" w:eastAsia="zh-CN"/>
        </w:rPr>
        <w:t>自建污水处理站采用双路供电，水泵设计考虑备用，机械设备采用性能可靠的优质产品；</w:t>
      </w:r>
    </w:p>
    <w:p w14:paraId="2B3AB886">
      <w:pPr>
        <w:bidi w:val="0"/>
        <w:spacing w:line="360" w:lineRule="auto"/>
        <w:rPr>
          <w:rFonts w:hint="eastAsia"/>
          <w:color w:val="auto"/>
          <w:lang w:val="en-US" w:eastAsia="zh-CN"/>
        </w:rPr>
      </w:pPr>
      <w:r>
        <w:rPr>
          <w:rFonts w:hint="eastAsia"/>
          <w:color w:val="auto"/>
          <w:lang w:val="en-US" w:eastAsia="zh-CN"/>
        </w:rPr>
        <w:t>为使在事故状态下自建污水处理站各种机械电器、仪表等设备正常运转，必须选择质量优良、事故率低、便于维修的产品。关键设备应有备用，易损部件也要有备用，在事故出现时及时更换；</w:t>
      </w:r>
    </w:p>
    <w:p w14:paraId="6139647C">
      <w:pPr>
        <w:bidi w:val="0"/>
        <w:spacing w:line="360" w:lineRule="auto"/>
        <w:rPr>
          <w:rFonts w:hint="eastAsia"/>
          <w:color w:val="auto"/>
          <w:lang w:val="en-US" w:eastAsia="zh-CN"/>
        </w:rPr>
      </w:pPr>
      <w:r>
        <w:rPr>
          <w:rFonts w:hint="eastAsia"/>
          <w:color w:val="auto"/>
          <w:lang w:val="en-US" w:eastAsia="zh-CN"/>
        </w:rPr>
        <w:t>加强事故苗头控制，定期巡检、调节、保养、维修。及时发现可能引起事故的异常运行苗头，消除事故隐患；</w:t>
      </w:r>
    </w:p>
    <w:p w14:paraId="7C03DA9F">
      <w:pPr>
        <w:bidi w:val="0"/>
        <w:spacing w:line="360" w:lineRule="auto"/>
        <w:rPr>
          <w:rFonts w:hint="eastAsia"/>
          <w:color w:val="auto"/>
          <w:lang w:val="en-US" w:eastAsia="zh-CN"/>
        </w:rPr>
      </w:pPr>
      <w:r>
        <w:rPr>
          <w:rFonts w:hint="eastAsia"/>
          <w:color w:val="auto"/>
          <w:lang w:val="en-US" w:eastAsia="zh-CN"/>
        </w:rPr>
        <w:t>严格控制处理单元的水量、水质、停留时间、负荷强度等，确保处理效果的稳定性。定期采样监测。操作人员及时调整，使设备处于最佳工况。发现不正常现象，就需立即采取预防措施；</w:t>
      </w:r>
    </w:p>
    <w:p w14:paraId="31D4206C">
      <w:pPr>
        <w:bidi w:val="0"/>
        <w:spacing w:line="360" w:lineRule="auto"/>
        <w:rPr>
          <w:rFonts w:hint="eastAsia"/>
          <w:color w:val="auto"/>
          <w:lang w:val="en-US" w:eastAsia="zh-CN"/>
        </w:rPr>
      </w:pPr>
      <w:r>
        <w:rPr>
          <w:rFonts w:hint="eastAsia"/>
          <w:color w:val="auto"/>
          <w:lang w:val="en-US" w:eastAsia="zh-CN"/>
        </w:rPr>
        <w:t>为使在事故状态下自建污水处理站能够迅速恢复正常运行，应在主要水工建筑物（如调节池）的容积上留有相应的缓冲能力，并配有相应的设备（如回流泵、回流管道、阀门及仪表等）；</w:t>
      </w:r>
    </w:p>
    <w:p w14:paraId="06F0DF9D">
      <w:pPr>
        <w:bidi w:val="0"/>
        <w:spacing w:line="360" w:lineRule="auto"/>
        <w:rPr>
          <w:rFonts w:hint="eastAsia"/>
          <w:color w:val="auto"/>
          <w:lang w:val="en-US" w:eastAsia="zh-CN"/>
        </w:rPr>
      </w:pPr>
      <w:r>
        <w:rPr>
          <w:rFonts w:hint="eastAsia"/>
          <w:color w:val="auto"/>
          <w:lang w:val="en-US" w:eastAsia="zh-CN"/>
        </w:rPr>
        <w:t>加强自建污水处理站人员操作技能的培训；</w:t>
      </w:r>
    </w:p>
    <w:p w14:paraId="71183C56">
      <w:pPr>
        <w:bidi w:val="0"/>
        <w:spacing w:line="360" w:lineRule="auto"/>
        <w:rPr>
          <w:rFonts w:hint="eastAsia"/>
          <w:color w:val="auto"/>
          <w:lang w:val="en-US" w:eastAsia="zh-CN"/>
        </w:rPr>
      </w:pPr>
      <w:r>
        <w:rPr>
          <w:rFonts w:hint="eastAsia"/>
          <w:color w:val="auto"/>
          <w:lang w:val="en-US" w:eastAsia="zh-CN"/>
        </w:rPr>
        <w:t>加强运行管理和进出水的监测工作，未经处理的污水严禁外排；</w:t>
      </w:r>
    </w:p>
    <w:p w14:paraId="77FF3323">
      <w:pPr>
        <w:bidi w:val="0"/>
        <w:spacing w:line="360" w:lineRule="auto"/>
        <w:rPr>
          <w:rFonts w:hint="eastAsia"/>
          <w:color w:val="auto"/>
          <w:lang w:val="en-US" w:eastAsia="zh-CN"/>
        </w:rPr>
      </w:pPr>
      <w:r>
        <w:rPr>
          <w:rFonts w:hint="eastAsia"/>
          <w:color w:val="auto"/>
          <w:lang w:val="en-US" w:eastAsia="zh-CN"/>
        </w:rPr>
        <w:t>自建污水处理站的稳定安全与管网的维护关系密切。应十分重视管网的维护及管理，防止泥沙沉积堵塞而影响管道的过水能力。管道衔接应防止泄漏污染地下水，淤塞应及时疏浚，保证管道通畅，同时最大限度的收集废水，管网干管和支管设计中，选择适当充满和最小设计流速，防止污泥沉积。由于尾水管路按规模设计，因此流量时管内流速偏小，会产生淤积，堵塞管路，需定时采用水力或机械方式进行管路清通，防止堵塞；</w:t>
      </w:r>
    </w:p>
    <w:p w14:paraId="2672A70C">
      <w:pPr>
        <w:bidi w:val="0"/>
        <w:spacing w:line="360" w:lineRule="auto"/>
        <w:rPr>
          <w:rFonts w:hint="eastAsia" w:ascii="Times New Roman" w:hAnsi="Times New Roman"/>
          <w:color w:val="auto"/>
          <w:lang w:val="en-US" w:eastAsia="zh-CN"/>
        </w:rPr>
      </w:pPr>
      <w:r>
        <w:rPr>
          <w:rFonts w:hint="eastAsia"/>
          <w:color w:val="auto"/>
          <w:lang w:val="en-US" w:eastAsia="zh-CN"/>
        </w:rPr>
        <w:t>污水管网应制定</w:t>
      </w:r>
      <w:r>
        <w:rPr>
          <w:rFonts w:hint="eastAsia" w:ascii="Times New Roman" w:hAnsi="Times New Roman"/>
          <w:color w:val="auto"/>
          <w:lang w:val="en-US" w:eastAsia="zh-CN"/>
        </w:rPr>
        <w:t>严格的维修制度，应严格执行国家、地方的有关排放标准，特别需加强对所接纳废水进水水质的管理，确保自建污水处理系统的进水水质。</w:t>
      </w:r>
    </w:p>
    <w:p w14:paraId="416D4D40">
      <w:pPr>
        <w:bidi w:val="0"/>
        <w:spacing w:line="360" w:lineRule="auto"/>
        <w:rPr>
          <w:rFonts w:hint="default" w:ascii="Times New Roman" w:hAnsi="Times New Roman"/>
          <w:color w:val="auto"/>
          <w:lang w:val="en-US" w:eastAsia="zh-CN"/>
        </w:rPr>
      </w:pPr>
      <w:r>
        <w:rPr>
          <w:rFonts w:hint="eastAsia" w:ascii="Times New Roman" w:hAnsi="Times New Roman"/>
          <w:color w:val="auto"/>
          <w:lang w:val="en-US" w:eastAsia="zh-CN"/>
        </w:rPr>
        <w:t>污水处理站发生事故时，要立即停产，产生的废水排至调节池内收集，待污水处理站恢复正常后，再对污水进一步处理，排放至城区污水处理厂处理。</w:t>
      </w:r>
    </w:p>
    <w:p w14:paraId="7A65E99F">
      <w:pPr>
        <w:bidi w:val="0"/>
        <w:spacing w:line="360" w:lineRule="auto"/>
        <w:rPr>
          <w:rFonts w:hint="eastAsia"/>
          <w:color w:val="auto"/>
          <w:lang w:val="en-US" w:eastAsia="zh-CN"/>
        </w:rPr>
      </w:pPr>
      <w:r>
        <w:rPr>
          <w:rFonts w:hint="eastAsia"/>
          <w:color w:val="auto"/>
          <w:lang w:val="en-US" w:eastAsia="zh-CN"/>
        </w:rPr>
        <w:t>（3）发生疫情时对环境的影响分析与防范措施</w:t>
      </w:r>
    </w:p>
    <w:p w14:paraId="13DDA63A">
      <w:pPr>
        <w:bidi w:val="0"/>
        <w:spacing w:line="360" w:lineRule="auto"/>
        <w:rPr>
          <w:rFonts w:hint="eastAsia"/>
          <w:color w:val="auto"/>
          <w:lang w:val="en-US" w:eastAsia="zh-CN"/>
        </w:rPr>
      </w:pPr>
      <w:r>
        <w:rPr>
          <w:rFonts w:hint="default" w:ascii="Times New Roman" w:hAnsi="Times New Roman" w:cs="Times New Roman"/>
          <w:color w:val="auto"/>
          <w:lang w:val="en-US" w:eastAsia="zh-CN"/>
        </w:rPr>
        <w:t>①</w:t>
      </w:r>
      <w:r>
        <w:rPr>
          <w:rFonts w:hint="eastAsia"/>
          <w:color w:val="auto"/>
          <w:lang w:val="en-US" w:eastAsia="zh-CN"/>
        </w:rPr>
        <w:t>疫病预防措施</w:t>
      </w:r>
    </w:p>
    <w:p w14:paraId="224CB922">
      <w:pPr>
        <w:bidi w:val="0"/>
        <w:spacing w:line="360" w:lineRule="auto"/>
        <w:rPr>
          <w:rFonts w:hint="eastAsia"/>
          <w:color w:val="auto"/>
          <w:lang w:val="en-US" w:eastAsia="zh-CN"/>
        </w:rPr>
      </w:pPr>
      <w:r>
        <w:rPr>
          <w:rFonts w:hint="eastAsia"/>
          <w:color w:val="auto"/>
          <w:lang w:val="en-US" w:eastAsia="zh-CN"/>
        </w:rPr>
        <w:t>针对屠宰厂和牲畜发病特点，凡进入项目区的人员，无论是进入生产区或生活区，一律先经消毒、洗手方可入内。外来车辆严禁入内，若生产或业务必需，车身经过全面消毒后方可入内。本厂生产区的车辆、用具，一律不得外借，定期对厂区进行消毒。</w:t>
      </w:r>
    </w:p>
    <w:p w14:paraId="2194A37E">
      <w:pPr>
        <w:bidi w:val="0"/>
        <w:spacing w:line="360" w:lineRule="auto"/>
        <w:rPr>
          <w:rFonts w:hint="eastAsia"/>
          <w:color w:val="auto"/>
          <w:lang w:val="en-US" w:eastAsia="zh-CN"/>
        </w:rPr>
      </w:pPr>
      <w:r>
        <w:rPr>
          <w:rFonts w:hint="default" w:ascii="Times New Roman" w:hAnsi="Times New Roman" w:cs="Times New Roman"/>
          <w:color w:val="auto"/>
          <w:lang w:val="en-US" w:eastAsia="zh-CN"/>
        </w:rPr>
        <w:t>②</w:t>
      </w:r>
      <w:r>
        <w:rPr>
          <w:rFonts w:hint="eastAsia"/>
          <w:color w:val="auto"/>
          <w:lang w:val="en-US" w:eastAsia="zh-CN"/>
        </w:rPr>
        <w:t>防止疫情由外传入</w:t>
      </w:r>
    </w:p>
    <w:p w14:paraId="1F485680">
      <w:pPr>
        <w:bidi w:val="0"/>
        <w:spacing w:line="360" w:lineRule="auto"/>
        <w:rPr>
          <w:rFonts w:hint="eastAsia"/>
          <w:color w:val="auto"/>
          <w:lang w:val="en-US" w:eastAsia="zh-CN"/>
        </w:rPr>
      </w:pPr>
      <w:r>
        <w:rPr>
          <w:rFonts w:hint="eastAsia"/>
          <w:color w:val="auto"/>
          <w:lang w:val="en-US" w:eastAsia="zh-CN"/>
        </w:rPr>
        <w:t>外购牲畜应逐只检查，对可疑牲畜应隔离观察，排除感染可能后方能进厂宰杀。禁止将生肉及含肉制品的食物带入厂内。</w:t>
      </w:r>
    </w:p>
    <w:p w14:paraId="12EAD4F5">
      <w:pPr>
        <w:bidi w:val="0"/>
        <w:spacing w:line="360" w:lineRule="auto"/>
        <w:rPr>
          <w:rFonts w:hint="eastAsia"/>
          <w:color w:val="auto"/>
          <w:lang w:val="en-US" w:eastAsia="zh-CN"/>
        </w:rPr>
      </w:pPr>
      <w:r>
        <w:rPr>
          <w:rFonts w:hint="default" w:ascii="Times New Roman" w:hAnsi="Times New Roman" w:cs="Times New Roman"/>
          <w:color w:val="auto"/>
          <w:lang w:val="en-US" w:eastAsia="zh-CN"/>
        </w:rPr>
        <w:t>③</w:t>
      </w:r>
      <w:r>
        <w:rPr>
          <w:rFonts w:hint="eastAsia"/>
          <w:color w:val="auto"/>
          <w:lang w:val="en-US" w:eastAsia="zh-CN"/>
        </w:rPr>
        <w:t>发生疫情尽快扑灭</w:t>
      </w:r>
    </w:p>
    <w:p w14:paraId="1E23AE22">
      <w:pPr>
        <w:bidi w:val="0"/>
        <w:spacing w:line="360" w:lineRule="auto"/>
        <w:rPr>
          <w:rFonts w:hint="default"/>
          <w:color w:val="auto"/>
          <w:lang w:val="en-US" w:eastAsia="zh-CN"/>
        </w:rPr>
      </w:pPr>
      <w:r>
        <w:rPr>
          <w:rFonts w:hint="eastAsia"/>
          <w:color w:val="auto"/>
          <w:lang w:val="en-US" w:eastAsia="zh-CN"/>
        </w:rPr>
        <w:t>a.暂停屠宰。发现疫情时，应暂停厂内屠宰，并封锁厂区；</w:t>
      </w:r>
    </w:p>
    <w:p w14:paraId="15D87834">
      <w:pPr>
        <w:bidi w:val="0"/>
        <w:spacing w:line="360" w:lineRule="auto"/>
        <w:rPr>
          <w:rFonts w:hint="eastAsia"/>
          <w:color w:val="auto"/>
          <w:lang w:val="en-US" w:eastAsia="zh-CN"/>
        </w:rPr>
      </w:pPr>
      <w:r>
        <w:rPr>
          <w:rFonts w:hint="eastAsia"/>
          <w:color w:val="auto"/>
          <w:lang w:val="en-US" w:eastAsia="zh-CN"/>
        </w:rPr>
        <w:t>b.及时宰杀。发现疫情后，应迅速隔离病牛羊，并将病牛羊宰杀后进行无害化处置。</w:t>
      </w:r>
    </w:p>
    <w:p w14:paraId="0BB53C00">
      <w:pPr>
        <w:bidi w:val="0"/>
        <w:spacing w:line="360" w:lineRule="auto"/>
        <w:rPr>
          <w:rFonts w:hint="eastAsia"/>
          <w:color w:val="auto"/>
          <w:lang w:val="en-US" w:eastAsia="zh-CN"/>
        </w:rPr>
      </w:pPr>
      <w:r>
        <w:rPr>
          <w:rFonts w:hint="eastAsia"/>
          <w:color w:val="auto"/>
          <w:lang w:val="en-US" w:eastAsia="zh-CN"/>
        </w:rPr>
        <w:t>b.及时报告疫情。发现应该上报疫情的传染病时，应及时向上级业务部门报告疫情，包括病畜种类、发病时间地点、发病只数、死亡只数、临床症状、剖检病变、初诊病名及已经采取的防治措施。必要时应通报邻近地区，以便共同防治，防止疫情扩散。</w:t>
      </w:r>
    </w:p>
    <w:p w14:paraId="7C78A2B6">
      <w:pPr>
        <w:bidi w:val="0"/>
        <w:spacing w:line="360" w:lineRule="auto"/>
        <w:rPr>
          <w:rFonts w:hint="eastAsia"/>
          <w:color w:val="auto"/>
          <w:lang w:val="en-US" w:eastAsia="zh-CN"/>
        </w:rPr>
      </w:pPr>
      <w:r>
        <w:rPr>
          <w:rFonts w:hint="eastAsia"/>
          <w:color w:val="auto"/>
          <w:lang w:val="en-US" w:eastAsia="zh-CN"/>
        </w:rPr>
        <w:t>c.全面彻底消毒。对病牛羊所在的圈舍及活动过的圈舍、接触过的用具进行严格消毒，病畜禽污染的饲料要进行销毁，病畜禽排出的粪便应集中到指定地点堆积发酵和消毒。</w:t>
      </w:r>
    </w:p>
    <w:p w14:paraId="7CF0AD2B">
      <w:pPr>
        <w:bidi w:val="0"/>
        <w:spacing w:line="360" w:lineRule="auto"/>
        <w:rPr>
          <w:rFonts w:hint="eastAsia"/>
          <w:color w:val="auto"/>
          <w:lang w:val="en-US" w:eastAsia="zh-CN"/>
        </w:rPr>
      </w:pPr>
      <w:r>
        <w:rPr>
          <w:rFonts w:hint="eastAsia"/>
          <w:color w:val="auto"/>
          <w:lang w:val="en-US" w:eastAsia="zh-CN"/>
        </w:rPr>
        <w:t>d.逐只临床检查。对同圈舍或同群的其他牛羊要逐只多次进行详细临床检查，必要时进行血清学诊断，以便尽早发现病死畜禽。</w:t>
      </w:r>
    </w:p>
    <w:p w14:paraId="7C7697E9">
      <w:pPr>
        <w:bidi w:val="0"/>
        <w:spacing w:line="360" w:lineRule="auto"/>
        <w:rPr>
          <w:rFonts w:hint="eastAsia"/>
          <w:color w:val="auto"/>
          <w:lang w:val="en-US" w:eastAsia="zh-CN"/>
        </w:rPr>
      </w:pPr>
      <w:r>
        <w:rPr>
          <w:rFonts w:hint="eastAsia"/>
          <w:color w:val="auto"/>
          <w:lang w:val="en-US" w:eastAsia="zh-CN"/>
        </w:rPr>
        <w:t>e.紧急预防接种。对多次检查无临床症状或血清学诊断为阴性的畜禽进行紧急预防接种，以防止疫病扩散。</w:t>
      </w:r>
    </w:p>
    <w:p w14:paraId="724888CB">
      <w:pPr>
        <w:bidi w:val="0"/>
        <w:spacing w:line="360" w:lineRule="auto"/>
        <w:rPr>
          <w:rFonts w:hint="eastAsia"/>
          <w:color w:val="auto"/>
          <w:lang w:val="en-US" w:eastAsia="zh-CN"/>
        </w:rPr>
      </w:pPr>
      <w:r>
        <w:rPr>
          <w:rFonts w:hint="eastAsia"/>
          <w:color w:val="auto"/>
          <w:lang w:val="en-US" w:eastAsia="zh-CN"/>
        </w:rPr>
        <w:t>f.酌情实行封锁。发生危害严重的传染病时，应报请政府有关部门划定疫区、疫点，实行封锁。必要时，应配合相关部门对屠宰厂内及周边疫区范围内牲区、疫点，实行封锁。必要时，应配合相关部门对屠宰厂内及周边疫区范围内牲畜进行扑杀。</w:t>
      </w:r>
    </w:p>
    <w:p w14:paraId="2B1CCBD8">
      <w:pPr>
        <w:bidi w:val="0"/>
        <w:spacing w:line="360" w:lineRule="auto"/>
        <w:rPr>
          <w:rFonts w:hint="eastAsia"/>
          <w:color w:val="auto"/>
          <w:lang w:val="en-US" w:eastAsia="zh-CN"/>
        </w:rPr>
      </w:pPr>
      <w:r>
        <w:rPr>
          <w:rFonts w:hint="default" w:ascii="Times New Roman" w:hAnsi="Times New Roman" w:eastAsia="微软雅黑" w:cs="Times New Roman"/>
          <w:color w:val="auto"/>
          <w:lang w:val="en-US" w:eastAsia="zh-CN"/>
        </w:rPr>
        <w:t>④</w:t>
      </w:r>
      <w:r>
        <w:rPr>
          <w:rFonts w:hint="eastAsia"/>
          <w:color w:val="auto"/>
          <w:lang w:val="en-US" w:eastAsia="zh-CN"/>
        </w:rPr>
        <w:t>同时，在日常管理，对于牛、羊疫情的防治措施应注意以下几点：</w:t>
      </w:r>
    </w:p>
    <w:p w14:paraId="23CB9BF2">
      <w:pPr>
        <w:bidi w:val="0"/>
        <w:spacing w:line="360" w:lineRule="auto"/>
        <w:rPr>
          <w:rFonts w:hint="eastAsia"/>
          <w:color w:val="auto"/>
          <w:lang w:val="en-US" w:eastAsia="zh-CN"/>
        </w:rPr>
      </w:pPr>
      <w:r>
        <w:rPr>
          <w:rFonts w:hint="eastAsia"/>
          <w:color w:val="auto"/>
          <w:lang w:val="en-US" w:eastAsia="zh-CN"/>
        </w:rPr>
        <w:t>a.提高员工专业素质，增强防病观念在预防传染的措施上，首先应从人员的管理着手做起，提高员工的专业素质，经常进行思想教育和技术培训等工作，逐步增强他们对传染病的警惕意识，并自觉遵守防疫制度，厂区设专人负责防疫工作。</w:t>
      </w:r>
    </w:p>
    <w:p w14:paraId="79E4F707">
      <w:pPr>
        <w:bidi w:val="0"/>
        <w:spacing w:line="360" w:lineRule="auto"/>
        <w:rPr>
          <w:rFonts w:hint="eastAsia"/>
          <w:color w:val="auto"/>
          <w:lang w:val="en-US" w:eastAsia="zh-CN"/>
        </w:rPr>
      </w:pPr>
      <w:r>
        <w:rPr>
          <w:rFonts w:hint="eastAsia"/>
          <w:color w:val="auto"/>
          <w:lang w:val="en-US" w:eastAsia="zh-CN"/>
        </w:rPr>
        <w:t>b.卫生管理和环境消毒传染病源一般抵抗力较强，受污染的场地难以彻底将其消灭。因此，坚持做好日常的环境清洁和消毒工作，定期进行全厂彻底大消毒，减少或消灭环境中的病毒和其他有害因素。厂区门口设置消毒池，专人执行消毒工作。消毒药可选用强力消毒灵、烧碱、百毒杀等，工作人员进厂前应换上已消毒的服装鞋帽，外来人员及车辆等必须严格消毒后进厂。待宰圈要定期彻底清扫、冲洗和消毒，动物防疫监督部门要到厂检疫，认真做好牛、羊检疫工作，做到及早发现疫情，并把疫情控制在最小范围内，防止传染源进入市场流通渠道。</w:t>
      </w:r>
    </w:p>
    <w:p w14:paraId="3E66C296">
      <w:pPr>
        <w:bidi w:val="0"/>
        <w:spacing w:line="360" w:lineRule="auto"/>
        <w:rPr>
          <w:rFonts w:hint="eastAsia"/>
          <w:color w:val="auto"/>
          <w:lang w:val="en-US" w:eastAsia="zh-CN"/>
        </w:rPr>
      </w:pPr>
      <w:r>
        <w:rPr>
          <w:rFonts w:hint="eastAsia"/>
          <w:color w:val="auto"/>
          <w:lang w:val="en-US" w:eastAsia="zh-CN"/>
        </w:rPr>
        <w:t>c.建立疫病报告制度实行规范化管理，待宰圈内的数量、精神状况、发病死亡情况、粪便性状每天都应加以记载，发现有病死畜禽及时无害化处理的同时，尽快向当地疾病预防控制中心部门报告，以便及早确诊，采取适当措施，减少损失。</w:t>
      </w:r>
    </w:p>
    <w:p w14:paraId="4D9654FF">
      <w:pPr>
        <w:bidi w:val="0"/>
        <w:spacing w:line="360" w:lineRule="auto"/>
        <w:rPr>
          <w:rFonts w:hint="eastAsia"/>
          <w:color w:val="auto"/>
          <w:lang w:val="en-US" w:eastAsia="zh-CN"/>
        </w:rPr>
      </w:pPr>
      <w:r>
        <w:rPr>
          <w:rFonts w:hint="eastAsia"/>
          <w:color w:val="auto"/>
          <w:lang w:val="en-US" w:eastAsia="zh-CN"/>
        </w:rPr>
        <w:t>（4）化学品泄漏的风险防范措施</w:t>
      </w:r>
    </w:p>
    <w:p w14:paraId="4C0DF5DB">
      <w:pPr>
        <w:bidi w:val="0"/>
        <w:spacing w:line="360" w:lineRule="auto"/>
        <w:rPr>
          <w:rFonts w:hint="default"/>
          <w:color w:val="auto"/>
          <w:lang w:val="en-US" w:eastAsia="zh-CN"/>
        </w:rPr>
      </w:pPr>
      <w:r>
        <w:rPr>
          <w:rFonts w:hint="eastAsia"/>
          <w:color w:val="auto"/>
          <w:lang w:val="en-US" w:eastAsia="zh-CN"/>
        </w:rPr>
        <w:t>“预防为主，安全第一”是减少事故发生、降低污染事故损害的主要保障。本项目涉及的化学品主要为过氧乙酸、次氯酸钠等，在使用过程中建议做好以下几个方面的工作：</w:t>
      </w:r>
    </w:p>
    <w:p w14:paraId="54FCB4E5">
      <w:pPr>
        <w:bidi w:val="0"/>
        <w:spacing w:line="360" w:lineRule="auto"/>
        <w:rPr>
          <w:rFonts w:hint="eastAsia"/>
          <w:color w:val="auto"/>
          <w:lang w:val="en-US" w:eastAsia="zh-CN"/>
        </w:rPr>
      </w:pPr>
      <w:r>
        <w:rPr>
          <w:rFonts w:hint="default" w:ascii="Times New Roman" w:hAnsi="Times New Roman" w:cs="Times New Roman"/>
          <w:color w:val="auto"/>
          <w:lang w:val="en-US" w:eastAsia="zh-CN"/>
        </w:rPr>
        <w:t>①</w:t>
      </w:r>
      <w:r>
        <w:rPr>
          <w:rFonts w:hint="eastAsia"/>
          <w:color w:val="auto"/>
          <w:lang w:val="en-US" w:eastAsia="zh-CN"/>
        </w:rPr>
        <w:t>应妥善保存，远离可燃物品，储存容器应使用耐腐蚀材料，密封储存，避免未稀释溶液排放到环境中。若发生少量泄漏，可用大量水稀释后排入污水处理站处理；</w:t>
      </w:r>
    </w:p>
    <w:p w14:paraId="4A6B8612">
      <w:pPr>
        <w:bidi w:val="0"/>
        <w:spacing w:line="360" w:lineRule="auto"/>
        <w:rPr>
          <w:rFonts w:hint="eastAsia"/>
          <w:color w:val="auto"/>
          <w:lang w:val="en-US" w:eastAsia="zh-CN"/>
        </w:rPr>
      </w:pPr>
      <w:r>
        <w:rPr>
          <w:rFonts w:hint="default" w:ascii="Times New Roman" w:hAnsi="Times New Roman" w:cs="Times New Roman"/>
          <w:color w:val="auto"/>
          <w:lang w:val="en-US" w:eastAsia="zh-CN"/>
        </w:rPr>
        <w:t>②</w:t>
      </w:r>
      <w:r>
        <w:rPr>
          <w:rFonts w:hint="eastAsia"/>
          <w:color w:val="auto"/>
          <w:lang w:val="en-US" w:eastAsia="zh-CN"/>
        </w:rPr>
        <w:t>操作尽可能机械化、自动化。此外，建议设立完善的监控系统，保证化学品泄漏能第一时间发现；</w:t>
      </w:r>
    </w:p>
    <w:p w14:paraId="0429D5E9">
      <w:pPr>
        <w:bidi w:val="0"/>
        <w:spacing w:line="360" w:lineRule="auto"/>
        <w:rPr>
          <w:rFonts w:hint="eastAsia"/>
          <w:color w:val="auto"/>
          <w:lang w:val="en-US" w:eastAsia="zh-CN"/>
        </w:rPr>
      </w:pPr>
      <w:r>
        <w:rPr>
          <w:rFonts w:hint="default" w:ascii="Times New Roman" w:hAnsi="Times New Roman" w:cs="Times New Roman"/>
          <w:color w:val="auto"/>
          <w:lang w:val="en-US" w:eastAsia="zh-CN"/>
        </w:rPr>
        <w:t>③</w:t>
      </w:r>
      <w:r>
        <w:rPr>
          <w:rFonts w:hint="eastAsia"/>
          <w:color w:val="auto"/>
          <w:lang w:val="en-US" w:eastAsia="zh-CN"/>
        </w:rPr>
        <w:t>制定定点定时巡检制度；对于次氯酸钠及过氧乙酸容器进行定期检查和更换，确保化学品不外溢和泄漏。</w:t>
      </w:r>
    </w:p>
    <w:p w14:paraId="790D5D05">
      <w:pPr>
        <w:bidi w:val="0"/>
        <w:spacing w:line="360" w:lineRule="auto"/>
        <w:rPr>
          <w:rFonts w:hint="eastAsia"/>
          <w:color w:val="auto"/>
          <w:lang w:val="en-US" w:eastAsia="zh-CN"/>
        </w:rPr>
      </w:pPr>
      <w:r>
        <w:rPr>
          <w:rFonts w:hint="eastAsia"/>
          <w:color w:val="auto"/>
          <w:lang w:val="en-US" w:eastAsia="zh-CN"/>
        </w:rPr>
        <w:t>（5）风险分析结论</w:t>
      </w:r>
    </w:p>
    <w:p w14:paraId="1D71EA39">
      <w:pPr>
        <w:bidi w:val="0"/>
        <w:spacing w:line="360" w:lineRule="auto"/>
        <w:rPr>
          <w:rFonts w:hint="eastAsia"/>
          <w:color w:val="auto"/>
          <w:lang w:val="en-US" w:eastAsia="zh-CN"/>
        </w:rPr>
      </w:pPr>
      <w:r>
        <w:rPr>
          <w:rFonts w:hint="eastAsia"/>
          <w:color w:val="auto"/>
          <w:lang w:val="en-US" w:eastAsia="zh-CN"/>
        </w:rPr>
        <w:t>综上所述，本项目的环境风险影响在可防可控的范围之内，在采取环境风险管理及防范措施后，可进一步降低事故发生率，同时严格执行《应急预案》，可减轻事故可能造成的严重后果。因此，在采取有效的风险防范措施的情况下，项目各风险源可控制在项目范围内，对外环境的影响很小。</w:t>
      </w:r>
    </w:p>
    <w:p w14:paraId="28AB473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r>
        <w:rPr>
          <w:rFonts w:hint="default" w:ascii="Times New Roman" w:hAnsi="Times New Roman" w:eastAsia="黑体" w:cs="Times New Roman"/>
          <w:b/>
          <w:color w:val="auto"/>
          <w:sz w:val="28"/>
          <w:szCs w:val="28"/>
          <w:highlight w:val="none"/>
          <w:lang w:val="en-US" w:eastAsia="zh-CN"/>
        </w:rPr>
        <w:t>5.6.8风险管理</w:t>
      </w:r>
    </w:p>
    <w:p w14:paraId="6DE75458">
      <w:pPr>
        <w:bidi w:val="0"/>
        <w:spacing w:line="360" w:lineRule="auto"/>
        <w:rPr>
          <w:rFonts w:hint="eastAsia"/>
          <w:color w:val="auto"/>
          <w:lang w:val="en-US" w:eastAsia="zh-CN"/>
        </w:rPr>
      </w:pPr>
      <w:r>
        <w:rPr>
          <w:rFonts w:hint="eastAsia"/>
          <w:color w:val="auto"/>
          <w:lang w:val="en-US" w:eastAsia="zh-CN"/>
        </w:rPr>
        <w:t>建设单位应根据自身的生产特点，有针对性的进行环境风险管理：</w:t>
      </w:r>
    </w:p>
    <w:p w14:paraId="0D799C3D">
      <w:pPr>
        <w:bidi w:val="0"/>
        <w:spacing w:line="360" w:lineRule="auto"/>
        <w:rPr>
          <w:rFonts w:hint="eastAsia"/>
          <w:color w:val="auto"/>
          <w:lang w:val="en-US" w:eastAsia="zh-CN"/>
        </w:rPr>
      </w:pPr>
      <w:r>
        <w:rPr>
          <w:rFonts w:hint="eastAsia"/>
          <w:color w:val="auto"/>
          <w:lang w:val="en-US" w:eastAsia="zh-CN"/>
        </w:rPr>
        <w:t>（1）明确风险管理应急组织机构组成及其职责，包括协调指挥机构及事故现场应急指挥部。协调指挥机构的总指挥应为企业负责人，组员为各部门的负责人，协调配合做好事故处理的各项工作。事故现场应急指挥部按照事故灾难等级和分级响应原则，由相应的地方人民政府组成现场应急救援指挥部，总指挥由地方政府负责人担任，全面负责应急救援指挥工作；</w:t>
      </w:r>
    </w:p>
    <w:p w14:paraId="618D4665">
      <w:pPr>
        <w:bidi w:val="0"/>
        <w:spacing w:line="360" w:lineRule="auto"/>
        <w:rPr>
          <w:rFonts w:hint="eastAsia"/>
          <w:color w:val="auto"/>
          <w:lang w:val="en-US" w:eastAsia="zh-CN"/>
        </w:rPr>
      </w:pPr>
      <w:r>
        <w:rPr>
          <w:rFonts w:hint="eastAsia"/>
          <w:color w:val="auto"/>
          <w:lang w:val="en-US" w:eastAsia="zh-CN"/>
        </w:rPr>
        <w:t>（2）建立预警及预防机制，制定动物疫病、环境污染、柴油火灾相应的应急预案，定期对相关设施及流程进行检查，发现隐患及时进行整改。对于可能引起重大事故的异常状况，应及时向企业安全管理部门汇报，严重的应按照要求逐级向地方人民政府主管部门汇报；</w:t>
      </w:r>
    </w:p>
    <w:p w14:paraId="03988A29">
      <w:pPr>
        <w:bidi w:val="0"/>
        <w:spacing w:line="360" w:lineRule="auto"/>
        <w:rPr>
          <w:rFonts w:hint="eastAsia"/>
          <w:color w:val="auto"/>
          <w:lang w:val="en-US" w:eastAsia="zh-CN"/>
        </w:rPr>
      </w:pPr>
      <w:r>
        <w:rPr>
          <w:rFonts w:hint="eastAsia"/>
          <w:color w:val="auto"/>
          <w:lang w:val="en-US" w:eastAsia="zh-CN"/>
        </w:rPr>
        <w:t>（3）针对动物疫病、环境污染、化学品泄漏事故的影响特点，建立完善的后期处理机制，妥善安排，降低事故的影响范围，防止次生事故发生；</w:t>
      </w:r>
    </w:p>
    <w:p w14:paraId="161E2DCA">
      <w:pPr>
        <w:bidi w:val="0"/>
        <w:spacing w:line="360" w:lineRule="auto"/>
        <w:rPr>
          <w:rFonts w:hint="eastAsia"/>
          <w:color w:val="auto"/>
          <w:lang w:val="en-US" w:eastAsia="zh-CN"/>
        </w:rPr>
      </w:pPr>
      <w:r>
        <w:rPr>
          <w:rFonts w:hint="eastAsia"/>
          <w:color w:val="auto"/>
          <w:lang w:val="en-US" w:eastAsia="zh-CN"/>
        </w:rPr>
        <w:t>（4）应做好事故的应急救援与保障工作；</w:t>
      </w:r>
    </w:p>
    <w:p w14:paraId="7107D1FD">
      <w:pPr>
        <w:bidi w:val="0"/>
        <w:spacing w:line="360" w:lineRule="auto"/>
        <w:rPr>
          <w:rFonts w:hint="eastAsia"/>
          <w:color w:val="auto"/>
          <w:lang w:val="en-US" w:eastAsia="zh-CN"/>
        </w:rPr>
      </w:pPr>
      <w:r>
        <w:rPr>
          <w:rFonts w:hint="eastAsia"/>
          <w:color w:val="auto"/>
          <w:lang w:val="en-US" w:eastAsia="zh-CN"/>
        </w:rPr>
        <w:t>（5）针对不同环境风险事故的特点，按照应急预案的要求，进行员工日常的安全培训，并定期进行应急预案演练，对于应急预案演练中发现的不完善之处，应及时进行改进。</w:t>
      </w:r>
    </w:p>
    <w:p w14:paraId="00A0691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467" w:name="_Toc13316"/>
      <w:bookmarkStart w:id="468" w:name="_Toc495219694"/>
      <w:bookmarkStart w:id="469" w:name="_Toc10046"/>
      <w:bookmarkStart w:id="470" w:name="_Toc23948"/>
      <w:bookmarkStart w:id="471" w:name="_Toc19012"/>
      <w:bookmarkStart w:id="472" w:name="_Toc30932"/>
      <w:r>
        <w:rPr>
          <w:rFonts w:hint="default" w:ascii="Times New Roman" w:hAnsi="Times New Roman" w:eastAsia="黑体" w:cs="Times New Roman"/>
          <w:b/>
          <w:color w:val="auto"/>
          <w:sz w:val="28"/>
          <w:szCs w:val="28"/>
          <w:highlight w:val="none"/>
          <w:lang w:val="en-US" w:eastAsia="zh-CN"/>
        </w:rPr>
        <w:t>5.6.9应急预案</w:t>
      </w:r>
      <w:bookmarkEnd w:id="467"/>
      <w:bookmarkEnd w:id="468"/>
      <w:bookmarkEnd w:id="469"/>
      <w:bookmarkEnd w:id="470"/>
      <w:bookmarkEnd w:id="471"/>
      <w:bookmarkEnd w:id="472"/>
    </w:p>
    <w:p w14:paraId="21187C27">
      <w:pPr>
        <w:bidi w:val="0"/>
        <w:spacing w:line="360" w:lineRule="auto"/>
        <w:rPr>
          <w:rFonts w:hint="default"/>
          <w:color w:val="auto"/>
          <w:lang w:val="en-US" w:eastAsia="zh-CN"/>
        </w:rPr>
      </w:pPr>
      <w:r>
        <w:rPr>
          <w:rFonts w:hint="eastAsia"/>
          <w:color w:val="auto"/>
          <w:lang w:val="en-US" w:eastAsia="zh-CN"/>
        </w:rPr>
        <w:t>（1）目的</w:t>
      </w:r>
    </w:p>
    <w:p w14:paraId="190A8521">
      <w:pPr>
        <w:bidi w:val="0"/>
        <w:spacing w:line="360" w:lineRule="auto"/>
        <w:rPr>
          <w:rFonts w:hint="eastAsia"/>
          <w:color w:val="auto"/>
          <w:lang w:val="en-US" w:eastAsia="zh-CN"/>
        </w:rPr>
      </w:pPr>
      <w:r>
        <w:rPr>
          <w:rFonts w:hint="eastAsia"/>
          <w:color w:val="auto"/>
          <w:lang w:val="en-US" w:eastAsia="zh-CN"/>
        </w:rPr>
        <w:t>制定风险事故应急预案的目的是在发生风险事故时，能以最快的速度发挥最大效能，有序的实施救援，尽快控制事态的发展，降低事故造成的危害，减少事故造成的损失。</w:t>
      </w:r>
    </w:p>
    <w:p w14:paraId="41CAD84D">
      <w:pPr>
        <w:bidi w:val="0"/>
        <w:spacing w:line="360" w:lineRule="auto"/>
        <w:rPr>
          <w:rFonts w:hint="default"/>
          <w:color w:val="auto"/>
          <w:lang w:val="en-US" w:eastAsia="zh-CN"/>
        </w:rPr>
      </w:pPr>
      <w:r>
        <w:rPr>
          <w:rFonts w:hint="eastAsia"/>
          <w:color w:val="auto"/>
          <w:lang w:val="en-US" w:eastAsia="zh-CN"/>
        </w:rPr>
        <w:t>（2）要求</w:t>
      </w:r>
    </w:p>
    <w:p w14:paraId="76A4ADA3">
      <w:pPr>
        <w:bidi w:val="0"/>
        <w:spacing w:line="360" w:lineRule="auto"/>
        <w:rPr>
          <w:rFonts w:hint="default"/>
          <w:color w:val="auto"/>
          <w:lang w:val="en-US" w:eastAsia="zh-CN"/>
        </w:rPr>
      </w:pPr>
      <w:r>
        <w:rPr>
          <w:rFonts w:hint="eastAsia"/>
          <w:color w:val="auto"/>
          <w:lang w:val="en-US" w:eastAsia="zh-CN"/>
        </w:rPr>
        <w:t>根据</w:t>
      </w:r>
      <w:r>
        <w:rPr>
          <w:rFonts w:hint="eastAsia"/>
          <w:color w:val="auto"/>
          <w:lang w:eastAsia="zh-CN"/>
        </w:rPr>
        <w:t>《建设项目环境风险评价技术导则》（HJ169-2018），</w:t>
      </w:r>
      <w:r>
        <w:rPr>
          <w:rFonts w:hint="eastAsia"/>
          <w:color w:val="auto"/>
          <w:lang w:val="en-US" w:eastAsia="zh-CN"/>
        </w:rPr>
        <w:t>本项目投入运行前按规定需编制应急预案。应急预案主要内容及要求见下表：</w:t>
      </w:r>
    </w:p>
    <w:p w14:paraId="411F1B93">
      <w:pPr>
        <w:spacing w:line="240" w:lineRule="auto"/>
        <w:jc w:val="both"/>
        <w:rPr>
          <w:rFonts w:hint="default" w:ascii="Times New Roman" w:hAnsi="Times New Roman" w:eastAsia="宋体" w:cs="Times New Roman"/>
          <w:bCs/>
          <w:color w:val="auto"/>
          <w:szCs w:val="22"/>
          <w:highlight w:val="none"/>
        </w:rPr>
      </w:pPr>
      <w:r>
        <w:rPr>
          <w:rFonts w:hint="default" w:ascii="Times New Roman" w:hAnsi="Times New Roman" w:eastAsia="宋体" w:cs="Times New Roman"/>
          <w:bCs/>
          <w:color w:val="auto"/>
          <w:sz w:val="21"/>
          <w:szCs w:val="21"/>
          <w:highlight w:val="none"/>
        </w:rPr>
        <w:t>表5.6-</w:t>
      </w:r>
      <w:r>
        <w:rPr>
          <w:rFonts w:hint="default" w:ascii="Times New Roman" w:hAnsi="Times New Roman" w:eastAsia="宋体" w:cs="Times New Roman"/>
          <w:bCs/>
          <w:color w:val="auto"/>
          <w:sz w:val="21"/>
          <w:szCs w:val="21"/>
          <w:highlight w:val="none"/>
          <w:lang w:val="en-US" w:eastAsia="zh-CN"/>
        </w:rPr>
        <w:t>7</w:t>
      </w:r>
      <w:r>
        <w:rPr>
          <w:rFonts w:hint="default" w:ascii="Times New Roman" w:hAnsi="Times New Roman" w:eastAsia="宋体" w:cs="Times New Roman"/>
          <w:bCs/>
          <w:color w:val="auto"/>
          <w:szCs w:val="22"/>
          <w:highlight w:val="none"/>
        </w:rPr>
        <w:t xml:space="preserve"> </w:t>
      </w:r>
      <w:r>
        <w:rPr>
          <w:rFonts w:hint="eastAsia" w:ascii="Times New Roman" w:hAnsi="Times New Roman" w:eastAsia="宋体" w:cs="Times New Roman"/>
          <w:bCs/>
          <w:color w:val="auto"/>
          <w:szCs w:val="22"/>
          <w:highlight w:val="none"/>
          <w:lang w:val="en-US" w:eastAsia="zh-CN"/>
        </w:rPr>
        <w:t xml:space="preserve">            </w:t>
      </w:r>
      <w:r>
        <w:rPr>
          <w:rFonts w:hint="default" w:ascii="Times New Roman" w:hAnsi="Times New Roman" w:eastAsia="宋体" w:cs="Times New Roman"/>
          <w:bCs/>
          <w:color w:val="auto"/>
          <w:szCs w:val="22"/>
          <w:highlight w:val="none"/>
        </w:rPr>
        <w:t xml:space="preserve"> </w:t>
      </w:r>
      <w:r>
        <w:rPr>
          <w:rFonts w:hint="default" w:ascii="Times New Roman" w:hAnsi="Times New Roman" w:eastAsia="宋体" w:cs="Times New Roman"/>
          <w:b/>
          <w:color w:val="auto"/>
          <w:sz w:val="24"/>
          <w:szCs w:val="28"/>
          <w:highlight w:val="none"/>
        </w:rPr>
        <w:t>环境风险应急预案内容一览表</w:t>
      </w:r>
    </w:p>
    <w:tbl>
      <w:tblPr>
        <w:tblStyle w:val="27"/>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159"/>
        <w:gridCol w:w="6002"/>
      </w:tblGrid>
      <w:tr w14:paraId="36D32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7AE7A7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
                <w:iCs/>
                <w:color w:val="auto"/>
                <w:kern w:val="0"/>
                <w:sz w:val="21"/>
                <w:szCs w:val="21"/>
                <w:highlight w:val="none"/>
              </w:rPr>
            </w:pPr>
            <w:r>
              <w:rPr>
                <w:rFonts w:hint="default" w:ascii="Times New Roman" w:hAnsi="Times New Roman" w:eastAsia="宋体" w:cs="Times New Roman"/>
                <w:b/>
                <w:iCs/>
                <w:color w:val="auto"/>
                <w:kern w:val="0"/>
                <w:sz w:val="21"/>
                <w:szCs w:val="21"/>
                <w:highlight w:val="none"/>
              </w:rPr>
              <w:t>序号</w:t>
            </w:r>
          </w:p>
        </w:tc>
        <w:tc>
          <w:tcPr>
            <w:tcW w:w="2159" w:type="dxa"/>
            <w:noWrap w:val="0"/>
            <w:vAlign w:val="center"/>
          </w:tcPr>
          <w:p w14:paraId="0C2D0B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
                <w:iCs/>
                <w:color w:val="auto"/>
                <w:kern w:val="0"/>
                <w:sz w:val="21"/>
                <w:szCs w:val="21"/>
                <w:highlight w:val="none"/>
              </w:rPr>
            </w:pPr>
            <w:r>
              <w:rPr>
                <w:rFonts w:hint="default" w:ascii="Times New Roman" w:hAnsi="Times New Roman" w:eastAsia="宋体" w:cs="Times New Roman"/>
                <w:b/>
                <w:iCs/>
                <w:color w:val="auto"/>
                <w:kern w:val="0"/>
                <w:sz w:val="21"/>
                <w:szCs w:val="21"/>
                <w:highlight w:val="none"/>
              </w:rPr>
              <w:t>项目</w:t>
            </w:r>
          </w:p>
        </w:tc>
        <w:tc>
          <w:tcPr>
            <w:tcW w:w="6004" w:type="dxa"/>
            <w:noWrap w:val="0"/>
            <w:vAlign w:val="center"/>
          </w:tcPr>
          <w:p w14:paraId="0D3D7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
                <w:iCs/>
                <w:color w:val="auto"/>
                <w:kern w:val="0"/>
                <w:sz w:val="21"/>
                <w:szCs w:val="21"/>
                <w:highlight w:val="none"/>
              </w:rPr>
            </w:pPr>
            <w:r>
              <w:rPr>
                <w:rFonts w:hint="default" w:ascii="Times New Roman" w:hAnsi="Times New Roman" w:eastAsia="宋体" w:cs="Times New Roman"/>
                <w:b/>
                <w:iCs/>
                <w:color w:val="auto"/>
                <w:kern w:val="0"/>
                <w:sz w:val="21"/>
                <w:szCs w:val="21"/>
                <w:highlight w:val="none"/>
              </w:rPr>
              <w:t>内容及要求</w:t>
            </w:r>
          </w:p>
        </w:tc>
      </w:tr>
      <w:tr w14:paraId="47443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101C5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1</w:t>
            </w:r>
          </w:p>
        </w:tc>
        <w:tc>
          <w:tcPr>
            <w:tcW w:w="2159" w:type="dxa"/>
            <w:noWrap w:val="0"/>
            <w:vAlign w:val="center"/>
          </w:tcPr>
          <w:p w14:paraId="2CA04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应急计划区</w:t>
            </w:r>
          </w:p>
        </w:tc>
        <w:tc>
          <w:tcPr>
            <w:tcW w:w="6004" w:type="dxa"/>
            <w:noWrap w:val="0"/>
            <w:vAlign w:val="center"/>
          </w:tcPr>
          <w:p w14:paraId="4242F7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lang w:val="en-US" w:eastAsia="zh-CN"/>
              </w:rPr>
            </w:pPr>
            <w:r>
              <w:rPr>
                <w:rFonts w:hint="default" w:ascii="Times New Roman" w:hAnsi="Times New Roman" w:eastAsia="宋体" w:cs="Times New Roman"/>
                <w:bCs/>
                <w:iCs/>
                <w:color w:val="auto"/>
                <w:kern w:val="0"/>
                <w:sz w:val="21"/>
                <w:szCs w:val="21"/>
                <w:highlight w:val="none"/>
              </w:rPr>
              <w:t>危险目标：厂区废水排放管线</w:t>
            </w:r>
            <w:r>
              <w:rPr>
                <w:rFonts w:hint="eastAsia" w:eastAsia="宋体" w:cs="Times New Roman"/>
                <w:bCs/>
                <w:iCs/>
                <w:color w:val="auto"/>
                <w:kern w:val="0"/>
                <w:sz w:val="21"/>
                <w:szCs w:val="21"/>
                <w:highlight w:val="none"/>
                <w:lang w:eastAsia="zh-CN"/>
              </w:rPr>
              <w:t>、</w:t>
            </w:r>
            <w:r>
              <w:rPr>
                <w:rFonts w:hint="eastAsia" w:eastAsia="宋体" w:cs="Times New Roman"/>
                <w:bCs/>
                <w:iCs/>
                <w:color w:val="auto"/>
                <w:kern w:val="0"/>
                <w:sz w:val="21"/>
                <w:szCs w:val="21"/>
                <w:highlight w:val="none"/>
                <w:lang w:val="en-US" w:eastAsia="zh-CN"/>
              </w:rPr>
              <w:t>废水处理设施</w:t>
            </w:r>
          </w:p>
        </w:tc>
      </w:tr>
      <w:tr w14:paraId="40659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3EE1F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2</w:t>
            </w:r>
          </w:p>
        </w:tc>
        <w:tc>
          <w:tcPr>
            <w:tcW w:w="2159" w:type="dxa"/>
            <w:noWrap w:val="0"/>
            <w:vAlign w:val="center"/>
          </w:tcPr>
          <w:p w14:paraId="05B2C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应急组织机构、人员</w:t>
            </w:r>
          </w:p>
        </w:tc>
        <w:tc>
          <w:tcPr>
            <w:tcW w:w="6004" w:type="dxa"/>
            <w:noWrap w:val="0"/>
            <w:vAlign w:val="center"/>
          </w:tcPr>
          <w:p w14:paraId="7DB79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应急组织机构、人员</w:t>
            </w:r>
          </w:p>
        </w:tc>
      </w:tr>
      <w:tr w14:paraId="4517E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67F146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3</w:t>
            </w:r>
          </w:p>
        </w:tc>
        <w:tc>
          <w:tcPr>
            <w:tcW w:w="2159" w:type="dxa"/>
            <w:noWrap w:val="0"/>
            <w:vAlign w:val="center"/>
          </w:tcPr>
          <w:p w14:paraId="26D3B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预案分级响应条件</w:t>
            </w:r>
          </w:p>
        </w:tc>
        <w:tc>
          <w:tcPr>
            <w:tcW w:w="6004" w:type="dxa"/>
            <w:noWrap w:val="0"/>
            <w:vAlign w:val="center"/>
          </w:tcPr>
          <w:p w14:paraId="74317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规定预案的级别及分级</w:t>
            </w:r>
            <w:r>
              <w:rPr>
                <w:rFonts w:hint="eastAsia" w:eastAsia="宋体" w:cs="Times New Roman"/>
                <w:bCs/>
                <w:iCs/>
                <w:color w:val="auto"/>
                <w:kern w:val="0"/>
                <w:sz w:val="21"/>
                <w:szCs w:val="21"/>
                <w:highlight w:val="none"/>
                <w:lang w:eastAsia="zh-CN"/>
              </w:rPr>
              <w:t>响应</w:t>
            </w:r>
            <w:r>
              <w:rPr>
                <w:rFonts w:hint="default" w:ascii="Times New Roman" w:hAnsi="Times New Roman" w:eastAsia="宋体" w:cs="Times New Roman"/>
                <w:bCs/>
                <w:iCs/>
                <w:color w:val="auto"/>
                <w:kern w:val="0"/>
                <w:sz w:val="21"/>
                <w:szCs w:val="21"/>
                <w:highlight w:val="none"/>
              </w:rPr>
              <w:t>程序</w:t>
            </w:r>
          </w:p>
        </w:tc>
      </w:tr>
      <w:tr w14:paraId="2F2446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37C622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4</w:t>
            </w:r>
          </w:p>
        </w:tc>
        <w:tc>
          <w:tcPr>
            <w:tcW w:w="2159" w:type="dxa"/>
            <w:noWrap w:val="0"/>
            <w:vAlign w:val="center"/>
          </w:tcPr>
          <w:p w14:paraId="5617E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应急救援保障</w:t>
            </w:r>
          </w:p>
        </w:tc>
        <w:tc>
          <w:tcPr>
            <w:tcW w:w="6004" w:type="dxa"/>
            <w:noWrap w:val="0"/>
            <w:vAlign w:val="center"/>
          </w:tcPr>
          <w:p w14:paraId="402378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应急设施、设备与器材等</w:t>
            </w:r>
          </w:p>
        </w:tc>
      </w:tr>
      <w:tr w14:paraId="560ED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02CD4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5</w:t>
            </w:r>
          </w:p>
        </w:tc>
        <w:tc>
          <w:tcPr>
            <w:tcW w:w="2159" w:type="dxa"/>
            <w:noWrap w:val="0"/>
            <w:vAlign w:val="center"/>
          </w:tcPr>
          <w:p w14:paraId="3090CE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报警、通讯联络方式</w:t>
            </w:r>
          </w:p>
        </w:tc>
        <w:tc>
          <w:tcPr>
            <w:tcW w:w="6004" w:type="dxa"/>
            <w:noWrap w:val="0"/>
            <w:vAlign w:val="center"/>
          </w:tcPr>
          <w:p w14:paraId="119E1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规定应急状态下的报警通讯方式，通知方式和交通保障、管制</w:t>
            </w:r>
          </w:p>
        </w:tc>
      </w:tr>
      <w:tr w14:paraId="299E4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2CE32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6</w:t>
            </w:r>
          </w:p>
        </w:tc>
        <w:tc>
          <w:tcPr>
            <w:tcW w:w="2159" w:type="dxa"/>
            <w:noWrap w:val="0"/>
            <w:vAlign w:val="center"/>
          </w:tcPr>
          <w:p w14:paraId="1F526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应急环境监测、抢险、救援及控制措施</w:t>
            </w:r>
          </w:p>
        </w:tc>
        <w:tc>
          <w:tcPr>
            <w:tcW w:w="6004" w:type="dxa"/>
            <w:noWrap w:val="0"/>
            <w:vAlign w:val="center"/>
          </w:tcPr>
          <w:p w14:paraId="074142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由专业队伍负责对事故现场进行侦查监测，对事故性质、参数与后果进行评估，为指挥部门提供决策依据</w:t>
            </w:r>
          </w:p>
        </w:tc>
      </w:tr>
      <w:tr w14:paraId="05003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26B0E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7</w:t>
            </w:r>
          </w:p>
        </w:tc>
        <w:tc>
          <w:tcPr>
            <w:tcW w:w="2159" w:type="dxa"/>
            <w:noWrap w:val="0"/>
            <w:vAlign w:val="center"/>
          </w:tcPr>
          <w:p w14:paraId="4E6619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应急检测、防护措施、清除措施和器材</w:t>
            </w:r>
          </w:p>
        </w:tc>
        <w:tc>
          <w:tcPr>
            <w:tcW w:w="6004" w:type="dxa"/>
            <w:noWrap w:val="0"/>
            <w:vAlign w:val="center"/>
          </w:tcPr>
          <w:p w14:paraId="258CF1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事故现场、邻近区域、控制防火区域、控制和清除污染措施及相应设备</w:t>
            </w:r>
          </w:p>
        </w:tc>
      </w:tr>
      <w:tr w14:paraId="6F2C0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3777D9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8</w:t>
            </w:r>
          </w:p>
        </w:tc>
        <w:tc>
          <w:tcPr>
            <w:tcW w:w="2159" w:type="dxa"/>
            <w:noWrap w:val="0"/>
            <w:vAlign w:val="center"/>
          </w:tcPr>
          <w:p w14:paraId="065473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人员紧急撤离、疏散、撤离组织计划</w:t>
            </w:r>
          </w:p>
        </w:tc>
        <w:tc>
          <w:tcPr>
            <w:tcW w:w="6004" w:type="dxa"/>
            <w:noWrap w:val="0"/>
            <w:vAlign w:val="center"/>
          </w:tcPr>
          <w:p w14:paraId="1DA91B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撤离组织计划及救护，医疗救护与公众健康</w:t>
            </w:r>
          </w:p>
        </w:tc>
      </w:tr>
      <w:tr w14:paraId="470A2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54D3D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9</w:t>
            </w:r>
          </w:p>
        </w:tc>
        <w:tc>
          <w:tcPr>
            <w:tcW w:w="2159" w:type="dxa"/>
            <w:noWrap w:val="0"/>
            <w:vAlign w:val="center"/>
          </w:tcPr>
          <w:p w14:paraId="783CC5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事故应急救援关闭程序与恢复措施</w:t>
            </w:r>
          </w:p>
        </w:tc>
        <w:tc>
          <w:tcPr>
            <w:tcW w:w="6004" w:type="dxa"/>
            <w:noWrap w:val="0"/>
            <w:vAlign w:val="center"/>
          </w:tcPr>
          <w:p w14:paraId="03A8C5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规定应急状态终止程序；事故现场善后处理，恢复措施；邻近区域解除事故警戒及善后恢复措施</w:t>
            </w:r>
          </w:p>
        </w:tc>
      </w:tr>
      <w:tr w14:paraId="4FD12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460D94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10</w:t>
            </w:r>
          </w:p>
        </w:tc>
        <w:tc>
          <w:tcPr>
            <w:tcW w:w="2159" w:type="dxa"/>
            <w:noWrap w:val="0"/>
            <w:vAlign w:val="center"/>
          </w:tcPr>
          <w:p w14:paraId="053B58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应急培训计划</w:t>
            </w:r>
          </w:p>
        </w:tc>
        <w:tc>
          <w:tcPr>
            <w:tcW w:w="6004" w:type="dxa"/>
            <w:noWrap w:val="0"/>
            <w:vAlign w:val="center"/>
          </w:tcPr>
          <w:p w14:paraId="6B8BB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应急计划制定后，平时安排人员培训与演练</w:t>
            </w:r>
          </w:p>
        </w:tc>
      </w:tr>
      <w:tr w14:paraId="29584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6" w:type="dxa"/>
            <w:noWrap w:val="0"/>
            <w:vAlign w:val="center"/>
          </w:tcPr>
          <w:p w14:paraId="18FD8F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11</w:t>
            </w:r>
          </w:p>
        </w:tc>
        <w:tc>
          <w:tcPr>
            <w:tcW w:w="2159" w:type="dxa"/>
            <w:noWrap w:val="0"/>
            <w:vAlign w:val="center"/>
          </w:tcPr>
          <w:p w14:paraId="50B2D4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公众教育和信息</w:t>
            </w:r>
          </w:p>
        </w:tc>
        <w:tc>
          <w:tcPr>
            <w:tcW w:w="6004" w:type="dxa"/>
            <w:noWrap w:val="0"/>
            <w:vAlign w:val="center"/>
          </w:tcPr>
          <w:p w14:paraId="597B4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4"/>
              <w:rPr>
                <w:rFonts w:hint="default" w:ascii="Times New Roman" w:hAnsi="Times New Roman" w:eastAsia="宋体" w:cs="Times New Roman"/>
                <w:bCs/>
                <w:iCs/>
                <w:color w:val="auto"/>
                <w:kern w:val="0"/>
                <w:sz w:val="21"/>
                <w:szCs w:val="21"/>
                <w:highlight w:val="none"/>
              </w:rPr>
            </w:pPr>
            <w:r>
              <w:rPr>
                <w:rFonts w:hint="default" w:ascii="Times New Roman" w:hAnsi="Times New Roman" w:eastAsia="宋体" w:cs="Times New Roman"/>
                <w:bCs/>
                <w:iCs/>
                <w:color w:val="auto"/>
                <w:kern w:val="0"/>
                <w:sz w:val="21"/>
                <w:szCs w:val="21"/>
                <w:highlight w:val="none"/>
              </w:rPr>
              <w:t>对场地邻近地区开展公众教育、培训和发布有关信息</w:t>
            </w:r>
          </w:p>
        </w:tc>
      </w:tr>
    </w:tbl>
    <w:p w14:paraId="7D468D3E">
      <w:pPr>
        <w:bidi w:val="0"/>
        <w:spacing w:line="360" w:lineRule="auto"/>
        <w:rPr>
          <w:rFonts w:hint="default"/>
          <w:color w:val="auto"/>
          <w:lang w:val="en-US" w:eastAsia="zh-CN"/>
        </w:rPr>
      </w:pPr>
      <w:r>
        <w:rPr>
          <w:rFonts w:hint="eastAsia"/>
          <w:color w:val="auto"/>
          <w:lang w:val="en-US" w:eastAsia="zh-CN"/>
        </w:rPr>
        <w:t>（3）风险防范应急措施的合理性分析</w:t>
      </w:r>
    </w:p>
    <w:p w14:paraId="5EFB5E5D">
      <w:pPr>
        <w:bidi w:val="0"/>
        <w:spacing w:line="360" w:lineRule="auto"/>
        <w:rPr>
          <w:rFonts w:hint="default"/>
          <w:color w:val="auto"/>
          <w:lang w:val="en-US" w:eastAsia="zh-CN"/>
        </w:rPr>
      </w:pPr>
      <w:r>
        <w:rPr>
          <w:rFonts w:hint="default"/>
          <w:color w:val="auto"/>
          <w:lang w:val="en-US" w:eastAsia="zh-CN"/>
        </w:rPr>
        <w:t>项目生产过程中存在的风险物质尚未构成重大危险源，项目的主要环境风险因素是</w:t>
      </w:r>
      <w:r>
        <w:rPr>
          <w:rFonts w:hint="eastAsia"/>
          <w:color w:val="auto"/>
          <w:lang w:val="en-US" w:eastAsia="zh-CN"/>
        </w:rPr>
        <w:t>化学品</w:t>
      </w:r>
      <w:r>
        <w:rPr>
          <w:rFonts w:hint="default"/>
          <w:color w:val="auto"/>
          <w:lang w:val="en-US" w:eastAsia="zh-CN"/>
        </w:rPr>
        <w:t>泄漏、</w:t>
      </w:r>
      <w:r>
        <w:rPr>
          <w:rFonts w:hint="eastAsia"/>
          <w:color w:val="auto"/>
          <w:lang w:val="en-US" w:eastAsia="zh-CN"/>
        </w:rPr>
        <w:t>动物疫病、</w:t>
      </w:r>
      <w:r>
        <w:rPr>
          <w:rFonts w:hint="default"/>
          <w:color w:val="auto"/>
          <w:lang w:val="en-US" w:eastAsia="zh-CN"/>
        </w:rPr>
        <w:t>废水废气处理设施故障对人体的伤害。</w:t>
      </w:r>
    </w:p>
    <w:p w14:paraId="5F66F4CD">
      <w:pPr>
        <w:bidi w:val="0"/>
        <w:spacing w:line="360" w:lineRule="auto"/>
        <w:rPr>
          <w:rFonts w:hint="default"/>
          <w:color w:val="auto"/>
          <w:lang w:val="en-US" w:eastAsia="zh-CN"/>
        </w:rPr>
      </w:pPr>
      <w:r>
        <w:rPr>
          <w:rFonts w:hint="default"/>
          <w:color w:val="auto"/>
          <w:lang w:val="en-US" w:eastAsia="zh-CN"/>
        </w:rPr>
        <w:t>针对</w:t>
      </w:r>
      <w:r>
        <w:rPr>
          <w:rFonts w:hint="eastAsia"/>
          <w:color w:val="auto"/>
          <w:lang w:val="en-US" w:eastAsia="zh-CN"/>
        </w:rPr>
        <w:t>化学品</w:t>
      </w:r>
      <w:r>
        <w:rPr>
          <w:rFonts w:hint="default"/>
          <w:color w:val="auto"/>
          <w:lang w:val="en-US" w:eastAsia="zh-CN"/>
        </w:rPr>
        <w:t>泄漏风险，加强日常巡查和设备维护，</w:t>
      </w:r>
      <w:r>
        <w:rPr>
          <w:rFonts w:hint="eastAsia"/>
          <w:color w:val="auto"/>
          <w:lang w:val="en-US" w:eastAsia="zh-CN"/>
        </w:rPr>
        <w:t>对于次氯酸钠及过氧乙酸容器进行定期检查和更换，确保化学品不外溢和泄漏。</w:t>
      </w:r>
      <w:r>
        <w:rPr>
          <w:rFonts w:hint="default"/>
          <w:color w:val="auto"/>
          <w:lang w:val="en-US" w:eastAsia="zh-CN"/>
        </w:rPr>
        <w:t>该防范措施可防止因管理不善等原因造成的</w:t>
      </w:r>
      <w:r>
        <w:rPr>
          <w:rFonts w:hint="eastAsia"/>
          <w:color w:val="auto"/>
          <w:lang w:val="en-US" w:eastAsia="zh-CN"/>
        </w:rPr>
        <w:t>化学品泄漏。</w:t>
      </w:r>
      <w:r>
        <w:rPr>
          <w:rFonts w:hint="default"/>
          <w:color w:val="auto"/>
          <w:lang w:val="en-US" w:eastAsia="zh-CN"/>
        </w:rPr>
        <w:t>一旦发现</w:t>
      </w:r>
      <w:r>
        <w:rPr>
          <w:rFonts w:hint="eastAsia"/>
          <w:color w:val="auto"/>
          <w:lang w:val="en-US" w:eastAsia="zh-CN"/>
        </w:rPr>
        <w:t>化学品</w:t>
      </w:r>
      <w:r>
        <w:rPr>
          <w:rFonts w:hint="default"/>
          <w:color w:val="auto"/>
          <w:lang w:val="en-US" w:eastAsia="zh-CN"/>
        </w:rPr>
        <w:t>泄漏，应及时</w:t>
      </w:r>
      <w:r>
        <w:rPr>
          <w:rFonts w:hint="eastAsia"/>
          <w:color w:val="auto"/>
          <w:lang w:val="en-US" w:eastAsia="zh-CN"/>
        </w:rPr>
        <w:t>对泄漏源进行</w:t>
      </w:r>
      <w:r>
        <w:rPr>
          <w:rFonts w:hint="default"/>
          <w:color w:val="auto"/>
          <w:lang w:val="en-US" w:eastAsia="zh-CN"/>
        </w:rPr>
        <w:t>围堵，并且</w:t>
      </w:r>
      <w:r>
        <w:rPr>
          <w:rFonts w:hint="eastAsia"/>
          <w:color w:val="auto"/>
          <w:lang w:val="en-US" w:eastAsia="zh-CN"/>
        </w:rPr>
        <w:t>更换化学品储存容器，可避免因化学品泄漏无法得到有效处理而造成环境污染。</w:t>
      </w:r>
    </w:p>
    <w:p w14:paraId="13467DBF">
      <w:pPr>
        <w:bidi w:val="0"/>
        <w:spacing w:line="360" w:lineRule="auto"/>
        <w:rPr>
          <w:rFonts w:hint="default"/>
          <w:color w:val="auto"/>
          <w:lang w:val="en-US" w:eastAsia="zh-CN"/>
        </w:rPr>
      </w:pPr>
      <w:r>
        <w:rPr>
          <w:rFonts w:hint="eastAsia"/>
          <w:color w:val="auto"/>
          <w:lang w:val="en-US" w:eastAsia="zh-CN"/>
        </w:rPr>
        <w:t>针对动物疫病，对进出人员进行消毒，外购牲畜应逐只检查，对可疑牲畜应隔离观察，排除感染可能后方能进厂宰杀。若发现疫情后，应迅速隔离病牛，并将病牛送至急宰间宰杀。宰杀后进行无害化处置；发现应该上报疫情的传染病时，应及时向上级业务部门报告疫情，包括病畜种类、发病时间地点、发病只数、死亡只数、临床症状、剖检病变、初诊病名及已经采取的防治措施。必要时应通报邻近地区，以便共同防治，防止疫情扩散；对病牛所在的圈舍及活动过的圈舍、接触过的用具进行严格消毒，病畜禽污染的饲料要进行销毁，病畜禽排出的粪便应集中到指定地点堆积发酵和消毒。采取上述措施后，可有效避免动物疫病的传播。</w:t>
      </w:r>
    </w:p>
    <w:p w14:paraId="1DFE451B">
      <w:pPr>
        <w:bidi w:val="0"/>
        <w:spacing w:line="360" w:lineRule="auto"/>
        <w:rPr>
          <w:rFonts w:hint="default"/>
          <w:color w:val="auto"/>
          <w:lang w:val="en-US" w:eastAsia="zh-CN"/>
        </w:rPr>
      </w:pPr>
      <w:r>
        <w:rPr>
          <w:rFonts w:hint="default"/>
          <w:color w:val="auto"/>
          <w:lang w:val="en-US" w:eastAsia="zh-CN"/>
        </w:rPr>
        <w:t>针对废气废水处理设施事故风险，加强日常巡查和设备维护，对设备操作人员进行岗位培训，该防范措施可防止因管理不善、操作人员不具有相应能力等原因造成的处理设施故障</w:t>
      </w:r>
      <w:r>
        <w:rPr>
          <w:rFonts w:hint="eastAsia"/>
          <w:color w:val="auto"/>
          <w:lang w:val="en-US" w:eastAsia="zh-CN"/>
        </w:rPr>
        <w:t>。</w:t>
      </w:r>
      <w:r>
        <w:rPr>
          <w:rFonts w:hint="default"/>
          <w:color w:val="auto"/>
          <w:lang w:val="en-US" w:eastAsia="zh-CN"/>
        </w:rPr>
        <w:t>一旦处理设备出现故障不能正常运行时，应尽快停产进行维修，该应急措施可避免继续产生废气</w:t>
      </w:r>
      <w:r>
        <w:rPr>
          <w:rFonts w:hint="eastAsia"/>
          <w:color w:val="auto"/>
          <w:lang w:val="en-US" w:eastAsia="zh-CN"/>
        </w:rPr>
        <w:t>、废水，</w:t>
      </w:r>
      <w:r>
        <w:rPr>
          <w:rFonts w:hint="default"/>
          <w:color w:val="auto"/>
          <w:lang w:val="en-US" w:eastAsia="zh-CN"/>
        </w:rPr>
        <w:t>且废气</w:t>
      </w:r>
      <w:r>
        <w:rPr>
          <w:rFonts w:hint="eastAsia"/>
          <w:color w:val="auto"/>
          <w:lang w:val="en-US" w:eastAsia="zh-CN"/>
        </w:rPr>
        <w:t>、废水</w:t>
      </w:r>
      <w:r>
        <w:rPr>
          <w:rFonts w:hint="default"/>
          <w:color w:val="auto"/>
          <w:lang w:val="en-US" w:eastAsia="zh-CN"/>
        </w:rPr>
        <w:t>无法得到有效处理而污染周围环境。</w:t>
      </w:r>
    </w:p>
    <w:p w14:paraId="416BEF90">
      <w:pPr>
        <w:bidi w:val="0"/>
        <w:spacing w:line="360" w:lineRule="auto"/>
        <w:rPr>
          <w:rFonts w:hint="default"/>
          <w:color w:val="auto"/>
          <w:lang w:val="en-US" w:eastAsia="zh-CN"/>
        </w:rPr>
      </w:pPr>
      <w:r>
        <w:rPr>
          <w:rFonts w:hint="default"/>
          <w:color w:val="auto"/>
          <w:lang w:val="en-US" w:eastAsia="zh-CN"/>
        </w:rPr>
        <w:t>上述防范措施和应急措施均具有可操作性、切合实际，能有效防范风险事故并在事故发生后能及时控制事态，消除影响。因此，本项目提出的风险防范应急措施具有合理有效性。</w:t>
      </w:r>
    </w:p>
    <w:p w14:paraId="176F59E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473" w:name="_Toc1480"/>
      <w:bookmarkStart w:id="474" w:name="_Toc29317"/>
      <w:bookmarkStart w:id="475" w:name="_Toc23070"/>
      <w:bookmarkStart w:id="476" w:name="_Toc495219695"/>
      <w:bookmarkStart w:id="477" w:name="_Toc21420"/>
      <w:bookmarkStart w:id="478" w:name="_Toc27577"/>
      <w:r>
        <w:rPr>
          <w:rFonts w:hint="default" w:ascii="Times New Roman" w:hAnsi="Times New Roman" w:eastAsia="黑体" w:cs="Times New Roman"/>
          <w:b/>
          <w:color w:val="auto"/>
          <w:sz w:val="28"/>
          <w:szCs w:val="28"/>
          <w:highlight w:val="none"/>
          <w:lang w:val="en-US" w:eastAsia="zh-CN"/>
        </w:rPr>
        <w:t>5.6.</w:t>
      </w:r>
      <w:r>
        <w:rPr>
          <w:rFonts w:hint="eastAsia" w:eastAsia="黑体" w:cs="Times New Roman"/>
          <w:b/>
          <w:color w:val="auto"/>
          <w:sz w:val="28"/>
          <w:szCs w:val="28"/>
          <w:highlight w:val="none"/>
          <w:lang w:val="en-US" w:eastAsia="zh-CN"/>
        </w:rPr>
        <w:t>10</w:t>
      </w:r>
      <w:r>
        <w:rPr>
          <w:rFonts w:hint="default" w:ascii="Times New Roman" w:hAnsi="Times New Roman" w:eastAsia="黑体" w:cs="Times New Roman"/>
          <w:b/>
          <w:color w:val="auto"/>
          <w:sz w:val="28"/>
          <w:szCs w:val="28"/>
          <w:highlight w:val="none"/>
          <w:lang w:val="en-US" w:eastAsia="zh-CN"/>
        </w:rPr>
        <w:t>风险评价</w:t>
      </w:r>
      <w:bookmarkEnd w:id="473"/>
      <w:bookmarkEnd w:id="474"/>
      <w:bookmarkEnd w:id="475"/>
      <w:bookmarkEnd w:id="476"/>
      <w:bookmarkEnd w:id="477"/>
      <w:r>
        <w:rPr>
          <w:rFonts w:hint="default" w:ascii="Times New Roman" w:hAnsi="Times New Roman" w:eastAsia="黑体" w:cs="Times New Roman"/>
          <w:b/>
          <w:color w:val="auto"/>
          <w:sz w:val="28"/>
          <w:szCs w:val="28"/>
          <w:highlight w:val="none"/>
          <w:lang w:val="en-US" w:eastAsia="zh-CN"/>
        </w:rPr>
        <w:t>结论</w:t>
      </w:r>
      <w:bookmarkEnd w:id="478"/>
    </w:p>
    <w:p w14:paraId="64B4EE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（1）废气泄漏风险评价</w:t>
      </w:r>
    </w:p>
    <w:p w14:paraId="4BFDB0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ascii="Times New Roman" w:hAnsi="Times New Roman" w:eastAsia="仿宋_GB2312" w:cs="Times New Roman"/>
          <w:color w:val="auto"/>
          <w:kern w:val="2"/>
          <w:sz w:val="24"/>
          <w:szCs w:val="24"/>
          <w:lang w:bidi="ar-SA"/>
        </w:rPr>
        <w:t>本项目废气处理设施的失效导致大量恶臭气体泄漏，对大气环境造成了污染。在发生事故的情况下，对周边环境的负面影响通常是短暂的。尽管此类事故发生的可能性较低，企业仍需从建设、生产</w:t>
      </w:r>
      <w:r>
        <w:rPr>
          <w:rFonts w:hint="eastAsia" w:ascii="Times New Roman" w:hAnsi="Times New Roman" w:cs="Times New Roman"/>
          <w:color w:val="auto"/>
          <w:kern w:val="2"/>
          <w:sz w:val="24"/>
          <w:szCs w:val="24"/>
          <w:lang w:val="en-US" w:eastAsia="zh-CN" w:bidi="ar-SA"/>
        </w:rPr>
        <w:t>和管理</w:t>
      </w:r>
      <w:r>
        <w:rPr>
          <w:rFonts w:ascii="Times New Roman" w:hAnsi="Times New Roman" w:eastAsia="仿宋_GB2312" w:cs="Times New Roman"/>
          <w:color w:val="auto"/>
          <w:kern w:val="2"/>
          <w:sz w:val="24"/>
          <w:szCs w:val="24"/>
          <w:lang w:bidi="ar-SA"/>
        </w:rPr>
        <w:t>等多个环节积极实施防护措施，并制定相应的环境应急预案。一旦事故发生，应立即采取紧急工程措施来控制事态并减轻其带来的损害。考虑到项目实施后所带来的各种效益，</w:t>
      </w:r>
      <w:r>
        <w:rPr>
          <w:rFonts w:hint="eastAsia" w:ascii="Times New Roman" w:hAnsi="Times New Roman" w:cs="Times New Roman"/>
          <w:color w:val="auto"/>
          <w:kern w:val="2"/>
          <w:sz w:val="24"/>
          <w:szCs w:val="24"/>
          <w:lang w:val="en-US" w:eastAsia="zh-CN" w:bidi="ar-SA"/>
        </w:rPr>
        <w:t>评价认为</w:t>
      </w:r>
      <w:r>
        <w:rPr>
          <w:rFonts w:ascii="Times New Roman" w:hAnsi="Times New Roman" w:eastAsia="仿宋_GB2312" w:cs="Times New Roman"/>
          <w:color w:val="auto"/>
          <w:kern w:val="2"/>
          <w:sz w:val="24"/>
          <w:szCs w:val="24"/>
          <w:lang w:bidi="ar-SA"/>
        </w:rPr>
        <w:t>这些潜在风险是完全可接受的。</w:t>
      </w:r>
    </w:p>
    <w:p w14:paraId="56C8DB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（2）废水事故排放风险评价</w:t>
      </w:r>
    </w:p>
    <w:p w14:paraId="715501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本项目设置一座规模为100m</w:t>
      </w:r>
      <w:r>
        <w:rPr>
          <w:rFonts w:hint="eastAsia"/>
          <w:color w:val="auto"/>
          <w:vertAlign w:val="superscript"/>
          <w:lang w:val="en-US" w:eastAsia="zh-CN"/>
        </w:rPr>
        <w:t>3</w:t>
      </w:r>
      <w:r>
        <w:rPr>
          <w:rFonts w:hint="eastAsia"/>
          <w:color w:val="auto"/>
          <w:lang w:val="en-US" w:eastAsia="zh-CN"/>
        </w:rPr>
        <w:t>/d的污水处理站，若发生事故可及时将事故废水排至污水处理站，经污水处理站处理后排至城区污水处理厂处理。同时加强管理，发生废水泄漏污染土壤、地下水的概率很小，该风险是可以接受的。</w:t>
      </w:r>
    </w:p>
    <w:p w14:paraId="7DC8C1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（3）疫病事故风险评价</w:t>
      </w:r>
    </w:p>
    <w:p w14:paraId="134A17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屠宰厂疫病发生有自身的特点，只要企业加强日常管理，做好预防工作，经常消毒，并建立疫病监测制度，在疫病发生时能严格按照应急计划执行，评价认为该风险是可以接受的。</w:t>
      </w:r>
    </w:p>
    <w:p w14:paraId="46F474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（4）化学品泄漏风险评价</w:t>
      </w:r>
    </w:p>
    <w:p w14:paraId="509F63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建设单位在正确使用和储存次氯酸钠及过氧乙酸，并严格遵守安全防护措施后，能够有效减少其使用和储存过程中的风险，本评价认为该风险是可以接受的。</w:t>
      </w:r>
    </w:p>
    <w:p w14:paraId="5FEF4F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项目关注的危险物质为</w:t>
      </w:r>
      <w:r>
        <w:rPr>
          <w:rFonts w:hint="default" w:ascii="Times New Roman" w:hAnsi="Times New Roman" w:eastAsia="仿宋_GB2312" w:cs="Times New Roman"/>
          <w:color w:val="auto"/>
          <w:spacing w:val="0"/>
          <w:kern w:val="24"/>
          <w:sz w:val="24"/>
          <w:highlight w:val="none"/>
        </w:rPr>
        <w:t>过氧乙酸、次氯酸钠、</w:t>
      </w:r>
      <w:r>
        <w:rPr>
          <w:rFonts w:hint="eastAsia" w:cs="Times New Roman"/>
          <w:color w:val="auto"/>
          <w:spacing w:val="0"/>
          <w:kern w:val="24"/>
          <w:sz w:val="24"/>
          <w:highlight w:val="none"/>
          <w:lang w:val="en-US" w:eastAsia="zh-CN"/>
        </w:rPr>
        <w:t>废机油</w:t>
      </w:r>
      <w:r>
        <w:rPr>
          <w:rFonts w:hint="eastAsia"/>
          <w:color w:val="auto"/>
          <w:lang w:val="en-US" w:eastAsia="zh-CN"/>
        </w:rPr>
        <w:t>，危险物质数量与临界量的比值Q＜1，因此，企业危险化学品仓储和生产场所不构成重大危险源。本项目存在的最大可信事故类型为防渗措施不完好造成的事故废水进入外环境对场地及下游地下水或土壤形成污染。项目采取了有效的安全措施，制定完善的安全管理、降低风险的规章制度，在生产装置及其公用工程设计、施工、运行及维护的全过程中将采用先进的生产技术和成熟可靠的抗风险措施。项目环境风险事故的发生概率较小，环境风险属可接受水平。</w:t>
      </w:r>
    </w:p>
    <w:p w14:paraId="471E63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建设项目环境风险简单分析内容见表5.6-8。</w:t>
      </w:r>
    </w:p>
    <w:p w14:paraId="24904F7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2"/>
        </w:rPr>
      </w:pPr>
      <w:r>
        <w:rPr>
          <w:rFonts w:hint="default" w:ascii="Times New Roman" w:hAnsi="Times New Roman" w:eastAsia="宋体" w:cs="Times New Roman"/>
          <w:b w:val="0"/>
          <w:bCs/>
          <w:color w:val="auto"/>
          <w:sz w:val="21"/>
          <w:szCs w:val="22"/>
        </w:rPr>
        <w:t>表</w:t>
      </w:r>
      <w:r>
        <w:rPr>
          <w:rFonts w:hint="default" w:ascii="Times New Roman" w:hAnsi="Times New Roman" w:eastAsia="宋体" w:cs="Times New Roman"/>
          <w:b w:val="0"/>
          <w:bCs/>
          <w:color w:val="auto"/>
          <w:sz w:val="21"/>
          <w:szCs w:val="22"/>
          <w:lang w:val="en-US" w:eastAsia="zh-CN"/>
        </w:rPr>
        <w:t>5.6-8</w:t>
      </w:r>
      <w:r>
        <w:rPr>
          <w:rFonts w:hint="default" w:ascii="Times New Roman" w:hAnsi="Times New Roman" w:eastAsia="宋体" w:cs="Times New Roman"/>
          <w:b w:val="0"/>
          <w:bCs/>
          <w:color w:val="auto"/>
          <w:sz w:val="21"/>
          <w:szCs w:val="22"/>
        </w:rPr>
        <w:t xml:space="preserve">  </w:t>
      </w:r>
      <w:r>
        <w:rPr>
          <w:rFonts w:hint="default" w:ascii="Times New Roman" w:hAnsi="Times New Roman" w:eastAsia="宋体" w:cs="Times New Roman"/>
          <w:b w:val="0"/>
          <w:bCs/>
          <w:color w:val="auto"/>
          <w:sz w:val="21"/>
          <w:szCs w:val="22"/>
          <w:lang w:val="en-US" w:eastAsia="zh-CN"/>
        </w:rPr>
        <w:t xml:space="preserve">              </w:t>
      </w:r>
      <w:r>
        <w:rPr>
          <w:rFonts w:hint="default" w:ascii="Times New Roman" w:hAnsi="Times New Roman" w:eastAsia="宋体" w:cs="Times New Roman"/>
          <w:b w:val="0"/>
          <w:bCs/>
          <w:color w:val="auto"/>
          <w:sz w:val="21"/>
          <w:szCs w:val="22"/>
        </w:rPr>
        <w:t xml:space="preserve">  </w:t>
      </w:r>
      <w:r>
        <w:rPr>
          <w:rFonts w:hint="default" w:ascii="Times New Roman" w:hAnsi="Times New Roman" w:eastAsia="宋体" w:cs="Times New Roman"/>
          <w:b/>
          <w:bCs/>
          <w:color w:val="auto"/>
          <w:sz w:val="24"/>
        </w:rPr>
        <w:t>建设项目环境风险简单分析内容表</w:t>
      </w:r>
    </w:p>
    <w:tbl>
      <w:tblPr>
        <w:tblStyle w:val="27"/>
        <w:tblW w:w="49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745"/>
        <w:gridCol w:w="1223"/>
        <w:gridCol w:w="921"/>
        <w:gridCol w:w="1002"/>
        <w:gridCol w:w="2001"/>
      </w:tblGrid>
      <w:tr w14:paraId="6EC24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noWrap w:val="0"/>
            <w:vAlign w:val="center"/>
          </w:tcPr>
          <w:p w14:paraId="5EAD74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
                <w:bCs w:val="0"/>
                <w:iCs/>
                <w:color w:val="auto"/>
                <w:kern w:val="0"/>
                <w:sz w:val="21"/>
                <w:szCs w:val="21"/>
                <w:lang w:eastAsia="zh-CN"/>
              </w:rPr>
            </w:pPr>
            <w:r>
              <w:rPr>
                <w:rFonts w:hint="default" w:ascii="Times New Roman" w:hAnsi="Times New Roman" w:eastAsia="宋体" w:cs="Times New Roman"/>
                <w:b/>
                <w:bCs w:val="0"/>
                <w:iCs/>
                <w:color w:val="auto"/>
                <w:kern w:val="0"/>
                <w:sz w:val="21"/>
                <w:szCs w:val="21"/>
                <w:lang w:eastAsia="zh-CN"/>
              </w:rPr>
              <w:t>建设项目名称</w:t>
            </w:r>
          </w:p>
        </w:tc>
        <w:tc>
          <w:tcPr>
            <w:tcW w:w="6892" w:type="dxa"/>
            <w:gridSpan w:val="5"/>
            <w:noWrap w:val="0"/>
            <w:vAlign w:val="center"/>
          </w:tcPr>
          <w:p w14:paraId="41AB33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lang w:eastAsia="zh-CN"/>
              </w:rPr>
            </w:pPr>
            <w:r>
              <w:rPr>
                <w:rFonts w:hint="default" w:ascii="Times New Roman" w:hAnsi="Times New Roman" w:eastAsia="宋体" w:cs="Times New Roman"/>
                <w:bCs/>
                <w:iCs/>
                <w:color w:val="auto"/>
                <w:kern w:val="0"/>
                <w:sz w:val="21"/>
                <w:szCs w:val="21"/>
                <w:lang w:eastAsia="zh-CN"/>
              </w:rPr>
              <w:t>固原市科财牛羊屠宰精深加工项目</w:t>
            </w:r>
          </w:p>
        </w:tc>
      </w:tr>
      <w:tr w14:paraId="69CD2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noWrap w:val="0"/>
            <w:vAlign w:val="center"/>
          </w:tcPr>
          <w:p w14:paraId="08C56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
                <w:bCs w:val="0"/>
                <w:iCs/>
                <w:color w:val="auto"/>
                <w:kern w:val="0"/>
                <w:sz w:val="21"/>
                <w:szCs w:val="21"/>
                <w:lang w:eastAsia="zh-CN"/>
              </w:rPr>
            </w:pPr>
            <w:r>
              <w:rPr>
                <w:rFonts w:hint="default" w:ascii="Times New Roman" w:hAnsi="Times New Roman" w:eastAsia="宋体" w:cs="Times New Roman"/>
                <w:b/>
                <w:bCs w:val="0"/>
                <w:iCs/>
                <w:color w:val="auto"/>
                <w:kern w:val="0"/>
                <w:sz w:val="21"/>
                <w:szCs w:val="21"/>
                <w:lang w:eastAsia="zh-CN"/>
              </w:rPr>
              <w:t>建设地点</w:t>
            </w:r>
          </w:p>
        </w:tc>
        <w:tc>
          <w:tcPr>
            <w:tcW w:w="1745" w:type="dxa"/>
            <w:noWrap w:val="0"/>
            <w:vAlign w:val="center"/>
          </w:tcPr>
          <w:p w14:paraId="2548CA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lang w:eastAsia="zh-CN"/>
              </w:rPr>
            </w:pPr>
            <w:r>
              <w:rPr>
                <w:rFonts w:hint="default" w:ascii="Times New Roman" w:hAnsi="Times New Roman" w:eastAsia="宋体" w:cs="Times New Roman"/>
                <w:bCs/>
                <w:iCs/>
                <w:color w:val="auto"/>
                <w:kern w:val="0"/>
                <w:sz w:val="21"/>
                <w:szCs w:val="21"/>
                <w:lang w:eastAsia="zh-CN"/>
              </w:rPr>
              <w:t>（宁夏）省</w:t>
            </w:r>
          </w:p>
        </w:tc>
        <w:tc>
          <w:tcPr>
            <w:tcW w:w="1223" w:type="dxa"/>
            <w:noWrap w:val="0"/>
            <w:vAlign w:val="center"/>
          </w:tcPr>
          <w:p w14:paraId="1CEA75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lang w:eastAsia="zh-CN"/>
              </w:rPr>
            </w:pPr>
            <w:r>
              <w:rPr>
                <w:rFonts w:hint="default" w:ascii="Times New Roman" w:hAnsi="Times New Roman" w:eastAsia="宋体" w:cs="Times New Roman"/>
                <w:bCs/>
                <w:iCs/>
                <w:color w:val="auto"/>
                <w:kern w:val="0"/>
                <w:sz w:val="21"/>
                <w:szCs w:val="21"/>
                <w:lang w:eastAsia="zh-CN"/>
              </w:rPr>
              <w:t>（</w:t>
            </w:r>
            <w:r>
              <w:rPr>
                <w:rFonts w:hint="eastAsia" w:ascii="Times New Roman" w:hAnsi="Times New Roman" w:eastAsia="宋体" w:cs="Times New Roman"/>
                <w:bCs/>
                <w:iCs/>
                <w:color w:val="auto"/>
                <w:kern w:val="0"/>
                <w:sz w:val="21"/>
                <w:szCs w:val="21"/>
                <w:lang w:val="en-US" w:eastAsia="zh-CN"/>
              </w:rPr>
              <w:t>固原</w:t>
            </w:r>
            <w:r>
              <w:rPr>
                <w:rFonts w:hint="default" w:ascii="Times New Roman" w:hAnsi="Times New Roman" w:eastAsia="宋体" w:cs="Times New Roman"/>
                <w:bCs/>
                <w:iCs/>
                <w:color w:val="auto"/>
                <w:kern w:val="0"/>
                <w:sz w:val="21"/>
                <w:szCs w:val="21"/>
                <w:lang w:eastAsia="zh-CN"/>
              </w:rPr>
              <w:t>）市</w:t>
            </w:r>
          </w:p>
        </w:tc>
        <w:tc>
          <w:tcPr>
            <w:tcW w:w="921" w:type="dxa"/>
            <w:noWrap w:val="0"/>
            <w:vAlign w:val="center"/>
          </w:tcPr>
          <w:p w14:paraId="0A6452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lang w:eastAsia="zh-CN"/>
              </w:rPr>
            </w:pPr>
            <w:r>
              <w:rPr>
                <w:rFonts w:hint="default" w:ascii="Times New Roman" w:hAnsi="Times New Roman" w:eastAsia="宋体" w:cs="Times New Roman"/>
                <w:bCs/>
                <w:iCs/>
                <w:color w:val="auto"/>
                <w:kern w:val="0"/>
                <w:sz w:val="21"/>
                <w:szCs w:val="21"/>
                <w:lang w:eastAsia="zh-CN"/>
              </w:rPr>
              <w:t>（</w:t>
            </w:r>
            <w:r>
              <w:rPr>
                <w:rFonts w:hint="eastAsia" w:ascii="Times New Roman" w:hAnsi="Times New Roman" w:eastAsia="宋体" w:cs="Times New Roman"/>
                <w:bCs/>
                <w:iCs/>
                <w:color w:val="auto"/>
                <w:kern w:val="0"/>
                <w:sz w:val="21"/>
                <w:szCs w:val="21"/>
                <w:lang w:val="en-US" w:eastAsia="zh-CN"/>
              </w:rPr>
              <w:t>原州</w:t>
            </w:r>
            <w:r>
              <w:rPr>
                <w:rFonts w:hint="default" w:ascii="Times New Roman" w:hAnsi="Times New Roman" w:eastAsia="宋体" w:cs="Times New Roman"/>
                <w:bCs/>
                <w:iCs/>
                <w:color w:val="auto"/>
                <w:kern w:val="0"/>
                <w:sz w:val="21"/>
                <w:szCs w:val="21"/>
                <w:lang w:eastAsia="zh-CN"/>
              </w:rPr>
              <w:t>）区</w:t>
            </w:r>
          </w:p>
        </w:tc>
        <w:tc>
          <w:tcPr>
            <w:tcW w:w="1002" w:type="dxa"/>
            <w:noWrap w:val="0"/>
            <w:vAlign w:val="center"/>
          </w:tcPr>
          <w:p w14:paraId="2FBA99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lang w:eastAsia="zh-CN"/>
              </w:rPr>
            </w:pPr>
            <w:r>
              <w:rPr>
                <w:rFonts w:hint="default" w:ascii="Times New Roman" w:hAnsi="Times New Roman" w:eastAsia="宋体" w:cs="Times New Roman"/>
                <w:bCs/>
                <w:iCs/>
                <w:color w:val="auto"/>
                <w:kern w:val="0"/>
                <w:sz w:val="21"/>
                <w:szCs w:val="21"/>
                <w:lang w:eastAsia="zh-CN"/>
              </w:rPr>
              <w:t>（）县</w:t>
            </w:r>
          </w:p>
        </w:tc>
        <w:tc>
          <w:tcPr>
            <w:tcW w:w="2001" w:type="dxa"/>
            <w:noWrap w:val="0"/>
            <w:vAlign w:val="center"/>
          </w:tcPr>
          <w:p w14:paraId="70283A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lang w:eastAsia="zh-CN"/>
              </w:rPr>
            </w:pPr>
            <w:r>
              <w:rPr>
                <w:rFonts w:hint="default" w:ascii="Times New Roman" w:hAnsi="Times New Roman" w:eastAsia="宋体" w:cs="Times New Roman"/>
                <w:bCs/>
                <w:iCs/>
                <w:color w:val="auto"/>
                <w:kern w:val="0"/>
                <w:sz w:val="21"/>
                <w:szCs w:val="21"/>
                <w:lang w:eastAsia="zh-CN"/>
              </w:rPr>
              <w:t>（固原经济开发区轻工产业园）园区</w:t>
            </w:r>
          </w:p>
        </w:tc>
      </w:tr>
      <w:tr w14:paraId="5BD14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noWrap w:val="0"/>
            <w:vAlign w:val="center"/>
          </w:tcPr>
          <w:p w14:paraId="0347FF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
                <w:bCs w:val="0"/>
                <w:iCs/>
                <w:color w:val="auto"/>
                <w:kern w:val="0"/>
                <w:sz w:val="21"/>
                <w:szCs w:val="21"/>
                <w:lang w:eastAsia="zh-CN"/>
              </w:rPr>
            </w:pPr>
            <w:r>
              <w:rPr>
                <w:rFonts w:hint="default" w:ascii="Times New Roman" w:hAnsi="Times New Roman" w:eastAsia="宋体" w:cs="Times New Roman"/>
                <w:b/>
                <w:bCs w:val="0"/>
                <w:iCs/>
                <w:color w:val="auto"/>
                <w:kern w:val="0"/>
                <w:sz w:val="21"/>
                <w:szCs w:val="21"/>
                <w:lang w:eastAsia="zh-CN"/>
              </w:rPr>
              <w:t>地理坐标</w:t>
            </w:r>
          </w:p>
        </w:tc>
        <w:tc>
          <w:tcPr>
            <w:tcW w:w="1745" w:type="dxa"/>
            <w:noWrap w:val="0"/>
            <w:vAlign w:val="center"/>
          </w:tcPr>
          <w:p w14:paraId="0AE7D4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rPr>
            </w:pPr>
            <w:r>
              <w:rPr>
                <w:rFonts w:hint="default" w:ascii="Times New Roman" w:hAnsi="Times New Roman" w:eastAsia="宋体" w:cs="Times New Roman"/>
                <w:bCs/>
                <w:iCs/>
                <w:color w:val="auto"/>
                <w:kern w:val="0"/>
                <w:sz w:val="21"/>
                <w:szCs w:val="21"/>
                <w:lang w:val="zh-CN"/>
              </w:rPr>
              <w:t>经度</w:t>
            </w:r>
          </w:p>
        </w:tc>
        <w:tc>
          <w:tcPr>
            <w:tcW w:w="2144" w:type="dxa"/>
            <w:gridSpan w:val="2"/>
            <w:noWrap w:val="0"/>
            <w:vAlign w:val="center"/>
          </w:tcPr>
          <w:p w14:paraId="5DF411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lang w:val="zh-CN"/>
              </w:rPr>
            </w:pPr>
            <w:r>
              <w:rPr>
                <w:rFonts w:hint="default" w:ascii="Times New Roman" w:hAnsi="Times New Roman" w:eastAsia="宋体" w:cs="Times New Roman"/>
                <w:bCs/>
                <w:iCs/>
                <w:color w:val="auto"/>
                <w:kern w:val="0"/>
                <w:sz w:val="21"/>
                <w:szCs w:val="21"/>
                <w:lang w:val="zh-CN"/>
              </w:rPr>
              <w:t>106°11′12.140″</w:t>
            </w:r>
          </w:p>
        </w:tc>
        <w:tc>
          <w:tcPr>
            <w:tcW w:w="1002" w:type="dxa"/>
            <w:noWrap w:val="0"/>
            <w:vAlign w:val="center"/>
          </w:tcPr>
          <w:p w14:paraId="3A9C37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lang w:val="zh-CN"/>
              </w:rPr>
            </w:pPr>
            <w:r>
              <w:rPr>
                <w:rFonts w:hint="default" w:ascii="Times New Roman" w:hAnsi="Times New Roman" w:eastAsia="宋体" w:cs="Times New Roman"/>
                <w:bCs/>
                <w:iCs/>
                <w:color w:val="auto"/>
                <w:kern w:val="0"/>
                <w:sz w:val="21"/>
                <w:szCs w:val="21"/>
                <w:lang w:val="zh-CN"/>
              </w:rPr>
              <w:t>纬度</w:t>
            </w:r>
          </w:p>
        </w:tc>
        <w:tc>
          <w:tcPr>
            <w:tcW w:w="2001" w:type="dxa"/>
            <w:noWrap w:val="0"/>
            <w:vAlign w:val="center"/>
          </w:tcPr>
          <w:p w14:paraId="5BCBA6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Cs/>
                <w:iCs/>
                <w:color w:val="auto"/>
                <w:kern w:val="0"/>
                <w:sz w:val="21"/>
                <w:szCs w:val="21"/>
                <w:lang w:val="zh-CN"/>
              </w:rPr>
            </w:pPr>
            <w:r>
              <w:rPr>
                <w:rFonts w:hint="default" w:ascii="Times New Roman" w:hAnsi="Times New Roman" w:eastAsia="宋体" w:cs="Times New Roman"/>
                <w:bCs/>
                <w:iCs/>
                <w:color w:val="auto"/>
                <w:kern w:val="0"/>
                <w:sz w:val="21"/>
                <w:szCs w:val="21"/>
                <w:lang w:val="zh-CN"/>
              </w:rPr>
              <w:t>36°0′16.708″</w:t>
            </w:r>
          </w:p>
        </w:tc>
      </w:tr>
      <w:tr w14:paraId="1270B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noWrap w:val="0"/>
            <w:vAlign w:val="center"/>
          </w:tcPr>
          <w:p w14:paraId="50037E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
                <w:bCs w:val="0"/>
                <w:iCs/>
                <w:color w:val="auto"/>
                <w:kern w:val="0"/>
                <w:sz w:val="21"/>
                <w:szCs w:val="21"/>
                <w:lang w:eastAsia="zh-CN"/>
              </w:rPr>
            </w:pPr>
            <w:r>
              <w:rPr>
                <w:rFonts w:hint="default" w:ascii="Times New Roman" w:hAnsi="Times New Roman" w:eastAsia="宋体" w:cs="Times New Roman"/>
                <w:b/>
                <w:bCs w:val="0"/>
                <w:iCs/>
                <w:color w:val="auto"/>
                <w:kern w:val="0"/>
                <w:sz w:val="21"/>
                <w:szCs w:val="21"/>
                <w:lang w:eastAsia="zh-CN"/>
              </w:rPr>
              <w:t>主要危险物质及分布</w:t>
            </w:r>
          </w:p>
        </w:tc>
        <w:tc>
          <w:tcPr>
            <w:tcW w:w="6892" w:type="dxa"/>
            <w:gridSpan w:val="5"/>
            <w:noWrap w:val="0"/>
            <w:vAlign w:val="center"/>
          </w:tcPr>
          <w:p w14:paraId="2F7BDC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4"/>
              <w:rPr>
                <w:rFonts w:hint="default" w:ascii="Times New Roman" w:hAnsi="Times New Roman" w:eastAsia="宋体" w:cs="Times New Roman"/>
                <w:bCs/>
                <w:iCs/>
                <w:color w:val="auto"/>
                <w:kern w:val="0"/>
                <w:sz w:val="21"/>
                <w:szCs w:val="21"/>
                <w:lang w:val="en-US" w:eastAsia="zh-CN"/>
              </w:rPr>
            </w:pPr>
            <w:r>
              <w:rPr>
                <w:rFonts w:hint="default" w:ascii="Times New Roman" w:hAnsi="Times New Roman" w:eastAsia="宋体" w:cs="Times New Roman"/>
                <w:bCs/>
                <w:iCs/>
                <w:color w:val="auto"/>
                <w:kern w:val="0"/>
                <w:sz w:val="21"/>
                <w:szCs w:val="21"/>
                <w:lang w:val="en-US"/>
              </w:rPr>
              <w:t>过氧乙酸</w:t>
            </w:r>
            <w:r>
              <w:rPr>
                <w:rFonts w:hint="eastAsia" w:ascii="Times New Roman" w:hAnsi="Times New Roman" w:eastAsia="宋体" w:cs="Times New Roman"/>
                <w:bCs/>
                <w:iCs/>
                <w:color w:val="auto"/>
                <w:kern w:val="0"/>
                <w:sz w:val="21"/>
                <w:szCs w:val="21"/>
                <w:lang w:val="en-US" w:eastAsia="zh-CN"/>
              </w:rPr>
              <w:t>，屠宰加工车间；</w:t>
            </w:r>
            <w:r>
              <w:rPr>
                <w:rFonts w:hint="default" w:ascii="Times New Roman" w:hAnsi="Times New Roman" w:eastAsia="宋体" w:cs="Times New Roman"/>
                <w:snapToGrid w:val="0"/>
                <w:color w:val="auto"/>
                <w:sz w:val="21"/>
                <w:szCs w:val="21"/>
                <w:highlight w:val="none"/>
                <w:lang w:eastAsia="zh-CN"/>
              </w:rPr>
              <w:t>次氯酸钠</w:t>
            </w:r>
            <w:r>
              <w:rPr>
                <w:rFonts w:hint="eastAsia" w:ascii="Times New Roman" w:hAnsi="Times New Roman" w:eastAsia="宋体" w:cs="Times New Roman"/>
                <w:snapToGrid w:val="0"/>
                <w:color w:val="auto"/>
                <w:sz w:val="21"/>
                <w:szCs w:val="21"/>
                <w:highlight w:val="none"/>
                <w:lang w:eastAsia="zh-CN"/>
              </w:rPr>
              <w:t>，污水处理站；</w:t>
            </w:r>
            <w:r>
              <w:rPr>
                <w:rFonts w:hint="eastAsia" w:eastAsia="宋体" w:cs="Times New Roman"/>
                <w:snapToGrid w:val="0"/>
                <w:color w:val="auto"/>
                <w:sz w:val="21"/>
                <w:szCs w:val="21"/>
                <w:highlight w:val="none"/>
                <w:lang w:val="en-US" w:eastAsia="zh-CN"/>
              </w:rPr>
              <w:t>废机油，危废贮存库；</w:t>
            </w:r>
          </w:p>
        </w:tc>
      </w:tr>
      <w:tr w14:paraId="0C9D4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noWrap w:val="0"/>
            <w:vAlign w:val="center"/>
          </w:tcPr>
          <w:p w14:paraId="1472D8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
                <w:bCs w:val="0"/>
                <w:iCs/>
                <w:color w:val="auto"/>
                <w:kern w:val="0"/>
                <w:sz w:val="21"/>
                <w:szCs w:val="21"/>
                <w:lang w:eastAsia="zh-CN"/>
              </w:rPr>
            </w:pPr>
            <w:r>
              <w:rPr>
                <w:rFonts w:hint="default" w:ascii="Times New Roman" w:hAnsi="Times New Roman" w:eastAsia="宋体" w:cs="Times New Roman"/>
                <w:b/>
                <w:bCs w:val="0"/>
                <w:iCs/>
                <w:color w:val="auto"/>
                <w:kern w:val="0"/>
                <w:sz w:val="21"/>
                <w:szCs w:val="21"/>
                <w:lang w:eastAsia="zh-CN"/>
              </w:rPr>
              <w:t>环境影响途径及危害后果（大气、地表水、地下水等）</w:t>
            </w:r>
          </w:p>
        </w:tc>
        <w:tc>
          <w:tcPr>
            <w:tcW w:w="6892" w:type="dxa"/>
            <w:gridSpan w:val="5"/>
            <w:noWrap w:val="0"/>
            <w:vAlign w:val="center"/>
          </w:tcPr>
          <w:p w14:paraId="556211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4"/>
              <w:rPr>
                <w:rFonts w:hint="default" w:ascii="Times New Roman" w:hAnsi="Times New Roman" w:eastAsia="宋体" w:cs="Times New Roman"/>
                <w:bCs/>
                <w:iCs/>
                <w:color w:val="auto"/>
                <w:kern w:val="0"/>
                <w:sz w:val="21"/>
                <w:szCs w:val="21"/>
                <w:lang w:val="en-US" w:eastAsia="zh-CN"/>
              </w:rPr>
            </w:pPr>
            <w:r>
              <w:rPr>
                <w:rFonts w:hint="eastAsia" w:ascii="Times New Roman" w:hAnsi="Times New Roman" w:eastAsia="宋体" w:cs="Times New Roman"/>
                <w:bCs/>
                <w:iCs/>
                <w:color w:val="auto"/>
                <w:kern w:val="0"/>
                <w:sz w:val="21"/>
                <w:szCs w:val="21"/>
                <w:lang w:val="en-US" w:eastAsia="zh-CN"/>
              </w:rPr>
              <w:t>（</w:t>
            </w:r>
            <w:r>
              <w:rPr>
                <w:rFonts w:hint="eastAsia" w:eastAsia="宋体" w:cs="Times New Roman"/>
                <w:bCs/>
                <w:iCs/>
                <w:color w:val="auto"/>
                <w:kern w:val="0"/>
                <w:sz w:val="21"/>
                <w:szCs w:val="21"/>
                <w:lang w:val="en-US" w:eastAsia="zh-CN"/>
              </w:rPr>
              <w:t>1</w:t>
            </w:r>
            <w:r>
              <w:rPr>
                <w:rFonts w:hint="eastAsia" w:ascii="Times New Roman" w:hAnsi="Times New Roman" w:eastAsia="宋体" w:cs="Times New Roman"/>
                <w:bCs/>
                <w:iCs/>
                <w:color w:val="auto"/>
                <w:kern w:val="0"/>
                <w:sz w:val="21"/>
                <w:szCs w:val="21"/>
                <w:lang w:val="en-US" w:eastAsia="zh-CN"/>
              </w:rPr>
              <w:t>）</w:t>
            </w:r>
            <w:r>
              <w:rPr>
                <w:rFonts w:hint="default" w:ascii="Times New Roman" w:hAnsi="Times New Roman" w:eastAsia="宋体" w:cs="Times New Roman"/>
                <w:bCs/>
                <w:iCs/>
                <w:color w:val="auto"/>
                <w:kern w:val="0"/>
                <w:sz w:val="21"/>
                <w:szCs w:val="21"/>
                <w:lang w:val="en-US" w:eastAsia="zh-CN"/>
              </w:rPr>
              <w:t>废水处理系统等设施出现下渗时，</w:t>
            </w:r>
            <w:r>
              <w:rPr>
                <w:rFonts w:hint="eastAsia" w:eastAsia="宋体" w:cs="Times New Roman"/>
                <w:bCs/>
                <w:iCs/>
                <w:color w:val="auto"/>
                <w:kern w:val="0"/>
                <w:sz w:val="21"/>
                <w:szCs w:val="21"/>
                <w:lang w:val="en-US" w:eastAsia="zh-CN"/>
              </w:rPr>
              <w:t>废水</w:t>
            </w:r>
            <w:r>
              <w:rPr>
                <w:rFonts w:hint="default" w:ascii="Times New Roman" w:hAnsi="Times New Roman" w:eastAsia="宋体" w:cs="Times New Roman"/>
                <w:bCs/>
                <w:iCs/>
                <w:color w:val="auto"/>
                <w:kern w:val="0"/>
                <w:sz w:val="21"/>
                <w:szCs w:val="21"/>
                <w:lang w:val="en-US" w:eastAsia="zh-CN"/>
              </w:rPr>
              <w:t>将会渗入地下污染地下水，废水</w:t>
            </w:r>
            <w:r>
              <w:rPr>
                <w:rFonts w:hint="eastAsia" w:eastAsia="宋体" w:cs="Times New Roman"/>
                <w:bCs/>
                <w:iCs/>
                <w:color w:val="auto"/>
                <w:kern w:val="0"/>
                <w:sz w:val="21"/>
                <w:szCs w:val="21"/>
                <w:lang w:val="en-US" w:eastAsia="zh-CN"/>
              </w:rPr>
              <w:t>中的</w:t>
            </w:r>
            <w:r>
              <w:rPr>
                <w:rFonts w:hint="default" w:ascii="Times New Roman" w:hAnsi="Times New Roman" w:eastAsia="宋体" w:cs="Times New Roman"/>
                <w:bCs/>
                <w:iCs/>
                <w:color w:val="auto"/>
                <w:kern w:val="0"/>
                <w:sz w:val="21"/>
                <w:szCs w:val="21"/>
                <w:lang w:val="en-US" w:eastAsia="zh-CN"/>
              </w:rPr>
              <w:t>有毒、有害成分进入地下水中，会使地下水溶解氧含量减少，水质中有毒成分增多，严重时使水体发黑、变臭、失去使用价值。</w:t>
            </w:r>
          </w:p>
          <w:p w14:paraId="021233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4"/>
              <w:rPr>
                <w:rFonts w:hint="default" w:ascii="Times New Roman" w:hAnsi="Times New Roman" w:eastAsia="宋体" w:cs="Times New Roman"/>
                <w:bCs/>
                <w:iCs/>
                <w:color w:val="auto"/>
                <w:kern w:val="0"/>
                <w:sz w:val="21"/>
                <w:szCs w:val="21"/>
                <w:lang w:val="en-US" w:eastAsia="zh-CN"/>
              </w:rPr>
            </w:pPr>
            <w:r>
              <w:rPr>
                <w:rFonts w:hint="eastAsia" w:eastAsia="宋体" w:cs="Times New Roman"/>
                <w:bCs/>
                <w:iCs/>
                <w:color w:val="auto"/>
                <w:kern w:val="0"/>
                <w:sz w:val="21"/>
                <w:szCs w:val="21"/>
                <w:lang w:val="en-US" w:eastAsia="zh-CN"/>
              </w:rPr>
              <w:t>（2）废机油存放不当，危废贮存库发生渗漏，导致地下水污染。</w:t>
            </w:r>
          </w:p>
        </w:tc>
      </w:tr>
      <w:tr w14:paraId="51141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noWrap w:val="0"/>
            <w:vAlign w:val="center"/>
          </w:tcPr>
          <w:p w14:paraId="2D5BAC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4"/>
              <w:rPr>
                <w:rFonts w:hint="default" w:ascii="Times New Roman" w:hAnsi="Times New Roman" w:eastAsia="宋体" w:cs="Times New Roman"/>
                <w:b/>
                <w:bCs w:val="0"/>
                <w:iCs/>
                <w:color w:val="auto"/>
                <w:kern w:val="0"/>
                <w:sz w:val="21"/>
                <w:szCs w:val="21"/>
                <w:lang w:eastAsia="zh-CN"/>
              </w:rPr>
            </w:pPr>
            <w:r>
              <w:rPr>
                <w:rFonts w:hint="default" w:ascii="Times New Roman" w:hAnsi="Times New Roman" w:eastAsia="宋体" w:cs="Times New Roman"/>
                <w:b/>
                <w:bCs w:val="0"/>
                <w:iCs/>
                <w:color w:val="auto"/>
                <w:kern w:val="0"/>
                <w:sz w:val="21"/>
                <w:szCs w:val="21"/>
                <w:lang w:eastAsia="zh-CN"/>
              </w:rPr>
              <w:t>风险防范措施要求</w:t>
            </w:r>
          </w:p>
        </w:tc>
        <w:tc>
          <w:tcPr>
            <w:tcW w:w="6892" w:type="dxa"/>
            <w:gridSpan w:val="5"/>
            <w:noWrap w:val="0"/>
            <w:vAlign w:val="center"/>
          </w:tcPr>
          <w:p w14:paraId="5C129B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4"/>
              <w:rPr>
                <w:rFonts w:hint="default" w:ascii="Times New Roman" w:hAnsi="Times New Roman" w:eastAsia="宋体" w:cs="Times New Roman"/>
                <w:bCs/>
                <w:iCs/>
                <w:color w:val="auto"/>
                <w:kern w:val="0"/>
                <w:sz w:val="21"/>
                <w:szCs w:val="21"/>
              </w:rPr>
            </w:pPr>
            <w:r>
              <w:rPr>
                <w:rFonts w:hint="default" w:ascii="Times New Roman" w:hAnsi="Times New Roman" w:eastAsia="宋体" w:cs="Times New Roman"/>
                <w:bCs/>
                <w:iCs/>
                <w:color w:val="auto"/>
                <w:kern w:val="0"/>
                <w:sz w:val="21"/>
                <w:szCs w:val="21"/>
                <w:lang w:val="en-US" w:eastAsia="zh-CN"/>
              </w:rPr>
              <w:t>若发现污水处理站废气处理设施出现故障，应立刻向应急指挥部报告，同时采取暂停使用污水处理站并及时抢修等措施；</w:t>
            </w:r>
            <w:r>
              <w:rPr>
                <w:rFonts w:hint="default" w:ascii="Times New Roman" w:hAnsi="Times New Roman" w:eastAsia="宋体" w:cs="Times New Roman"/>
                <w:bCs/>
                <w:iCs/>
                <w:color w:val="auto"/>
                <w:kern w:val="0"/>
                <w:sz w:val="21"/>
                <w:szCs w:val="21"/>
                <w:lang w:eastAsia="zh-CN"/>
              </w:rPr>
              <w:t>当污水处理站出现下渗时，</w:t>
            </w:r>
            <w:r>
              <w:rPr>
                <w:rFonts w:hint="default" w:ascii="Times New Roman" w:hAnsi="Times New Roman" w:eastAsia="宋体" w:cs="Times New Roman"/>
                <w:bCs/>
                <w:iCs/>
                <w:color w:val="auto"/>
                <w:kern w:val="0"/>
                <w:sz w:val="21"/>
                <w:szCs w:val="21"/>
                <w:lang w:val="en-US" w:eastAsia="zh-CN"/>
              </w:rPr>
              <w:t>应该立即停止排污，待处理系统恢复正常且配有防渗措施后，再将废水经正常的处理系统处理后排至</w:t>
            </w:r>
            <w:r>
              <w:rPr>
                <w:rFonts w:hint="eastAsia" w:eastAsia="宋体" w:cs="Times New Roman"/>
                <w:bCs/>
                <w:iCs/>
                <w:color w:val="auto"/>
                <w:kern w:val="0"/>
                <w:sz w:val="21"/>
                <w:szCs w:val="21"/>
                <w:lang w:val="en-US" w:eastAsia="zh-CN"/>
              </w:rPr>
              <w:t>城区污水处理厂</w:t>
            </w:r>
            <w:r>
              <w:rPr>
                <w:rFonts w:hint="default" w:ascii="Times New Roman" w:hAnsi="Times New Roman" w:eastAsia="宋体" w:cs="Times New Roman"/>
                <w:bCs/>
                <w:iCs/>
                <w:color w:val="auto"/>
                <w:kern w:val="0"/>
                <w:sz w:val="21"/>
                <w:szCs w:val="21"/>
                <w:lang w:val="en-US" w:eastAsia="zh-CN"/>
              </w:rPr>
              <w:t>进一步处理。</w:t>
            </w:r>
          </w:p>
        </w:tc>
      </w:tr>
      <w:tr w14:paraId="2CF93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9" w:type="dxa"/>
            <w:gridSpan w:val="6"/>
            <w:noWrap w:val="0"/>
            <w:vAlign w:val="center"/>
          </w:tcPr>
          <w:p w14:paraId="2FCEA05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填表说明（列出项目相关信息及评价说明）：</w:t>
            </w:r>
          </w:p>
          <w:p w14:paraId="36C2E5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4"/>
              <w:rPr>
                <w:rFonts w:hint="default" w:ascii="Times New Roman" w:hAnsi="Times New Roman" w:eastAsia="宋体" w:cs="Times New Roman"/>
                <w:bCs/>
                <w:iCs/>
                <w:color w:val="auto"/>
                <w:kern w:val="0"/>
                <w:sz w:val="21"/>
                <w:szCs w:val="21"/>
              </w:rPr>
            </w:pPr>
            <w:r>
              <w:rPr>
                <w:rFonts w:hint="default" w:ascii="Times New Roman" w:hAnsi="Times New Roman" w:eastAsia="宋体" w:cs="Times New Roman"/>
                <w:color w:val="auto"/>
                <w:sz w:val="21"/>
                <w:szCs w:val="21"/>
              </w:rPr>
              <w:t>本项目为</w:t>
            </w:r>
            <w:r>
              <w:rPr>
                <w:rFonts w:hint="default" w:ascii="Times New Roman" w:hAnsi="Times New Roman" w:eastAsia="宋体" w:cs="Times New Roman"/>
                <w:color w:val="auto"/>
                <w:sz w:val="21"/>
                <w:szCs w:val="21"/>
                <w:lang w:eastAsia="zh-CN"/>
              </w:rPr>
              <w:t>屠宰加工项目</w:t>
            </w:r>
            <w:r>
              <w:rPr>
                <w:rFonts w:hint="default" w:ascii="Times New Roman" w:hAnsi="Times New Roman" w:eastAsia="宋体" w:cs="Times New Roman"/>
                <w:color w:val="auto"/>
                <w:sz w:val="21"/>
                <w:szCs w:val="21"/>
              </w:rPr>
              <w:t>，主要的风险物质为过氧乙酸、次氯酸钠、</w:t>
            </w:r>
            <w:r>
              <w:rPr>
                <w:rFonts w:hint="eastAsia" w:eastAsia="宋体" w:cs="Times New Roman"/>
                <w:color w:val="auto"/>
                <w:sz w:val="21"/>
                <w:szCs w:val="21"/>
                <w:lang w:val="en-US" w:eastAsia="zh-CN"/>
              </w:rPr>
              <w:t>废机油</w:t>
            </w:r>
            <w:r>
              <w:rPr>
                <w:rFonts w:hint="default" w:ascii="Times New Roman" w:hAnsi="Times New Roman" w:eastAsia="宋体" w:cs="Times New Roman"/>
                <w:color w:val="auto"/>
                <w:sz w:val="21"/>
                <w:szCs w:val="21"/>
              </w:rPr>
              <w:t>。环境风险潜势为I级。环境风险评价等级为简单分析。</w:t>
            </w:r>
          </w:p>
        </w:tc>
      </w:tr>
    </w:tbl>
    <w:p w14:paraId="29EB650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479" w:name="_Toc2398"/>
      <w:bookmarkStart w:id="480" w:name="_Toc3221"/>
      <w:bookmarkStart w:id="481" w:name="_Toc23415"/>
      <w:bookmarkStart w:id="482" w:name="_Toc28541"/>
      <w:bookmarkStart w:id="483" w:name="_Toc30463"/>
      <w:bookmarkStart w:id="484" w:name="_Toc12949"/>
      <w:bookmarkStart w:id="485" w:name="_Toc17465"/>
      <w:bookmarkStart w:id="486" w:name="_Toc6741"/>
      <w:r>
        <w:rPr>
          <w:rFonts w:hint="default" w:ascii="Times New Roman" w:hAnsi="Times New Roman" w:eastAsia="黑体" w:cs="Times New Roman"/>
          <w:b/>
          <w:color w:val="auto"/>
          <w:sz w:val="28"/>
          <w:szCs w:val="28"/>
          <w:highlight w:val="none"/>
          <w:lang w:val="en-US" w:eastAsia="zh-CN"/>
        </w:rPr>
        <w:t>5.</w:t>
      </w:r>
      <w:r>
        <w:rPr>
          <w:rFonts w:hint="eastAsia" w:ascii="Times New Roman" w:hAnsi="Times New Roman" w:eastAsia="黑体" w:cs="Times New Roman"/>
          <w:b/>
          <w:color w:val="auto"/>
          <w:sz w:val="28"/>
          <w:szCs w:val="28"/>
          <w:highlight w:val="none"/>
          <w:lang w:val="en-US" w:eastAsia="zh-CN"/>
        </w:rPr>
        <w:t>7</w:t>
      </w:r>
      <w:r>
        <w:rPr>
          <w:rFonts w:hint="default" w:ascii="Times New Roman" w:hAnsi="Times New Roman" w:eastAsia="黑体" w:cs="Times New Roman"/>
          <w:b/>
          <w:color w:val="auto"/>
          <w:sz w:val="28"/>
          <w:szCs w:val="28"/>
          <w:highlight w:val="none"/>
          <w:lang w:val="en-US" w:eastAsia="zh-CN"/>
        </w:rPr>
        <w:t>运营期生态环境影响分析</w:t>
      </w:r>
      <w:bookmarkEnd w:id="479"/>
      <w:bookmarkEnd w:id="480"/>
      <w:bookmarkEnd w:id="481"/>
      <w:bookmarkEnd w:id="482"/>
      <w:bookmarkEnd w:id="483"/>
      <w:bookmarkEnd w:id="484"/>
      <w:bookmarkEnd w:id="485"/>
      <w:bookmarkEnd w:id="486"/>
    </w:p>
    <w:p w14:paraId="0C498101">
      <w:pPr>
        <w:bidi w:val="0"/>
        <w:rPr>
          <w:rFonts w:hint="eastAsia"/>
          <w:color w:val="auto"/>
          <w:lang w:val="en-US" w:eastAsia="zh-CN"/>
        </w:rPr>
      </w:pPr>
      <w:r>
        <w:rPr>
          <w:rFonts w:hint="eastAsia"/>
          <w:color w:val="auto"/>
          <w:lang w:val="en-US" w:eastAsia="zh-CN"/>
        </w:rPr>
        <w:t>本项目用地类型属于建设用地，投入运行后，建设单位将按照设计要求，在厂界四周建设防护林带。绿化对改善空气质量、防治水土流失及吸收温室气体等方面有很大的帮助。</w:t>
      </w:r>
    </w:p>
    <w:p w14:paraId="0F9C1F88">
      <w:pPr>
        <w:bidi w:val="0"/>
        <w:rPr>
          <w:rFonts w:hint="eastAsia"/>
          <w:color w:val="auto"/>
          <w:lang w:val="en-US" w:eastAsia="zh-CN"/>
        </w:rPr>
      </w:pPr>
      <w:r>
        <w:rPr>
          <w:rFonts w:hint="eastAsia"/>
          <w:color w:val="auto"/>
          <w:lang w:val="en-US" w:eastAsia="zh-CN"/>
        </w:rPr>
        <w:t>项目在选择绿化树木时，应考虑绿化植物的多样性和适宜性，平面绿化与立体绿化相结合，尽可能增加绿化密度，提高生态效益，并保持其自然性，注意绿化的美化作用。将绿化与景观建设相结合，发挥绿化带隔离作用，实行近污染源绿化，形成绿色包被，行道树木绿化考虑防减噪声、净化有害气体。项目建成运营后，可大大提高项目区域的植被覆盖水平，有效改善项目所在地及周边的气候，项目区域内的水土流失将明显减少。项目运营期对项目所在地的生态环境有明显的改善作用。</w:t>
      </w:r>
    </w:p>
    <w:p w14:paraId="68324DBC">
      <w:pPr>
        <w:bidi w:val="0"/>
        <w:rPr>
          <w:rFonts w:hint="eastAsia"/>
          <w:color w:val="auto"/>
          <w:lang w:val="en-US" w:eastAsia="zh-CN"/>
        </w:rPr>
      </w:pPr>
      <w:r>
        <w:rPr>
          <w:rFonts w:hint="eastAsia"/>
          <w:color w:val="auto"/>
          <w:lang w:val="en-US" w:eastAsia="zh-CN"/>
        </w:rPr>
        <w:t>建设项目生态环境影响自查表见表5.7-1。</w:t>
      </w:r>
    </w:p>
    <w:p w14:paraId="5F8D56B6">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sectPr>
          <w:headerReference r:id="rId26"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4A7A62F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宋体" w:cs="Times New Roman" w:asciiTheme="minorAscii" w:hAnsiTheme="minorAscii"/>
          <w:color w:val="auto"/>
          <w:sz w:val="24"/>
          <w:szCs w:val="24"/>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表</w:t>
      </w:r>
      <w:r>
        <w:rPr>
          <w:rFonts w:hint="eastAsia" w:ascii="Times New Roman" w:hAnsi="Times New Roman" w:eastAsia="宋体" w:cs="Times New Roman"/>
          <w:bCs/>
          <w:color w:val="auto"/>
          <w:kern w:val="2"/>
          <w:sz w:val="21"/>
          <w:szCs w:val="21"/>
          <w:highlight w:val="none"/>
          <w:lang w:val="en-US" w:eastAsia="zh-CN" w:bidi="ar-SA"/>
        </w:rPr>
        <w:t>5.7-1</w:t>
      </w:r>
      <w:r>
        <w:rPr>
          <w:rFonts w:hint="default" w:eastAsia="宋体" w:cs="Times New Roman" w:asciiTheme="minorAscii" w:hAnsiTheme="minorAscii"/>
          <w:snapToGrid w:val="0"/>
          <w:color w:val="auto"/>
          <w:sz w:val="24"/>
          <w:szCs w:val="24"/>
        </w:rPr>
        <w:t xml:space="preserve">         </w:t>
      </w:r>
      <w:r>
        <w:rPr>
          <w:rFonts w:hint="default" w:eastAsia="宋体" w:cs="Times New Roman" w:asciiTheme="minorAscii" w:hAnsiTheme="minorAscii"/>
          <w:snapToGrid w:val="0"/>
          <w:color w:val="auto"/>
          <w:sz w:val="24"/>
          <w:szCs w:val="24"/>
          <w:lang w:val="en-US" w:eastAsia="zh-CN"/>
        </w:rPr>
        <w:t xml:space="preserve">     </w:t>
      </w:r>
      <w:r>
        <w:rPr>
          <w:rFonts w:hint="eastAsia" w:eastAsia="宋体" w:cs="Times New Roman" w:asciiTheme="minorAscii" w:hAnsiTheme="minorAscii"/>
          <w:snapToGrid w:val="0"/>
          <w:color w:val="auto"/>
          <w:sz w:val="24"/>
          <w:szCs w:val="24"/>
          <w:lang w:val="en-US" w:eastAsia="zh-CN"/>
        </w:rPr>
        <w:t xml:space="preserve">                     </w:t>
      </w:r>
      <w:r>
        <w:rPr>
          <w:rFonts w:hint="default" w:eastAsia="宋体" w:cs="Times New Roman" w:asciiTheme="minorAscii" w:hAnsiTheme="minorAscii"/>
          <w:snapToGrid w:val="0"/>
          <w:color w:val="auto"/>
          <w:sz w:val="24"/>
          <w:szCs w:val="24"/>
          <w:lang w:val="en-US" w:eastAsia="zh-CN"/>
        </w:rPr>
        <w:t xml:space="preserve"> </w:t>
      </w:r>
      <w:r>
        <w:rPr>
          <w:rFonts w:hint="default" w:eastAsia="宋体" w:cs="Times New Roman" w:asciiTheme="minorAscii" w:hAnsiTheme="minorAscii"/>
          <w:snapToGrid w:val="0"/>
          <w:color w:val="auto"/>
          <w:sz w:val="24"/>
          <w:szCs w:val="24"/>
        </w:rPr>
        <w:t xml:space="preserve">   </w:t>
      </w:r>
      <w:r>
        <w:rPr>
          <w:rFonts w:hint="default" w:eastAsia="宋体" w:cs="Times New Roman" w:asciiTheme="minorAscii" w:hAnsiTheme="minorAscii"/>
          <w:b/>
          <w:bCs/>
          <w:snapToGrid w:val="0"/>
          <w:color w:val="auto"/>
          <w:sz w:val="24"/>
          <w:szCs w:val="24"/>
          <w:lang w:val="en-US" w:eastAsia="zh-CN"/>
        </w:rPr>
        <w:t>生态</w:t>
      </w:r>
      <w:r>
        <w:rPr>
          <w:rFonts w:hint="default" w:eastAsia="宋体" w:cs="Times New Roman" w:asciiTheme="minorAscii" w:hAnsiTheme="minorAscii"/>
          <w:b/>
          <w:bCs/>
          <w:snapToGrid w:val="0"/>
          <w:color w:val="auto"/>
          <w:sz w:val="24"/>
          <w:szCs w:val="24"/>
        </w:rPr>
        <w:t>环境影响评价自查表</w:t>
      </w:r>
    </w:p>
    <w:tbl>
      <w:tblPr>
        <w:tblStyle w:val="46"/>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Layout w:type="fixed"/>
        <w:tblCellMar>
          <w:top w:w="0" w:type="dxa"/>
          <w:left w:w="0" w:type="dxa"/>
          <w:bottom w:w="0" w:type="dxa"/>
          <w:right w:w="0" w:type="dxa"/>
        </w:tblCellMar>
      </w:tblPr>
      <w:tblGrid>
        <w:gridCol w:w="1490"/>
        <w:gridCol w:w="1904"/>
        <w:gridCol w:w="10306"/>
      </w:tblGrid>
      <w:tr w14:paraId="41B80D38">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3387" w:type="dxa"/>
            <w:gridSpan w:val="2"/>
            <w:tcBorders>
              <w:tl2br w:val="nil"/>
              <w:tr2bl w:val="nil"/>
            </w:tcBorders>
            <w:noWrap w:val="0"/>
            <w:vAlign w:val="center"/>
          </w:tcPr>
          <w:p w14:paraId="6CE16914">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工作内容</w:t>
            </w:r>
          </w:p>
        </w:tc>
        <w:tc>
          <w:tcPr>
            <w:tcW w:w="10283" w:type="dxa"/>
            <w:tcBorders>
              <w:tl2br w:val="nil"/>
              <w:tr2bl w:val="nil"/>
            </w:tcBorders>
            <w:noWrap w:val="0"/>
            <w:vAlign w:val="center"/>
          </w:tcPr>
          <w:p w14:paraId="79B1CD45">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自查项目</w:t>
            </w:r>
          </w:p>
        </w:tc>
      </w:tr>
      <w:tr w14:paraId="03A365CE">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restart"/>
            <w:tcBorders>
              <w:tl2br w:val="nil"/>
              <w:tr2bl w:val="nil"/>
            </w:tcBorders>
            <w:noWrap w:val="0"/>
            <w:vAlign w:val="center"/>
          </w:tcPr>
          <w:p w14:paraId="27D4A50B">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生态影响识别</w:t>
            </w:r>
          </w:p>
        </w:tc>
        <w:tc>
          <w:tcPr>
            <w:tcW w:w="1900" w:type="dxa"/>
            <w:tcBorders>
              <w:tl2br w:val="nil"/>
              <w:tr2bl w:val="nil"/>
            </w:tcBorders>
            <w:noWrap w:val="0"/>
            <w:vAlign w:val="center"/>
          </w:tcPr>
          <w:p w14:paraId="581B0E80">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生态保护目标</w:t>
            </w:r>
          </w:p>
        </w:tc>
        <w:tc>
          <w:tcPr>
            <w:tcW w:w="10283" w:type="dxa"/>
            <w:tcBorders>
              <w:tl2br w:val="nil"/>
              <w:tr2bl w:val="nil"/>
            </w:tcBorders>
            <w:noWrap w:val="0"/>
            <w:vAlign w:val="center"/>
          </w:tcPr>
          <w:p w14:paraId="1682886A">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重要物种</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：国家公园</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：自然保护区</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：自然公园</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：世界自然遗产</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w:t>
            </w:r>
          </w:p>
          <w:p w14:paraId="1CE5BE36">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生态保护红线</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：重要生境</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：其他具有重要生态功能、对保护生物多样性具有重要意义的区域</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：其他</w:t>
            </w:r>
            <w:r>
              <w:rPr>
                <w:rFonts w:hint="default" w:ascii="Times New Roman" w:hAnsi="Times New Roman" w:eastAsia="宋体" w:cs="Times New Roman"/>
                <w:color w:val="auto"/>
                <w:sz w:val="21"/>
                <w:szCs w:val="21"/>
                <w:lang w:eastAsia="zh-CN"/>
              </w:rPr>
              <w:t>☑</w:t>
            </w:r>
          </w:p>
        </w:tc>
      </w:tr>
      <w:tr w14:paraId="605B2600">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continue"/>
            <w:tcBorders>
              <w:tl2br w:val="nil"/>
              <w:tr2bl w:val="nil"/>
            </w:tcBorders>
            <w:noWrap w:val="0"/>
            <w:vAlign w:val="center"/>
          </w:tcPr>
          <w:p w14:paraId="00DD03EF">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900" w:type="dxa"/>
            <w:tcBorders>
              <w:tl2br w:val="nil"/>
              <w:tr2bl w:val="nil"/>
            </w:tcBorders>
            <w:noWrap w:val="0"/>
            <w:vAlign w:val="center"/>
          </w:tcPr>
          <w:p w14:paraId="2E77C981">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影响方式</w:t>
            </w:r>
          </w:p>
        </w:tc>
        <w:tc>
          <w:tcPr>
            <w:tcW w:w="10283" w:type="dxa"/>
            <w:tcBorders>
              <w:tl2br w:val="nil"/>
              <w:tr2bl w:val="nil"/>
            </w:tcBorders>
            <w:noWrap w:val="0"/>
            <w:vAlign w:val="center"/>
          </w:tcPr>
          <w:p w14:paraId="033BCC74">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工程占用☑</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施工活动干扰☑</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改变环境条件</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；其他</w:t>
            </w:r>
            <w:r>
              <w:rPr>
                <w:rFonts w:hint="default" w:ascii="Times New Roman" w:hAnsi="Times New Roman" w:eastAsia="宋体" w:cs="Times New Roman"/>
                <w:b w:val="0"/>
                <w:bCs/>
                <w:color w:val="auto"/>
                <w:sz w:val="21"/>
                <w:szCs w:val="21"/>
                <w:lang w:eastAsia="zh-CN"/>
              </w:rPr>
              <w:t>□</w:t>
            </w:r>
          </w:p>
        </w:tc>
      </w:tr>
      <w:tr w14:paraId="03CA85A7">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continue"/>
            <w:tcBorders>
              <w:tl2br w:val="nil"/>
              <w:tr2bl w:val="nil"/>
            </w:tcBorders>
            <w:noWrap w:val="0"/>
            <w:vAlign w:val="center"/>
          </w:tcPr>
          <w:p w14:paraId="0E4095BD">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900" w:type="dxa"/>
            <w:tcBorders>
              <w:tl2br w:val="nil"/>
              <w:tr2bl w:val="nil"/>
            </w:tcBorders>
            <w:noWrap w:val="0"/>
            <w:vAlign w:val="center"/>
          </w:tcPr>
          <w:p w14:paraId="05430AD7">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10283" w:type="dxa"/>
            <w:tcBorders>
              <w:tl2br w:val="nil"/>
              <w:tr2bl w:val="nil"/>
            </w:tcBorders>
            <w:noWrap w:val="0"/>
            <w:vAlign w:val="center"/>
          </w:tcPr>
          <w:p w14:paraId="300586BE">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物种</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分布范围、种群数量、种群结构</w:t>
            </w:r>
            <w:r>
              <w:rPr>
                <w:rFonts w:hint="default" w:ascii="Times New Roman" w:hAnsi="Times New Roman" w:eastAsia="宋体" w:cs="Times New Roman"/>
                <w:color w:val="auto"/>
                <w:sz w:val="21"/>
                <w:szCs w:val="21"/>
                <w:lang w:eastAsia="zh-CN"/>
              </w:rPr>
              <w:t>）</w:t>
            </w:r>
          </w:p>
          <w:p w14:paraId="3546F4EB">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生境</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lang w:eastAsia="zh-CN"/>
              </w:rPr>
              <w:t>（）</w:t>
            </w:r>
          </w:p>
          <w:p w14:paraId="16FF348F">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生物群落</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物种组成、群落结构</w:t>
            </w:r>
            <w:r>
              <w:rPr>
                <w:rFonts w:hint="default" w:ascii="Times New Roman" w:hAnsi="Times New Roman" w:eastAsia="宋体" w:cs="Times New Roman"/>
                <w:color w:val="auto"/>
                <w:sz w:val="21"/>
                <w:szCs w:val="21"/>
                <w:lang w:eastAsia="zh-CN"/>
              </w:rPr>
              <w:t>）</w:t>
            </w:r>
          </w:p>
          <w:p w14:paraId="587D4BF5">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生态系统</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生物量</w:t>
            </w:r>
            <w:r>
              <w:rPr>
                <w:rFonts w:hint="default" w:ascii="Times New Roman" w:hAnsi="Times New Roman" w:eastAsia="宋体" w:cs="Times New Roman"/>
                <w:color w:val="auto"/>
                <w:sz w:val="21"/>
                <w:szCs w:val="21"/>
                <w:lang w:eastAsia="zh-CN"/>
              </w:rPr>
              <w:t>）</w:t>
            </w:r>
          </w:p>
          <w:p w14:paraId="1095203B">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生物多样性</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生物多样性指数</w:t>
            </w:r>
            <w:r>
              <w:rPr>
                <w:rFonts w:hint="default" w:ascii="Times New Roman" w:hAnsi="Times New Roman" w:eastAsia="宋体" w:cs="Times New Roman"/>
                <w:color w:val="auto"/>
                <w:sz w:val="21"/>
                <w:szCs w:val="21"/>
                <w:lang w:eastAsia="zh-CN"/>
              </w:rPr>
              <w:t>）</w:t>
            </w:r>
          </w:p>
          <w:p w14:paraId="121233CB">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生态敏感区</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lang w:eastAsia="zh-CN"/>
              </w:rPr>
              <w:t>（）</w:t>
            </w:r>
          </w:p>
          <w:p w14:paraId="482FAD74">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自然遗迹</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lang w:eastAsia="zh-CN"/>
              </w:rPr>
              <w:t>（）</w:t>
            </w:r>
          </w:p>
          <w:p w14:paraId="3F3A4E09">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其他</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lang w:eastAsia="zh-CN"/>
              </w:rPr>
              <w:t>（）</w:t>
            </w:r>
          </w:p>
        </w:tc>
      </w:tr>
      <w:tr w14:paraId="066138A5">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3387" w:type="dxa"/>
            <w:gridSpan w:val="2"/>
            <w:tcBorders>
              <w:tl2br w:val="nil"/>
              <w:tr2bl w:val="nil"/>
            </w:tcBorders>
            <w:noWrap w:val="0"/>
            <w:vAlign w:val="center"/>
          </w:tcPr>
          <w:p w14:paraId="12300659">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10283" w:type="dxa"/>
            <w:tcBorders>
              <w:tl2br w:val="nil"/>
              <w:tr2bl w:val="nil"/>
            </w:tcBorders>
            <w:noWrap w:val="0"/>
            <w:vAlign w:val="center"/>
          </w:tcPr>
          <w:p w14:paraId="3734694E">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一级</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二级</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三级</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生态影响简单分析</w:t>
            </w:r>
            <w:r>
              <w:rPr>
                <w:rFonts w:hint="default" w:ascii="Times New Roman" w:hAnsi="Times New Roman" w:eastAsia="宋体" w:cs="Times New Roman"/>
                <w:color w:val="auto"/>
                <w:sz w:val="21"/>
                <w:szCs w:val="21"/>
                <w:lang w:eastAsia="zh-CN"/>
              </w:rPr>
              <w:t>☑</w:t>
            </w:r>
          </w:p>
        </w:tc>
      </w:tr>
      <w:tr w14:paraId="3F698B45">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3387" w:type="dxa"/>
            <w:gridSpan w:val="2"/>
            <w:tcBorders>
              <w:tl2br w:val="nil"/>
              <w:tr2bl w:val="nil"/>
            </w:tcBorders>
            <w:noWrap w:val="0"/>
            <w:vAlign w:val="center"/>
          </w:tcPr>
          <w:p w14:paraId="151B25AC">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评价范围</w:t>
            </w:r>
          </w:p>
        </w:tc>
        <w:tc>
          <w:tcPr>
            <w:tcW w:w="10283" w:type="dxa"/>
            <w:tcBorders>
              <w:tl2br w:val="nil"/>
              <w:tr2bl w:val="nil"/>
            </w:tcBorders>
            <w:noWrap w:val="0"/>
            <w:vAlign w:val="center"/>
          </w:tcPr>
          <w:p w14:paraId="284A094F">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陆域面积：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水域面积：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km</w:t>
            </w:r>
            <w:r>
              <w:rPr>
                <w:rFonts w:hint="default" w:ascii="Times New Roman" w:hAnsi="Times New Roman" w:eastAsia="宋体" w:cs="Times New Roman"/>
                <w:color w:val="auto"/>
                <w:sz w:val="21"/>
                <w:szCs w:val="21"/>
                <w:vertAlign w:val="superscript"/>
                <w:lang w:val="en-US" w:eastAsia="zh-CN"/>
              </w:rPr>
              <w:t>2</w:t>
            </w:r>
          </w:p>
        </w:tc>
      </w:tr>
      <w:tr w14:paraId="67140ADE">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restart"/>
            <w:tcBorders>
              <w:tl2br w:val="nil"/>
              <w:tr2bl w:val="nil"/>
            </w:tcBorders>
            <w:noWrap w:val="0"/>
            <w:vAlign w:val="center"/>
          </w:tcPr>
          <w:p w14:paraId="20282AF9">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生态现状</w:t>
            </w:r>
          </w:p>
          <w:p w14:paraId="3F56B4D3">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调查与评</w:t>
            </w:r>
          </w:p>
          <w:p w14:paraId="7345F395">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价</w:t>
            </w:r>
          </w:p>
        </w:tc>
        <w:tc>
          <w:tcPr>
            <w:tcW w:w="1900" w:type="dxa"/>
            <w:tcBorders>
              <w:tl2br w:val="nil"/>
              <w:tr2bl w:val="nil"/>
            </w:tcBorders>
            <w:noWrap w:val="0"/>
            <w:vAlign w:val="center"/>
          </w:tcPr>
          <w:p w14:paraId="61B5E05B">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调查方法</w:t>
            </w:r>
          </w:p>
        </w:tc>
        <w:tc>
          <w:tcPr>
            <w:tcW w:w="10283" w:type="dxa"/>
            <w:tcBorders>
              <w:tl2br w:val="nil"/>
              <w:tr2bl w:val="nil"/>
            </w:tcBorders>
            <w:noWrap w:val="0"/>
            <w:vAlign w:val="center"/>
          </w:tcPr>
          <w:p w14:paraId="5E144D91">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资料收集☑</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遥感调查</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：调查样方、样线</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：调查点位、断面</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：专家和公众</w:t>
            </w:r>
            <w:r>
              <w:rPr>
                <w:rFonts w:hint="eastAsia" w:eastAsia="宋体" w:cs="Times New Roman"/>
                <w:color w:val="auto"/>
                <w:sz w:val="21"/>
                <w:szCs w:val="21"/>
                <w:lang w:eastAsia="zh-CN"/>
              </w:rPr>
              <w:t>咨</w:t>
            </w:r>
            <w:r>
              <w:rPr>
                <w:rFonts w:hint="default" w:ascii="Times New Roman" w:hAnsi="Times New Roman" w:eastAsia="宋体" w:cs="Times New Roman"/>
                <w:color w:val="auto"/>
                <w:sz w:val="21"/>
                <w:szCs w:val="21"/>
              </w:rPr>
              <w:t>询法</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：其他区</w:t>
            </w:r>
          </w:p>
        </w:tc>
      </w:tr>
      <w:tr w14:paraId="19493858">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continue"/>
            <w:tcBorders>
              <w:tl2br w:val="nil"/>
              <w:tr2bl w:val="nil"/>
            </w:tcBorders>
            <w:noWrap w:val="0"/>
            <w:vAlign w:val="center"/>
          </w:tcPr>
          <w:p w14:paraId="0C5DD8F7">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900" w:type="dxa"/>
            <w:tcBorders>
              <w:tl2br w:val="nil"/>
              <w:tr2bl w:val="nil"/>
            </w:tcBorders>
            <w:noWrap w:val="0"/>
            <w:vAlign w:val="center"/>
          </w:tcPr>
          <w:p w14:paraId="02866E47">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调查时间</w:t>
            </w:r>
          </w:p>
        </w:tc>
        <w:tc>
          <w:tcPr>
            <w:tcW w:w="10283" w:type="dxa"/>
            <w:tcBorders>
              <w:tl2br w:val="nil"/>
              <w:tr2bl w:val="nil"/>
            </w:tcBorders>
            <w:noWrap w:val="0"/>
            <w:vAlign w:val="center"/>
          </w:tcPr>
          <w:p w14:paraId="17F72F9C">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春季</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：夏季</w:t>
            </w:r>
            <w:r>
              <w:rPr>
                <w:rFonts w:hint="eastAsia" w:ascii="Times New Roman" w:hAnsi="Times New Roman" w:eastAsia="宋体" w:cs="Times New Roman"/>
                <w:color w:val="auto"/>
                <w:sz w:val="21"/>
                <w:szCs w:val="21"/>
                <w:lang w:eastAsia="zh-CN"/>
              </w:rPr>
              <w:t>□</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秋季</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：冬季</w:t>
            </w:r>
            <w:r>
              <w:rPr>
                <w:rFonts w:hint="default" w:ascii="Times New Roman" w:hAnsi="Times New Roman" w:eastAsia="宋体" w:cs="Times New Roman"/>
                <w:b w:val="0"/>
                <w:bCs/>
                <w:color w:val="auto"/>
                <w:sz w:val="21"/>
                <w:szCs w:val="21"/>
                <w:lang w:eastAsia="zh-CN"/>
              </w:rPr>
              <w:t>□</w:t>
            </w:r>
          </w:p>
          <w:p w14:paraId="6B86E398">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丰水期</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：枯水期</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：平水期</w:t>
            </w:r>
            <w:r>
              <w:rPr>
                <w:rFonts w:hint="default" w:ascii="Times New Roman" w:hAnsi="Times New Roman" w:eastAsia="宋体" w:cs="Times New Roman"/>
                <w:b w:val="0"/>
                <w:bCs/>
                <w:color w:val="auto"/>
                <w:sz w:val="21"/>
                <w:szCs w:val="21"/>
                <w:lang w:eastAsia="zh-CN"/>
              </w:rPr>
              <w:t>□</w:t>
            </w:r>
          </w:p>
        </w:tc>
      </w:tr>
      <w:tr w14:paraId="079CEECB">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continue"/>
            <w:tcBorders>
              <w:tl2br w:val="nil"/>
              <w:tr2bl w:val="nil"/>
            </w:tcBorders>
            <w:noWrap w:val="0"/>
            <w:vAlign w:val="center"/>
          </w:tcPr>
          <w:p w14:paraId="742F7BF1">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900" w:type="dxa"/>
            <w:tcBorders>
              <w:tl2br w:val="nil"/>
              <w:tr2bl w:val="nil"/>
            </w:tcBorders>
            <w:noWrap w:val="0"/>
            <w:vAlign w:val="center"/>
          </w:tcPr>
          <w:p w14:paraId="400E3D29">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所在区域的生态问题</w:t>
            </w:r>
          </w:p>
        </w:tc>
        <w:tc>
          <w:tcPr>
            <w:tcW w:w="10283" w:type="dxa"/>
            <w:tcBorders>
              <w:tl2br w:val="nil"/>
              <w:tr2bl w:val="nil"/>
            </w:tcBorders>
            <w:noWrap w:val="0"/>
            <w:vAlign w:val="center"/>
          </w:tcPr>
          <w:p w14:paraId="7B95B70D">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水土流失口：沙漠化</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：石漠化</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：盐渍化</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：生物入侵</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：污染危害</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 xml:space="preserve"> 其他</w:t>
            </w:r>
            <w:r>
              <w:rPr>
                <w:rFonts w:hint="default" w:ascii="Times New Roman" w:hAnsi="Times New Roman" w:eastAsia="宋体" w:cs="Times New Roman"/>
                <w:b w:val="0"/>
                <w:bCs/>
                <w:color w:val="auto"/>
                <w:sz w:val="21"/>
                <w:szCs w:val="21"/>
                <w:lang w:eastAsia="zh-CN"/>
              </w:rPr>
              <w:t>□</w:t>
            </w:r>
          </w:p>
        </w:tc>
      </w:tr>
      <w:tr w14:paraId="3E865F8D">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continue"/>
            <w:tcBorders>
              <w:tl2br w:val="nil"/>
              <w:tr2bl w:val="nil"/>
            </w:tcBorders>
            <w:noWrap w:val="0"/>
            <w:vAlign w:val="center"/>
          </w:tcPr>
          <w:p w14:paraId="5E3A6211">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900" w:type="dxa"/>
            <w:tcBorders>
              <w:tl2br w:val="nil"/>
              <w:tr2bl w:val="nil"/>
            </w:tcBorders>
            <w:noWrap w:val="0"/>
            <w:vAlign w:val="center"/>
          </w:tcPr>
          <w:p w14:paraId="09883A89">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评价内容</w:t>
            </w:r>
          </w:p>
        </w:tc>
        <w:tc>
          <w:tcPr>
            <w:tcW w:w="10283" w:type="dxa"/>
            <w:tcBorders>
              <w:tl2br w:val="nil"/>
              <w:tr2bl w:val="nil"/>
            </w:tcBorders>
            <w:noWrap w:val="0"/>
            <w:vAlign w:val="center"/>
          </w:tcPr>
          <w:p w14:paraId="2ABADB7C">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植被/植物群落☑</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土地利用☑</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生态系统</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；生物多样性</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：重要物种</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：生态敏感区</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：其他</w:t>
            </w:r>
            <w:r>
              <w:rPr>
                <w:rFonts w:hint="default" w:ascii="Times New Roman" w:hAnsi="Times New Roman" w:eastAsia="宋体" w:cs="Times New Roman"/>
                <w:b w:val="0"/>
                <w:bCs/>
                <w:color w:val="auto"/>
                <w:sz w:val="21"/>
                <w:szCs w:val="21"/>
                <w:lang w:eastAsia="zh-CN"/>
              </w:rPr>
              <w:t>□</w:t>
            </w:r>
          </w:p>
        </w:tc>
      </w:tr>
      <w:tr w14:paraId="79E273EF">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restart"/>
            <w:tcBorders>
              <w:tl2br w:val="nil"/>
              <w:tr2bl w:val="nil"/>
            </w:tcBorders>
            <w:noWrap w:val="0"/>
            <w:vAlign w:val="center"/>
          </w:tcPr>
          <w:p w14:paraId="320CEF51">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生态影响预测与评价</w:t>
            </w:r>
          </w:p>
        </w:tc>
        <w:tc>
          <w:tcPr>
            <w:tcW w:w="1900" w:type="dxa"/>
            <w:tcBorders>
              <w:tl2br w:val="nil"/>
              <w:tr2bl w:val="nil"/>
            </w:tcBorders>
            <w:noWrap w:val="0"/>
            <w:vAlign w:val="center"/>
          </w:tcPr>
          <w:p w14:paraId="37286C4A">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评价方法</w:t>
            </w:r>
          </w:p>
        </w:tc>
        <w:tc>
          <w:tcPr>
            <w:tcW w:w="10283" w:type="dxa"/>
            <w:tcBorders>
              <w:tl2br w:val="nil"/>
              <w:tr2bl w:val="nil"/>
            </w:tcBorders>
            <w:noWrap w:val="0"/>
            <w:vAlign w:val="center"/>
          </w:tcPr>
          <w:p w14:paraId="0E3111B6">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定性☑</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定性和定量</w:t>
            </w:r>
            <w:r>
              <w:rPr>
                <w:rFonts w:hint="default" w:ascii="Times New Roman" w:hAnsi="Times New Roman" w:eastAsia="宋体" w:cs="Times New Roman"/>
                <w:b w:val="0"/>
                <w:bCs/>
                <w:color w:val="auto"/>
                <w:sz w:val="21"/>
                <w:szCs w:val="21"/>
                <w:lang w:eastAsia="zh-CN"/>
              </w:rPr>
              <w:t>□</w:t>
            </w:r>
          </w:p>
        </w:tc>
      </w:tr>
      <w:tr w14:paraId="096C340E">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continue"/>
            <w:tcBorders>
              <w:tl2br w:val="nil"/>
              <w:tr2bl w:val="nil"/>
            </w:tcBorders>
            <w:noWrap w:val="0"/>
            <w:vAlign w:val="center"/>
          </w:tcPr>
          <w:p w14:paraId="2051471F">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900" w:type="dxa"/>
            <w:tcBorders>
              <w:tl2br w:val="nil"/>
              <w:tr2bl w:val="nil"/>
            </w:tcBorders>
            <w:noWrap w:val="0"/>
            <w:vAlign w:val="center"/>
          </w:tcPr>
          <w:p w14:paraId="325E73BB">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评价内容</w:t>
            </w:r>
          </w:p>
        </w:tc>
        <w:tc>
          <w:tcPr>
            <w:tcW w:w="10283" w:type="dxa"/>
            <w:tcBorders>
              <w:tl2br w:val="nil"/>
              <w:tr2bl w:val="nil"/>
            </w:tcBorders>
            <w:noWrap w:val="0"/>
            <w:vAlign w:val="center"/>
          </w:tcPr>
          <w:p w14:paraId="2BEC169B">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植被/植物群落</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：土地利用</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：生态系统</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：生物多样性</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：重要物种</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 生态敏感区</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：生物入侵风险</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：其他☑</w:t>
            </w:r>
          </w:p>
        </w:tc>
      </w:tr>
      <w:tr w14:paraId="30364C99">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restart"/>
            <w:tcBorders>
              <w:tl2br w:val="nil"/>
              <w:tr2bl w:val="nil"/>
            </w:tcBorders>
            <w:noWrap w:val="0"/>
            <w:vAlign w:val="center"/>
          </w:tcPr>
          <w:p w14:paraId="04EF791D">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生态保护对策措施</w:t>
            </w:r>
          </w:p>
        </w:tc>
        <w:tc>
          <w:tcPr>
            <w:tcW w:w="1900" w:type="dxa"/>
            <w:tcBorders>
              <w:tl2br w:val="nil"/>
              <w:tr2bl w:val="nil"/>
            </w:tcBorders>
            <w:noWrap w:val="0"/>
            <w:vAlign w:val="center"/>
          </w:tcPr>
          <w:p w14:paraId="080B8761">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对策措施</w:t>
            </w:r>
          </w:p>
        </w:tc>
        <w:tc>
          <w:tcPr>
            <w:tcW w:w="10283" w:type="dxa"/>
            <w:tcBorders>
              <w:tl2br w:val="nil"/>
              <w:tr2bl w:val="nil"/>
            </w:tcBorders>
            <w:noWrap w:val="0"/>
            <w:vAlign w:val="center"/>
          </w:tcPr>
          <w:p w14:paraId="060C9C2B">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避让口：减缓☑</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生态修复</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：生态补偿</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：科研</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：其他</w:t>
            </w:r>
            <w:r>
              <w:rPr>
                <w:rFonts w:hint="default" w:ascii="Times New Roman" w:hAnsi="Times New Roman" w:eastAsia="宋体" w:cs="Times New Roman"/>
                <w:b w:val="0"/>
                <w:bCs/>
                <w:color w:val="auto"/>
                <w:sz w:val="21"/>
                <w:szCs w:val="21"/>
                <w:lang w:eastAsia="zh-CN"/>
              </w:rPr>
              <w:t>□</w:t>
            </w:r>
          </w:p>
        </w:tc>
      </w:tr>
      <w:tr w14:paraId="2CA5CA21">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continue"/>
            <w:tcBorders>
              <w:tl2br w:val="nil"/>
              <w:tr2bl w:val="nil"/>
            </w:tcBorders>
            <w:noWrap w:val="0"/>
            <w:vAlign w:val="center"/>
          </w:tcPr>
          <w:p w14:paraId="0E784603">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900" w:type="dxa"/>
            <w:tcBorders>
              <w:tl2br w:val="nil"/>
              <w:tr2bl w:val="nil"/>
            </w:tcBorders>
            <w:noWrap w:val="0"/>
            <w:vAlign w:val="center"/>
          </w:tcPr>
          <w:p w14:paraId="702903DD">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生态监测计划</w:t>
            </w:r>
          </w:p>
        </w:tc>
        <w:tc>
          <w:tcPr>
            <w:tcW w:w="10283" w:type="dxa"/>
            <w:tcBorders>
              <w:tl2br w:val="nil"/>
              <w:tr2bl w:val="nil"/>
            </w:tcBorders>
            <w:noWrap w:val="0"/>
            <w:vAlign w:val="center"/>
          </w:tcPr>
          <w:p w14:paraId="0ED08045">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全生命周期</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：长期跟踪</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：常规</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：无</w:t>
            </w:r>
            <w:r>
              <w:rPr>
                <w:rFonts w:hint="default" w:ascii="Times New Roman" w:hAnsi="Times New Roman" w:eastAsia="宋体" w:cs="Times New Roman"/>
                <w:b w:val="0"/>
                <w:bCs/>
                <w:color w:val="auto"/>
                <w:sz w:val="21"/>
                <w:szCs w:val="21"/>
                <w:lang w:eastAsia="zh-CN"/>
              </w:rPr>
              <w:t>□</w:t>
            </w:r>
          </w:p>
        </w:tc>
      </w:tr>
      <w:tr w14:paraId="7DC9BDD3">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vMerge w:val="continue"/>
            <w:tcBorders>
              <w:tl2br w:val="nil"/>
              <w:tr2bl w:val="nil"/>
            </w:tcBorders>
            <w:noWrap w:val="0"/>
            <w:vAlign w:val="center"/>
          </w:tcPr>
          <w:p w14:paraId="5F99D572">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p>
        </w:tc>
        <w:tc>
          <w:tcPr>
            <w:tcW w:w="1900" w:type="dxa"/>
            <w:tcBorders>
              <w:tl2br w:val="nil"/>
              <w:tr2bl w:val="nil"/>
            </w:tcBorders>
            <w:noWrap w:val="0"/>
            <w:vAlign w:val="center"/>
          </w:tcPr>
          <w:p w14:paraId="1A28FA1C">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环境管理</w:t>
            </w:r>
          </w:p>
        </w:tc>
        <w:tc>
          <w:tcPr>
            <w:tcW w:w="10283" w:type="dxa"/>
            <w:tcBorders>
              <w:tl2br w:val="nil"/>
              <w:tr2bl w:val="nil"/>
            </w:tcBorders>
            <w:noWrap w:val="0"/>
            <w:vAlign w:val="center"/>
          </w:tcPr>
          <w:p w14:paraId="11D5888A">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环境监理</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环境影响后评价</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其他</w:t>
            </w:r>
            <w:r>
              <w:rPr>
                <w:rFonts w:hint="default" w:ascii="Times New Roman" w:hAnsi="Times New Roman" w:eastAsia="宋体" w:cs="Times New Roman"/>
                <w:b w:val="0"/>
                <w:bCs/>
                <w:color w:val="auto"/>
                <w:sz w:val="21"/>
                <w:szCs w:val="21"/>
                <w:lang w:eastAsia="zh-CN"/>
              </w:rPr>
              <w:t>□</w:t>
            </w:r>
          </w:p>
        </w:tc>
      </w:tr>
      <w:tr w14:paraId="0411D924">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487" w:type="dxa"/>
            <w:tcBorders>
              <w:tl2br w:val="nil"/>
              <w:tr2bl w:val="nil"/>
            </w:tcBorders>
            <w:noWrap w:val="0"/>
            <w:vAlign w:val="center"/>
          </w:tcPr>
          <w:p w14:paraId="5D1C7BE4">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1900" w:type="dxa"/>
            <w:tcBorders>
              <w:tl2br w:val="nil"/>
              <w:tr2bl w:val="nil"/>
            </w:tcBorders>
            <w:noWrap w:val="0"/>
            <w:vAlign w:val="center"/>
          </w:tcPr>
          <w:p w14:paraId="360D7D20">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w:t>
            </w:r>
          </w:p>
        </w:tc>
        <w:tc>
          <w:tcPr>
            <w:tcW w:w="10283" w:type="dxa"/>
            <w:tcBorders>
              <w:tl2br w:val="nil"/>
              <w:tr2bl w:val="nil"/>
            </w:tcBorders>
            <w:noWrap w:val="0"/>
            <w:vAlign w:val="center"/>
          </w:tcPr>
          <w:p w14:paraId="3D5EE1D9">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可行☑</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不可行</w:t>
            </w:r>
            <w:r>
              <w:rPr>
                <w:rFonts w:hint="default" w:ascii="Times New Roman" w:hAnsi="Times New Roman" w:eastAsia="宋体" w:cs="Times New Roman"/>
                <w:b w:val="0"/>
                <w:bCs/>
                <w:color w:val="auto"/>
                <w:sz w:val="21"/>
                <w:szCs w:val="21"/>
                <w:lang w:eastAsia="zh-CN"/>
              </w:rPr>
              <w:t>□</w:t>
            </w:r>
          </w:p>
        </w:tc>
      </w:tr>
      <w:tr w14:paraId="4E4AC2A0">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0" w:type="dxa"/>
            <w:bottom w:w="0" w:type="dxa"/>
            <w:right w:w="0" w:type="dxa"/>
          </w:tblCellMar>
        </w:tblPrEx>
        <w:trPr>
          <w:trHeight w:val="0" w:hRule="atLeast"/>
          <w:jc w:val="center"/>
        </w:trPr>
        <w:tc>
          <w:tcPr>
            <w:tcW w:w="13670" w:type="dxa"/>
            <w:gridSpan w:val="3"/>
            <w:tcBorders>
              <w:tl2br w:val="nil"/>
              <w:tr2bl w:val="nil"/>
            </w:tcBorders>
            <w:noWrap w:val="0"/>
            <w:vAlign w:val="center"/>
          </w:tcPr>
          <w:p w14:paraId="607FA8E4">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color w:val="auto"/>
                <w:sz w:val="21"/>
                <w:szCs w:val="21"/>
              </w:rPr>
              <w:t>”为勾选项，可打 √ :“(  )”为内容填写项</w:t>
            </w:r>
          </w:p>
        </w:tc>
      </w:tr>
    </w:tbl>
    <w:p w14:paraId="75B161AF">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sectPr>
          <w:headerReference r:id="rId27"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400FC615">
      <w:pPr>
        <w:pStyle w:val="4"/>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b/>
          <w:bCs/>
          <w:color w:val="auto"/>
          <w:sz w:val="28"/>
          <w:szCs w:val="28"/>
          <w:highlight w:val="none"/>
        </w:rPr>
      </w:pPr>
      <w:bookmarkStart w:id="487" w:name="_Toc15603"/>
      <w:bookmarkStart w:id="488" w:name="_Toc20229"/>
      <w:bookmarkStart w:id="489" w:name="_Toc14856"/>
      <w:bookmarkStart w:id="490" w:name="_Toc10133"/>
      <w:bookmarkStart w:id="491" w:name="_Toc24203"/>
      <w:r>
        <w:rPr>
          <w:rFonts w:hint="default" w:ascii="Times New Roman" w:hAnsi="Times New Roman" w:eastAsia="黑体" w:cs="Times New Roman"/>
          <w:b/>
          <w:bCs/>
          <w:color w:val="auto"/>
          <w:kern w:val="0"/>
          <w:sz w:val="28"/>
          <w:szCs w:val="28"/>
          <w:highlight w:val="none"/>
          <w:lang w:val="en-US" w:eastAsia="zh-CN" w:bidi="ar-SA"/>
        </w:rPr>
        <w:t>6环境保护措施及其可行性论证</w:t>
      </w:r>
      <w:bookmarkEnd w:id="487"/>
      <w:bookmarkEnd w:id="488"/>
      <w:bookmarkEnd w:id="489"/>
      <w:bookmarkEnd w:id="490"/>
      <w:bookmarkEnd w:id="491"/>
    </w:p>
    <w:p w14:paraId="60504DCA">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依照“达标排放”“节能减排”、环境功能区划等要求，对本项目采取的环境保护措施，从经济与技术的可行性角度进行论证，并对可能出现的环境问题提出进一步改进建议。</w:t>
      </w:r>
    </w:p>
    <w:p w14:paraId="3008E42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492" w:name="_Toc11952"/>
      <w:bookmarkStart w:id="493" w:name="_Toc23342"/>
      <w:bookmarkStart w:id="494" w:name="_Toc8529"/>
      <w:bookmarkStart w:id="495" w:name="_Toc15645"/>
      <w:bookmarkStart w:id="496" w:name="_Toc21033"/>
      <w:bookmarkStart w:id="497" w:name="_Toc7379"/>
      <w:bookmarkStart w:id="498" w:name="_Toc27378"/>
      <w:bookmarkStart w:id="499" w:name="_Toc32462"/>
      <w:bookmarkStart w:id="500" w:name="_Toc27620"/>
      <w:bookmarkStart w:id="501" w:name="_Toc491610116"/>
      <w:bookmarkStart w:id="502" w:name="_Toc4573"/>
      <w:bookmarkStart w:id="503" w:name="_Toc27954"/>
      <w:bookmarkStart w:id="504" w:name="_Toc20212"/>
      <w:bookmarkStart w:id="505" w:name="_Toc13422"/>
      <w:bookmarkStart w:id="506" w:name="_Toc1983"/>
      <w:r>
        <w:rPr>
          <w:rFonts w:hint="default" w:ascii="Times New Roman" w:hAnsi="Times New Roman" w:eastAsia="黑体" w:cs="Times New Roman"/>
          <w:b/>
          <w:color w:val="auto"/>
          <w:sz w:val="28"/>
          <w:szCs w:val="28"/>
          <w:highlight w:val="none"/>
          <w:lang w:val="en-US" w:eastAsia="zh-CN"/>
        </w:rPr>
        <w:t>6.1施工期环境保护措施及其可行性论证</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07FFAE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07" w:name="_Toc491610117"/>
      <w:bookmarkStart w:id="508" w:name="_Toc484463530"/>
      <w:bookmarkStart w:id="509" w:name="_Toc12582"/>
      <w:bookmarkStart w:id="510" w:name="_Toc21587"/>
      <w:bookmarkStart w:id="511" w:name="_Toc17341"/>
      <w:bookmarkStart w:id="512" w:name="_Toc16573"/>
      <w:r>
        <w:rPr>
          <w:rFonts w:hint="default" w:ascii="Times New Roman" w:hAnsi="Times New Roman" w:eastAsia="黑体" w:cs="Times New Roman"/>
          <w:b/>
          <w:color w:val="auto"/>
          <w:sz w:val="28"/>
          <w:szCs w:val="28"/>
          <w:highlight w:val="none"/>
          <w:lang w:val="en-US" w:eastAsia="zh-CN"/>
        </w:rPr>
        <w:t>6.1.1</w:t>
      </w:r>
      <w:r>
        <w:rPr>
          <w:rFonts w:hint="eastAsia" w:eastAsia="黑体" w:cs="Times New Roman"/>
          <w:b/>
          <w:color w:val="auto"/>
          <w:sz w:val="28"/>
          <w:szCs w:val="28"/>
          <w:highlight w:val="none"/>
          <w:lang w:val="en-US" w:eastAsia="zh-CN"/>
        </w:rPr>
        <w:t>大气</w:t>
      </w:r>
      <w:r>
        <w:rPr>
          <w:rFonts w:hint="default" w:ascii="Times New Roman" w:hAnsi="Times New Roman" w:eastAsia="黑体" w:cs="Times New Roman"/>
          <w:b/>
          <w:color w:val="auto"/>
          <w:sz w:val="28"/>
          <w:szCs w:val="28"/>
          <w:highlight w:val="none"/>
          <w:lang w:val="en-US" w:eastAsia="zh-CN"/>
        </w:rPr>
        <w:t>污染防治对策</w:t>
      </w:r>
      <w:bookmarkEnd w:id="507"/>
      <w:bookmarkEnd w:id="508"/>
      <w:bookmarkEnd w:id="509"/>
      <w:bookmarkEnd w:id="510"/>
      <w:bookmarkEnd w:id="511"/>
      <w:bookmarkEnd w:id="512"/>
    </w:p>
    <w:p w14:paraId="3A11923E">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为减少施工过程中扬尘产生和对环境的影响，施工方应加强管理，文明施工，同时还须采取以下的防治措施：</w:t>
      </w:r>
    </w:p>
    <w:p w14:paraId="0F400465">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（1）对施工现场进行科学管理，砂石料应统一堆放。禁止露天堆放建筑材料，细颗粒散料要入库保存，搬运时轻拿轻放，防止包装袋的破裂；</w:t>
      </w:r>
    </w:p>
    <w:p w14:paraId="0195D421">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（2）对作业面和临时土堆应适当地洒水，使其保持一定的湿度，减小起尘量，施工便道应进行夯实硬化处理，减少起尘量，由于施工需要，不能硬化的道路，应采取定期洒水，铺草帘子等措施减少扬尘量。</w:t>
      </w:r>
    </w:p>
    <w:p w14:paraId="6A884641">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（3）</w:t>
      </w:r>
      <w:r>
        <w:rPr>
          <w:rFonts w:hint="eastAsia"/>
          <w:color w:val="auto"/>
          <w:lang w:eastAsia="zh-CN"/>
        </w:rPr>
        <w:t>限制进场运输车辆的行驶速度，不得超载，对运输水泥、白灰、土方和施工垃圾等易产生扬尘的车辆采用篷布遮盖，避免沿途撒落；并及时清扫散落在路面上的泥土等建筑材料，定时洒水降尘（一天2～3次），以减少运输过程中的扬尘；车辆运行路线应尽量避开居民集中点，在不可避免的情况下，应将车速控制在15km/h以下，减少对居民的扬尘污染；</w:t>
      </w:r>
    </w:p>
    <w:p w14:paraId="123C558F">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（4）施工现场要使用围栏进行遮挡，减少施工扬尘扩散范围。</w:t>
      </w:r>
    </w:p>
    <w:p w14:paraId="34F0E774">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（5）风速超过6m/s时应停止施工作业，并对堆放的砂石等建筑材料进行遮盖处理；</w:t>
      </w:r>
    </w:p>
    <w:p w14:paraId="61DACE91">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6）严禁凌空抛撒施工垃圾，施工垃圾要及时清运处理，以免刮风时产生扬尘。在采取以上防治措施后，可有效的减轻扬尘污染，改善施工现场的作业环境。在施工中还要合理布局规划，及时绿化减少地皮的裸露程度；</w:t>
      </w:r>
    </w:p>
    <w:p w14:paraId="7009559A">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lang w:val="en-US" w:eastAsia="zh-CN"/>
        </w:rPr>
      </w:pPr>
      <w:r>
        <w:rPr>
          <w:rFonts w:hint="eastAsia" w:ascii="Times New Roman" w:hAnsi="Times New Roman"/>
          <w:color w:val="auto"/>
          <w:lang w:val="en-US" w:eastAsia="zh-CN"/>
        </w:rPr>
        <w:t>（7）通过提高机械效率，避免无效率或低效率机械作业，减少不必要的车辆使用；加强对施工车辆的检修和维护，严禁使用超期服役和尾气超标的车辆，尽可能使用耗油低、排气量小的施工车辆以减少有害气体的排放。</w:t>
      </w:r>
    </w:p>
    <w:p w14:paraId="3400A6ED">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ascii="Times New Roman" w:hAnsi="Times New Roman"/>
          <w:color w:val="auto"/>
          <w:lang w:val="en-US" w:eastAsia="zh-CN"/>
        </w:rPr>
        <w:t>采取以上措施后，可有效减少施工废气对周围环境的影响。随着施工过程的结束，这些污染也将随之结束。</w:t>
      </w:r>
    </w:p>
    <w:p w14:paraId="5EC92AA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13" w:name="_Toc24105"/>
      <w:bookmarkStart w:id="514" w:name="_Toc17238"/>
      <w:bookmarkStart w:id="515" w:name="_Toc7420"/>
      <w:bookmarkStart w:id="516" w:name="_Toc23098"/>
      <w:bookmarkStart w:id="517" w:name="_Toc491610118"/>
      <w:bookmarkStart w:id="518" w:name="_Toc484463531"/>
      <w:r>
        <w:rPr>
          <w:rFonts w:hint="default" w:ascii="Times New Roman" w:hAnsi="Times New Roman" w:eastAsia="黑体" w:cs="Times New Roman"/>
          <w:b/>
          <w:color w:val="auto"/>
          <w:sz w:val="28"/>
          <w:szCs w:val="28"/>
          <w:highlight w:val="none"/>
          <w:lang w:val="en-US" w:eastAsia="zh-CN"/>
        </w:rPr>
        <w:t>6.1.2噪声污染防治对策</w:t>
      </w:r>
      <w:bookmarkEnd w:id="513"/>
      <w:bookmarkEnd w:id="514"/>
      <w:bookmarkEnd w:id="515"/>
      <w:bookmarkEnd w:id="516"/>
      <w:bookmarkEnd w:id="517"/>
      <w:bookmarkEnd w:id="518"/>
    </w:p>
    <w:p w14:paraId="2CFA04A9">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项目施工时涉及的施工机械种类和数目较多，主要有推土机、挖土机、压路机、振捣棒、吊车等建筑施工机械及切、磨、吊、卷等安装机械。不同施工期使用的机械设备不同，产生的噪声强度也不同。</w:t>
      </w:r>
    </w:p>
    <w:p w14:paraId="72129F86">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施工单位应加强施工期环境管理，严格遵守《建筑施工噪声排放标准》（GB12523-2025）的相关规定。为有效控制施工噪声影响，建议采取以下控制措施：</w:t>
      </w:r>
    </w:p>
    <w:p w14:paraId="1D355E05">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（1）制订施工计划时，应尽量避免大量高噪声设备集中进行施工作业，施工过程中应把主要高噪声设备放置在适当位置或采取隔声降噪措施。</w:t>
      </w:r>
    </w:p>
    <w:p w14:paraId="60F6850A">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（2）设备选型上，尽量采用低噪声设备，如以液压机械代替燃油机械，采用低频振捣器等。</w:t>
      </w:r>
    </w:p>
    <w:p w14:paraId="38076DCA">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（3）夜间（22:00以后）应禁止进行施工作业。因特殊需要必须连续作业的，必须有县级以上人民政府或者其有关主管部门的证明，并在周边进行公告。</w:t>
      </w:r>
    </w:p>
    <w:p w14:paraId="549248F2">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（4）文明施工，健全人为噪声的控制管理制度，对操作人员进行相应的环保知识教育并传授相关经验；按规程操作机械设备。</w:t>
      </w:r>
    </w:p>
    <w:p w14:paraId="32DEAAB1">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（5）做好劳动保护工作，在高噪声源附近操作的作业人员应佩戴防护耳塞。</w:t>
      </w:r>
    </w:p>
    <w:p w14:paraId="4622118C">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（6）在施工工段公示环境保护要求，设置并公示工程扰民投诉电话，充分发挥公众监督的作用。</w:t>
      </w:r>
    </w:p>
    <w:p w14:paraId="5F1488A8">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采取上述噪声污染防治措施后，项目施工噪声对主要环境保护目标的影响较小。</w:t>
      </w:r>
    </w:p>
    <w:p w14:paraId="56038B9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19" w:name="_Toc484463532"/>
      <w:bookmarkStart w:id="520" w:name="_Toc12913"/>
      <w:bookmarkStart w:id="521" w:name="_Toc491610119"/>
      <w:bookmarkStart w:id="522" w:name="_Toc12030"/>
      <w:bookmarkStart w:id="523" w:name="_Toc13673"/>
      <w:bookmarkStart w:id="524" w:name="_Toc19817"/>
      <w:r>
        <w:rPr>
          <w:rFonts w:hint="default" w:ascii="Times New Roman" w:hAnsi="Times New Roman" w:eastAsia="黑体" w:cs="Times New Roman"/>
          <w:b/>
          <w:color w:val="auto"/>
          <w:sz w:val="28"/>
          <w:szCs w:val="28"/>
          <w:highlight w:val="none"/>
          <w:lang w:val="en-US" w:eastAsia="zh-CN"/>
        </w:rPr>
        <w:t>6.1.3废水污染防治对策</w:t>
      </w:r>
      <w:bookmarkEnd w:id="519"/>
      <w:bookmarkEnd w:id="520"/>
      <w:bookmarkEnd w:id="521"/>
      <w:bookmarkEnd w:id="522"/>
      <w:bookmarkEnd w:id="523"/>
      <w:bookmarkEnd w:id="524"/>
    </w:p>
    <w:p w14:paraId="08224CCF">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eastAsia="zh-CN"/>
        </w:rPr>
        <w:t>本项目施工期废水主要是施工人员的日常生活污水和进出车辆除泥冲洗废水。</w:t>
      </w:r>
    </w:p>
    <w:p w14:paraId="24672EC2">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为了防止施工废水对施工现场及周围水环境造成不利影响，做到即节约水资源又不污染环境，施工期间应采取以下措施：</w:t>
      </w:r>
    </w:p>
    <w:p w14:paraId="5257A418">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（1）实施施工过程环境监理制度，工程招标合同中必须有防止水污染的合同条款。</w:t>
      </w:r>
    </w:p>
    <w:p w14:paraId="2F8C8D00">
      <w:pPr>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（2）严禁向周边水体倾倒垃圾和废渣，保护项目周围水环境质量。</w:t>
      </w:r>
    </w:p>
    <w:p w14:paraId="268D570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25" w:name="_Toc491610120"/>
      <w:bookmarkStart w:id="526" w:name="_Toc17232"/>
      <w:bookmarkStart w:id="527" w:name="_Toc484463533"/>
      <w:bookmarkStart w:id="528" w:name="_Toc1179"/>
      <w:bookmarkStart w:id="529" w:name="_Toc13903"/>
      <w:bookmarkStart w:id="530" w:name="_Toc11505"/>
      <w:r>
        <w:rPr>
          <w:rFonts w:hint="default" w:ascii="Times New Roman" w:hAnsi="Times New Roman" w:eastAsia="黑体" w:cs="Times New Roman"/>
          <w:b/>
          <w:color w:val="auto"/>
          <w:sz w:val="28"/>
          <w:szCs w:val="28"/>
          <w:highlight w:val="none"/>
          <w:lang w:val="en-US" w:eastAsia="zh-CN"/>
        </w:rPr>
        <w:t>6.1.4固体废物污染防治对策</w:t>
      </w:r>
      <w:bookmarkEnd w:id="525"/>
      <w:bookmarkEnd w:id="526"/>
      <w:bookmarkEnd w:id="527"/>
      <w:bookmarkEnd w:id="528"/>
      <w:bookmarkEnd w:id="529"/>
      <w:bookmarkEnd w:id="530"/>
    </w:p>
    <w:p w14:paraId="783115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本项目施工期产生的固体废物主要是建筑垃圾和施工人员生活垃圾。建筑垃圾主要来源于开挖土方、建筑施工中的废物（如砂石、石灰、混凝土、废砖等），可采取以下措施减少其对环境的影响：</w:t>
      </w:r>
    </w:p>
    <w:p w14:paraId="389A39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（1）运送建筑废物的车辆离开施工场地时，要及时清理干净车辆粘带的泥土；</w:t>
      </w:r>
    </w:p>
    <w:p w14:paraId="4F7F22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（2）遗留在现场的建筑废物要及时清运或回填；</w:t>
      </w:r>
    </w:p>
    <w:p w14:paraId="31D277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（3）建筑废物在施工现场的金属要及时回收；</w:t>
      </w:r>
    </w:p>
    <w:p w14:paraId="4F6C51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（4）施工期土石工程挖填量应平衡计算，开挖的土石方要定点堆放；</w:t>
      </w:r>
    </w:p>
    <w:p w14:paraId="306EB4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（5）建筑垃圾应运送到政府指定地点，不得随意倾倒。</w:t>
      </w:r>
    </w:p>
    <w:p w14:paraId="5C6BFF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（6）施工人员的生活垃圾用塑料袋收集后，交由环卫部门处置。</w:t>
      </w:r>
    </w:p>
    <w:p w14:paraId="4C9349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采取上述固体废物处置措施后，项目施工期产生的废物均采取相应的治理措施后，经济可行，且项目施工期对周围环境的影响较小。</w:t>
      </w:r>
    </w:p>
    <w:p w14:paraId="7A3158B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r>
        <w:rPr>
          <w:rFonts w:hint="eastAsia" w:ascii="Times New Roman" w:hAnsi="Times New Roman" w:eastAsia="黑体" w:cs="Times New Roman"/>
          <w:b/>
          <w:color w:val="auto"/>
          <w:sz w:val="28"/>
          <w:szCs w:val="28"/>
          <w:highlight w:val="none"/>
          <w:lang w:val="en-US" w:eastAsia="zh-CN"/>
        </w:rPr>
        <w:t>6.1.5生态环境保护措施</w:t>
      </w:r>
    </w:p>
    <w:p w14:paraId="10FB8D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为降低工程施工期的生态环境影响，应加强下列生态保护措施，具体如下：</w:t>
      </w:r>
    </w:p>
    <w:p w14:paraId="08B781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①加强施工人员的环保措施的宣传教育及相关培训，让他们充分认识到环保工作的重要性，使环保措施落到实处；</w:t>
      </w:r>
    </w:p>
    <w:p w14:paraId="72AB6D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②施工机械和施工人员应严格控制在施工作业范围内，施工机械及其他建筑材料不得乱停乱放，防止破坏植被；</w:t>
      </w:r>
    </w:p>
    <w:p w14:paraId="5D55BF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③爱护生态环境，禁止破坏施工范围以外的植被；</w:t>
      </w:r>
    </w:p>
    <w:p w14:paraId="3A216A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④尽可能缩短疏松地面、坡面的裸露时间，合理安排施工时间，定期洒水抑尘，减少施工扬尘污染；</w:t>
      </w:r>
    </w:p>
    <w:p w14:paraId="2C7362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⑤施工单位在施工期应加强对项目区域现有植被的保护，以免对现有植被造成破坏；</w:t>
      </w:r>
    </w:p>
    <w:p w14:paraId="602059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⑥加强施工期的监理工作，确保施工过程中产生废水、废气、废渣、噪声等环保治理措施落实到位。</w:t>
      </w:r>
    </w:p>
    <w:p w14:paraId="680FD4C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531" w:name="_Toc29654"/>
      <w:bookmarkStart w:id="532" w:name="_Toc12622"/>
      <w:bookmarkStart w:id="533" w:name="_Toc26602"/>
      <w:bookmarkStart w:id="534" w:name="_Toc13580"/>
      <w:bookmarkStart w:id="535" w:name="_Toc12616"/>
      <w:bookmarkStart w:id="536" w:name="_Toc25491"/>
      <w:bookmarkStart w:id="537" w:name="_Toc29701"/>
      <w:bookmarkStart w:id="538" w:name="_Toc17724"/>
      <w:bookmarkStart w:id="539" w:name="_Toc2577"/>
      <w:bookmarkStart w:id="540" w:name="_Toc24171"/>
      <w:bookmarkStart w:id="541" w:name="_Toc25129"/>
      <w:bookmarkStart w:id="542" w:name="_Toc11738"/>
      <w:r>
        <w:rPr>
          <w:rFonts w:hint="default" w:ascii="Times New Roman" w:hAnsi="Times New Roman" w:eastAsia="黑体" w:cs="Times New Roman"/>
          <w:b/>
          <w:color w:val="auto"/>
          <w:sz w:val="28"/>
          <w:szCs w:val="28"/>
          <w:highlight w:val="none"/>
          <w:lang w:val="en-US" w:eastAsia="zh-CN"/>
        </w:rPr>
        <w:t>6.2运营期环境保护措施及其可行性论证</w:t>
      </w:r>
      <w:bookmarkEnd w:id="531"/>
      <w:bookmarkEnd w:id="532"/>
      <w:bookmarkEnd w:id="533"/>
      <w:bookmarkEnd w:id="534"/>
      <w:bookmarkEnd w:id="535"/>
      <w:bookmarkEnd w:id="536"/>
      <w:bookmarkEnd w:id="537"/>
      <w:bookmarkEnd w:id="538"/>
      <w:bookmarkEnd w:id="539"/>
      <w:bookmarkEnd w:id="540"/>
      <w:bookmarkEnd w:id="541"/>
      <w:bookmarkEnd w:id="542"/>
    </w:p>
    <w:p w14:paraId="373A644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43" w:name="_Toc484463535"/>
      <w:bookmarkStart w:id="544" w:name="_Toc31617"/>
      <w:bookmarkStart w:id="545" w:name="_Toc4871"/>
      <w:bookmarkStart w:id="546" w:name="_Toc7027"/>
      <w:bookmarkStart w:id="547" w:name="_Toc491610122"/>
      <w:bookmarkStart w:id="548" w:name="_Toc12813"/>
      <w:bookmarkStart w:id="549" w:name="_Toc225148398"/>
      <w:r>
        <w:rPr>
          <w:rFonts w:hint="default" w:ascii="Times New Roman" w:hAnsi="Times New Roman" w:eastAsia="黑体" w:cs="Times New Roman"/>
          <w:b/>
          <w:color w:val="auto"/>
          <w:sz w:val="28"/>
          <w:szCs w:val="28"/>
          <w:highlight w:val="none"/>
          <w:lang w:val="en-US" w:eastAsia="zh-CN"/>
        </w:rPr>
        <w:t>6.2.1大气污染防治措施评述</w:t>
      </w:r>
      <w:bookmarkEnd w:id="543"/>
      <w:bookmarkEnd w:id="544"/>
      <w:bookmarkEnd w:id="545"/>
      <w:bookmarkEnd w:id="546"/>
      <w:bookmarkEnd w:id="547"/>
      <w:bookmarkEnd w:id="548"/>
    </w:p>
    <w:p w14:paraId="00DA1AC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bookmarkStart w:id="550" w:name="_Toc484463536"/>
      <w:bookmarkStart w:id="551" w:name="_Toc491610123"/>
      <w:bookmarkStart w:id="552" w:name="_Toc24645"/>
      <w:bookmarkStart w:id="553" w:name="_Toc1336"/>
      <w:r>
        <w:rPr>
          <w:rFonts w:hint="default" w:ascii="Times New Roman" w:hAnsi="Times New Roman" w:eastAsia="黑体" w:cs="Times New Roman"/>
          <w:b/>
          <w:bCs w:val="0"/>
          <w:color w:val="auto"/>
          <w:sz w:val="24"/>
          <w:szCs w:val="24"/>
          <w:lang w:val="en-US" w:eastAsia="zh-CN"/>
        </w:rPr>
        <w:t>6.2.1.1基本原则</w:t>
      </w:r>
      <w:bookmarkEnd w:id="549"/>
      <w:bookmarkEnd w:id="550"/>
      <w:bookmarkEnd w:id="551"/>
      <w:bookmarkEnd w:id="552"/>
      <w:bookmarkEnd w:id="553"/>
    </w:p>
    <w:p w14:paraId="275181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环境空气污染防治首先要通过治理措施的优化，使本项目向外环境排放的大气污染物满足国家和地方的排放标准，并使其通过大气输送与扩散后满足环境质量标准的要求。其次，尽可能地考虑到环境标准的逐步严格，在经济合理的条件下，采取使本项目排放的大气污染物对环境影响程度尽可能小的预防和治理措施。</w:t>
      </w:r>
    </w:p>
    <w:p w14:paraId="05C071D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bookmarkStart w:id="554" w:name="_Toc25471"/>
      <w:bookmarkStart w:id="555" w:name="_Toc491610124"/>
      <w:bookmarkStart w:id="556" w:name="_Toc21092"/>
      <w:bookmarkStart w:id="557" w:name="_Toc484463537"/>
      <w:bookmarkStart w:id="558" w:name="_Toc387745704"/>
      <w:r>
        <w:rPr>
          <w:rFonts w:hint="default" w:ascii="Times New Roman" w:hAnsi="Times New Roman" w:eastAsia="黑体" w:cs="Times New Roman"/>
          <w:b/>
          <w:bCs w:val="0"/>
          <w:color w:val="auto"/>
          <w:sz w:val="24"/>
          <w:szCs w:val="24"/>
          <w:lang w:val="en-US" w:eastAsia="zh-CN"/>
        </w:rPr>
        <w:t>6.2.1.2治理措施评述</w:t>
      </w:r>
      <w:bookmarkEnd w:id="554"/>
      <w:bookmarkEnd w:id="555"/>
      <w:bookmarkEnd w:id="556"/>
      <w:bookmarkEnd w:id="557"/>
      <w:bookmarkEnd w:id="558"/>
    </w:p>
    <w:p w14:paraId="688F58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本项目恶臭主要来源于屠宰加工车间、待宰圈及污水处理站的恶臭，污染物为NH</w:t>
      </w:r>
      <w:r>
        <w:rPr>
          <w:rFonts w:hint="eastAsia"/>
          <w:color w:val="auto"/>
          <w:vertAlign w:val="subscript"/>
          <w:lang w:val="en-US" w:eastAsia="zh-CN"/>
        </w:rPr>
        <w:t>3</w:t>
      </w:r>
      <w:r>
        <w:rPr>
          <w:rFonts w:hint="eastAsia"/>
          <w:color w:val="auto"/>
          <w:lang w:val="en-US" w:eastAsia="zh-CN"/>
        </w:rPr>
        <w:t>和H</w:t>
      </w:r>
      <w:r>
        <w:rPr>
          <w:rFonts w:hint="eastAsia"/>
          <w:color w:val="auto"/>
          <w:vertAlign w:val="subscript"/>
          <w:lang w:val="en-US" w:eastAsia="zh-CN"/>
        </w:rPr>
        <w:t>2</w:t>
      </w:r>
      <w:r>
        <w:rPr>
          <w:rFonts w:hint="eastAsia"/>
          <w:color w:val="auto"/>
          <w:lang w:val="en-US" w:eastAsia="zh-CN"/>
        </w:rPr>
        <w:t>S等恶臭气体，本次评价主要提出如下防治措施：</w:t>
      </w:r>
    </w:p>
    <w:p w14:paraId="675800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本项目待宰圈产生的臭气经车间负压收集（收集效率90%），风机设计风量为14000m</w:t>
      </w:r>
      <w:r>
        <w:rPr>
          <w:rFonts w:hint="eastAsia"/>
          <w:color w:val="auto"/>
          <w:vertAlign w:val="superscript"/>
          <w:lang w:val="en-US" w:eastAsia="zh-CN"/>
        </w:rPr>
        <w:t>3</w:t>
      </w:r>
      <w:r>
        <w:rPr>
          <w:rFonts w:hint="eastAsia"/>
          <w:color w:val="auto"/>
          <w:lang w:val="en-US" w:eastAsia="zh-CN"/>
        </w:rPr>
        <w:t>/h，引入二级活性炭吸附装置（处理效率80%）处理后经20m高排气筒（DA001）排放；</w:t>
      </w:r>
      <w:r>
        <w:rPr>
          <w:rFonts w:hint="default" w:ascii="Times New Roman" w:hAnsi="Times New Roman" w:eastAsia="仿宋_GB2312" w:cs="Times New Roman"/>
          <w:snapToGrid/>
          <w:color w:val="auto"/>
          <w:kern w:val="2"/>
          <w:sz w:val="24"/>
          <w:szCs w:val="24"/>
          <w:highlight w:val="none"/>
          <w:lang w:val="en-US" w:eastAsia="zh-CN" w:bidi="ar-SA"/>
        </w:rPr>
        <w:t>建设</w:t>
      </w:r>
      <w:r>
        <w:rPr>
          <w:rFonts w:hint="eastAsia" w:cs="Times New Roman"/>
          <w:snapToGrid/>
          <w:color w:val="auto"/>
          <w:kern w:val="2"/>
          <w:sz w:val="24"/>
          <w:szCs w:val="24"/>
          <w:highlight w:val="none"/>
          <w:lang w:val="en-US" w:eastAsia="zh-CN" w:bidi="ar-SA"/>
        </w:rPr>
        <w:t>地下式</w:t>
      </w:r>
      <w:r>
        <w:rPr>
          <w:rFonts w:hint="default" w:ascii="Times New Roman" w:hAnsi="Times New Roman" w:eastAsia="仿宋_GB2312" w:cs="Times New Roman"/>
          <w:snapToGrid/>
          <w:color w:val="auto"/>
          <w:kern w:val="2"/>
          <w:sz w:val="24"/>
          <w:szCs w:val="24"/>
          <w:highlight w:val="none"/>
          <w:lang w:val="en-US" w:eastAsia="zh-CN" w:bidi="ar-SA"/>
        </w:rPr>
        <w:t>污水处理站，</w:t>
      </w:r>
      <w:r>
        <w:rPr>
          <w:rFonts w:hint="eastAsia" w:ascii="Times New Roman" w:hAnsi="Times New Roman" w:cs="Times New Roman"/>
          <w:snapToGrid/>
          <w:color w:val="auto"/>
          <w:kern w:val="2"/>
          <w:sz w:val="24"/>
          <w:szCs w:val="24"/>
          <w:highlight w:val="none"/>
          <w:lang w:val="en-US" w:eastAsia="zh-CN" w:bidi="ar-SA"/>
        </w:rPr>
        <w:t>并</w:t>
      </w:r>
      <w:r>
        <w:rPr>
          <w:rFonts w:hint="default" w:ascii="Times New Roman" w:hAnsi="Times New Roman" w:eastAsia="仿宋_GB2312" w:cs="Times New Roman"/>
          <w:snapToGrid/>
          <w:color w:val="auto"/>
          <w:kern w:val="2"/>
          <w:sz w:val="24"/>
          <w:szCs w:val="24"/>
          <w:highlight w:val="none"/>
          <w:lang w:val="en-US" w:eastAsia="zh-CN" w:bidi="ar-SA"/>
        </w:rPr>
        <w:t>对污水处理</w:t>
      </w:r>
      <w:r>
        <w:rPr>
          <w:rFonts w:hint="eastAsia" w:cs="Times New Roman"/>
          <w:snapToGrid/>
          <w:color w:val="auto"/>
          <w:kern w:val="2"/>
          <w:sz w:val="24"/>
          <w:szCs w:val="24"/>
          <w:highlight w:val="none"/>
          <w:lang w:val="en-US" w:eastAsia="zh-CN" w:bidi="ar-SA"/>
        </w:rPr>
        <w:t>站各池体</w:t>
      </w:r>
      <w:r>
        <w:rPr>
          <w:rFonts w:hint="default" w:ascii="Times New Roman" w:hAnsi="Times New Roman" w:eastAsia="仿宋_GB2312" w:cs="Times New Roman"/>
          <w:snapToGrid/>
          <w:color w:val="auto"/>
          <w:kern w:val="2"/>
          <w:sz w:val="24"/>
          <w:szCs w:val="24"/>
          <w:highlight w:val="none"/>
          <w:lang w:val="en-US" w:eastAsia="zh-CN" w:bidi="ar-SA"/>
        </w:rPr>
        <w:t>加盖封闭，产生的恶臭</w:t>
      </w:r>
      <w:r>
        <w:rPr>
          <w:rFonts w:hint="eastAsia" w:ascii="Times New Roman" w:hAnsi="Times New Roman" w:cs="Times New Roman"/>
          <w:snapToGrid/>
          <w:color w:val="auto"/>
          <w:kern w:val="2"/>
          <w:sz w:val="24"/>
          <w:szCs w:val="24"/>
          <w:highlight w:val="none"/>
          <w:lang w:val="en-US" w:eastAsia="zh-CN" w:bidi="ar-SA"/>
        </w:rPr>
        <w:t>气体</w:t>
      </w:r>
      <w:r>
        <w:rPr>
          <w:rFonts w:hint="default" w:ascii="Times New Roman" w:hAnsi="Times New Roman" w:eastAsia="仿宋_GB2312" w:cs="Times New Roman"/>
          <w:snapToGrid/>
          <w:color w:val="auto"/>
          <w:kern w:val="2"/>
          <w:sz w:val="24"/>
          <w:szCs w:val="24"/>
          <w:highlight w:val="none"/>
          <w:lang w:val="en-US" w:eastAsia="zh-CN" w:bidi="ar-SA"/>
        </w:rPr>
        <w:t>经“集气设备+</w:t>
      </w:r>
      <w:r>
        <w:rPr>
          <w:rFonts w:hint="eastAsia" w:ascii="Times New Roman" w:hAnsi="Times New Roman" w:cs="Times New Roman"/>
          <w:snapToGrid/>
          <w:color w:val="auto"/>
          <w:kern w:val="2"/>
          <w:sz w:val="24"/>
          <w:szCs w:val="24"/>
          <w:highlight w:val="none"/>
          <w:lang w:val="en-US" w:eastAsia="zh-CN" w:bidi="ar-SA"/>
        </w:rPr>
        <w:t>二级活性炭吸附装置</w:t>
      </w:r>
      <w:r>
        <w:rPr>
          <w:rFonts w:hint="default" w:ascii="Times New Roman" w:hAnsi="Times New Roman" w:eastAsia="仿宋_GB2312" w:cs="Times New Roman"/>
          <w:snapToGrid/>
          <w:color w:val="auto"/>
          <w:kern w:val="2"/>
          <w:sz w:val="24"/>
          <w:szCs w:val="24"/>
          <w:highlight w:val="none"/>
          <w:lang w:val="en-US" w:eastAsia="zh-CN" w:bidi="ar-SA"/>
        </w:rPr>
        <w:t>（风量</w:t>
      </w:r>
      <w:r>
        <w:rPr>
          <w:rFonts w:hint="eastAsia" w:ascii="Times New Roman" w:hAnsi="Times New Roman" w:cs="Times New Roman"/>
          <w:snapToGrid/>
          <w:color w:val="auto"/>
          <w:kern w:val="2"/>
          <w:sz w:val="24"/>
          <w:szCs w:val="24"/>
          <w:highlight w:val="none"/>
          <w:lang w:val="en-US" w:eastAsia="zh-CN" w:bidi="ar-SA"/>
        </w:rPr>
        <w:t>1</w:t>
      </w:r>
      <w:r>
        <w:rPr>
          <w:rFonts w:hint="default" w:ascii="Times New Roman" w:hAnsi="Times New Roman" w:eastAsia="仿宋_GB2312" w:cs="Times New Roman"/>
          <w:snapToGrid/>
          <w:color w:val="auto"/>
          <w:kern w:val="2"/>
          <w:sz w:val="24"/>
          <w:szCs w:val="24"/>
          <w:highlight w:val="none"/>
          <w:lang w:val="en-US" w:eastAsia="zh-CN" w:bidi="ar-SA"/>
        </w:rPr>
        <w:t>000m</w:t>
      </w:r>
      <w:r>
        <w:rPr>
          <w:rFonts w:hint="default" w:ascii="Times New Roman" w:hAnsi="Times New Roman" w:eastAsia="仿宋_GB2312" w:cs="Times New Roman"/>
          <w:snapToGrid/>
          <w:color w:val="auto"/>
          <w:kern w:val="2"/>
          <w:sz w:val="24"/>
          <w:szCs w:val="24"/>
          <w:highlight w:val="none"/>
          <w:vertAlign w:val="superscript"/>
          <w:lang w:val="en-US" w:eastAsia="zh-CN" w:bidi="ar-SA"/>
        </w:rPr>
        <w:t>3</w:t>
      </w:r>
      <w:r>
        <w:rPr>
          <w:rFonts w:hint="default" w:ascii="Times New Roman" w:hAnsi="Times New Roman" w:eastAsia="仿宋_GB2312" w:cs="Times New Roman"/>
          <w:snapToGrid/>
          <w:color w:val="auto"/>
          <w:kern w:val="2"/>
          <w:sz w:val="24"/>
          <w:szCs w:val="24"/>
          <w:highlight w:val="none"/>
          <w:lang w:val="en-US" w:eastAsia="zh-CN" w:bidi="ar-SA"/>
        </w:rPr>
        <w:t>/h）”</w:t>
      </w:r>
      <w:r>
        <w:rPr>
          <w:rFonts w:hint="eastAsia" w:ascii="Times New Roman" w:hAnsi="Times New Roman" w:cs="Times New Roman"/>
          <w:snapToGrid/>
          <w:color w:val="auto"/>
          <w:kern w:val="2"/>
          <w:sz w:val="24"/>
          <w:szCs w:val="24"/>
          <w:highlight w:val="none"/>
          <w:lang w:val="en-US" w:eastAsia="zh-CN" w:bidi="ar-SA"/>
        </w:rPr>
        <w:t>处理后由</w:t>
      </w:r>
      <w:r>
        <w:rPr>
          <w:rFonts w:hint="default" w:ascii="Times New Roman" w:hAnsi="Times New Roman" w:eastAsia="仿宋_GB2312" w:cs="Times New Roman"/>
          <w:snapToGrid/>
          <w:color w:val="auto"/>
          <w:kern w:val="2"/>
          <w:sz w:val="24"/>
          <w:szCs w:val="24"/>
          <w:highlight w:val="none"/>
          <w:lang w:val="en-US" w:eastAsia="zh-CN" w:bidi="ar-SA"/>
        </w:rPr>
        <w:t>1</w:t>
      </w:r>
      <w:r>
        <w:rPr>
          <w:rFonts w:hint="eastAsia" w:ascii="Times New Roman" w:hAnsi="Times New Roman" w:cs="Times New Roman"/>
          <w:snapToGrid/>
          <w:color w:val="auto"/>
          <w:kern w:val="2"/>
          <w:sz w:val="24"/>
          <w:szCs w:val="24"/>
          <w:highlight w:val="none"/>
          <w:lang w:val="en-US" w:eastAsia="zh-CN" w:bidi="ar-SA"/>
        </w:rPr>
        <w:t>根</w:t>
      </w:r>
      <w:r>
        <w:rPr>
          <w:rFonts w:hint="eastAsia" w:cs="Times New Roman"/>
          <w:snapToGrid/>
          <w:color w:val="auto"/>
          <w:kern w:val="2"/>
          <w:sz w:val="24"/>
          <w:szCs w:val="24"/>
          <w:highlight w:val="none"/>
          <w:lang w:val="en-US" w:eastAsia="zh-CN" w:bidi="ar-SA"/>
        </w:rPr>
        <w:t>20</w:t>
      </w:r>
      <w:r>
        <w:rPr>
          <w:rFonts w:hint="default" w:ascii="Times New Roman" w:hAnsi="Times New Roman" w:eastAsia="仿宋_GB2312" w:cs="Times New Roman"/>
          <w:snapToGrid/>
          <w:color w:val="auto"/>
          <w:kern w:val="2"/>
          <w:sz w:val="24"/>
          <w:szCs w:val="24"/>
          <w:highlight w:val="none"/>
          <w:lang w:val="en-US" w:eastAsia="zh-CN" w:bidi="ar-SA"/>
        </w:rPr>
        <w:t>m高排气筒</w:t>
      </w:r>
      <w:r>
        <w:rPr>
          <w:rFonts w:hint="eastAsia" w:ascii="Times New Roman" w:hAnsi="Times New Roman" w:cs="Times New Roman"/>
          <w:snapToGrid/>
          <w:color w:val="auto"/>
          <w:kern w:val="2"/>
          <w:sz w:val="24"/>
          <w:szCs w:val="24"/>
          <w:highlight w:val="none"/>
          <w:lang w:val="en-US" w:eastAsia="zh-CN" w:bidi="ar-SA"/>
        </w:rPr>
        <w:t>（DA002）</w:t>
      </w:r>
      <w:r>
        <w:rPr>
          <w:rFonts w:hint="default" w:ascii="Times New Roman" w:hAnsi="Times New Roman" w:eastAsia="仿宋_GB2312" w:cs="Times New Roman"/>
          <w:snapToGrid/>
          <w:color w:val="auto"/>
          <w:kern w:val="2"/>
          <w:sz w:val="24"/>
          <w:szCs w:val="24"/>
          <w:highlight w:val="none"/>
          <w:lang w:val="en-US" w:eastAsia="zh-CN" w:bidi="ar-SA"/>
        </w:rPr>
        <w:t>排放</w:t>
      </w:r>
      <w:r>
        <w:rPr>
          <w:rFonts w:hint="eastAsia" w:cs="Times New Roman"/>
          <w:snapToGrid/>
          <w:color w:val="auto"/>
          <w:kern w:val="2"/>
          <w:sz w:val="24"/>
          <w:szCs w:val="24"/>
          <w:highlight w:val="none"/>
          <w:lang w:val="en-US" w:eastAsia="zh-CN" w:bidi="ar-SA"/>
        </w:rPr>
        <w:t>；</w:t>
      </w:r>
      <w:r>
        <w:rPr>
          <w:rFonts w:hint="eastAsia"/>
          <w:color w:val="auto"/>
          <w:lang w:val="en-US" w:eastAsia="zh-CN"/>
        </w:rPr>
        <w:t>屠宰加工车间设置机械通风系统，每小时通风换气不少于4次，定期喷洒除臭剂、消毒。</w:t>
      </w:r>
      <w:r>
        <w:rPr>
          <w:rFonts w:hint="eastAsia" w:ascii="Times New Roman" w:hAnsi="Times New Roman" w:cs="Times New Roman"/>
          <w:snapToGrid/>
          <w:color w:val="auto"/>
          <w:kern w:val="2"/>
          <w:sz w:val="24"/>
          <w:szCs w:val="24"/>
          <w:highlight w:val="none"/>
          <w:lang w:val="en-US" w:eastAsia="zh-CN" w:bidi="ar-SA"/>
        </w:rPr>
        <w:t>排放浓度均满足《恶臭污染物排放标准》（GB14554-93）相关要求，可达标排放。</w:t>
      </w:r>
    </w:p>
    <w:p w14:paraId="6AEB17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场区布置按照功能区进行相应划分，各构筑物之间设置绿化隔离带，宜种植具有吸附恶臭功能的绿色植物，利用绿色植物的吸附作用，以减少恶臭气体的逸散，减轻恶臭等对周围环境的影响。</w:t>
      </w:r>
    </w:p>
    <w:p w14:paraId="7FE0D5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经采取以上防治措施后，项目废气对周围环境影响较小。</w:t>
      </w:r>
    </w:p>
    <w:p w14:paraId="3FCDA47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6.2.1.3达标可行性分析</w:t>
      </w:r>
    </w:p>
    <w:p w14:paraId="6601E5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根据工程分析及影响分析内容，由大气预测结果可知，项目排放的氨、硫化氢的排放浓度均能满足</w:t>
      </w:r>
      <w:r>
        <w:rPr>
          <w:rFonts w:hint="default" w:ascii="Times New Roman" w:hAnsi="Times New Roman" w:eastAsia="仿宋_GB2312" w:cs="Times New Roman"/>
          <w:color w:val="auto"/>
          <w:sz w:val="24"/>
          <w:highlight w:val="none"/>
        </w:rPr>
        <w:t>《环境影响评价技术导则 大气环境》（HJ2.2-2018）中附录D中其他污染物空气质量浓度限值</w:t>
      </w:r>
      <w:r>
        <w:rPr>
          <w:rFonts w:hint="eastAsia"/>
          <w:color w:val="auto"/>
          <w:lang w:val="en-US" w:eastAsia="zh-CN"/>
        </w:rPr>
        <w:t>。</w:t>
      </w:r>
    </w:p>
    <w:p w14:paraId="276218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项目屠宰加工车间、待宰圈及污水处理站产生的恶臭废气经二级活性炭吸附处理后排放，经计算，各污染源排放的有组织废气满足《恶臭污染物排放标准》（GB14554-93）表2标准。</w:t>
      </w:r>
    </w:p>
    <w:p w14:paraId="6189EBEF">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6.2.1.4措施可行性</w:t>
      </w:r>
    </w:p>
    <w:p w14:paraId="21DD3D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根据《排污许可证申请与核发技术规范 农副食品加工工业-屠宰及肉类加工工业》（HJ860.3-2018）中表3屠宰及肉类加工工业排污单位废气产污环节、污染控制项目、排放形式及污染防治措施一览表的治理措施要求，具体对照情况见表6.2-1。</w:t>
      </w:r>
    </w:p>
    <w:p w14:paraId="05B91326">
      <w:pPr>
        <w:keepNext w:val="0"/>
        <w:keepLines w:val="0"/>
        <w:pageBreakBefore w:val="0"/>
        <w:widowControl w:val="0"/>
        <w:kinsoku/>
        <w:wordWrap/>
        <w:overflowPunct w:val="0"/>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sq-AL"/>
        </w:rPr>
        <w:t>表</w:t>
      </w:r>
      <w:r>
        <w:rPr>
          <w:rFonts w:hint="default" w:ascii="Times New Roman" w:hAnsi="Times New Roman" w:eastAsia="宋体" w:cs="Times New Roman"/>
          <w:b w:val="0"/>
          <w:bCs/>
          <w:snapToGrid w:val="0"/>
          <w:color w:val="auto"/>
          <w:kern w:val="0"/>
          <w:sz w:val="21"/>
          <w:szCs w:val="21"/>
          <w:highlight w:val="none"/>
          <w:lang w:val="en-US" w:eastAsia="zh-CN"/>
        </w:rPr>
        <w:t>6.2-1</w:t>
      </w:r>
      <w:r>
        <w:rPr>
          <w:rFonts w:hint="default" w:ascii="Times New Roman" w:hAnsi="Times New Roman" w:eastAsia="宋体" w:cs="Times New Roman"/>
          <w:b/>
          <w:snapToGrid w:val="0"/>
          <w:color w:val="auto"/>
          <w:kern w:val="0"/>
          <w:sz w:val="24"/>
          <w:szCs w:val="24"/>
          <w:highlight w:val="none"/>
          <w:lang w:val="en-US" w:eastAsia="zh-CN"/>
        </w:rPr>
        <w:t xml:space="preserve">        </w:t>
      </w:r>
      <w:r>
        <w:rPr>
          <w:rFonts w:hint="eastAsia" w:ascii="Times New Roman" w:hAnsi="Times New Roman" w:eastAsia="宋体" w:cs="Times New Roman"/>
          <w:b/>
          <w:snapToGrid w:val="0"/>
          <w:color w:val="auto"/>
          <w:kern w:val="0"/>
          <w:sz w:val="24"/>
          <w:szCs w:val="24"/>
          <w:highlight w:val="none"/>
          <w:lang w:val="en-US" w:eastAsia="zh-CN"/>
        </w:rPr>
        <w:t xml:space="preserve">  </w:t>
      </w:r>
      <w:r>
        <w:rPr>
          <w:rFonts w:hint="default" w:ascii="Times New Roman" w:hAnsi="Times New Roman" w:eastAsia="宋体" w:cs="Times New Roman"/>
          <w:b/>
          <w:snapToGrid w:val="0"/>
          <w:color w:val="auto"/>
          <w:kern w:val="0"/>
          <w:sz w:val="24"/>
          <w:szCs w:val="24"/>
          <w:highlight w:val="none"/>
          <w:lang w:val="en-US" w:eastAsia="zh-CN"/>
        </w:rPr>
        <w:t xml:space="preserve"> 本项目废气处理工艺技术可行性分析</w:t>
      </w:r>
    </w:p>
    <w:tbl>
      <w:tblPr>
        <w:tblStyle w:val="28"/>
        <w:tblW w:w="49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886"/>
        <w:gridCol w:w="2525"/>
        <w:gridCol w:w="2939"/>
        <w:gridCol w:w="1073"/>
      </w:tblGrid>
      <w:tr w14:paraId="11C2B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4" w:type="dxa"/>
            <w:tcBorders>
              <w:tl2br w:val="nil"/>
              <w:tr2bl w:val="nil"/>
            </w:tcBorders>
            <w:noWrap w:val="0"/>
            <w:vAlign w:val="center"/>
          </w:tcPr>
          <w:p w14:paraId="1A69FE79">
            <w:pPr>
              <w:pStyle w:val="3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生产单元/生产设施</w:t>
            </w:r>
          </w:p>
        </w:tc>
        <w:tc>
          <w:tcPr>
            <w:tcW w:w="3380" w:type="dxa"/>
            <w:gridSpan w:val="2"/>
            <w:tcBorders>
              <w:tl2br w:val="nil"/>
              <w:tr2bl w:val="nil"/>
            </w:tcBorders>
            <w:noWrap w:val="0"/>
            <w:vAlign w:val="center"/>
          </w:tcPr>
          <w:p w14:paraId="2E1B5A81">
            <w:pPr>
              <w:pStyle w:val="3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屠宰及肉类加工工业排污单位废水污染防治可行技术</w:t>
            </w:r>
          </w:p>
        </w:tc>
        <w:tc>
          <w:tcPr>
            <w:tcW w:w="2913" w:type="dxa"/>
            <w:tcBorders>
              <w:tl2br w:val="nil"/>
              <w:tr2bl w:val="nil"/>
            </w:tcBorders>
            <w:noWrap w:val="0"/>
            <w:vAlign w:val="center"/>
          </w:tcPr>
          <w:p w14:paraId="0911CDE5">
            <w:pPr>
              <w:pStyle w:val="3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w:t>
            </w:r>
          </w:p>
        </w:tc>
        <w:tc>
          <w:tcPr>
            <w:tcW w:w="1063" w:type="dxa"/>
            <w:tcBorders>
              <w:tl2br w:val="nil"/>
              <w:tr2bl w:val="nil"/>
            </w:tcBorders>
            <w:noWrap w:val="0"/>
            <w:vAlign w:val="center"/>
          </w:tcPr>
          <w:p w14:paraId="2B3833C3">
            <w:pPr>
              <w:pStyle w:val="3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是否为</w:t>
            </w:r>
          </w:p>
          <w:p w14:paraId="510180F8">
            <w:pPr>
              <w:pStyle w:val="3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可行技术</w:t>
            </w:r>
          </w:p>
        </w:tc>
      </w:tr>
      <w:tr w14:paraId="41562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4" w:type="dxa"/>
            <w:tcBorders>
              <w:tl2br w:val="nil"/>
              <w:tr2bl w:val="nil"/>
            </w:tcBorders>
            <w:noWrap w:val="0"/>
            <w:vAlign w:val="center"/>
          </w:tcPr>
          <w:p w14:paraId="2CCEECF4">
            <w:pPr>
              <w:pStyle w:val="3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宰前准备</w:t>
            </w:r>
          </w:p>
        </w:tc>
        <w:tc>
          <w:tcPr>
            <w:tcW w:w="3380" w:type="dxa"/>
            <w:gridSpan w:val="2"/>
            <w:tcBorders>
              <w:tl2br w:val="nil"/>
              <w:tr2bl w:val="nil"/>
            </w:tcBorders>
            <w:noWrap w:val="0"/>
            <w:vAlign w:val="center"/>
          </w:tcPr>
          <w:p w14:paraId="68D2830A">
            <w:pPr>
              <w:pStyle w:val="32"/>
              <w:keepNext w:val="0"/>
              <w:keepLines w:val="0"/>
              <w:pageBreakBefore w:val="0"/>
              <w:kinsoku/>
              <w:wordWrap/>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清洗；及时清运粪便；集中收集恶臭气体处理后（喷淋、生物除臭、活性炭吸附）通过排气筒</w:t>
            </w:r>
            <w:r>
              <w:rPr>
                <w:rFonts w:hint="eastAsia" w:cs="Times New Roman"/>
                <w:color w:val="auto"/>
                <w:sz w:val="21"/>
                <w:szCs w:val="21"/>
                <w:highlight w:val="none"/>
                <w:vertAlign w:val="baseline"/>
                <w:lang w:val="en-US" w:eastAsia="zh-CN"/>
              </w:rPr>
              <w:t>排</w:t>
            </w:r>
            <w:r>
              <w:rPr>
                <w:rFonts w:hint="default" w:ascii="Times New Roman" w:hAnsi="Times New Roman" w:eastAsia="宋体" w:cs="Times New Roman"/>
                <w:color w:val="auto"/>
                <w:sz w:val="21"/>
                <w:szCs w:val="21"/>
                <w:highlight w:val="none"/>
                <w:vertAlign w:val="baseline"/>
                <w:lang w:val="en-US" w:eastAsia="zh-CN"/>
              </w:rPr>
              <w:t>放</w:t>
            </w:r>
          </w:p>
        </w:tc>
        <w:tc>
          <w:tcPr>
            <w:tcW w:w="2913" w:type="dxa"/>
            <w:vMerge w:val="restart"/>
            <w:tcBorders>
              <w:tl2br w:val="nil"/>
              <w:tr2bl w:val="nil"/>
            </w:tcBorders>
            <w:noWrap w:val="0"/>
            <w:vAlign w:val="center"/>
          </w:tcPr>
          <w:p w14:paraId="0A94AE59">
            <w:pPr>
              <w:pStyle w:val="32"/>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olor w:val="auto"/>
                <w:lang w:val="en-US" w:eastAsia="zh-CN"/>
              </w:rPr>
              <w:t>本项目待宰圈产生的臭气经车间负压收集（收集效率90%），风机设计风量为14000m</w:t>
            </w:r>
            <w:r>
              <w:rPr>
                <w:rFonts w:hint="eastAsia"/>
                <w:color w:val="auto"/>
                <w:vertAlign w:val="superscript"/>
                <w:lang w:val="en-US" w:eastAsia="zh-CN"/>
              </w:rPr>
              <w:t>3</w:t>
            </w:r>
            <w:r>
              <w:rPr>
                <w:rFonts w:hint="eastAsia"/>
                <w:color w:val="auto"/>
                <w:lang w:val="en-US" w:eastAsia="zh-CN"/>
              </w:rPr>
              <w:t>/h，引入二级活性炭吸附装置（处理效率80%）处理后经20m高排气筒（DA001）排放</w:t>
            </w:r>
          </w:p>
        </w:tc>
        <w:tc>
          <w:tcPr>
            <w:tcW w:w="1063" w:type="dxa"/>
            <w:tcBorders>
              <w:tl2br w:val="nil"/>
              <w:tr2bl w:val="nil"/>
            </w:tcBorders>
            <w:noWrap w:val="0"/>
            <w:vAlign w:val="center"/>
          </w:tcPr>
          <w:p w14:paraId="192320DB">
            <w:pPr>
              <w:pStyle w:val="32"/>
              <w:keepNext w:val="0"/>
              <w:keepLines w:val="0"/>
              <w:pageBreakBefore w:val="0"/>
              <w:kinsoku/>
              <w:wordWrap/>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62981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4" w:type="dxa"/>
            <w:tcBorders>
              <w:tl2br w:val="nil"/>
              <w:tr2bl w:val="nil"/>
            </w:tcBorders>
            <w:noWrap w:val="0"/>
            <w:vAlign w:val="center"/>
          </w:tcPr>
          <w:p w14:paraId="39810757">
            <w:pPr>
              <w:pStyle w:val="32"/>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刺杀放血、剥皮、开膛解体</w:t>
            </w:r>
          </w:p>
        </w:tc>
        <w:tc>
          <w:tcPr>
            <w:tcW w:w="3380" w:type="dxa"/>
            <w:gridSpan w:val="2"/>
            <w:tcBorders>
              <w:tl2br w:val="nil"/>
              <w:tr2bl w:val="nil"/>
            </w:tcBorders>
            <w:noWrap w:val="0"/>
            <w:vAlign w:val="center"/>
          </w:tcPr>
          <w:p w14:paraId="3F9544AD">
            <w:pPr>
              <w:pStyle w:val="32"/>
              <w:keepNext w:val="0"/>
              <w:keepLines w:val="0"/>
              <w:pageBreakBefore w:val="0"/>
              <w:kinsoku/>
              <w:wordWrap/>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清洗；增加通风次数；集中收集恶臭气体处理后（喷淋、生物除臭、活性炭吸附）通过排气筒排</w:t>
            </w:r>
            <w:bookmarkStart w:id="810" w:name="_GoBack"/>
            <w:bookmarkEnd w:id="810"/>
            <w:r>
              <w:rPr>
                <w:rFonts w:hint="default" w:ascii="Times New Roman" w:hAnsi="Times New Roman" w:eastAsia="宋体" w:cs="Times New Roman"/>
                <w:color w:val="auto"/>
                <w:sz w:val="21"/>
                <w:szCs w:val="21"/>
                <w:highlight w:val="none"/>
                <w:vertAlign w:val="baseline"/>
                <w:lang w:val="en-US" w:eastAsia="zh-CN"/>
              </w:rPr>
              <w:t>放</w:t>
            </w:r>
          </w:p>
        </w:tc>
        <w:tc>
          <w:tcPr>
            <w:tcW w:w="2913" w:type="dxa"/>
            <w:vMerge w:val="continue"/>
            <w:tcBorders>
              <w:tl2br w:val="nil"/>
              <w:tr2bl w:val="nil"/>
            </w:tcBorders>
            <w:noWrap w:val="0"/>
            <w:vAlign w:val="center"/>
          </w:tcPr>
          <w:p w14:paraId="55728D69">
            <w:pPr>
              <w:pStyle w:val="32"/>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p>
        </w:tc>
        <w:tc>
          <w:tcPr>
            <w:tcW w:w="1063" w:type="dxa"/>
            <w:tcBorders>
              <w:tl2br w:val="nil"/>
              <w:tr2bl w:val="nil"/>
            </w:tcBorders>
            <w:noWrap w:val="0"/>
            <w:vAlign w:val="center"/>
          </w:tcPr>
          <w:p w14:paraId="3817CE59">
            <w:pPr>
              <w:pStyle w:val="32"/>
              <w:keepNext w:val="0"/>
              <w:keepLines w:val="0"/>
              <w:pageBreakBefore w:val="0"/>
              <w:kinsoku/>
              <w:wordWrap/>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49BA1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4" w:type="dxa"/>
            <w:tcBorders>
              <w:tl2br w:val="nil"/>
              <w:tr2bl w:val="nil"/>
            </w:tcBorders>
            <w:noWrap w:val="0"/>
            <w:vAlign w:val="center"/>
          </w:tcPr>
          <w:p w14:paraId="7BF3CC67">
            <w:pPr>
              <w:pStyle w:val="32"/>
              <w:keepNext w:val="0"/>
              <w:keepLines w:val="0"/>
              <w:pageBreakBefore w:val="0"/>
              <w:kinsoku/>
              <w:wordWrap/>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污水处理站</w:t>
            </w:r>
          </w:p>
        </w:tc>
        <w:tc>
          <w:tcPr>
            <w:tcW w:w="878" w:type="dxa"/>
            <w:tcBorders>
              <w:tl2br w:val="nil"/>
              <w:tr2bl w:val="nil"/>
            </w:tcBorders>
            <w:noWrap w:val="0"/>
            <w:vAlign w:val="center"/>
          </w:tcPr>
          <w:p w14:paraId="36AC415A">
            <w:pPr>
              <w:pStyle w:val="32"/>
              <w:keepNext w:val="0"/>
              <w:keepLines w:val="0"/>
              <w:pageBreakBefore w:val="0"/>
              <w:kinsoku/>
              <w:wordWrap/>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氨、硫化氢、臭气浓度</w:t>
            </w:r>
          </w:p>
        </w:tc>
        <w:tc>
          <w:tcPr>
            <w:tcW w:w="2502" w:type="dxa"/>
            <w:tcBorders>
              <w:tl2br w:val="nil"/>
              <w:tr2bl w:val="nil"/>
            </w:tcBorders>
            <w:noWrap w:val="0"/>
            <w:vAlign w:val="center"/>
          </w:tcPr>
          <w:p w14:paraId="5C1CA903">
            <w:pPr>
              <w:pStyle w:val="32"/>
              <w:keepNext w:val="0"/>
              <w:keepLines w:val="0"/>
              <w:pageBreakBefore w:val="0"/>
              <w:kinsoku/>
              <w:wordWrap/>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产生恶臭区域加罩或加盖；投放除臭剂；集中收集恶臭气体经处理（喷淋塔除臭、活性炭吸附、生物除臭等）后经排气筒排放；其他；</w:t>
            </w:r>
          </w:p>
        </w:tc>
        <w:tc>
          <w:tcPr>
            <w:tcW w:w="2913" w:type="dxa"/>
            <w:tcBorders>
              <w:tl2br w:val="nil"/>
              <w:tr2bl w:val="nil"/>
            </w:tcBorders>
            <w:noWrap w:val="0"/>
            <w:vAlign w:val="center"/>
          </w:tcPr>
          <w:p w14:paraId="466F7A72">
            <w:pPr>
              <w:pStyle w:val="32"/>
              <w:keepNext w:val="0"/>
              <w:keepLines w:val="0"/>
              <w:pageBreakBefore w:val="0"/>
              <w:kinsoku/>
              <w:wordWrap/>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污水处理</w:t>
            </w:r>
            <w:r>
              <w:rPr>
                <w:rFonts w:hint="eastAsia" w:cs="Times New Roman"/>
                <w:color w:val="auto"/>
                <w:sz w:val="21"/>
                <w:szCs w:val="21"/>
                <w:highlight w:val="none"/>
                <w:vertAlign w:val="baseline"/>
                <w:lang w:val="en-US" w:eastAsia="zh-CN"/>
              </w:rPr>
              <w:t>站</w:t>
            </w:r>
            <w:r>
              <w:rPr>
                <w:rFonts w:hint="default" w:ascii="Times New Roman" w:hAnsi="Times New Roman" w:eastAsia="宋体" w:cs="Times New Roman"/>
                <w:color w:val="auto"/>
                <w:sz w:val="21"/>
                <w:szCs w:val="21"/>
                <w:highlight w:val="none"/>
                <w:vertAlign w:val="baseline"/>
                <w:lang w:val="en-US" w:eastAsia="zh-CN"/>
              </w:rPr>
              <w:t>加盖封闭，产生的恶臭气体经“集气设备+二级活性炭吸附装置（风量1000m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/h）”处理后由1根15m高排气筒（DA002）排放；</w:t>
            </w:r>
          </w:p>
        </w:tc>
        <w:tc>
          <w:tcPr>
            <w:tcW w:w="1063" w:type="dxa"/>
            <w:tcBorders>
              <w:tl2br w:val="nil"/>
              <w:tr2bl w:val="nil"/>
            </w:tcBorders>
            <w:noWrap w:val="0"/>
            <w:vAlign w:val="center"/>
          </w:tcPr>
          <w:p w14:paraId="13643218">
            <w:pPr>
              <w:pStyle w:val="32"/>
              <w:keepNext w:val="0"/>
              <w:keepLines w:val="0"/>
              <w:pageBreakBefore w:val="0"/>
              <w:kinsoku/>
              <w:wordWrap/>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bl>
    <w:p w14:paraId="214433D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val="en-US" w:eastAsia="zh-CN"/>
        </w:rPr>
        <w:t>根据《屠宰及肉类加工业污染防治可行技术指南（HJ1285-2023）》6.2.2恶臭治理技术，本项目采用恶臭治理技术中的物理除臭技术，项目产生的恶臭气体通过管道引至二级活性炭吸附装置（处理效率80%）处理后由2根20m高排气筒（DA001）排出，符合《屠宰及肉类加工业污染防治可行技术指南（HJ1285-2023）》中的可行技术。</w:t>
      </w:r>
    </w:p>
    <w:p w14:paraId="7C835D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所以综上所述，本项目废气治理措施是可行的。</w:t>
      </w:r>
    </w:p>
    <w:p w14:paraId="766F340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59" w:name="_Toc16205"/>
      <w:r>
        <w:rPr>
          <w:rFonts w:hint="default" w:ascii="Times New Roman" w:hAnsi="Times New Roman" w:eastAsia="黑体" w:cs="Times New Roman"/>
          <w:b/>
          <w:color w:val="auto"/>
          <w:sz w:val="28"/>
          <w:szCs w:val="28"/>
          <w:highlight w:val="none"/>
          <w:lang w:val="en-US" w:eastAsia="zh-CN"/>
        </w:rPr>
        <w:t>6.2.2废水污染防治措施评述</w:t>
      </w:r>
      <w:bookmarkEnd w:id="559"/>
    </w:p>
    <w:p w14:paraId="5D3E7983">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6.2.2.1废水处理可行性分析</w:t>
      </w:r>
    </w:p>
    <w:p w14:paraId="3FF2EA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lang w:val="en-US" w:eastAsia="zh-CN"/>
        </w:rPr>
        <w:t>（1）废水处理工艺可行性分析</w:t>
      </w:r>
    </w:p>
    <w:p w14:paraId="35542C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仿宋_GB2312"/>
          <w:color w:val="auto"/>
          <w:lang w:val="en-US" w:eastAsia="zh-CN"/>
        </w:rPr>
      </w:pPr>
      <w:r>
        <w:rPr>
          <w:rFonts w:hint="eastAsia"/>
          <w:color w:val="auto"/>
          <w:lang w:val="en-US" w:eastAsia="zh-CN"/>
        </w:rPr>
        <w:t>项目废水主要为生活污水车辆冲洗废水及屠宰废水。车辆冲洗废水及屠宰废水排至厂区污水处理站处理，采用“格栅+调节池+隔油池+气浮+水解酸化+缺氧+生物接触氧化+二沉+消毒池（次氯酸钠消毒）”的处理工艺处理后，水质满足《屠宰及肉类加工工业水污染物排放标准》（GB13457-2025）</w:t>
      </w:r>
      <w:r>
        <w:rPr>
          <w:rFonts w:hint="eastAsia" w:ascii="Times New Roman" w:hAnsi="Times New Roman"/>
          <w:color w:val="auto"/>
          <w:lang w:val="en-US" w:eastAsia="zh-CN"/>
        </w:rPr>
        <w:t>表</w:t>
      </w:r>
      <w:r>
        <w:rPr>
          <w:rFonts w:hint="eastAsia"/>
          <w:color w:val="auto"/>
          <w:lang w:val="en-US" w:eastAsia="zh-CN"/>
        </w:rPr>
        <w:t>1间接排放</w:t>
      </w:r>
      <w:r>
        <w:rPr>
          <w:rFonts w:hint="eastAsia" w:ascii="Times New Roman" w:hAnsi="Times New Roman"/>
          <w:color w:val="auto"/>
          <w:lang w:val="en-US" w:eastAsia="zh-CN"/>
        </w:rPr>
        <w:t>标准</w:t>
      </w:r>
      <w:r>
        <w:rPr>
          <w:rFonts w:hint="default" w:ascii="Times New Roman" w:hAnsi="Times New Roman" w:eastAsia="仿宋_GB2312" w:cs="Times New Roman"/>
          <w:color w:val="auto"/>
          <w:sz w:val="24"/>
          <w:highlight w:val="none"/>
        </w:rPr>
        <w:t>要求</w:t>
      </w:r>
      <w:r>
        <w:rPr>
          <w:rFonts w:hint="eastAsia" w:cs="Times New Roman"/>
          <w:color w:val="auto"/>
          <w:sz w:val="24"/>
          <w:highlight w:val="none"/>
          <w:lang w:val="en-US" w:eastAsia="zh-CN"/>
        </w:rPr>
        <w:t>及</w:t>
      </w:r>
      <w:r>
        <w:rPr>
          <w:rFonts w:hint="eastAsia" w:ascii="Times New Roman" w:hAnsi="Times New Roman" w:cs="Times New Roman"/>
          <w:color w:val="auto"/>
          <w:sz w:val="24"/>
          <w:highlight w:val="none"/>
          <w:lang w:val="en-US" w:eastAsia="zh-CN"/>
        </w:rPr>
        <w:t>《污水综合排放标准》（GB8978-1996）三级排放标准</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城区污水处理厂接管标准《污水排入城镇下水道水质标准》（GB/T31962-2015）A级排放标准</w:t>
      </w:r>
      <w:r>
        <w:rPr>
          <w:rFonts w:hint="default" w:ascii="Times New Roman" w:hAnsi="Times New Roman" w:eastAsia="仿宋_GB2312" w:cs="Times New Roman"/>
          <w:color w:val="auto"/>
          <w:sz w:val="24"/>
          <w:highlight w:val="none"/>
          <w:lang w:val="zh-CN"/>
        </w:rPr>
        <w:t>后排至</w:t>
      </w:r>
      <w:r>
        <w:rPr>
          <w:rFonts w:hint="eastAsia" w:cs="Times New Roman"/>
          <w:color w:val="auto"/>
          <w:sz w:val="24"/>
          <w:highlight w:val="none"/>
          <w:lang w:val="en-US" w:eastAsia="zh-CN"/>
        </w:rPr>
        <w:t>城区污水处理厂</w:t>
      </w:r>
      <w:r>
        <w:rPr>
          <w:rFonts w:hint="default" w:ascii="Times New Roman" w:hAnsi="Times New Roman" w:eastAsia="仿宋_GB2312" w:cs="Times New Roman"/>
          <w:color w:val="auto"/>
          <w:sz w:val="24"/>
          <w:highlight w:val="none"/>
          <w:lang w:val="zh-CN"/>
        </w:rPr>
        <w:t>处理</w:t>
      </w:r>
      <w:r>
        <w:rPr>
          <w:rFonts w:hint="eastAsia" w:ascii="Times New Roman" w:hAnsi="Times New Roman" w:cs="Times New Roman"/>
          <w:color w:val="auto"/>
          <w:sz w:val="24"/>
          <w:highlight w:val="none"/>
          <w:lang w:val="zh-CN"/>
        </w:rPr>
        <w:t>；</w:t>
      </w:r>
      <w:r>
        <w:rPr>
          <w:rFonts w:hint="default" w:ascii="Times New Roman" w:hAnsi="Times New Roman" w:eastAsia="仿宋_GB2312" w:cs="Times New Roman"/>
          <w:color w:val="auto"/>
          <w:sz w:val="24"/>
          <w:highlight w:val="none"/>
          <w:lang w:val="zh-CN"/>
        </w:rPr>
        <w:t>生活污水经化粪池收集后达到</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default" w:ascii="Times New Roman" w:hAnsi="Times New Roman" w:eastAsia="仿宋_GB2312" w:cs="Times New Roman"/>
          <w:color w:val="auto"/>
          <w:sz w:val="24"/>
          <w:highlight w:val="none"/>
          <w:lang w:val="zh-CN"/>
        </w:rPr>
        <w:t>后排至</w:t>
      </w:r>
      <w:r>
        <w:rPr>
          <w:rFonts w:hint="eastAsia" w:cs="Times New Roman"/>
          <w:color w:val="auto"/>
          <w:sz w:val="24"/>
          <w:highlight w:val="none"/>
          <w:lang w:val="en-US" w:eastAsia="zh-CN"/>
        </w:rPr>
        <w:t>城区污水处理厂</w:t>
      </w:r>
      <w:r>
        <w:rPr>
          <w:rFonts w:hint="default" w:ascii="Times New Roman" w:hAnsi="Times New Roman" w:eastAsia="仿宋_GB2312" w:cs="Times New Roman"/>
          <w:color w:val="auto"/>
          <w:sz w:val="24"/>
          <w:highlight w:val="none"/>
          <w:lang w:val="zh-CN"/>
        </w:rPr>
        <w:t>处理。</w:t>
      </w:r>
    </w:p>
    <w:p w14:paraId="43AE7E0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val="en-US" w:eastAsia="zh-CN"/>
        </w:rPr>
        <w:t>本项目新建一座地下式污水处理站，占地面积150m</w:t>
      </w:r>
      <w:r>
        <w:rPr>
          <w:rFonts w:hint="eastAsia"/>
          <w:color w:val="auto"/>
          <w:vertAlign w:val="superscript"/>
          <w:lang w:val="en-US" w:eastAsia="zh-CN"/>
        </w:rPr>
        <w:t>2</w:t>
      </w:r>
      <w:r>
        <w:rPr>
          <w:rFonts w:hint="eastAsia"/>
          <w:color w:val="auto"/>
          <w:lang w:val="en-US" w:eastAsia="zh-CN"/>
        </w:rPr>
        <w:t>，设计规模100m</w:t>
      </w:r>
      <w:r>
        <w:rPr>
          <w:rFonts w:hint="eastAsia"/>
          <w:color w:val="auto"/>
          <w:vertAlign w:val="superscript"/>
          <w:lang w:val="en-US" w:eastAsia="zh-CN"/>
        </w:rPr>
        <w:t>3</w:t>
      </w:r>
      <w:r>
        <w:rPr>
          <w:rFonts w:hint="eastAsia"/>
          <w:color w:val="auto"/>
          <w:lang w:val="en-US" w:eastAsia="zh-CN"/>
        </w:rPr>
        <w:t>/d，污水处理站主要由十部分组成：</w:t>
      </w:r>
    </w:p>
    <w:p w14:paraId="4A7B6F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default" w:ascii="Times New Roman" w:hAnsi="Times New Roman" w:eastAsia="仿宋_GB2312" w:cs="Times New Roman"/>
          <w:color w:val="auto"/>
          <w:sz w:val="24"/>
          <w:highlight w:val="none"/>
        </w:rPr>
        <w:t>①格栅池：格栅池即处理大形体、大颗粒物质，也可作为初沉池。污水在该池的上升流速为0.2</w:t>
      </w:r>
      <w:r>
        <w:rPr>
          <w:rFonts w:hint="eastAsia" w:cs="Times New Roman"/>
          <w:color w:val="auto"/>
          <w:sz w:val="24"/>
          <w:highlight w:val="none"/>
          <w:lang w:eastAsia="zh-CN"/>
        </w:rPr>
        <w:t>～</w:t>
      </w:r>
      <w:r>
        <w:rPr>
          <w:rFonts w:hint="default" w:ascii="Times New Roman" w:hAnsi="Times New Roman" w:eastAsia="仿宋_GB2312" w:cs="Times New Roman"/>
          <w:color w:val="auto"/>
          <w:sz w:val="24"/>
          <w:highlight w:val="none"/>
        </w:rPr>
        <w:t>0.3mm/s，沉淀下来的污泥用空气提至污泥池；</w:t>
      </w:r>
    </w:p>
    <w:p w14:paraId="2248BE1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②</w:t>
      </w:r>
      <w:r>
        <w:rPr>
          <w:rFonts w:hint="eastAsia" w:cs="Times New Roman"/>
          <w:color w:val="auto"/>
          <w:sz w:val="24"/>
          <w:highlight w:val="none"/>
          <w:lang w:val="en-US" w:eastAsia="zh-CN"/>
        </w:rPr>
        <w:t>调节池：调节池内设置搅拌装置，采用液下搅拌时，搅拌功率一般可按5~10W/m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p>
    <w:p w14:paraId="32ADBE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rPr>
        <w:t>③</w:t>
      </w:r>
      <w:r>
        <w:rPr>
          <w:rFonts w:hint="eastAsia" w:cs="Times New Roman"/>
          <w:color w:val="auto"/>
          <w:sz w:val="24"/>
          <w:highlight w:val="none"/>
          <w:lang w:val="en-US" w:eastAsia="zh-CN"/>
        </w:rPr>
        <w:t>隔油池：隔油调节池用于收集、清除废水中的油脂，该废水中除浮油外还含有乳化油，低温时油脂易黏附在管壁上，增大水流阻力。此外如果油脂过多地进入生物处理系统，将影响生物处理效果，废水在池内静置一定时间油粒会由于浮力作用上升到水面而从废水中分离出去。</w:t>
      </w:r>
    </w:p>
    <w:p w14:paraId="2B2798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仿宋_GB2312"/>
          <w:color w:val="auto"/>
          <w:lang w:val="en-US" w:eastAsia="zh-CN"/>
        </w:rPr>
      </w:pPr>
      <w:r>
        <w:rPr>
          <w:rFonts w:hint="default" w:ascii="Times New Roman" w:hAnsi="Times New Roman" w:eastAsia="仿宋_GB2312" w:cs="Times New Roman"/>
          <w:color w:val="auto"/>
          <w:sz w:val="24"/>
          <w:highlight w:val="none"/>
        </w:rPr>
        <w:t>④</w:t>
      </w:r>
      <w:r>
        <w:rPr>
          <w:rFonts w:hint="eastAsia" w:cs="Times New Roman"/>
          <w:color w:val="auto"/>
          <w:sz w:val="24"/>
          <w:highlight w:val="none"/>
          <w:lang w:val="en-US" w:eastAsia="zh-CN"/>
        </w:rPr>
        <w:t>气浮：通过微气泡吸附乳化油、胶体、细小悬浮物、血污颗粒，形成浮渣刮除，深度去除悬浮物与油类。</w:t>
      </w:r>
    </w:p>
    <w:p w14:paraId="7B76495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⑤</w:t>
      </w:r>
      <w:r>
        <w:rPr>
          <w:rFonts w:hint="eastAsia" w:cs="Times New Roman"/>
          <w:color w:val="auto"/>
          <w:sz w:val="24"/>
          <w:highlight w:val="none"/>
          <w:lang w:val="en-US" w:eastAsia="zh-CN"/>
        </w:rPr>
        <w:t>水解酸化：在兼氧/弱厌氧环境下，将大分子蛋白质、脂肪、多糖水解为小分子有机酸，提高可生化性，同时降解部分有机物。</w:t>
      </w:r>
    </w:p>
    <w:p w14:paraId="1AE3F06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lang w:val="en-US" w:eastAsia="zh-CN"/>
        </w:rPr>
        <w:t>⑥</w:t>
      </w:r>
      <w:r>
        <w:rPr>
          <w:rFonts w:hint="eastAsia" w:ascii="Times New Roman" w:hAnsi="Times New Roman" w:cs="Times New Roman"/>
          <w:color w:val="auto"/>
          <w:sz w:val="24"/>
          <w:highlight w:val="none"/>
          <w:lang w:val="en-US" w:eastAsia="zh-CN"/>
        </w:rPr>
        <w:t>缺氧</w:t>
      </w:r>
      <w:r>
        <w:rPr>
          <w:rFonts w:hint="default" w:ascii="Times New Roman" w:hAnsi="Times New Roman" w:eastAsia="仿宋_GB2312" w:cs="Times New Roman"/>
          <w:color w:val="auto"/>
          <w:sz w:val="24"/>
          <w:highlight w:val="none"/>
        </w:rPr>
        <w:t>：利用回流硝化液进行反硝化脱氮，硝酸盐氮转化为氮气；同时继续降解有机物，部分聚磷菌释磷。</w:t>
      </w:r>
    </w:p>
    <w:p w14:paraId="1684D7D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⑦</w:t>
      </w:r>
      <w:r>
        <w:rPr>
          <w:rFonts w:hint="eastAsia" w:ascii="Times New Roman" w:hAnsi="Times New Roman" w:cs="Times New Roman"/>
          <w:color w:val="auto"/>
          <w:sz w:val="24"/>
          <w:highlight w:val="none"/>
          <w:lang w:val="en-US" w:eastAsia="zh-CN"/>
        </w:rPr>
        <w:t>生物接触氧化：好氧核心单元，填料挂膜，微生物氧化分解有机物，氨氮硝化转化为硝酸盐；部分聚磷菌过量吸磷。</w:t>
      </w:r>
    </w:p>
    <w:p w14:paraId="3BA6DEF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fldChar w:fldCharType="begin"/>
      </w:r>
      <w:r>
        <w:rPr>
          <w:rFonts w:hint="eastAsia" w:ascii="Times New Roman" w:hAnsi="Times New Roman" w:eastAsia="仿宋_GB2312" w:cs="Times New Roman"/>
          <w:color w:val="auto"/>
          <w:sz w:val="24"/>
          <w:highlight w:val="none"/>
          <w:lang w:val="en-US" w:eastAsia="zh-CN"/>
        </w:rPr>
        <w:instrText xml:space="preserve"> = 8 \* GB3 \* MERGEFORMAT </w:instrText>
      </w:r>
      <w:r>
        <w:rPr>
          <w:rFonts w:hint="eastAsia" w:ascii="Times New Roman" w:hAnsi="Times New Roman" w:eastAsia="仿宋_GB2312" w:cs="Times New Roman"/>
          <w:color w:val="auto"/>
          <w:sz w:val="24"/>
          <w:highlight w:val="none"/>
          <w:lang w:val="en-US" w:eastAsia="zh-CN"/>
        </w:rPr>
        <w:fldChar w:fldCharType="separate"/>
      </w:r>
      <w:r>
        <w:rPr>
          <w:color w:val="auto"/>
        </w:rPr>
        <w:t>⑧</w:t>
      </w:r>
      <w:r>
        <w:rPr>
          <w:rFonts w:hint="eastAsia" w:ascii="Times New Roman" w:hAnsi="Times New Roman" w:eastAsia="仿宋_GB2312" w:cs="Times New Roman"/>
          <w:color w:val="auto"/>
          <w:sz w:val="24"/>
          <w:highlight w:val="none"/>
          <w:lang w:val="en-US" w:eastAsia="zh-CN"/>
        </w:rPr>
        <w:fldChar w:fldCharType="end"/>
      </w:r>
      <w:r>
        <w:rPr>
          <w:rFonts w:hint="eastAsia" w:ascii="Times New Roman" w:hAnsi="Times New Roman" w:cs="Times New Roman"/>
          <w:color w:val="auto"/>
          <w:sz w:val="24"/>
          <w:highlight w:val="none"/>
          <w:lang w:val="en-US" w:eastAsia="zh-CN"/>
        </w:rPr>
        <w:t>二沉池：固液分离，沉降脱落生物膜与悬浮污泥，保证出水澄清；污泥部分回流，剩余污泥外排。</w:t>
      </w:r>
    </w:p>
    <w:p w14:paraId="64548B1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微软雅黑" w:cs="Times New Roman"/>
          <w:color w:val="auto"/>
          <w:sz w:val="24"/>
          <w:highlight w:val="none"/>
          <w:lang w:val="en-US" w:eastAsia="zh-CN"/>
        </w:rPr>
        <w:t>⑨</w:t>
      </w:r>
      <w:r>
        <w:rPr>
          <w:rFonts w:hint="default" w:ascii="Times New Roman" w:hAnsi="Times New Roman" w:eastAsia="仿宋_GB2312" w:cs="Times New Roman"/>
          <w:color w:val="auto"/>
          <w:sz w:val="24"/>
          <w:highlight w:val="none"/>
          <w:lang w:val="en-US" w:eastAsia="zh-CN"/>
        </w:rPr>
        <w:t>消毒池：采用次氯酸钠进行消毒，消毒接触时间不小于30min，有效质量浓度不小于50mg</w:t>
      </w:r>
      <w:r>
        <w:rPr>
          <w:rFonts w:hint="eastAsia" w:cs="Times New Roman"/>
          <w:color w:val="auto"/>
          <w:sz w:val="24"/>
          <w:highlight w:val="none"/>
          <w:lang w:val="en-US" w:eastAsia="zh-CN"/>
        </w:rPr>
        <w:t>/L</w:t>
      </w:r>
      <w:r>
        <w:rPr>
          <w:rFonts w:hint="default" w:ascii="Times New Roman" w:hAnsi="Times New Roman" w:eastAsia="仿宋_GB2312" w:cs="Times New Roman"/>
          <w:color w:val="auto"/>
          <w:sz w:val="24"/>
          <w:highlight w:val="none"/>
          <w:lang w:val="en-US" w:eastAsia="zh-CN"/>
        </w:rPr>
        <w:t>。</w:t>
      </w:r>
    </w:p>
    <w:p w14:paraId="1DBB1AD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pPr>
      <w:r>
        <w:rPr>
          <w:rFonts w:hint="default" w:ascii="Times New Roman" w:hAnsi="Times New Roman" w:eastAsia="微软雅黑" w:cs="Times New Roman"/>
          <w:color w:val="auto"/>
          <w:sz w:val="24"/>
          <w:highlight w:val="none"/>
          <w:lang w:val="en-US" w:eastAsia="zh-CN"/>
        </w:rPr>
        <w:t>⑩</w:t>
      </w:r>
      <w:r>
        <w:rPr>
          <w:rFonts w:hint="default" w:ascii="Times New Roman" w:hAnsi="Times New Roman" w:eastAsia="仿宋_GB2312" w:cs="Times New Roman"/>
          <w:color w:val="auto"/>
          <w:sz w:val="24"/>
          <w:highlight w:val="none"/>
          <w:lang w:val="en-US" w:eastAsia="zh-CN"/>
        </w:rPr>
        <w:t>污</w:t>
      </w:r>
      <w:r>
        <w:rPr>
          <w:rFonts w:hint="eastAsia" w:ascii="Times New Roman" w:hAnsi="Times New Roman" w:eastAsia="仿宋_GB2312" w:cs="Times New Roman"/>
          <w:color w:val="auto"/>
          <w:sz w:val="24"/>
          <w:highlight w:val="none"/>
          <w:lang w:val="en-US" w:eastAsia="zh-CN"/>
        </w:rPr>
        <w:t>泥浓缩池</w:t>
      </w:r>
      <w:r>
        <w:rPr>
          <w:rFonts w:hint="eastAsia"/>
          <w:color w:val="auto"/>
          <w:lang w:val="en-US" w:eastAsia="zh-CN"/>
        </w:rPr>
        <w:t>：采用重力式污泥浓缩池，污泥浓缩时间为16~24h，浓缩后污泥含水率小于80%。</w:t>
      </w:r>
    </w:p>
    <w:p w14:paraId="3DA7022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sectPr>
          <w:headerReference r:id="rId28"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5D79A02D">
      <w:pPr>
        <w:pStyle w:val="34"/>
        <w:spacing w:line="240" w:lineRule="auto"/>
        <w:ind w:firstLine="420" w:firstLineChars="200"/>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val="0"/>
          <w:bCs w:val="0"/>
          <w:color w:val="auto"/>
          <w:sz w:val="21"/>
          <w:szCs w:val="21"/>
          <w:lang w:val="en-US" w:eastAsia="zh-CN"/>
        </w:rPr>
        <w:t>表</w:t>
      </w:r>
      <w:r>
        <w:rPr>
          <w:rFonts w:hint="default" w:ascii="Times New Roman" w:hAnsi="Times New Roman" w:cs="Times New Roman"/>
          <w:b w:val="0"/>
          <w:bCs w:val="0"/>
          <w:color w:val="auto"/>
          <w:sz w:val="21"/>
          <w:szCs w:val="21"/>
          <w:lang w:val="en-US" w:eastAsia="zh-CN"/>
        </w:rPr>
        <w:t>6.2-2</w:t>
      </w:r>
      <w:r>
        <w:rPr>
          <w:rFonts w:hint="default"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lang w:val="en-US" w:eastAsia="zh-CN"/>
        </w:rPr>
        <w:t xml:space="preserve"> </w:t>
      </w:r>
      <w:r>
        <w:rPr>
          <w:rFonts w:hint="eastAsia" w:cs="Times New Roman"/>
          <w:color w:val="auto"/>
          <w:sz w:val="24"/>
          <w:lang w:val="en-US" w:eastAsia="zh-CN"/>
        </w:rPr>
        <w:t xml:space="preserve">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b/>
          <w:bCs/>
          <w:color w:val="auto"/>
          <w:sz w:val="24"/>
          <w:u w:val="none"/>
          <w:lang w:val="en-US" w:eastAsia="zh-CN"/>
        </w:rPr>
        <w:t>污染物排放情况一览表</w:t>
      </w:r>
    </w:p>
    <w:tbl>
      <w:tblPr>
        <w:tblStyle w:val="2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39"/>
        <w:gridCol w:w="1710"/>
        <w:gridCol w:w="2041"/>
        <w:gridCol w:w="1362"/>
        <w:gridCol w:w="1231"/>
        <w:gridCol w:w="1255"/>
        <w:gridCol w:w="1282"/>
        <w:gridCol w:w="1231"/>
        <w:gridCol w:w="1225"/>
        <w:gridCol w:w="1290"/>
      </w:tblGrid>
      <w:tr w14:paraId="563067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197" w:type="dxa"/>
            <w:tcBorders>
              <w:tl2br w:val="nil"/>
              <w:tr2bl w:val="nil"/>
            </w:tcBorders>
            <w:shd w:val="clear" w:color="auto" w:fill="auto"/>
            <w:vAlign w:val="center"/>
          </w:tcPr>
          <w:p w14:paraId="1ADA51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工段名称</w:t>
            </w:r>
          </w:p>
        </w:tc>
        <w:tc>
          <w:tcPr>
            <w:tcW w:w="1765" w:type="dxa"/>
            <w:tcBorders>
              <w:tl2br w:val="nil"/>
              <w:tr2bl w:val="nil"/>
            </w:tcBorders>
            <w:shd w:val="clear" w:color="auto" w:fill="auto"/>
            <w:vAlign w:val="center"/>
          </w:tcPr>
          <w:p w14:paraId="3528E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Style w:val="49"/>
                <w:rFonts w:hint="default" w:ascii="Times New Roman" w:hAnsi="Times New Roman" w:cs="Times New Roman" w:eastAsiaTheme="minorEastAsia"/>
                <w:sz w:val="21"/>
                <w:szCs w:val="21"/>
                <w:lang w:val="en-US" w:eastAsia="zh-CN" w:bidi="ar"/>
              </w:rPr>
              <w:t>处理规模（</w:t>
            </w:r>
            <w:r>
              <w:rPr>
                <w:rStyle w:val="50"/>
                <w:rFonts w:hint="default" w:ascii="Times New Roman" w:hAnsi="Times New Roman" w:cs="Times New Roman" w:eastAsiaTheme="minorEastAsia"/>
                <w:sz w:val="21"/>
                <w:szCs w:val="21"/>
                <w:lang w:val="en-US" w:eastAsia="zh-CN" w:bidi="ar"/>
              </w:rPr>
              <w:t>m</w:t>
            </w:r>
            <w:r>
              <w:rPr>
                <w:rStyle w:val="51"/>
                <w:rFonts w:hint="default" w:ascii="Times New Roman" w:hAnsi="Times New Roman" w:cs="Times New Roman" w:eastAsiaTheme="minorEastAsia"/>
                <w:sz w:val="21"/>
                <w:szCs w:val="21"/>
                <w:lang w:val="en-US" w:eastAsia="zh-CN" w:bidi="ar"/>
              </w:rPr>
              <w:t>3</w:t>
            </w:r>
            <w:r>
              <w:rPr>
                <w:rStyle w:val="50"/>
                <w:rFonts w:hint="default" w:ascii="Times New Roman" w:hAnsi="Times New Roman" w:cs="Times New Roman" w:eastAsiaTheme="minorEastAsia"/>
                <w:sz w:val="21"/>
                <w:szCs w:val="21"/>
                <w:lang w:val="en-US" w:eastAsia="zh-CN" w:bidi="ar"/>
              </w:rPr>
              <w:t>/a</w:t>
            </w:r>
            <w:r>
              <w:rPr>
                <w:rStyle w:val="49"/>
                <w:rFonts w:hint="default" w:ascii="Times New Roman" w:hAnsi="Times New Roman" w:cs="Times New Roman" w:eastAsiaTheme="minorEastAsia"/>
                <w:sz w:val="21"/>
                <w:szCs w:val="21"/>
                <w:lang w:val="en-US" w:eastAsia="zh-CN" w:bidi="ar"/>
              </w:rPr>
              <w:t>）</w:t>
            </w:r>
          </w:p>
        </w:tc>
        <w:tc>
          <w:tcPr>
            <w:tcW w:w="2119" w:type="dxa"/>
            <w:tcBorders>
              <w:tl2br w:val="nil"/>
              <w:tr2bl w:val="nil"/>
            </w:tcBorders>
            <w:shd w:val="clear" w:color="auto" w:fill="auto"/>
            <w:vAlign w:val="center"/>
          </w:tcPr>
          <w:p w14:paraId="1BD046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项目</w:t>
            </w:r>
          </w:p>
        </w:tc>
        <w:tc>
          <w:tcPr>
            <w:tcW w:w="1383" w:type="dxa"/>
            <w:tcBorders>
              <w:tl2br w:val="nil"/>
              <w:tr2bl w:val="nil"/>
            </w:tcBorders>
            <w:shd w:val="clear" w:color="auto" w:fill="auto"/>
            <w:vAlign w:val="center"/>
          </w:tcPr>
          <w:p w14:paraId="58832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Style w:val="50"/>
                <w:rFonts w:hint="default" w:ascii="Times New Roman" w:hAnsi="Times New Roman" w:cs="Times New Roman" w:eastAsiaTheme="minorEastAsia"/>
                <w:sz w:val="21"/>
                <w:szCs w:val="21"/>
                <w:lang w:val="en-US" w:eastAsia="zh-CN" w:bidi="ar"/>
              </w:rPr>
              <w:t>COD</w:t>
            </w:r>
            <w:r>
              <w:rPr>
                <w:rStyle w:val="52"/>
                <w:rFonts w:hint="default" w:ascii="Times New Roman" w:hAnsi="Times New Roman" w:cs="Times New Roman" w:eastAsiaTheme="minorEastAsia"/>
                <w:sz w:val="21"/>
                <w:szCs w:val="21"/>
                <w:lang w:val="en-US" w:eastAsia="zh-CN" w:bidi="ar"/>
              </w:rPr>
              <w:t>Cr</w:t>
            </w:r>
          </w:p>
        </w:tc>
        <w:tc>
          <w:tcPr>
            <w:tcW w:w="1267" w:type="dxa"/>
            <w:tcBorders>
              <w:tl2br w:val="nil"/>
              <w:tr2bl w:val="nil"/>
            </w:tcBorders>
            <w:shd w:val="clear" w:color="auto" w:fill="auto"/>
            <w:vAlign w:val="center"/>
          </w:tcPr>
          <w:p w14:paraId="13FC8E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Style w:val="50"/>
                <w:rFonts w:hint="default" w:ascii="Times New Roman" w:hAnsi="Times New Roman" w:cs="Times New Roman" w:eastAsiaTheme="minorEastAsia"/>
                <w:sz w:val="21"/>
                <w:szCs w:val="21"/>
                <w:lang w:val="en-US" w:eastAsia="zh-CN" w:bidi="ar"/>
              </w:rPr>
              <w:t>BOD</w:t>
            </w:r>
            <w:r>
              <w:rPr>
                <w:rStyle w:val="52"/>
                <w:rFonts w:hint="default" w:ascii="Times New Roman" w:hAnsi="Times New Roman" w:cs="Times New Roman" w:eastAsiaTheme="minorEastAsia"/>
                <w:sz w:val="21"/>
                <w:szCs w:val="21"/>
                <w:lang w:val="en-US" w:eastAsia="zh-CN" w:bidi="ar"/>
              </w:rPr>
              <w:t>5</w:t>
            </w:r>
          </w:p>
        </w:tc>
        <w:tc>
          <w:tcPr>
            <w:tcW w:w="1267" w:type="dxa"/>
            <w:tcBorders>
              <w:tl2br w:val="nil"/>
              <w:tr2bl w:val="nil"/>
            </w:tcBorders>
            <w:shd w:val="clear" w:color="auto" w:fill="auto"/>
            <w:vAlign w:val="center"/>
          </w:tcPr>
          <w:p w14:paraId="4B8EB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SS</w:t>
            </w:r>
          </w:p>
        </w:tc>
        <w:tc>
          <w:tcPr>
            <w:tcW w:w="1320" w:type="dxa"/>
            <w:tcBorders>
              <w:tl2br w:val="nil"/>
              <w:tr2bl w:val="nil"/>
            </w:tcBorders>
            <w:shd w:val="clear" w:color="auto" w:fill="auto"/>
            <w:vAlign w:val="center"/>
          </w:tcPr>
          <w:p w14:paraId="476EC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Style w:val="50"/>
                <w:rFonts w:hint="default" w:ascii="Times New Roman" w:hAnsi="Times New Roman" w:cs="Times New Roman" w:eastAsiaTheme="minorEastAsia"/>
                <w:sz w:val="21"/>
                <w:szCs w:val="21"/>
                <w:lang w:val="en-US" w:eastAsia="zh-CN" w:bidi="ar"/>
              </w:rPr>
              <w:t>NH</w:t>
            </w:r>
            <w:r>
              <w:rPr>
                <w:rStyle w:val="52"/>
                <w:rFonts w:hint="default" w:ascii="Times New Roman" w:hAnsi="Times New Roman" w:cs="Times New Roman" w:eastAsiaTheme="minorEastAsia"/>
                <w:sz w:val="21"/>
                <w:szCs w:val="21"/>
                <w:lang w:val="en-US" w:eastAsia="zh-CN" w:bidi="ar"/>
              </w:rPr>
              <w:t>3</w:t>
            </w:r>
            <w:r>
              <w:rPr>
                <w:rStyle w:val="50"/>
                <w:rFonts w:hint="default" w:ascii="Times New Roman" w:hAnsi="Times New Roman" w:cs="Times New Roman" w:eastAsiaTheme="minorEastAsia"/>
                <w:sz w:val="21"/>
                <w:szCs w:val="21"/>
                <w:lang w:val="en-US" w:eastAsia="zh-CN" w:bidi="ar"/>
              </w:rPr>
              <w:t>-N</w:t>
            </w:r>
          </w:p>
        </w:tc>
        <w:tc>
          <w:tcPr>
            <w:tcW w:w="1267" w:type="dxa"/>
            <w:tcBorders>
              <w:tl2br w:val="nil"/>
              <w:tr2bl w:val="nil"/>
            </w:tcBorders>
            <w:shd w:val="clear" w:color="auto" w:fill="auto"/>
            <w:vAlign w:val="center"/>
          </w:tcPr>
          <w:p w14:paraId="65ADF5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动植物油</w:t>
            </w:r>
          </w:p>
        </w:tc>
        <w:tc>
          <w:tcPr>
            <w:tcW w:w="1268" w:type="dxa"/>
            <w:tcBorders>
              <w:tl2br w:val="nil"/>
              <w:tr2bl w:val="nil"/>
            </w:tcBorders>
            <w:shd w:val="clear" w:color="auto" w:fill="auto"/>
            <w:vAlign w:val="center"/>
          </w:tcPr>
          <w:p w14:paraId="2FBCD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总磷</w:t>
            </w:r>
          </w:p>
        </w:tc>
        <w:tc>
          <w:tcPr>
            <w:tcW w:w="1321" w:type="dxa"/>
            <w:tcBorders>
              <w:tl2br w:val="nil"/>
              <w:tr2bl w:val="nil"/>
            </w:tcBorders>
            <w:shd w:val="clear" w:color="auto" w:fill="auto"/>
            <w:vAlign w:val="center"/>
          </w:tcPr>
          <w:p w14:paraId="2F0518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总氮</w:t>
            </w:r>
          </w:p>
        </w:tc>
      </w:tr>
      <w:tr w14:paraId="2527F7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restart"/>
            <w:tcBorders>
              <w:tl2br w:val="nil"/>
              <w:tr2bl w:val="nil"/>
            </w:tcBorders>
            <w:shd w:val="clear" w:color="auto" w:fill="auto"/>
            <w:vAlign w:val="center"/>
          </w:tcPr>
          <w:p w14:paraId="277A5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格栅</w:t>
            </w:r>
          </w:p>
        </w:tc>
        <w:tc>
          <w:tcPr>
            <w:tcW w:w="1765" w:type="dxa"/>
            <w:vMerge w:val="restart"/>
            <w:tcBorders>
              <w:tl2br w:val="nil"/>
              <w:tr2bl w:val="nil"/>
            </w:tcBorders>
            <w:shd w:val="clear" w:color="auto" w:fill="auto"/>
            <w:vAlign w:val="center"/>
          </w:tcPr>
          <w:p w14:paraId="53AA52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2D9CE7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进水水质（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581CB2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1267" w:type="dxa"/>
            <w:tcBorders>
              <w:tl2br w:val="nil"/>
              <w:tr2bl w:val="nil"/>
            </w:tcBorders>
            <w:shd w:val="clear" w:color="auto" w:fill="auto"/>
            <w:vAlign w:val="center"/>
          </w:tcPr>
          <w:p w14:paraId="4064EE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1267" w:type="dxa"/>
            <w:tcBorders>
              <w:tl2br w:val="nil"/>
              <w:tr2bl w:val="nil"/>
            </w:tcBorders>
            <w:shd w:val="clear" w:color="auto" w:fill="auto"/>
            <w:vAlign w:val="center"/>
          </w:tcPr>
          <w:p w14:paraId="1462C0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1320" w:type="dxa"/>
            <w:tcBorders>
              <w:tl2br w:val="nil"/>
              <w:tr2bl w:val="nil"/>
            </w:tcBorders>
            <w:shd w:val="clear" w:color="auto" w:fill="auto"/>
            <w:vAlign w:val="center"/>
          </w:tcPr>
          <w:p w14:paraId="33A9C2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67" w:type="dxa"/>
            <w:tcBorders>
              <w:tl2br w:val="nil"/>
              <w:tr2bl w:val="nil"/>
            </w:tcBorders>
            <w:shd w:val="clear" w:color="auto" w:fill="auto"/>
            <w:vAlign w:val="center"/>
          </w:tcPr>
          <w:p w14:paraId="0DD42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268" w:type="dxa"/>
            <w:tcBorders>
              <w:tl2br w:val="nil"/>
              <w:tr2bl w:val="nil"/>
            </w:tcBorders>
            <w:shd w:val="clear" w:color="auto" w:fill="auto"/>
            <w:vAlign w:val="center"/>
          </w:tcPr>
          <w:p w14:paraId="4A9F60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21" w:type="dxa"/>
            <w:tcBorders>
              <w:tl2br w:val="nil"/>
              <w:tr2bl w:val="nil"/>
            </w:tcBorders>
            <w:shd w:val="clear" w:color="auto" w:fill="auto"/>
            <w:vAlign w:val="center"/>
          </w:tcPr>
          <w:p w14:paraId="3E0F8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r>
      <w:tr w14:paraId="7E0EEB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5B613A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40828E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028208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去除效率（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1057C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267" w:type="dxa"/>
            <w:tcBorders>
              <w:tl2br w:val="nil"/>
              <w:tr2bl w:val="nil"/>
            </w:tcBorders>
            <w:shd w:val="clear" w:color="auto" w:fill="auto"/>
            <w:vAlign w:val="center"/>
          </w:tcPr>
          <w:p w14:paraId="5CB816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267" w:type="dxa"/>
            <w:tcBorders>
              <w:tl2br w:val="nil"/>
              <w:tr2bl w:val="nil"/>
            </w:tcBorders>
            <w:shd w:val="clear" w:color="auto" w:fill="auto"/>
            <w:vAlign w:val="center"/>
          </w:tcPr>
          <w:p w14:paraId="58D4D9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320" w:type="dxa"/>
            <w:tcBorders>
              <w:tl2br w:val="nil"/>
              <w:tr2bl w:val="nil"/>
            </w:tcBorders>
            <w:shd w:val="clear" w:color="auto" w:fill="auto"/>
            <w:vAlign w:val="center"/>
          </w:tcPr>
          <w:p w14:paraId="5B65A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51EFA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268" w:type="dxa"/>
            <w:tcBorders>
              <w:tl2br w:val="nil"/>
              <w:tr2bl w:val="nil"/>
            </w:tcBorders>
            <w:shd w:val="clear" w:color="auto" w:fill="auto"/>
            <w:vAlign w:val="center"/>
          </w:tcPr>
          <w:p w14:paraId="207357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1" w:type="dxa"/>
            <w:tcBorders>
              <w:tl2br w:val="nil"/>
              <w:tr2bl w:val="nil"/>
            </w:tcBorders>
            <w:shd w:val="clear" w:color="auto" w:fill="auto"/>
            <w:vAlign w:val="center"/>
          </w:tcPr>
          <w:p w14:paraId="74015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484F82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24EBB1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73973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38D57A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533C91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1860</w:t>
            </w:r>
          </w:p>
        </w:tc>
        <w:tc>
          <w:tcPr>
            <w:tcW w:w="1267" w:type="dxa"/>
            <w:tcBorders>
              <w:tl2br w:val="nil"/>
              <w:tr2bl w:val="nil"/>
            </w:tcBorders>
            <w:shd w:val="clear" w:color="auto" w:fill="auto"/>
            <w:vAlign w:val="center"/>
          </w:tcPr>
          <w:p w14:paraId="7E23AB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950</w:t>
            </w:r>
          </w:p>
        </w:tc>
        <w:tc>
          <w:tcPr>
            <w:tcW w:w="1267" w:type="dxa"/>
            <w:tcBorders>
              <w:tl2br w:val="nil"/>
              <w:tr2bl w:val="nil"/>
            </w:tcBorders>
            <w:shd w:val="clear" w:color="auto" w:fill="auto"/>
            <w:vAlign w:val="center"/>
          </w:tcPr>
          <w:p w14:paraId="1B77A6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920</w:t>
            </w:r>
          </w:p>
        </w:tc>
        <w:tc>
          <w:tcPr>
            <w:tcW w:w="1320" w:type="dxa"/>
            <w:tcBorders>
              <w:tl2br w:val="nil"/>
              <w:tr2bl w:val="nil"/>
            </w:tcBorders>
            <w:shd w:val="clear" w:color="auto" w:fill="auto"/>
            <w:vAlign w:val="center"/>
          </w:tcPr>
          <w:p w14:paraId="5C3BA9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67" w:type="dxa"/>
            <w:tcBorders>
              <w:tl2br w:val="nil"/>
              <w:tr2bl w:val="nil"/>
            </w:tcBorders>
            <w:shd w:val="clear" w:color="auto" w:fill="auto"/>
            <w:vAlign w:val="center"/>
          </w:tcPr>
          <w:p w14:paraId="3D3F71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1268" w:type="dxa"/>
            <w:tcBorders>
              <w:tl2br w:val="nil"/>
              <w:tr2bl w:val="nil"/>
            </w:tcBorders>
            <w:shd w:val="clear" w:color="auto" w:fill="auto"/>
            <w:vAlign w:val="center"/>
          </w:tcPr>
          <w:p w14:paraId="256A1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21" w:type="dxa"/>
            <w:tcBorders>
              <w:tl2br w:val="nil"/>
              <w:tr2bl w:val="nil"/>
            </w:tcBorders>
            <w:shd w:val="clear" w:color="auto" w:fill="auto"/>
            <w:vAlign w:val="center"/>
          </w:tcPr>
          <w:p w14:paraId="2EC5F5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r>
      <w:tr w14:paraId="17CCA0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74DEC3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65885F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14CC8F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5141F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36.82</w:t>
            </w:r>
          </w:p>
        </w:tc>
        <w:tc>
          <w:tcPr>
            <w:tcW w:w="1267" w:type="dxa"/>
            <w:tcBorders>
              <w:tl2br w:val="nil"/>
              <w:tr2bl w:val="nil"/>
            </w:tcBorders>
            <w:shd w:val="clear" w:color="auto" w:fill="auto"/>
            <w:vAlign w:val="center"/>
          </w:tcPr>
          <w:p w14:paraId="6E7A4A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17.49</w:t>
            </w:r>
          </w:p>
        </w:tc>
        <w:tc>
          <w:tcPr>
            <w:tcW w:w="1267" w:type="dxa"/>
            <w:tcBorders>
              <w:tl2br w:val="nil"/>
              <w:tr2bl w:val="nil"/>
            </w:tcBorders>
            <w:shd w:val="clear" w:color="auto" w:fill="auto"/>
            <w:vAlign w:val="center"/>
          </w:tcPr>
          <w:p w14:paraId="6FFD92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16.94</w:t>
            </w:r>
          </w:p>
        </w:tc>
        <w:tc>
          <w:tcPr>
            <w:tcW w:w="1320" w:type="dxa"/>
            <w:tcBorders>
              <w:tl2br w:val="nil"/>
              <w:tr2bl w:val="nil"/>
            </w:tcBorders>
            <w:shd w:val="clear" w:color="auto" w:fill="auto"/>
            <w:vAlign w:val="center"/>
          </w:tcPr>
          <w:p w14:paraId="57173C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1267" w:type="dxa"/>
            <w:tcBorders>
              <w:tl2br w:val="nil"/>
              <w:tr2bl w:val="nil"/>
            </w:tcBorders>
            <w:shd w:val="clear" w:color="auto" w:fill="auto"/>
            <w:vAlign w:val="center"/>
          </w:tcPr>
          <w:p w14:paraId="7A103D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1268" w:type="dxa"/>
            <w:tcBorders>
              <w:tl2br w:val="nil"/>
              <w:tr2bl w:val="nil"/>
            </w:tcBorders>
            <w:shd w:val="clear" w:color="auto" w:fill="auto"/>
            <w:vAlign w:val="center"/>
          </w:tcPr>
          <w:p w14:paraId="6A83BA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0.99</w:t>
            </w:r>
          </w:p>
        </w:tc>
        <w:tc>
          <w:tcPr>
            <w:tcW w:w="1321" w:type="dxa"/>
            <w:tcBorders>
              <w:tl2br w:val="nil"/>
              <w:tr2bl w:val="nil"/>
            </w:tcBorders>
            <w:shd w:val="clear" w:color="auto" w:fill="auto"/>
            <w:vAlign w:val="center"/>
          </w:tcPr>
          <w:p w14:paraId="62BD46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4.51</w:t>
            </w:r>
          </w:p>
        </w:tc>
      </w:tr>
      <w:tr w14:paraId="2A71F3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restart"/>
            <w:tcBorders>
              <w:tl2br w:val="nil"/>
              <w:tr2bl w:val="nil"/>
            </w:tcBorders>
            <w:shd w:val="clear" w:color="auto" w:fill="auto"/>
            <w:vAlign w:val="center"/>
          </w:tcPr>
          <w:p w14:paraId="63E4BD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调节池</w:t>
            </w:r>
          </w:p>
        </w:tc>
        <w:tc>
          <w:tcPr>
            <w:tcW w:w="1765" w:type="dxa"/>
            <w:vMerge w:val="restart"/>
            <w:tcBorders>
              <w:tl2br w:val="nil"/>
              <w:tr2bl w:val="nil"/>
            </w:tcBorders>
            <w:shd w:val="clear" w:color="auto" w:fill="auto"/>
            <w:vAlign w:val="center"/>
          </w:tcPr>
          <w:p w14:paraId="4C94C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354CE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进水水质（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13AEF0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1860</w:t>
            </w:r>
          </w:p>
        </w:tc>
        <w:tc>
          <w:tcPr>
            <w:tcW w:w="1267" w:type="dxa"/>
            <w:tcBorders>
              <w:tl2br w:val="nil"/>
              <w:tr2bl w:val="nil"/>
            </w:tcBorders>
            <w:shd w:val="clear" w:color="auto" w:fill="auto"/>
            <w:vAlign w:val="center"/>
          </w:tcPr>
          <w:p w14:paraId="5C0D5F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950</w:t>
            </w:r>
          </w:p>
        </w:tc>
        <w:tc>
          <w:tcPr>
            <w:tcW w:w="1267" w:type="dxa"/>
            <w:tcBorders>
              <w:tl2br w:val="nil"/>
              <w:tr2bl w:val="nil"/>
            </w:tcBorders>
            <w:shd w:val="clear" w:color="auto" w:fill="auto"/>
            <w:vAlign w:val="center"/>
          </w:tcPr>
          <w:p w14:paraId="32B7F0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920</w:t>
            </w:r>
          </w:p>
        </w:tc>
        <w:tc>
          <w:tcPr>
            <w:tcW w:w="1320" w:type="dxa"/>
            <w:tcBorders>
              <w:tl2br w:val="nil"/>
              <w:tr2bl w:val="nil"/>
            </w:tcBorders>
            <w:shd w:val="clear" w:color="auto" w:fill="auto"/>
            <w:vAlign w:val="center"/>
          </w:tcPr>
          <w:p w14:paraId="7C3EA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67" w:type="dxa"/>
            <w:tcBorders>
              <w:tl2br w:val="nil"/>
              <w:tr2bl w:val="nil"/>
            </w:tcBorders>
            <w:shd w:val="clear" w:color="auto" w:fill="auto"/>
            <w:vAlign w:val="center"/>
          </w:tcPr>
          <w:p w14:paraId="55DBD9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1268" w:type="dxa"/>
            <w:tcBorders>
              <w:tl2br w:val="nil"/>
              <w:tr2bl w:val="nil"/>
            </w:tcBorders>
            <w:shd w:val="clear" w:color="auto" w:fill="auto"/>
            <w:vAlign w:val="center"/>
          </w:tcPr>
          <w:p w14:paraId="642EDC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21" w:type="dxa"/>
            <w:tcBorders>
              <w:tl2br w:val="nil"/>
              <w:tr2bl w:val="nil"/>
            </w:tcBorders>
            <w:shd w:val="clear" w:color="auto" w:fill="auto"/>
            <w:vAlign w:val="center"/>
          </w:tcPr>
          <w:p w14:paraId="3B236A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r>
      <w:tr w14:paraId="2ADBBB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785FA4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6B897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1E95A5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去除效率（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0283FB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267" w:type="dxa"/>
            <w:tcBorders>
              <w:tl2br w:val="nil"/>
              <w:tr2bl w:val="nil"/>
            </w:tcBorders>
            <w:shd w:val="clear" w:color="auto" w:fill="auto"/>
            <w:vAlign w:val="center"/>
          </w:tcPr>
          <w:p w14:paraId="36AC4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267" w:type="dxa"/>
            <w:tcBorders>
              <w:tl2br w:val="nil"/>
              <w:tr2bl w:val="nil"/>
            </w:tcBorders>
            <w:shd w:val="clear" w:color="auto" w:fill="auto"/>
            <w:vAlign w:val="center"/>
          </w:tcPr>
          <w:p w14:paraId="5035C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320" w:type="dxa"/>
            <w:tcBorders>
              <w:tl2br w:val="nil"/>
              <w:tr2bl w:val="nil"/>
            </w:tcBorders>
            <w:shd w:val="clear" w:color="auto" w:fill="auto"/>
            <w:vAlign w:val="center"/>
          </w:tcPr>
          <w:p w14:paraId="6F5410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04A3C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268" w:type="dxa"/>
            <w:tcBorders>
              <w:tl2br w:val="nil"/>
              <w:tr2bl w:val="nil"/>
            </w:tcBorders>
            <w:shd w:val="clear" w:color="auto" w:fill="auto"/>
            <w:vAlign w:val="center"/>
          </w:tcPr>
          <w:p w14:paraId="173363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1" w:type="dxa"/>
            <w:tcBorders>
              <w:tl2br w:val="nil"/>
              <w:tr2bl w:val="nil"/>
            </w:tcBorders>
            <w:shd w:val="clear" w:color="auto" w:fill="auto"/>
            <w:vAlign w:val="center"/>
          </w:tcPr>
          <w:p w14:paraId="56C3DF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31CBE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523E46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4D9388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0552C4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164EA7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1729.8</w:t>
            </w:r>
          </w:p>
        </w:tc>
        <w:tc>
          <w:tcPr>
            <w:tcW w:w="1267" w:type="dxa"/>
            <w:tcBorders>
              <w:tl2br w:val="nil"/>
              <w:tr2bl w:val="nil"/>
            </w:tcBorders>
            <w:shd w:val="clear" w:color="auto" w:fill="auto"/>
            <w:vAlign w:val="center"/>
          </w:tcPr>
          <w:p w14:paraId="5F1C78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902.5</w:t>
            </w:r>
          </w:p>
        </w:tc>
        <w:tc>
          <w:tcPr>
            <w:tcW w:w="1267" w:type="dxa"/>
            <w:tcBorders>
              <w:tl2br w:val="nil"/>
              <w:tr2bl w:val="nil"/>
            </w:tcBorders>
            <w:shd w:val="clear" w:color="auto" w:fill="auto"/>
            <w:vAlign w:val="center"/>
          </w:tcPr>
          <w:p w14:paraId="3C6733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855.6</w:t>
            </w:r>
          </w:p>
        </w:tc>
        <w:tc>
          <w:tcPr>
            <w:tcW w:w="1320" w:type="dxa"/>
            <w:tcBorders>
              <w:tl2br w:val="nil"/>
              <w:tr2bl w:val="nil"/>
            </w:tcBorders>
            <w:shd w:val="clear" w:color="auto" w:fill="auto"/>
            <w:vAlign w:val="center"/>
          </w:tcPr>
          <w:p w14:paraId="74BCF4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67" w:type="dxa"/>
            <w:tcBorders>
              <w:tl2br w:val="nil"/>
              <w:tr2bl w:val="nil"/>
            </w:tcBorders>
            <w:shd w:val="clear" w:color="auto" w:fill="auto"/>
            <w:vAlign w:val="center"/>
          </w:tcPr>
          <w:p w14:paraId="2B91E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176.7</w:t>
            </w:r>
          </w:p>
        </w:tc>
        <w:tc>
          <w:tcPr>
            <w:tcW w:w="1268" w:type="dxa"/>
            <w:tcBorders>
              <w:tl2br w:val="nil"/>
              <w:tr2bl w:val="nil"/>
            </w:tcBorders>
            <w:shd w:val="clear" w:color="auto" w:fill="auto"/>
            <w:vAlign w:val="center"/>
          </w:tcPr>
          <w:p w14:paraId="1C5969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21" w:type="dxa"/>
            <w:tcBorders>
              <w:tl2br w:val="nil"/>
              <w:tr2bl w:val="nil"/>
            </w:tcBorders>
            <w:shd w:val="clear" w:color="auto" w:fill="auto"/>
            <w:vAlign w:val="center"/>
          </w:tcPr>
          <w:p w14:paraId="5F4DA5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r>
      <w:tr w14:paraId="65ACCC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3F4749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064D5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319F3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03E092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31.84</w:t>
            </w:r>
          </w:p>
        </w:tc>
        <w:tc>
          <w:tcPr>
            <w:tcW w:w="1267" w:type="dxa"/>
            <w:tcBorders>
              <w:tl2br w:val="nil"/>
              <w:tr2bl w:val="nil"/>
            </w:tcBorders>
            <w:shd w:val="clear" w:color="auto" w:fill="auto"/>
            <w:vAlign w:val="center"/>
          </w:tcPr>
          <w:p w14:paraId="1AC1B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16.61</w:t>
            </w:r>
          </w:p>
        </w:tc>
        <w:tc>
          <w:tcPr>
            <w:tcW w:w="1267" w:type="dxa"/>
            <w:tcBorders>
              <w:tl2br w:val="nil"/>
              <w:tr2bl w:val="nil"/>
            </w:tcBorders>
            <w:shd w:val="clear" w:color="auto" w:fill="auto"/>
            <w:vAlign w:val="center"/>
          </w:tcPr>
          <w:p w14:paraId="2E98E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15.75</w:t>
            </w:r>
          </w:p>
        </w:tc>
        <w:tc>
          <w:tcPr>
            <w:tcW w:w="1320" w:type="dxa"/>
            <w:tcBorders>
              <w:tl2br w:val="nil"/>
              <w:tr2bl w:val="nil"/>
            </w:tcBorders>
            <w:shd w:val="clear" w:color="auto" w:fill="auto"/>
            <w:vAlign w:val="center"/>
          </w:tcPr>
          <w:p w14:paraId="3B1F7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1267" w:type="dxa"/>
            <w:tcBorders>
              <w:tl2br w:val="nil"/>
              <w:tr2bl w:val="nil"/>
            </w:tcBorders>
            <w:shd w:val="clear" w:color="auto" w:fill="auto"/>
            <w:vAlign w:val="center"/>
          </w:tcPr>
          <w:p w14:paraId="4AF2C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1268" w:type="dxa"/>
            <w:tcBorders>
              <w:tl2br w:val="nil"/>
              <w:tr2bl w:val="nil"/>
            </w:tcBorders>
            <w:shd w:val="clear" w:color="auto" w:fill="auto"/>
            <w:vAlign w:val="center"/>
          </w:tcPr>
          <w:p w14:paraId="5C5B28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0.99</w:t>
            </w:r>
          </w:p>
        </w:tc>
        <w:tc>
          <w:tcPr>
            <w:tcW w:w="1321" w:type="dxa"/>
            <w:tcBorders>
              <w:tl2br w:val="nil"/>
              <w:tr2bl w:val="nil"/>
            </w:tcBorders>
            <w:shd w:val="clear" w:color="auto" w:fill="auto"/>
            <w:vAlign w:val="center"/>
          </w:tcPr>
          <w:p w14:paraId="75564D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4.51</w:t>
            </w:r>
          </w:p>
        </w:tc>
      </w:tr>
      <w:tr w14:paraId="415B1C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16" w:hRule="atLeast"/>
        </w:trPr>
        <w:tc>
          <w:tcPr>
            <w:tcW w:w="1197" w:type="dxa"/>
            <w:vMerge w:val="restart"/>
            <w:tcBorders>
              <w:tl2br w:val="nil"/>
              <w:tr2bl w:val="nil"/>
            </w:tcBorders>
            <w:shd w:val="clear" w:color="auto" w:fill="auto"/>
            <w:vAlign w:val="center"/>
          </w:tcPr>
          <w:p w14:paraId="151B36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隔油池</w:t>
            </w:r>
          </w:p>
        </w:tc>
        <w:tc>
          <w:tcPr>
            <w:tcW w:w="1765" w:type="dxa"/>
            <w:vMerge w:val="restart"/>
            <w:tcBorders>
              <w:tl2br w:val="nil"/>
              <w:tr2bl w:val="nil"/>
            </w:tcBorders>
            <w:shd w:val="clear" w:color="auto" w:fill="auto"/>
            <w:vAlign w:val="center"/>
          </w:tcPr>
          <w:p w14:paraId="4FA9FE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2CE1D1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进水水质（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4D6EA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1729.8</w:t>
            </w:r>
          </w:p>
        </w:tc>
        <w:tc>
          <w:tcPr>
            <w:tcW w:w="1267" w:type="dxa"/>
            <w:tcBorders>
              <w:tl2br w:val="nil"/>
              <w:tr2bl w:val="nil"/>
            </w:tcBorders>
            <w:shd w:val="clear" w:color="auto" w:fill="auto"/>
            <w:vAlign w:val="center"/>
          </w:tcPr>
          <w:p w14:paraId="1394D4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902.5</w:t>
            </w:r>
          </w:p>
        </w:tc>
        <w:tc>
          <w:tcPr>
            <w:tcW w:w="1267" w:type="dxa"/>
            <w:tcBorders>
              <w:tl2br w:val="nil"/>
              <w:tr2bl w:val="nil"/>
            </w:tcBorders>
            <w:shd w:val="clear" w:color="auto" w:fill="auto"/>
            <w:vAlign w:val="center"/>
          </w:tcPr>
          <w:p w14:paraId="639AE3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855.6</w:t>
            </w:r>
          </w:p>
        </w:tc>
        <w:tc>
          <w:tcPr>
            <w:tcW w:w="1320" w:type="dxa"/>
            <w:tcBorders>
              <w:tl2br w:val="nil"/>
              <w:tr2bl w:val="nil"/>
            </w:tcBorders>
            <w:shd w:val="clear" w:color="auto" w:fill="auto"/>
            <w:vAlign w:val="center"/>
          </w:tcPr>
          <w:p w14:paraId="41673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67" w:type="dxa"/>
            <w:tcBorders>
              <w:tl2br w:val="nil"/>
              <w:tr2bl w:val="nil"/>
            </w:tcBorders>
            <w:shd w:val="clear" w:color="auto" w:fill="auto"/>
            <w:vAlign w:val="center"/>
          </w:tcPr>
          <w:p w14:paraId="101BE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176.7</w:t>
            </w:r>
          </w:p>
        </w:tc>
        <w:tc>
          <w:tcPr>
            <w:tcW w:w="1268" w:type="dxa"/>
            <w:tcBorders>
              <w:tl2br w:val="nil"/>
              <w:tr2bl w:val="nil"/>
            </w:tcBorders>
            <w:shd w:val="clear" w:color="auto" w:fill="auto"/>
            <w:vAlign w:val="center"/>
          </w:tcPr>
          <w:p w14:paraId="0A7F0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21" w:type="dxa"/>
            <w:tcBorders>
              <w:tl2br w:val="nil"/>
              <w:tr2bl w:val="nil"/>
            </w:tcBorders>
            <w:shd w:val="clear" w:color="auto" w:fill="auto"/>
            <w:vAlign w:val="center"/>
          </w:tcPr>
          <w:p w14:paraId="567729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r>
      <w:tr w14:paraId="65621F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719525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1F993E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12FFF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去除效率（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0252A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267" w:type="dxa"/>
            <w:tcBorders>
              <w:tl2br w:val="nil"/>
              <w:tr2bl w:val="nil"/>
            </w:tcBorders>
            <w:shd w:val="clear" w:color="auto" w:fill="auto"/>
            <w:vAlign w:val="center"/>
          </w:tcPr>
          <w:p w14:paraId="7F5FFA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67" w:type="dxa"/>
            <w:tcBorders>
              <w:tl2br w:val="nil"/>
              <w:tr2bl w:val="nil"/>
            </w:tcBorders>
            <w:shd w:val="clear" w:color="auto" w:fill="auto"/>
            <w:vAlign w:val="center"/>
          </w:tcPr>
          <w:p w14:paraId="51BBF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320" w:type="dxa"/>
            <w:tcBorders>
              <w:tl2br w:val="nil"/>
              <w:tr2bl w:val="nil"/>
            </w:tcBorders>
            <w:shd w:val="clear" w:color="auto" w:fill="auto"/>
            <w:vAlign w:val="center"/>
          </w:tcPr>
          <w:p w14:paraId="14B04C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3FB854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268" w:type="dxa"/>
            <w:tcBorders>
              <w:tl2br w:val="nil"/>
              <w:tr2bl w:val="nil"/>
            </w:tcBorders>
            <w:shd w:val="clear" w:color="auto" w:fill="auto"/>
            <w:vAlign w:val="center"/>
          </w:tcPr>
          <w:p w14:paraId="3AB6DE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1" w:type="dxa"/>
            <w:tcBorders>
              <w:tl2br w:val="nil"/>
              <w:tr2bl w:val="nil"/>
            </w:tcBorders>
            <w:shd w:val="clear" w:color="auto" w:fill="auto"/>
            <w:vAlign w:val="center"/>
          </w:tcPr>
          <w:p w14:paraId="4C0AD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r>
      <w:tr w14:paraId="14B408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6F891F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0A5F75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63D3E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16EDB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1470.33</w:t>
            </w:r>
          </w:p>
        </w:tc>
        <w:tc>
          <w:tcPr>
            <w:tcW w:w="1267" w:type="dxa"/>
            <w:tcBorders>
              <w:tl2br w:val="nil"/>
              <w:tr2bl w:val="nil"/>
            </w:tcBorders>
            <w:shd w:val="clear" w:color="auto" w:fill="auto"/>
            <w:vAlign w:val="center"/>
          </w:tcPr>
          <w:p w14:paraId="78845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812.25</w:t>
            </w:r>
          </w:p>
        </w:tc>
        <w:tc>
          <w:tcPr>
            <w:tcW w:w="1267" w:type="dxa"/>
            <w:tcBorders>
              <w:tl2br w:val="nil"/>
              <w:tr2bl w:val="nil"/>
            </w:tcBorders>
            <w:shd w:val="clear" w:color="auto" w:fill="auto"/>
            <w:vAlign w:val="center"/>
          </w:tcPr>
          <w:p w14:paraId="03ACF4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804.264</w:t>
            </w:r>
          </w:p>
        </w:tc>
        <w:tc>
          <w:tcPr>
            <w:tcW w:w="1320" w:type="dxa"/>
            <w:tcBorders>
              <w:tl2br w:val="nil"/>
              <w:tr2bl w:val="nil"/>
            </w:tcBorders>
            <w:shd w:val="clear" w:color="auto" w:fill="auto"/>
            <w:vAlign w:val="center"/>
          </w:tcPr>
          <w:p w14:paraId="4E414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67" w:type="dxa"/>
            <w:tcBorders>
              <w:tl2br w:val="nil"/>
              <w:tr2bl w:val="nil"/>
            </w:tcBorders>
            <w:shd w:val="clear" w:color="auto" w:fill="auto"/>
            <w:vAlign w:val="center"/>
          </w:tcPr>
          <w:p w14:paraId="24417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106.02</w:t>
            </w:r>
          </w:p>
        </w:tc>
        <w:tc>
          <w:tcPr>
            <w:tcW w:w="1268" w:type="dxa"/>
            <w:tcBorders>
              <w:tl2br w:val="nil"/>
              <w:tr2bl w:val="nil"/>
            </w:tcBorders>
            <w:shd w:val="clear" w:color="auto" w:fill="auto"/>
            <w:vAlign w:val="center"/>
          </w:tcPr>
          <w:p w14:paraId="666CF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21" w:type="dxa"/>
            <w:tcBorders>
              <w:tl2br w:val="nil"/>
              <w:tr2bl w:val="nil"/>
            </w:tcBorders>
            <w:shd w:val="clear" w:color="auto" w:fill="auto"/>
            <w:vAlign w:val="center"/>
          </w:tcPr>
          <w:p w14:paraId="07433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227.85</w:t>
            </w:r>
          </w:p>
        </w:tc>
      </w:tr>
      <w:tr w14:paraId="44252D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020694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36A9ED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2DC44F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20755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27.07</w:t>
            </w:r>
          </w:p>
        </w:tc>
        <w:tc>
          <w:tcPr>
            <w:tcW w:w="1267" w:type="dxa"/>
            <w:tcBorders>
              <w:tl2br w:val="nil"/>
              <w:tr2bl w:val="nil"/>
            </w:tcBorders>
            <w:shd w:val="clear" w:color="auto" w:fill="auto"/>
            <w:vAlign w:val="center"/>
          </w:tcPr>
          <w:p w14:paraId="6F1BB5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14.95</w:t>
            </w:r>
          </w:p>
        </w:tc>
        <w:tc>
          <w:tcPr>
            <w:tcW w:w="1267" w:type="dxa"/>
            <w:tcBorders>
              <w:tl2br w:val="nil"/>
              <w:tr2bl w:val="nil"/>
            </w:tcBorders>
            <w:shd w:val="clear" w:color="auto" w:fill="auto"/>
            <w:vAlign w:val="center"/>
          </w:tcPr>
          <w:p w14:paraId="6F5B6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14.80</w:t>
            </w:r>
          </w:p>
        </w:tc>
        <w:tc>
          <w:tcPr>
            <w:tcW w:w="1320" w:type="dxa"/>
            <w:tcBorders>
              <w:tl2br w:val="nil"/>
              <w:tr2bl w:val="nil"/>
            </w:tcBorders>
            <w:shd w:val="clear" w:color="auto" w:fill="auto"/>
            <w:vAlign w:val="center"/>
          </w:tcPr>
          <w:p w14:paraId="35E91A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1267" w:type="dxa"/>
            <w:tcBorders>
              <w:tl2br w:val="nil"/>
              <w:tr2bl w:val="nil"/>
            </w:tcBorders>
            <w:shd w:val="clear" w:color="auto" w:fill="auto"/>
            <w:vAlign w:val="center"/>
          </w:tcPr>
          <w:p w14:paraId="7F862E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1268" w:type="dxa"/>
            <w:tcBorders>
              <w:tl2br w:val="nil"/>
              <w:tr2bl w:val="nil"/>
            </w:tcBorders>
            <w:shd w:val="clear" w:color="auto" w:fill="auto"/>
            <w:vAlign w:val="center"/>
          </w:tcPr>
          <w:p w14:paraId="68488E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0.99</w:t>
            </w:r>
          </w:p>
        </w:tc>
        <w:tc>
          <w:tcPr>
            <w:tcW w:w="1321" w:type="dxa"/>
            <w:tcBorders>
              <w:tl2br w:val="nil"/>
              <w:tr2bl w:val="nil"/>
            </w:tcBorders>
            <w:shd w:val="clear" w:color="auto" w:fill="auto"/>
            <w:vAlign w:val="center"/>
          </w:tcPr>
          <w:p w14:paraId="76D0D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r>
      <w:tr w14:paraId="2FF161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restart"/>
            <w:tcBorders>
              <w:tl2br w:val="nil"/>
              <w:tr2bl w:val="nil"/>
            </w:tcBorders>
            <w:shd w:val="clear" w:color="auto" w:fill="auto"/>
            <w:vAlign w:val="center"/>
          </w:tcPr>
          <w:p w14:paraId="582DA9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气浮</w:t>
            </w:r>
          </w:p>
        </w:tc>
        <w:tc>
          <w:tcPr>
            <w:tcW w:w="1765" w:type="dxa"/>
            <w:vMerge w:val="restart"/>
            <w:tcBorders>
              <w:tl2br w:val="nil"/>
              <w:tr2bl w:val="nil"/>
            </w:tcBorders>
            <w:shd w:val="clear" w:color="auto" w:fill="auto"/>
            <w:vAlign w:val="center"/>
          </w:tcPr>
          <w:p w14:paraId="6EB98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2BF1E6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进水水质（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77241E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1470.33</w:t>
            </w:r>
          </w:p>
        </w:tc>
        <w:tc>
          <w:tcPr>
            <w:tcW w:w="1267" w:type="dxa"/>
            <w:tcBorders>
              <w:tl2br w:val="nil"/>
              <w:tr2bl w:val="nil"/>
            </w:tcBorders>
            <w:shd w:val="clear" w:color="auto" w:fill="auto"/>
            <w:vAlign w:val="center"/>
          </w:tcPr>
          <w:p w14:paraId="2C353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812.25</w:t>
            </w:r>
          </w:p>
        </w:tc>
        <w:tc>
          <w:tcPr>
            <w:tcW w:w="1267" w:type="dxa"/>
            <w:tcBorders>
              <w:tl2br w:val="nil"/>
              <w:tr2bl w:val="nil"/>
            </w:tcBorders>
            <w:shd w:val="clear" w:color="auto" w:fill="auto"/>
            <w:vAlign w:val="center"/>
          </w:tcPr>
          <w:p w14:paraId="787D73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804.264</w:t>
            </w:r>
          </w:p>
        </w:tc>
        <w:tc>
          <w:tcPr>
            <w:tcW w:w="1320" w:type="dxa"/>
            <w:tcBorders>
              <w:tl2br w:val="nil"/>
              <w:tr2bl w:val="nil"/>
            </w:tcBorders>
            <w:shd w:val="clear" w:color="auto" w:fill="auto"/>
            <w:vAlign w:val="center"/>
          </w:tcPr>
          <w:p w14:paraId="3C63D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67" w:type="dxa"/>
            <w:tcBorders>
              <w:tl2br w:val="nil"/>
              <w:tr2bl w:val="nil"/>
            </w:tcBorders>
            <w:shd w:val="clear" w:color="auto" w:fill="auto"/>
            <w:vAlign w:val="center"/>
          </w:tcPr>
          <w:p w14:paraId="6B5F0B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106.02</w:t>
            </w:r>
          </w:p>
        </w:tc>
        <w:tc>
          <w:tcPr>
            <w:tcW w:w="1268" w:type="dxa"/>
            <w:tcBorders>
              <w:tl2br w:val="nil"/>
              <w:tr2bl w:val="nil"/>
            </w:tcBorders>
            <w:shd w:val="clear" w:color="auto" w:fill="auto"/>
            <w:vAlign w:val="center"/>
          </w:tcPr>
          <w:p w14:paraId="7CBD2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21" w:type="dxa"/>
            <w:tcBorders>
              <w:tl2br w:val="nil"/>
              <w:tr2bl w:val="nil"/>
            </w:tcBorders>
            <w:shd w:val="clear" w:color="auto" w:fill="auto"/>
            <w:vAlign w:val="center"/>
          </w:tcPr>
          <w:p w14:paraId="4A02E0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227.85</w:t>
            </w:r>
          </w:p>
        </w:tc>
      </w:tr>
      <w:tr w14:paraId="44D74E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3DE055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4C49A5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3035BF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去除效率（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661D7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267" w:type="dxa"/>
            <w:tcBorders>
              <w:tl2br w:val="nil"/>
              <w:tr2bl w:val="nil"/>
            </w:tcBorders>
            <w:shd w:val="clear" w:color="auto" w:fill="auto"/>
            <w:vAlign w:val="center"/>
          </w:tcPr>
          <w:p w14:paraId="2BB59A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267" w:type="dxa"/>
            <w:tcBorders>
              <w:tl2br w:val="nil"/>
              <w:tr2bl w:val="nil"/>
            </w:tcBorders>
            <w:shd w:val="clear" w:color="auto" w:fill="auto"/>
            <w:vAlign w:val="center"/>
          </w:tcPr>
          <w:p w14:paraId="25379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20" w:type="dxa"/>
            <w:tcBorders>
              <w:tl2br w:val="nil"/>
              <w:tr2bl w:val="nil"/>
            </w:tcBorders>
            <w:shd w:val="clear" w:color="auto" w:fill="auto"/>
            <w:vAlign w:val="center"/>
          </w:tcPr>
          <w:p w14:paraId="7D4036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5050F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268" w:type="dxa"/>
            <w:tcBorders>
              <w:tl2br w:val="nil"/>
              <w:tr2bl w:val="nil"/>
            </w:tcBorders>
            <w:shd w:val="clear" w:color="auto" w:fill="auto"/>
            <w:vAlign w:val="center"/>
          </w:tcPr>
          <w:p w14:paraId="05C802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1" w:type="dxa"/>
            <w:tcBorders>
              <w:tl2br w:val="nil"/>
              <w:tr2bl w:val="nil"/>
            </w:tcBorders>
            <w:shd w:val="clear" w:color="auto" w:fill="auto"/>
            <w:vAlign w:val="center"/>
          </w:tcPr>
          <w:p w14:paraId="7AEB3A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r>
      <w:tr w14:paraId="46DB1E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7E7C81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180DA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1D06EB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275A7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1176.26</w:t>
            </w:r>
          </w:p>
        </w:tc>
        <w:tc>
          <w:tcPr>
            <w:tcW w:w="1267" w:type="dxa"/>
            <w:tcBorders>
              <w:tl2br w:val="nil"/>
              <w:tr2bl w:val="nil"/>
            </w:tcBorders>
            <w:shd w:val="clear" w:color="auto" w:fill="auto"/>
            <w:vAlign w:val="center"/>
          </w:tcPr>
          <w:p w14:paraId="194DF7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649.80</w:t>
            </w:r>
          </w:p>
        </w:tc>
        <w:tc>
          <w:tcPr>
            <w:tcW w:w="1267" w:type="dxa"/>
            <w:tcBorders>
              <w:tl2br w:val="nil"/>
              <w:tr2bl w:val="nil"/>
            </w:tcBorders>
            <w:shd w:val="clear" w:color="auto" w:fill="auto"/>
            <w:vAlign w:val="center"/>
          </w:tcPr>
          <w:p w14:paraId="37D908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723.84</w:t>
            </w:r>
          </w:p>
        </w:tc>
        <w:tc>
          <w:tcPr>
            <w:tcW w:w="1320" w:type="dxa"/>
            <w:tcBorders>
              <w:tl2br w:val="nil"/>
              <w:tr2bl w:val="nil"/>
            </w:tcBorders>
            <w:shd w:val="clear" w:color="auto" w:fill="auto"/>
            <w:vAlign w:val="center"/>
          </w:tcPr>
          <w:p w14:paraId="666100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150.00</w:t>
            </w:r>
          </w:p>
        </w:tc>
        <w:tc>
          <w:tcPr>
            <w:tcW w:w="1267" w:type="dxa"/>
            <w:tcBorders>
              <w:tl2br w:val="nil"/>
              <w:tr2bl w:val="nil"/>
            </w:tcBorders>
            <w:shd w:val="clear" w:color="auto" w:fill="auto"/>
            <w:vAlign w:val="center"/>
          </w:tcPr>
          <w:p w14:paraId="09273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84.82</w:t>
            </w:r>
          </w:p>
        </w:tc>
        <w:tc>
          <w:tcPr>
            <w:tcW w:w="1268" w:type="dxa"/>
            <w:tcBorders>
              <w:tl2br w:val="nil"/>
              <w:tr2bl w:val="nil"/>
            </w:tcBorders>
            <w:shd w:val="clear" w:color="auto" w:fill="auto"/>
            <w:vAlign w:val="center"/>
          </w:tcPr>
          <w:p w14:paraId="0550B2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54.00</w:t>
            </w:r>
          </w:p>
        </w:tc>
        <w:tc>
          <w:tcPr>
            <w:tcW w:w="1321" w:type="dxa"/>
            <w:tcBorders>
              <w:tl2br w:val="nil"/>
              <w:tr2bl w:val="nil"/>
            </w:tcBorders>
            <w:shd w:val="clear" w:color="auto" w:fill="auto"/>
            <w:vAlign w:val="center"/>
          </w:tcPr>
          <w:p w14:paraId="63B21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159.50</w:t>
            </w:r>
          </w:p>
        </w:tc>
      </w:tr>
      <w:tr w14:paraId="1A2B99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78F807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631DEC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67DFD9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41A3B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21.65</w:t>
            </w:r>
          </w:p>
        </w:tc>
        <w:tc>
          <w:tcPr>
            <w:tcW w:w="1267" w:type="dxa"/>
            <w:tcBorders>
              <w:tl2br w:val="nil"/>
              <w:tr2bl w:val="nil"/>
            </w:tcBorders>
            <w:shd w:val="clear" w:color="auto" w:fill="auto"/>
            <w:vAlign w:val="center"/>
          </w:tcPr>
          <w:p w14:paraId="050BBF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11.96</w:t>
            </w:r>
          </w:p>
        </w:tc>
        <w:tc>
          <w:tcPr>
            <w:tcW w:w="1267" w:type="dxa"/>
            <w:tcBorders>
              <w:tl2br w:val="nil"/>
              <w:tr2bl w:val="nil"/>
            </w:tcBorders>
            <w:shd w:val="clear" w:color="auto" w:fill="auto"/>
            <w:vAlign w:val="center"/>
          </w:tcPr>
          <w:p w14:paraId="06C3C3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13.32</w:t>
            </w:r>
          </w:p>
        </w:tc>
        <w:tc>
          <w:tcPr>
            <w:tcW w:w="1320" w:type="dxa"/>
            <w:tcBorders>
              <w:tl2br w:val="nil"/>
              <w:tr2bl w:val="nil"/>
            </w:tcBorders>
            <w:shd w:val="clear" w:color="auto" w:fill="auto"/>
            <w:vAlign w:val="center"/>
          </w:tcPr>
          <w:p w14:paraId="1A7277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1267" w:type="dxa"/>
            <w:tcBorders>
              <w:tl2br w:val="nil"/>
              <w:tr2bl w:val="nil"/>
            </w:tcBorders>
            <w:shd w:val="clear" w:color="auto" w:fill="auto"/>
            <w:vAlign w:val="center"/>
          </w:tcPr>
          <w:p w14:paraId="7A82F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1268" w:type="dxa"/>
            <w:tcBorders>
              <w:tl2br w:val="nil"/>
              <w:tr2bl w:val="nil"/>
            </w:tcBorders>
            <w:shd w:val="clear" w:color="auto" w:fill="auto"/>
            <w:vAlign w:val="center"/>
          </w:tcPr>
          <w:p w14:paraId="3BA19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0.99</w:t>
            </w:r>
          </w:p>
        </w:tc>
        <w:tc>
          <w:tcPr>
            <w:tcW w:w="1321" w:type="dxa"/>
            <w:tcBorders>
              <w:tl2br w:val="nil"/>
              <w:tr2bl w:val="nil"/>
            </w:tcBorders>
            <w:shd w:val="clear" w:color="auto" w:fill="auto"/>
            <w:vAlign w:val="center"/>
          </w:tcPr>
          <w:p w14:paraId="6EE60F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2.94</w:t>
            </w:r>
          </w:p>
        </w:tc>
      </w:tr>
      <w:tr w14:paraId="6D5A40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restart"/>
            <w:tcBorders>
              <w:tl2br w:val="nil"/>
              <w:tr2bl w:val="nil"/>
            </w:tcBorders>
            <w:shd w:val="clear" w:color="auto" w:fill="auto"/>
            <w:vAlign w:val="center"/>
          </w:tcPr>
          <w:p w14:paraId="7D0F4C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水解酸化池</w:t>
            </w:r>
          </w:p>
        </w:tc>
        <w:tc>
          <w:tcPr>
            <w:tcW w:w="1765" w:type="dxa"/>
            <w:vMerge w:val="restart"/>
            <w:tcBorders>
              <w:tl2br w:val="nil"/>
              <w:tr2bl w:val="nil"/>
            </w:tcBorders>
            <w:shd w:val="clear" w:color="auto" w:fill="auto"/>
            <w:vAlign w:val="center"/>
          </w:tcPr>
          <w:p w14:paraId="721445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5F0FDC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进水水质（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313C8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1176.26</w:t>
            </w:r>
          </w:p>
        </w:tc>
        <w:tc>
          <w:tcPr>
            <w:tcW w:w="1267" w:type="dxa"/>
            <w:tcBorders>
              <w:tl2br w:val="nil"/>
              <w:tr2bl w:val="nil"/>
            </w:tcBorders>
            <w:shd w:val="clear" w:color="auto" w:fill="auto"/>
            <w:vAlign w:val="center"/>
          </w:tcPr>
          <w:p w14:paraId="55E117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649.80</w:t>
            </w:r>
          </w:p>
        </w:tc>
        <w:tc>
          <w:tcPr>
            <w:tcW w:w="1267" w:type="dxa"/>
            <w:tcBorders>
              <w:tl2br w:val="nil"/>
              <w:tr2bl w:val="nil"/>
            </w:tcBorders>
            <w:shd w:val="clear" w:color="auto" w:fill="auto"/>
            <w:vAlign w:val="center"/>
          </w:tcPr>
          <w:p w14:paraId="6E9A6E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723.8376</w:t>
            </w:r>
          </w:p>
        </w:tc>
        <w:tc>
          <w:tcPr>
            <w:tcW w:w="1320" w:type="dxa"/>
            <w:tcBorders>
              <w:tl2br w:val="nil"/>
              <w:tr2bl w:val="nil"/>
            </w:tcBorders>
            <w:shd w:val="clear" w:color="auto" w:fill="auto"/>
            <w:vAlign w:val="center"/>
          </w:tcPr>
          <w:p w14:paraId="3BA34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67" w:type="dxa"/>
            <w:tcBorders>
              <w:tl2br w:val="nil"/>
              <w:tr2bl w:val="nil"/>
            </w:tcBorders>
            <w:shd w:val="clear" w:color="auto" w:fill="auto"/>
            <w:vAlign w:val="center"/>
          </w:tcPr>
          <w:p w14:paraId="21A490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84.82</w:t>
            </w:r>
          </w:p>
        </w:tc>
        <w:tc>
          <w:tcPr>
            <w:tcW w:w="1268" w:type="dxa"/>
            <w:tcBorders>
              <w:tl2br w:val="nil"/>
              <w:tr2bl w:val="nil"/>
            </w:tcBorders>
            <w:shd w:val="clear" w:color="auto" w:fill="auto"/>
            <w:vAlign w:val="center"/>
          </w:tcPr>
          <w:p w14:paraId="1078F3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21" w:type="dxa"/>
            <w:tcBorders>
              <w:tl2br w:val="nil"/>
              <w:tr2bl w:val="nil"/>
            </w:tcBorders>
            <w:shd w:val="clear" w:color="auto" w:fill="auto"/>
            <w:vAlign w:val="center"/>
          </w:tcPr>
          <w:p w14:paraId="48B14A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159.495</w:t>
            </w:r>
          </w:p>
        </w:tc>
      </w:tr>
      <w:tr w14:paraId="76DCAE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7DD3B1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055A4E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02F700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去除效率（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2C75B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67" w:type="dxa"/>
            <w:tcBorders>
              <w:tl2br w:val="nil"/>
              <w:tr2bl w:val="nil"/>
            </w:tcBorders>
            <w:shd w:val="clear" w:color="auto" w:fill="auto"/>
            <w:vAlign w:val="center"/>
          </w:tcPr>
          <w:p w14:paraId="78C15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267" w:type="dxa"/>
            <w:tcBorders>
              <w:tl2br w:val="nil"/>
              <w:tr2bl w:val="nil"/>
            </w:tcBorders>
            <w:shd w:val="clear" w:color="auto" w:fill="auto"/>
            <w:vAlign w:val="center"/>
          </w:tcPr>
          <w:p w14:paraId="4361E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20" w:type="dxa"/>
            <w:tcBorders>
              <w:tl2br w:val="nil"/>
              <w:tr2bl w:val="nil"/>
            </w:tcBorders>
            <w:shd w:val="clear" w:color="auto" w:fill="auto"/>
            <w:vAlign w:val="center"/>
          </w:tcPr>
          <w:p w14:paraId="7B5FA2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1DD82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68" w:type="dxa"/>
            <w:tcBorders>
              <w:tl2br w:val="nil"/>
              <w:tr2bl w:val="nil"/>
            </w:tcBorders>
            <w:shd w:val="clear" w:color="auto" w:fill="auto"/>
            <w:vAlign w:val="center"/>
          </w:tcPr>
          <w:p w14:paraId="3A51F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1" w:type="dxa"/>
            <w:tcBorders>
              <w:tl2br w:val="nil"/>
              <w:tr2bl w:val="nil"/>
            </w:tcBorders>
            <w:shd w:val="clear" w:color="auto" w:fill="auto"/>
            <w:vAlign w:val="center"/>
          </w:tcPr>
          <w:p w14:paraId="5F8FA5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14:paraId="5A909E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525E30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68A38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345CC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7D9D63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1058.64</w:t>
            </w:r>
          </w:p>
        </w:tc>
        <w:tc>
          <w:tcPr>
            <w:tcW w:w="1267" w:type="dxa"/>
            <w:tcBorders>
              <w:tl2br w:val="nil"/>
              <w:tr2bl w:val="nil"/>
            </w:tcBorders>
            <w:shd w:val="clear" w:color="auto" w:fill="auto"/>
            <w:vAlign w:val="center"/>
          </w:tcPr>
          <w:p w14:paraId="2BFF87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519.84</w:t>
            </w:r>
          </w:p>
        </w:tc>
        <w:tc>
          <w:tcPr>
            <w:tcW w:w="1267" w:type="dxa"/>
            <w:tcBorders>
              <w:tl2br w:val="nil"/>
              <w:tr2bl w:val="nil"/>
            </w:tcBorders>
            <w:shd w:val="clear" w:color="auto" w:fill="auto"/>
            <w:vAlign w:val="center"/>
          </w:tcPr>
          <w:p w14:paraId="7C7EEE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651.45</w:t>
            </w:r>
          </w:p>
        </w:tc>
        <w:tc>
          <w:tcPr>
            <w:tcW w:w="1320" w:type="dxa"/>
            <w:tcBorders>
              <w:tl2br w:val="nil"/>
              <w:tr2bl w:val="nil"/>
            </w:tcBorders>
            <w:shd w:val="clear" w:color="auto" w:fill="auto"/>
            <w:vAlign w:val="center"/>
          </w:tcPr>
          <w:p w14:paraId="60C0CA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150.00</w:t>
            </w:r>
          </w:p>
        </w:tc>
        <w:tc>
          <w:tcPr>
            <w:tcW w:w="1267" w:type="dxa"/>
            <w:tcBorders>
              <w:tl2br w:val="nil"/>
              <w:tr2bl w:val="nil"/>
            </w:tcBorders>
            <w:shd w:val="clear" w:color="auto" w:fill="auto"/>
            <w:vAlign w:val="center"/>
          </w:tcPr>
          <w:p w14:paraId="4C44B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76.33</w:t>
            </w:r>
          </w:p>
        </w:tc>
        <w:tc>
          <w:tcPr>
            <w:tcW w:w="1268" w:type="dxa"/>
            <w:tcBorders>
              <w:tl2br w:val="nil"/>
              <w:tr2bl w:val="nil"/>
            </w:tcBorders>
            <w:shd w:val="clear" w:color="auto" w:fill="auto"/>
            <w:vAlign w:val="center"/>
          </w:tcPr>
          <w:p w14:paraId="4EFDDC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54.00</w:t>
            </w:r>
          </w:p>
        </w:tc>
        <w:tc>
          <w:tcPr>
            <w:tcW w:w="1321" w:type="dxa"/>
            <w:tcBorders>
              <w:tl2br w:val="nil"/>
              <w:tr2bl w:val="nil"/>
            </w:tcBorders>
            <w:shd w:val="clear" w:color="auto" w:fill="auto"/>
            <w:vAlign w:val="center"/>
          </w:tcPr>
          <w:p w14:paraId="04C1C5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135.57</w:t>
            </w:r>
          </w:p>
        </w:tc>
      </w:tr>
      <w:tr w14:paraId="1A2AD5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0BC495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1CB18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6E10E4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43F41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19.49</w:t>
            </w:r>
          </w:p>
        </w:tc>
        <w:tc>
          <w:tcPr>
            <w:tcW w:w="1267" w:type="dxa"/>
            <w:tcBorders>
              <w:tl2br w:val="nil"/>
              <w:tr2bl w:val="nil"/>
            </w:tcBorders>
            <w:shd w:val="clear" w:color="auto" w:fill="auto"/>
            <w:vAlign w:val="center"/>
          </w:tcPr>
          <w:p w14:paraId="7E18A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9.57</w:t>
            </w:r>
          </w:p>
        </w:tc>
        <w:tc>
          <w:tcPr>
            <w:tcW w:w="1267" w:type="dxa"/>
            <w:tcBorders>
              <w:tl2br w:val="nil"/>
              <w:tr2bl w:val="nil"/>
            </w:tcBorders>
            <w:shd w:val="clear" w:color="auto" w:fill="auto"/>
            <w:vAlign w:val="center"/>
          </w:tcPr>
          <w:p w14:paraId="66365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11.99</w:t>
            </w:r>
          </w:p>
        </w:tc>
        <w:tc>
          <w:tcPr>
            <w:tcW w:w="1320" w:type="dxa"/>
            <w:tcBorders>
              <w:tl2br w:val="nil"/>
              <w:tr2bl w:val="nil"/>
            </w:tcBorders>
            <w:shd w:val="clear" w:color="auto" w:fill="auto"/>
            <w:vAlign w:val="center"/>
          </w:tcPr>
          <w:p w14:paraId="3FF22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1267" w:type="dxa"/>
            <w:tcBorders>
              <w:tl2br w:val="nil"/>
              <w:tr2bl w:val="nil"/>
            </w:tcBorders>
            <w:shd w:val="clear" w:color="auto" w:fill="auto"/>
            <w:vAlign w:val="center"/>
          </w:tcPr>
          <w:p w14:paraId="76F270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1268" w:type="dxa"/>
            <w:tcBorders>
              <w:tl2br w:val="nil"/>
              <w:tr2bl w:val="nil"/>
            </w:tcBorders>
            <w:shd w:val="clear" w:color="auto" w:fill="auto"/>
            <w:vAlign w:val="center"/>
          </w:tcPr>
          <w:p w14:paraId="78F7D4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0.99</w:t>
            </w:r>
          </w:p>
        </w:tc>
        <w:tc>
          <w:tcPr>
            <w:tcW w:w="1321" w:type="dxa"/>
            <w:tcBorders>
              <w:tl2br w:val="nil"/>
              <w:tr2bl w:val="nil"/>
            </w:tcBorders>
            <w:shd w:val="clear" w:color="auto" w:fill="auto"/>
            <w:vAlign w:val="center"/>
          </w:tcPr>
          <w:p w14:paraId="7A8ECE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r>
      <w:tr w14:paraId="27A5C2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restart"/>
            <w:tcBorders>
              <w:tl2br w:val="nil"/>
              <w:tr2bl w:val="nil"/>
            </w:tcBorders>
            <w:shd w:val="clear" w:color="auto" w:fill="auto"/>
            <w:vAlign w:val="center"/>
          </w:tcPr>
          <w:p w14:paraId="62FC7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缺氧池</w:t>
            </w:r>
          </w:p>
        </w:tc>
        <w:tc>
          <w:tcPr>
            <w:tcW w:w="1765" w:type="dxa"/>
            <w:vMerge w:val="restart"/>
            <w:tcBorders>
              <w:tl2br w:val="nil"/>
              <w:tr2bl w:val="nil"/>
            </w:tcBorders>
            <w:shd w:val="clear" w:color="auto" w:fill="auto"/>
            <w:vAlign w:val="center"/>
          </w:tcPr>
          <w:p w14:paraId="3E159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374AD7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进水水质（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2A9E49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1058.6376</w:t>
            </w:r>
          </w:p>
        </w:tc>
        <w:tc>
          <w:tcPr>
            <w:tcW w:w="1267" w:type="dxa"/>
            <w:tcBorders>
              <w:tl2br w:val="nil"/>
              <w:tr2bl w:val="nil"/>
            </w:tcBorders>
            <w:shd w:val="clear" w:color="auto" w:fill="auto"/>
            <w:vAlign w:val="center"/>
          </w:tcPr>
          <w:p w14:paraId="12334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519.84</w:t>
            </w:r>
          </w:p>
        </w:tc>
        <w:tc>
          <w:tcPr>
            <w:tcW w:w="1267" w:type="dxa"/>
            <w:tcBorders>
              <w:tl2br w:val="nil"/>
              <w:tr2bl w:val="nil"/>
            </w:tcBorders>
            <w:shd w:val="clear" w:color="auto" w:fill="auto"/>
            <w:vAlign w:val="center"/>
          </w:tcPr>
          <w:p w14:paraId="5A7E1A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651.45384</w:t>
            </w:r>
          </w:p>
        </w:tc>
        <w:tc>
          <w:tcPr>
            <w:tcW w:w="1320" w:type="dxa"/>
            <w:tcBorders>
              <w:tl2br w:val="nil"/>
              <w:tr2bl w:val="nil"/>
            </w:tcBorders>
            <w:shd w:val="clear" w:color="auto" w:fill="auto"/>
            <w:vAlign w:val="center"/>
          </w:tcPr>
          <w:p w14:paraId="14F08E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67" w:type="dxa"/>
            <w:tcBorders>
              <w:tl2br w:val="nil"/>
              <w:tr2bl w:val="nil"/>
            </w:tcBorders>
            <w:shd w:val="clear" w:color="auto" w:fill="auto"/>
            <w:vAlign w:val="center"/>
          </w:tcPr>
          <w:p w14:paraId="3C13D0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76.33</w:t>
            </w:r>
          </w:p>
        </w:tc>
        <w:tc>
          <w:tcPr>
            <w:tcW w:w="1268" w:type="dxa"/>
            <w:tcBorders>
              <w:tl2br w:val="nil"/>
              <w:tr2bl w:val="nil"/>
            </w:tcBorders>
            <w:shd w:val="clear" w:color="auto" w:fill="auto"/>
            <w:vAlign w:val="center"/>
          </w:tcPr>
          <w:p w14:paraId="6D4FD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21" w:type="dxa"/>
            <w:tcBorders>
              <w:tl2br w:val="nil"/>
              <w:tr2bl w:val="nil"/>
            </w:tcBorders>
            <w:shd w:val="clear" w:color="auto" w:fill="auto"/>
            <w:vAlign w:val="center"/>
          </w:tcPr>
          <w:p w14:paraId="3EEAB4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135.57</w:t>
            </w:r>
          </w:p>
        </w:tc>
      </w:tr>
      <w:tr w14:paraId="489F25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62F1E1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325B1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69633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去除效率（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3960E4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67" w:type="dxa"/>
            <w:tcBorders>
              <w:tl2br w:val="nil"/>
              <w:tr2bl w:val="nil"/>
            </w:tcBorders>
            <w:shd w:val="clear" w:color="auto" w:fill="auto"/>
            <w:vAlign w:val="center"/>
          </w:tcPr>
          <w:p w14:paraId="0A2FF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267" w:type="dxa"/>
            <w:tcBorders>
              <w:tl2br w:val="nil"/>
              <w:tr2bl w:val="nil"/>
            </w:tcBorders>
            <w:shd w:val="clear" w:color="auto" w:fill="auto"/>
            <w:vAlign w:val="center"/>
          </w:tcPr>
          <w:p w14:paraId="4B5132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320" w:type="dxa"/>
            <w:tcBorders>
              <w:tl2br w:val="nil"/>
              <w:tr2bl w:val="nil"/>
            </w:tcBorders>
            <w:shd w:val="clear" w:color="auto" w:fill="auto"/>
            <w:vAlign w:val="center"/>
          </w:tcPr>
          <w:p w14:paraId="783015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6FC8A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8" w:type="dxa"/>
            <w:tcBorders>
              <w:tl2br w:val="nil"/>
              <w:tr2bl w:val="nil"/>
            </w:tcBorders>
            <w:shd w:val="clear" w:color="auto" w:fill="auto"/>
            <w:vAlign w:val="center"/>
          </w:tcPr>
          <w:p w14:paraId="095D1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321" w:type="dxa"/>
            <w:tcBorders>
              <w:tl2br w:val="nil"/>
              <w:tr2bl w:val="nil"/>
            </w:tcBorders>
            <w:shd w:val="clear" w:color="auto" w:fill="auto"/>
            <w:vAlign w:val="center"/>
          </w:tcPr>
          <w:p w14:paraId="3AA7A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4A59C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27A826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72C91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7F8405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192F1A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952.77</w:t>
            </w:r>
          </w:p>
        </w:tc>
        <w:tc>
          <w:tcPr>
            <w:tcW w:w="1267" w:type="dxa"/>
            <w:tcBorders>
              <w:tl2br w:val="nil"/>
              <w:tr2bl w:val="nil"/>
            </w:tcBorders>
            <w:shd w:val="clear" w:color="auto" w:fill="auto"/>
            <w:vAlign w:val="center"/>
          </w:tcPr>
          <w:p w14:paraId="7AF1A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478.25</w:t>
            </w:r>
          </w:p>
        </w:tc>
        <w:tc>
          <w:tcPr>
            <w:tcW w:w="1267" w:type="dxa"/>
            <w:tcBorders>
              <w:tl2br w:val="nil"/>
              <w:tr2bl w:val="nil"/>
            </w:tcBorders>
            <w:shd w:val="clear" w:color="auto" w:fill="auto"/>
            <w:vAlign w:val="center"/>
          </w:tcPr>
          <w:p w14:paraId="4E151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605.85</w:t>
            </w:r>
          </w:p>
        </w:tc>
        <w:tc>
          <w:tcPr>
            <w:tcW w:w="1320" w:type="dxa"/>
            <w:tcBorders>
              <w:tl2br w:val="nil"/>
              <w:tr2bl w:val="nil"/>
            </w:tcBorders>
            <w:shd w:val="clear" w:color="auto" w:fill="auto"/>
            <w:vAlign w:val="center"/>
          </w:tcPr>
          <w:p w14:paraId="73BBC7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150.00</w:t>
            </w:r>
          </w:p>
        </w:tc>
        <w:tc>
          <w:tcPr>
            <w:tcW w:w="1267" w:type="dxa"/>
            <w:tcBorders>
              <w:tl2br w:val="nil"/>
              <w:tr2bl w:val="nil"/>
            </w:tcBorders>
            <w:shd w:val="clear" w:color="auto" w:fill="auto"/>
            <w:vAlign w:val="center"/>
          </w:tcPr>
          <w:p w14:paraId="2635B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76.33</w:t>
            </w:r>
          </w:p>
        </w:tc>
        <w:tc>
          <w:tcPr>
            <w:tcW w:w="1268" w:type="dxa"/>
            <w:tcBorders>
              <w:tl2br w:val="nil"/>
              <w:tr2bl w:val="nil"/>
            </w:tcBorders>
            <w:shd w:val="clear" w:color="auto" w:fill="auto"/>
            <w:vAlign w:val="center"/>
          </w:tcPr>
          <w:p w14:paraId="61660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1321" w:type="dxa"/>
            <w:tcBorders>
              <w:tl2br w:val="nil"/>
              <w:tr2bl w:val="nil"/>
            </w:tcBorders>
            <w:shd w:val="clear" w:color="auto" w:fill="auto"/>
            <w:vAlign w:val="center"/>
          </w:tcPr>
          <w:p w14:paraId="78EE89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135.57</w:t>
            </w:r>
          </w:p>
        </w:tc>
      </w:tr>
      <w:tr w14:paraId="5CEF30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3D553D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580C6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5CECD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4AE70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17.54</w:t>
            </w:r>
          </w:p>
        </w:tc>
        <w:tc>
          <w:tcPr>
            <w:tcW w:w="1267" w:type="dxa"/>
            <w:tcBorders>
              <w:tl2br w:val="nil"/>
              <w:tr2bl w:val="nil"/>
            </w:tcBorders>
            <w:shd w:val="clear" w:color="auto" w:fill="auto"/>
            <w:vAlign w:val="center"/>
          </w:tcPr>
          <w:p w14:paraId="1940E8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8.80</w:t>
            </w:r>
          </w:p>
        </w:tc>
        <w:tc>
          <w:tcPr>
            <w:tcW w:w="1267" w:type="dxa"/>
            <w:tcBorders>
              <w:tl2br w:val="nil"/>
              <w:tr2bl w:val="nil"/>
            </w:tcBorders>
            <w:shd w:val="clear" w:color="auto" w:fill="auto"/>
            <w:vAlign w:val="center"/>
          </w:tcPr>
          <w:p w14:paraId="4F860D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11.15</w:t>
            </w:r>
          </w:p>
        </w:tc>
        <w:tc>
          <w:tcPr>
            <w:tcW w:w="1320" w:type="dxa"/>
            <w:tcBorders>
              <w:tl2br w:val="nil"/>
              <w:tr2bl w:val="nil"/>
            </w:tcBorders>
            <w:shd w:val="clear" w:color="auto" w:fill="auto"/>
            <w:vAlign w:val="center"/>
          </w:tcPr>
          <w:p w14:paraId="01A808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1267" w:type="dxa"/>
            <w:tcBorders>
              <w:tl2br w:val="nil"/>
              <w:tr2bl w:val="nil"/>
            </w:tcBorders>
            <w:shd w:val="clear" w:color="auto" w:fill="auto"/>
            <w:vAlign w:val="center"/>
          </w:tcPr>
          <w:p w14:paraId="48F92D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1268" w:type="dxa"/>
            <w:tcBorders>
              <w:tl2br w:val="nil"/>
              <w:tr2bl w:val="nil"/>
            </w:tcBorders>
            <w:shd w:val="clear" w:color="auto" w:fill="auto"/>
            <w:vAlign w:val="center"/>
          </w:tcPr>
          <w:p w14:paraId="564342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321" w:type="dxa"/>
            <w:tcBorders>
              <w:tl2br w:val="nil"/>
              <w:tr2bl w:val="nil"/>
            </w:tcBorders>
            <w:shd w:val="clear" w:color="auto" w:fill="auto"/>
            <w:vAlign w:val="center"/>
          </w:tcPr>
          <w:p w14:paraId="73F086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r>
      <w:tr w14:paraId="52BD86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restart"/>
            <w:tcBorders>
              <w:tl2br w:val="nil"/>
              <w:tr2bl w:val="nil"/>
            </w:tcBorders>
            <w:shd w:val="clear" w:color="auto" w:fill="auto"/>
            <w:vAlign w:val="center"/>
          </w:tcPr>
          <w:p w14:paraId="08B39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生物接触氧化池</w:t>
            </w:r>
          </w:p>
        </w:tc>
        <w:tc>
          <w:tcPr>
            <w:tcW w:w="1765" w:type="dxa"/>
            <w:vMerge w:val="restart"/>
            <w:tcBorders>
              <w:tl2br w:val="nil"/>
              <w:tr2bl w:val="nil"/>
            </w:tcBorders>
            <w:shd w:val="clear" w:color="auto" w:fill="auto"/>
            <w:vAlign w:val="center"/>
          </w:tcPr>
          <w:p w14:paraId="790F81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68EE9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进水水质（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30EAA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952.77</w:t>
            </w:r>
          </w:p>
        </w:tc>
        <w:tc>
          <w:tcPr>
            <w:tcW w:w="1267" w:type="dxa"/>
            <w:tcBorders>
              <w:tl2br w:val="nil"/>
              <w:tr2bl w:val="nil"/>
            </w:tcBorders>
            <w:shd w:val="clear" w:color="auto" w:fill="auto"/>
            <w:vAlign w:val="center"/>
          </w:tcPr>
          <w:p w14:paraId="681A5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478.25</w:t>
            </w:r>
          </w:p>
        </w:tc>
        <w:tc>
          <w:tcPr>
            <w:tcW w:w="1267" w:type="dxa"/>
            <w:tcBorders>
              <w:tl2br w:val="nil"/>
              <w:tr2bl w:val="nil"/>
            </w:tcBorders>
            <w:shd w:val="clear" w:color="auto" w:fill="auto"/>
            <w:vAlign w:val="center"/>
          </w:tcPr>
          <w:p w14:paraId="2C26E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605.85</w:t>
            </w:r>
          </w:p>
        </w:tc>
        <w:tc>
          <w:tcPr>
            <w:tcW w:w="1320" w:type="dxa"/>
            <w:tcBorders>
              <w:tl2br w:val="nil"/>
              <w:tr2bl w:val="nil"/>
            </w:tcBorders>
            <w:shd w:val="clear" w:color="auto" w:fill="auto"/>
            <w:vAlign w:val="center"/>
          </w:tcPr>
          <w:p w14:paraId="6837C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150.00</w:t>
            </w:r>
          </w:p>
        </w:tc>
        <w:tc>
          <w:tcPr>
            <w:tcW w:w="1267" w:type="dxa"/>
            <w:tcBorders>
              <w:tl2br w:val="nil"/>
              <w:tr2bl w:val="nil"/>
            </w:tcBorders>
            <w:shd w:val="clear" w:color="auto" w:fill="auto"/>
            <w:vAlign w:val="center"/>
          </w:tcPr>
          <w:p w14:paraId="6889C3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76.33</w:t>
            </w:r>
          </w:p>
        </w:tc>
        <w:tc>
          <w:tcPr>
            <w:tcW w:w="1268" w:type="dxa"/>
            <w:tcBorders>
              <w:tl2br w:val="nil"/>
              <w:tr2bl w:val="nil"/>
            </w:tcBorders>
            <w:shd w:val="clear" w:color="auto" w:fill="auto"/>
            <w:vAlign w:val="center"/>
          </w:tcPr>
          <w:p w14:paraId="49EFE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1321" w:type="dxa"/>
            <w:tcBorders>
              <w:tl2br w:val="nil"/>
              <w:tr2bl w:val="nil"/>
            </w:tcBorders>
            <w:shd w:val="clear" w:color="auto" w:fill="auto"/>
            <w:vAlign w:val="center"/>
          </w:tcPr>
          <w:p w14:paraId="74FE1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135.57</w:t>
            </w:r>
          </w:p>
        </w:tc>
      </w:tr>
      <w:tr w14:paraId="511B79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118549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5C5CB5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0CDEC1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去除效率（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48E03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67" w:type="dxa"/>
            <w:tcBorders>
              <w:tl2br w:val="nil"/>
              <w:tr2bl w:val="nil"/>
            </w:tcBorders>
            <w:shd w:val="clear" w:color="auto" w:fill="auto"/>
            <w:vAlign w:val="center"/>
          </w:tcPr>
          <w:p w14:paraId="76062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67" w:type="dxa"/>
            <w:tcBorders>
              <w:tl2br w:val="nil"/>
              <w:tr2bl w:val="nil"/>
            </w:tcBorders>
            <w:shd w:val="clear" w:color="auto" w:fill="auto"/>
            <w:vAlign w:val="center"/>
          </w:tcPr>
          <w:p w14:paraId="6A492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320" w:type="dxa"/>
            <w:tcBorders>
              <w:tl2br w:val="nil"/>
              <w:tr2bl w:val="nil"/>
            </w:tcBorders>
            <w:shd w:val="clear" w:color="auto" w:fill="auto"/>
            <w:vAlign w:val="center"/>
          </w:tcPr>
          <w:p w14:paraId="165EC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67" w:type="dxa"/>
            <w:tcBorders>
              <w:tl2br w:val="nil"/>
              <w:tr2bl w:val="nil"/>
            </w:tcBorders>
            <w:shd w:val="clear" w:color="auto" w:fill="auto"/>
            <w:vAlign w:val="center"/>
          </w:tcPr>
          <w:p w14:paraId="243879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268" w:type="dxa"/>
            <w:tcBorders>
              <w:tl2br w:val="nil"/>
              <w:tr2bl w:val="nil"/>
            </w:tcBorders>
            <w:shd w:val="clear" w:color="auto" w:fill="auto"/>
            <w:vAlign w:val="center"/>
          </w:tcPr>
          <w:p w14:paraId="458FB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1" w:type="dxa"/>
            <w:tcBorders>
              <w:tl2br w:val="nil"/>
              <w:tr2bl w:val="nil"/>
            </w:tcBorders>
            <w:shd w:val="clear" w:color="auto" w:fill="auto"/>
            <w:vAlign w:val="center"/>
          </w:tcPr>
          <w:p w14:paraId="61CDF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087C29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58ADA3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60EF5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543976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6D5BE6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476.39</w:t>
            </w:r>
          </w:p>
        </w:tc>
        <w:tc>
          <w:tcPr>
            <w:tcW w:w="1267" w:type="dxa"/>
            <w:tcBorders>
              <w:tl2br w:val="nil"/>
              <w:tr2bl w:val="nil"/>
            </w:tcBorders>
            <w:shd w:val="clear" w:color="auto" w:fill="auto"/>
            <w:vAlign w:val="center"/>
          </w:tcPr>
          <w:p w14:paraId="02D4FF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239.13</w:t>
            </w:r>
          </w:p>
        </w:tc>
        <w:tc>
          <w:tcPr>
            <w:tcW w:w="1267" w:type="dxa"/>
            <w:tcBorders>
              <w:tl2br w:val="nil"/>
              <w:tr2bl w:val="nil"/>
            </w:tcBorders>
            <w:shd w:val="clear" w:color="auto" w:fill="auto"/>
            <w:vAlign w:val="center"/>
          </w:tcPr>
          <w:p w14:paraId="05DC9C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514.97</w:t>
            </w:r>
          </w:p>
        </w:tc>
        <w:tc>
          <w:tcPr>
            <w:tcW w:w="1320" w:type="dxa"/>
            <w:tcBorders>
              <w:tl2br w:val="nil"/>
              <w:tr2bl w:val="nil"/>
            </w:tcBorders>
            <w:shd w:val="clear" w:color="auto" w:fill="auto"/>
            <w:vAlign w:val="center"/>
          </w:tcPr>
          <w:p w14:paraId="66615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267" w:type="dxa"/>
            <w:tcBorders>
              <w:tl2br w:val="nil"/>
              <w:tr2bl w:val="nil"/>
            </w:tcBorders>
            <w:shd w:val="clear" w:color="auto" w:fill="auto"/>
            <w:vAlign w:val="center"/>
          </w:tcPr>
          <w:p w14:paraId="1A69D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64.88</w:t>
            </w:r>
          </w:p>
        </w:tc>
        <w:tc>
          <w:tcPr>
            <w:tcW w:w="1268" w:type="dxa"/>
            <w:tcBorders>
              <w:tl2br w:val="nil"/>
              <w:tr2bl w:val="nil"/>
            </w:tcBorders>
            <w:shd w:val="clear" w:color="auto" w:fill="auto"/>
            <w:vAlign w:val="center"/>
          </w:tcPr>
          <w:p w14:paraId="65A1B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1321" w:type="dxa"/>
            <w:tcBorders>
              <w:tl2br w:val="nil"/>
              <w:tr2bl w:val="nil"/>
            </w:tcBorders>
            <w:shd w:val="clear" w:color="auto" w:fill="auto"/>
            <w:vAlign w:val="center"/>
          </w:tcPr>
          <w:p w14:paraId="17969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81.34</w:t>
            </w:r>
          </w:p>
        </w:tc>
      </w:tr>
      <w:tr w14:paraId="78ABCC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2375BD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6441C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57D59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31082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8.77</w:t>
            </w:r>
          </w:p>
        </w:tc>
        <w:tc>
          <w:tcPr>
            <w:tcW w:w="1267" w:type="dxa"/>
            <w:tcBorders>
              <w:tl2br w:val="nil"/>
              <w:tr2bl w:val="nil"/>
            </w:tcBorders>
            <w:shd w:val="clear" w:color="auto" w:fill="auto"/>
            <w:vAlign w:val="center"/>
          </w:tcPr>
          <w:p w14:paraId="253BE1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4.40</w:t>
            </w:r>
          </w:p>
        </w:tc>
        <w:tc>
          <w:tcPr>
            <w:tcW w:w="1267" w:type="dxa"/>
            <w:tcBorders>
              <w:tl2br w:val="nil"/>
              <w:tr2bl w:val="nil"/>
            </w:tcBorders>
            <w:shd w:val="clear" w:color="auto" w:fill="auto"/>
            <w:vAlign w:val="center"/>
          </w:tcPr>
          <w:p w14:paraId="788F58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9.48</w:t>
            </w:r>
          </w:p>
        </w:tc>
        <w:tc>
          <w:tcPr>
            <w:tcW w:w="1320" w:type="dxa"/>
            <w:tcBorders>
              <w:tl2br w:val="nil"/>
              <w:tr2bl w:val="nil"/>
            </w:tcBorders>
            <w:shd w:val="clear" w:color="auto" w:fill="auto"/>
            <w:vAlign w:val="center"/>
          </w:tcPr>
          <w:p w14:paraId="15929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1267" w:type="dxa"/>
            <w:tcBorders>
              <w:tl2br w:val="nil"/>
              <w:tr2bl w:val="nil"/>
            </w:tcBorders>
            <w:shd w:val="clear" w:color="auto" w:fill="auto"/>
            <w:vAlign w:val="center"/>
          </w:tcPr>
          <w:p w14:paraId="0BE22A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268" w:type="dxa"/>
            <w:tcBorders>
              <w:tl2br w:val="nil"/>
              <w:tr2bl w:val="nil"/>
            </w:tcBorders>
            <w:shd w:val="clear" w:color="auto" w:fill="auto"/>
            <w:vAlign w:val="center"/>
          </w:tcPr>
          <w:p w14:paraId="1C338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321" w:type="dxa"/>
            <w:tcBorders>
              <w:tl2br w:val="nil"/>
              <w:tr2bl w:val="nil"/>
            </w:tcBorders>
            <w:shd w:val="clear" w:color="auto" w:fill="auto"/>
            <w:vAlign w:val="center"/>
          </w:tcPr>
          <w:p w14:paraId="3133F3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r>
      <w:tr w14:paraId="6BEF33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restart"/>
            <w:tcBorders>
              <w:tl2br w:val="nil"/>
              <w:tr2bl w:val="nil"/>
            </w:tcBorders>
            <w:shd w:val="clear" w:color="auto" w:fill="auto"/>
            <w:vAlign w:val="center"/>
          </w:tcPr>
          <w:p w14:paraId="382DC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二沉池</w:t>
            </w:r>
          </w:p>
        </w:tc>
        <w:tc>
          <w:tcPr>
            <w:tcW w:w="1765" w:type="dxa"/>
            <w:vMerge w:val="restart"/>
            <w:tcBorders>
              <w:tl2br w:val="nil"/>
              <w:tr2bl w:val="nil"/>
            </w:tcBorders>
            <w:shd w:val="clear" w:color="auto" w:fill="auto"/>
            <w:vAlign w:val="center"/>
          </w:tcPr>
          <w:p w14:paraId="528EF7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5C3063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进水水质（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6D33A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476.39</w:t>
            </w:r>
          </w:p>
        </w:tc>
        <w:tc>
          <w:tcPr>
            <w:tcW w:w="1267" w:type="dxa"/>
            <w:tcBorders>
              <w:tl2br w:val="nil"/>
              <w:tr2bl w:val="nil"/>
            </w:tcBorders>
            <w:shd w:val="clear" w:color="auto" w:fill="auto"/>
            <w:vAlign w:val="center"/>
          </w:tcPr>
          <w:p w14:paraId="0FADC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239.13</w:t>
            </w:r>
          </w:p>
        </w:tc>
        <w:tc>
          <w:tcPr>
            <w:tcW w:w="1267" w:type="dxa"/>
            <w:tcBorders>
              <w:tl2br w:val="nil"/>
              <w:tr2bl w:val="nil"/>
            </w:tcBorders>
            <w:shd w:val="clear" w:color="auto" w:fill="auto"/>
            <w:vAlign w:val="center"/>
          </w:tcPr>
          <w:p w14:paraId="2B784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514.97</w:t>
            </w:r>
          </w:p>
        </w:tc>
        <w:tc>
          <w:tcPr>
            <w:tcW w:w="1320" w:type="dxa"/>
            <w:tcBorders>
              <w:tl2br w:val="nil"/>
              <w:tr2bl w:val="nil"/>
            </w:tcBorders>
            <w:shd w:val="clear" w:color="auto" w:fill="auto"/>
            <w:vAlign w:val="center"/>
          </w:tcPr>
          <w:p w14:paraId="6F5E4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267" w:type="dxa"/>
            <w:tcBorders>
              <w:tl2br w:val="nil"/>
              <w:tr2bl w:val="nil"/>
            </w:tcBorders>
            <w:shd w:val="clear" w:color="auto" w:fill="auto"/>
            <w:vAlign w:val="center"/>
          </w:tcPr>
          <w:p w14:paraId="660E7A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64.88</w:t>
            </w:r>
          </w:p>
        </w:tc>
        <w:tc>
          <w:tcPr>
            <w:tcW w:w="1268" w:type="dxa"/>
            <w:tcBorders>
              <w:tl2br w:val="nil"/>
              <w:tr2bl w:val="nil"/>
            </w:tcBorders>
            <w:shd w:val="clear" w:color="auto" w:fill="auto"/>
            <w:vAlign w:val="center"/>
          </w:tcPr>
          <w:p w14:paraId="5B4865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1321" w:type="dxa"/>
            <w:tcBorders>
              <w:tl2br w:val="nil"/>
              <w:tr2bl w:val="nil"/>
            </w:tcBorders>
            <w:shd w:val="clear" w:color="auto" w:fill="auto"/>
            <w:vAlign w:val="center"/>
          </w:tcPr>
          <w:p w14:paraId="3D147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81.34</w:t>
            </w:r>
          </w:p>
        </w:tc>
      </w:tr>
      <w:tr w14:paraId="0BC693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37D10E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5853A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39CE4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去除效率（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15135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267" w:type="dxa"/>
            <w:tcBorders>
              <w:tl2br w:val="nil"/>
              <w:tr2bl w:val="nil"/>
            </w:tcBorders>
            <w:shd w:val="clear" w:color="auto" w:fill="auto"/>
            <w:vAlign w:val="center"/>
          </w:tcPr>
          <w:p w14:paraId="4D99D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267" w:type="dxa"/>
            <w:tcBorders>
              <w:tl2br w:val="nil"/>
              <w:tr2bl w:val="nil"/>
            </w:tcBorders>
            <w:shd w:val="clear" w:color="auto" w:fill="auto"/>
            <w:vAlign w:val="center"/>
          </w:tcPr>
          <w:p w14:paraId="72E7FD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320" w:type="dxa"/>
            <w:tcBorders>
              <w:tl2br w:val="nil"/>
              <w:tr2bl w:val="nil"/>
            </w:tcBorders>
            <w:shd w:val="clear" w:color="auto" w:fill="auto"/>
            <w:vAlign w:val="center"/>
          </w:tcPr>
          <w:p w14:paraId="18BB08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4EBE69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8" w:type="dxa"/>
            <w:tcBorders>
              <w:tl2br w:val="nil"/>
              <w:tr2bl w:val="nil"/>
            </w:tcBorders>
            <w:shd w:val="clear" w:color="auto" w:fill="auto"/>
            <w:vAlign w:val="center"/>
          </w:tcPr>
          <w:p w14:paraId="26E52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1" w:type="dxa"/>
            <w:tcBorders>
              <w:tl2br w:val="nil"/>
              <w:tr2bl w:val="nil"/>
            </w:tcBorders>
            <w:shd w:val="clear" w:color="auto" w:fill="auto"/>
            <w:vAlign w:val="center"/>
          </w:tcPr>
          <w:p w14:paraId="41B3A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r>
      <w:tr w14:paraId="4AED8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06332D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4BC7BF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70ABD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58497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452.57</w:t>
            </w:r>
          </w:p>
        </w:tc>
        <w:tc>
          <w:tcPr>
            <w:tcW w:w="1267" w:type="dxa"/>
            <w:tcBorders>
              <w:tl2br w:val="nil"/>
              <w:tr2bl w:val="nil"/>
            </w:tcBorders>
            <w:shd w:val="clear" w:color="auto" w:fill="auto"/>
            <w:vAlign w:val="center"/>
          </w:tcPr>
          <w:p w14:paraId="725B87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224.78</w:t>
            </w:r>
          </w:p>
        </w:tc>
        <w:tc>
          <w:tcPr>
            <w:tcW w:w="1267" w:type="dxa"/>
            <w:tcBorders>
              <w:tl2br w:val="nil"/>
              <w:tr2bl w:val="nil"/>
            </w:tcBorders>
            <w:shd w:val="clear" w:color="auto" w:fill="auto"/>
            <w:vAlign w:val="center"/>
          </w:tcPr>
          <w:p w14:paraId="1CEB6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283.24</w:t>
            </w:r>
          </w:p>
        </w:tc>
        <w:tc>
          <w:tcPr>
            <w:tcW w:w="1320" w:type="dxa"/>
            <w:tcBorders>
              <w:tl2br w:val="nil"/>
              <w:tr2bl w:val="nil"/>
            </w:tcBorders>
            <w:shd w:val="clear" w:color="auto" w:fill="auto"/>
            <w:vAlign w:val="center"/>
          </w:tcPr>
          <w:p w14:paraId="17A14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267" w:type="dxa"/>
            <w:tcBorders>
              <w:tl2br w:val="nil"/>
              <w:tr2bl w:val="nil"/>
            </w:tcBorders>
            <w:shd w:val="clear" w:color="auto" w:fill="auto"/>
            <w:vAlign w:val="center"/>
          </w:tcPr>
          <w:p w14:paraId="1B8BA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64.88</w:t>
            </w:r>
          </w:p>
        </w:tc>
        <w:tc>
          <w:tcPr>
            <w:tcW w:w="1268" w:type="dxa"/>
            <w:tcBorders>
              <w:tl2br w:val="nil"/>
              <w:tr2bl w:val="nil"/>
            </w:tcBorders>
            <w:shd w:val="clear" w:color="auto" w:fill="auto"/>
            <w:vAlign w:val="center"/>
          </w:tcPr>
          <w:p w14:paraId="6358A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1321" w:type="dxa"/>
            <w:tcBorders>
              <w:tl2br w:val="nil"/>
              <w:tr2bl w:val="nil"/>
            </w:tcBorders>
            <w:shd w:val="clear" w:color="auto" w:fill="auto"/>
            <w:vAlign w:val="center"/>
          </w:tcPr>
          <w:p w14:paraId="62A248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65.07</w:t>
            </w:r>
          </w:p>
        </w:tc>
      </w:tr>
      <w:tr w14:paraId="3B2C1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28137B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2C7361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54E42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407781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8.33</w:t>
            </w:r>
          </w:p>
        </w:tc>
        <w:tc>
          <w:tcPr>
            <w:tcW w:w="1267" w:type="dxa"/>
            <w:tcBorders>
              <w:tl2br w:val="nil"/>
              <w:tr2bl w:val="nil"/>
            </w:tcBorders>
            <w:shd w:val="clear" w:color="auto" w:fill="auto"/>
            <w:vAlign w:val="center"/>
          </w:tcPr>
          <w:p w14:paraId="1B4CE9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1267" w:type="dxa"/>
            <w:tcBorders>
              <w:tl2br w:val="nil"/>
              <w:tr2bl w:val="nil"/>
            </w:tcBorders>
            <w:shd w:val="clear" w:color="auto" w:fill="auto"/>
            <w:vAlign w:val="center"/>
          </w:tcPr>
          <w:p w14:paraId="7613B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5.21</w:t>
            </w:r>
          </w:p>
        </w:tc>
        <w:tc>
          <w:tcPr>
            <w:tcW w:w="1320" w:type="dxa"/>
            <w:tcBorders>
              <w:tl2br w:val="nil"/>
              <w:tr2bl w:val="nil"/>
            </w:tcBorders>
            <w:shd w:val="clear" w:color="auto" w:fill="auto"/>
            <w:vAlign w:val="center"/>
          </w:tcPr>
          <w:p w14:paraId="3DC7C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1267" w:type="dxa"/>
            <w:tcBorders>
              <w:tl2br w:val="nil"/>
              <w:tr2bl w:val="nil"/>
            </w:tcBorders>
            <w:shd w:val="clear" w:color="auto" w:fill="auto"/>
            <w:vAlign w:val="center"/>
          </w:tcPr>
          <w:p w14:paraId="49EF79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268" w:type="dxa"/>
            <w:tcBorders>
              <w:tl2br w:val="nil"/>
              <w:tr2bl w:val="nil"/>
            </w:tcBorders>
            <w:shd w:val="clear" w:color="auto" w:fill="auto"/>
            <w:vAlign w:val="center"/>
          </w:tcPr>
          <w:p w14:paraId="4630DF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321" w:type="dxa"/>
            <w:tcBorders>
              <w:tl2br w:val="nil"/>
              <w:tr2bl w:val="nil"/>
            </w:tcBorders>
            <w:shd w:val="clear" w:color="auto" w:fill="auto"/>
            <w:vAlign w:val="center"/>
          </w:tcPr>
          <w:p w14:paraId="6C504F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r>
      <w:tr w14:paraId="0A7C86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restart"/>
            <w:tcBorders>
              <w:tl2br w:val="nil"/>
              <w:tr2bl w:val="nil"/>
            </w:tcBorders>
            <w:shd w:val="clear" w:color="auto" w:fill="auto"/>
            <w:vAlign w:val="center"/>
          </w:tcPr>
          <w:p w14:paraId="72B52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消毒池</w:t>
            </w:r>
          </w:p>
        </w:tc>
        <w:tc>
          <w:tcPr>
            <w:tcW w:w="1765" w:type="dxa"/>
            <w:vMerge w:val="restart"/>
            <w:tcBorders>
              <w:tl2br w:val="nil"/>
              <w:tr2bl w:val="nil"/>
            </w:tcBorders>
            <w:shd w:val="clear" w:color="auto" w:fill="auto"/>
            <w:vAlign w:val="center"/>
          </w:tcPr>
          <w:p w14:paraId="167FAE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45C0A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进水水质（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5B94B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452.57</w:t>
            </w:r>
          </w:p>
        </w:tc>
        <w:tc>
          <w:tcPr>
            <w:tcW w:w="1267" w:type="dxa"/>
            <w:tcBorders>
              <w:tl2br w:val="nil"/>
              <w:tr2bl w:val="nil"/>
            </w:tcBorders>
            <w:shd w:val="clear" w:color="auto" w:fill="auto"/>
            <w:vAlign w:val="center"/>
          </w:tcPr>
          <w:p w14:paraId="6B5D3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224.78</w:t>
            </w:r>
          </w:p>
        </w:tc>
        <w:tc>
          <w:tcPr>
            <w:tcW w:w="1267" w:type="dxa"/>
            <w:tcBorders>
              <w:tl2br w:val="nil"/>
              <w:tr2bl w:val="nil"/>
            </w:tcBorders>
            <w:shd w:val="clear" w:color="auto" w:fill="auto"/>
            <w:vAlign w:val="center"/>
          </w:tcPr>
          <w:p w14:paraId="182F1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283.24</w:t>
            </w:r>
          </w:p>
        </w:tc>
        <w:tc>
          <w:tcPr>
            <w:tcW w:w="1320" w:type="dxa"/>
            <w:tcBorders>
              <w:tl2br w:val="nil"/>
              <w:tr2bl w:val="nil"/>
            </w:tcBorders>
            <w:shd w:val="clear" w:color="auto" w:fill="auto"/>
            <w:vAlign w:val="center"/>
          </w:tcPr>
          <w:p w14:paraId="32BCA4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267" w:type="dxa"/>
            <w:tcBorders>
              <w:tl2br w:val="nil"/>
              <w:tr2bl w:val="nil"/>
            </w:tcBorders>
            <w:shd w:val="clear" w:color="auto" w:fill="auto"/>
            <w:vAlign w:val="center"/>
          </w:tcPr>
          <w:p w14:paraId="7A25CB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64.88</w:t>
            </w:r>
          </w:p>
        </w:tc>
        <w:tc>
          <w:tcPr>
            <w:tcW w:w="1268" w:type="dxa"/>
            <w:tcBorders>
              <w:tl2br w:val="nil"/>
              <w:tr2bl w:val="nil"/>
            </w:tcBorders>
            <w:shd w:val="clear" w:color="auto" w:fill="auto"/>
            <w:vAlign w:val="center"/>
          </w:tcPr>
          <w:p w14:paraId="15F164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1321" w:type="dxa"/>
            <w:tcBorders>
              <w:tl2br w:val="nil"/>
              <w:tr2bl w:val="nil"/>
            </w:tcBorders>
            <w:shd w:val="clear" w:color="auto" w:fill="auto"/>
            <w:vAlign w:val="center"/>
          </w:tcPr>
          <w:p w14:paraId="59F5E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65.07</w:t>
            </w:r>
          </w:p>
        </w:tc>
      </w:tr>
      <w:tr w14:paraId="788C4D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019402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6BF2D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6DA6E2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去除效率（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02D95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7A49F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0BD05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tcBorders>
              <w:tl2br w:val="nil"/>
              <w:tr2bl w:val="nil"/>
            </w:tcBorders>
            <w:shd w:val="clear" w:color="auto" w:fill="auto"/>
            <w:vAlign w:val="center"/>
          </w:tcPr>
          <w:p w14:paraId="7D88F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7" w:type="dxa"/>
            <w:tcBorders>
              <w:tl2br w:val="nil"/>
              <w:tr2bl w:val="nil"/>
            </w:tcBorders>
            <w:shd w:val="clear" w:color="auto" w:fill="auto"/>
            <w:vAlign w:val="center"/>
          </w:tcPr>
          <w:p w14:paraId="65369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68" w:type="dxa"/>
            <w:tcBorders>
              <w:tl2br w:val="nil"/>
              <w:tr2bl w:val="nil"/>
            </w:tcBorders>
            <w:shd w:val="clear" w:color="auto" w:fill="auto"/>
            <w:vAlign w:val="center"/>
          </w:tcPr>
          <w:p w14:paraId="75B216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1" w:type="dxa"/>
            <w:tcBorders>
              <w:tl2br w:val="nil"/>
              <w:tr2bl w:val="nil"/>
            </w:tcBorders>
            <w:shd w:val="clear" w:color="auto" w:fill="auto"/>
            <w:vAlign w:val="center"/>
          </w:tcPr>
          <w:p w14:paraId="68B65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8F1E8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54E437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631DD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6A9FDA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3804B7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452.57</w:t>
            </w:r>
          </w:p>
        </w:tc>
        <w:tc>
          <w:tcPr>
            <w:tcW w:w="1267" w:type="dxa"/>
            <w:tcBorders>
              <w:tl2br w:val="nil"/>
              <w:tr2bl w:val="nil"/>
            </w:tcBorders>
            <w:shd w:val="clear" w:color="auto" w:fill="auto"/>
            <w:vAlign w:val="center"/>
          </w:tcPr>
          <w:p w14:paraId="681836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224.78</w:t>
            </w:r>
          </w:p>
        </w:tc>
        <w:tc>
          <w:tcPr>
            <w:tcW w:w="1267" w:type="dxa"/>
            <w:tcBorders>
              <w:tl2br w:val="nil"/>
              <w:tr2bl w:val="nil"/>
            </w:tcBorders>
            <w:shd w:val="clear" w:color="auto" w:fill="auto"/>
            <w:vAlign w:val="center"/>
          </w:tcPr>
          <w:p w14:paraId="787A0B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283.24</w:t>
            </w:r>
          </w:p>
        </w:tc>
        <w:tc>
          <w:tcPr>
            <w:tcW w:w="1320" w:type="dxa"/>
            <w:tcBorders>
              <w:tl2br w:val="nil"/>
              <w:tr2bl w:val="nil"/>
            </w:tcBorders>
            <w:shd w:val="clear" w:color="auto" w:fill="auto"/>
            <w:vAlign w:val="center"/>
          </w:tcPr>
          <w:p w14:paraId="644556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267" w:type="dxa"/>
            <w:tcBorders>
              <w:tl2br w:val="nil"/>
              <w:tr2bl w:val="nil"/>
            </w:tcBorders>
            <w:shd w:val="clear" w:color="auto" w:fill="auto"/>
            <w:vAlign w:val="center"/>
          </w:tcPr>
          <w:p w14:paraId="61E74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64.88</w:t>
            </w:r>
          </w:p>
        </w:tc>
        <w:tc>
          <w:tcPr>
            <w:tcW w:w="1268" w:type="dxa"/>
            <w:tcBorders>
              <w:tl2br w:val="nil"/>
              <w:tr2bl w:val="nil"/>
            </w:tcBorders>
            <w:shd w:val="clear" w:color="auto" w:fill="auto"/>
            <w:vAlign w:val="center"/>
          </w:tcPr>
          <w:p w14:paraId="46DA70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1321" w:type="dxa"/>
            <w:tcBorders>
              <w:tl2br w:val="nil"/>
              <w:tr2bl w:val="nil"/>
            </w:tcBorders>
            <w:shd w:val="clear" w:color="auto" w:fill="auto"/>
            <w:vAlign w:val="center"/>
          </w:tcPr>
          <w:p w14:paraId="6BC24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65.07</w:t>
            </w:r>
          </w:p>
        </w:tc>
      </w:tr>
      <w:tr w14:paraId="54ED8A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2E32E7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3CE69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6E9FB6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2BCF56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8.33</w:t>
            </w:r>
          </w:p>
        </w:tc>
        <w:tc>
          <w:tcPr>
            <w:tcW w:w="1267" w:type="dxa"/>
            <w:tcBorders>
              <w:tl2br w:val="nil"/>
              <w:tr2bl w:val="nil"/>
            </w:tcBorders>
            <w:shd w:val="clear" w:color="auto" w:fill="auto"/>
            <w:vAlign w:val="center"/>
          </w:tcPr>
          <w:p w14:paraId="4D537C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1267" w:type="dxa"/>
            <w:tcBorders>
              <w:tl2br w:val="nil"/>
              <w:tr2bl w:val="nil"/>
            </w:tcBorders>
            <w:shd w:val="clear" w:color="auto" w:fill="auto"/>
            <w:vAlign w:val="center"/>
          </w:tcPr>
          <w:p w14:paraId="1FBC9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5.21</w:t>
            </w:r>
          </w:p>
        </w:tc>
        <w:tc>
          <w:tcPr>
            <w:tcW w:w="1320" w:type="dxa"/>
            <w:tcBorders>
              <w:tl2br w:val="nil"/>
              <w:tr2bl w:val="nil"/>
            </w:tcBorders>
            <w:shd w:val="clear" w:color="auto" w:fill="auto"/>
            <w:vAlign w:val="center"/>
          </w:tcPr>
          <w:p w14:paraId="1A6200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1267" w:type="dxa"/>
            <w:tcBorders>
              <w:tl2br w:val="nil"/>
              <w:tr2bl w:val="nil"/>
            </w:tcBorders>
            <w:shd w:val="clear" w:color="auto" w:fill="auto"/>
            <w:vAlign w:val="center"/>
          </w:tcPr>
          <w:p w14:paraId="49C3FF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268" w:type="dxa"/>
            <w:tcBorders>
              <w:tl2br w:val="nil"/>
              <w:tr2bl w:val="nil"/>
            </w:tcBorders>
            <w:shd w:val="clear" w:color="auto" w:fill="auto"/>
            <w:vAlign w:val="center"/>
          </w:tcPr>
          <w:p w14:paraId="4DBE38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321" w:type="dxa"/>
            <w:tcBorders>
              <w:tl2br w:val="nil"/>
              <w:tr2bl w:val="nil"/>
            </w:tcBorders>
            <w:shd w:val="clear" w:color="auto" w:fill="auto"/>
            <w:vAlign w:val="center"/>
          </w:tcPr>
          <w:p w14:paraId="2EA59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r>
      <w:tr w14:paraId="7AFA12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restart"/>
            <w:tcBorders>
              <w:tl2br w:val="nil"/>
              <w:tr2bl w:val="nil"/>
            </w:tcBorders>
            <w:shd w:val="clear" w:color="auto" w:fill="auto"/>
            <w:vAlign w:val="center"/>
          </w:tcPr>
          <w:p w14:paraId="1C181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出水</w:t>
            </w:r>
          </w:p>
        </w:tc>
        <w:tc>
          <w:tcPr>
            <w:tcW w:w="1765" w:type="dxa"/>
            <w:vMerge w:val="restart"/>
            <w:tcBorders>
              <w:tl2br w:val="nil"/>
              <w:tr2bl w:val="nil"/>
            </w:tcBorders>
            <w:shd w:val="clear" w:color="auto" w:fill="auto"/>
            <w:vAlign w:val="center"/>
          </w:tcPr>
          <w:p w14:paraId="14AC79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18407.88</w:t>
            </w:r>
          </w:p>
        </w:tc>
        <w:tc>
          <w:tcPr>
            <w:tcW w:w="2119" w:type="dxa"/>
            <w:tcBorders>
              <w:tl2br w:val="nil"/>
              <w:tr2bl w:val="nil"/>
            </w:tcBorders>
            <w:shd w:val="clear" w:color="auto" w:fill="auto"/>
            <w:vAlign w:val="center"/>
          </w:tcPr>
          <w:p w14:paraId="54A049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总出水水质（</w:t>
            </w:r>
            <w:r>
              <w:rPr>
                <w:rStyle w:val="54"/>
                <w:rFonts w:hint="default" w:ascii="Times New Roman" w:hAnsi="Times New Roman" w:cs="Times New Roman" w:eastAsiaTheme="minorEastAsia"/>
                <w:sz w:val="21"/>
                <w:szCs w:val="21"/>
                <w:lang w:val="en-US" w:eastAsia="zh-CN" w:bidi="ar"/>
              </w:rPr>
              <w:t>mg/L</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54F4C5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452.57</w:t>
            </w:r>
          </w:p>
        </w:tc>
        <w:tc>
          <w:tcPr>
            <w:tcW w:w="1267" w:type="dxa"/>
            <w:tcBorders>
              <w:tl2br w:val="nil"/>
              <w:tr2bl w:val="nil"/>
            </w:tcBorders>
            <w:shd w:val="clear" w:color="auto" w:fill="auto"/>
            <w:vAlign w:val="center"/>
          </w:tcPr>
          <w:p w14:paraId="40EE9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224.78</w:t>
            </w:r>
          </w:p>
        </w:tc>
        <w:tc>
          <w:tcPr>
            <w:tcW w:w="1267" w:type="dxa"/>
            <w:tcBorders>
              <w:tl2br w:val="nil"/>
              <w:tr2bl w:val="nil"/>
            </w:tcBorders>
            <w:shd w:val="clear" w:color="auto" w:fill="auto"/>
            <w:vAlign w:val="center"/>
          </w:tcPr>
          <w:p w14:paraId="69DA53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283.24</w:t>
            </w:r>
          </w:p>
        </w:tc>
        <w:tc>
          <w:tcPr>
            <w:tcW w:w="1320" w:type="dxa"/>
            <w:tcBorders>
              <w:tl2br w:val="nil"/>
              <w:tr2bl w:val="nil"/>
            </w:tcBorders>
            <w:shd w:val="clear" w:color="auto" w:fill="auto"/>
            <w:vAlign w:val="center"/>
          </w:tcPr>
          <w:p w14:paraId="3435A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267" w:type="dxa"/>
            <w:tcBorders>
              <w:tl2br w:val="nil"/>
              <w:tr2bl w:val="nil"/>
            </w:tcBorders>
            <w:shd w:val="clear" w:color="auto" w:fill="auto"/>
            <w:vAlign w:val="center"/>
          </w:tcPr>
          <w:p w14:paraId="186B5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64.88</w:t>
            </w:r>
          </w:p>
        </w:tc>
        <w:tc>
          <w:tcPr>
            <w:tcW w:w="1268" w:type="dxa"/>
            <w:tcBorders>
              <w:tl2br w:val="nil"/>
              <w:tr2bl w:val="nil"/>
            </w:tcBorders>
            <w:shd w:val="clear" w:color="auto" w:fill="auto"/>
            <w:vAlign w:val="center"/>
          </w:tcPr>
          <w:p w14:paraId="0732D1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1321" w:type="dxa"/>
            <w:tcBorders>
              <w:tl2br w:val="nil"/>
              <w:tr2bl w:val="nil"/>
            </w:tcBorders>
            <w:shd w:val="clear" w:color="auto" w:fill="auto"/>
            <w:vAlign w:val="center"/>
          </w:tcPr>
          <w:p w14:paraId="49019A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65.07</w:t>
            </w:r>
          </w:p>
        </w:tc>
      </w:tr>
      <w:tr w14:paraId="618407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 w:hRule="atLeast"/>
        </w:trPr>
        <w:tc>
          <w:tcPr>
            <w:tcW w:w="1197" w:type="dxa"/>
            <w:vMerge w:val="continue"/>
            <w:tcBorders>
              <w:tl2br w:val="nil"/>
              <w:tr2bl w:val="nil"/>
            </w:tcBorders>
            <w:shd w:val="clear" w:color="auto" w:fill="auto"/>
            <w:vAlign w:val="center"/>
          </w:tcPr>
          <w:p w14:paraId="526052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496FE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2E26E6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总去除率（</w:t>
            </w:r>
            <w:r>
              <w:rPr>
                <w:rStyle w:val="54"/>
                <w:rFonts w:hint="default" w:ascii="Times New Roman" w:hAnsi="Times New Roman" w:cs="Times New Roman" w:eastAsiaTheme="minorEastAsia"/>
                <w:sz w:val="21"/>
                <w:szCs w:val="21"/>
                <w:lang w:val="en-US" w:eastAsia="zh-CN" w:bidi="ar"/>
              </w:rPr>
              <w:t>%</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01A2BB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0.77</w:t>
            </w:r>
          </w:p>
        </w:tc>
        <w:tc>
          <w:tcPr>
            <w:tcW w:w="1267" w:type="dxa"/>
            <w:tcBorders>
              <w:tl2br w:val="nil"/>
              <w:tr2bl w:val="nil"/>
            </w:tcBorders>
            <w:shd w:val="clear" w:color="auto" w:fill="auto"/>
            <w:vAlign w:val="center"/>
          </w:tcPr>
          <w:p w14:paraId="1660E0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0.78</w:t>
            </w:r>
          </w:p>
        </w:tc>
        <w:tc>
          <w:tcPr>
            <w:tcW w:w="1267" w:type="dxa"/>
            <w:tcBorders>
              <w:tl2br w:val="nil"/>
              <w:tr2bl w:val="nil"/>
            </w:tcBorders>
            <w:shd w:val="clear" w:color="auto" w:fill="auto"/>
            <w:vAlign w:val="center"/>
          </w:tcPr>
          <w:p w14:paraId="5BF7B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0.72</w:t>
            </w:r>
          </w:p>
        </w:tc>
        <w:tc>
          <w:tcPr>
            <w:tcW w:w="1320" w:type="dxa"/>
            <w:tcBorders>
              <w:tl2br w:val="nil"/>
              <w:tr2bl w:val="nil"/>
            </w:tcBorders>
            <w:shd w:val="clear" w:color="auto" w:fill="auto"/>
            <w:vAlign w:val="center"/>
          </w:tcPr>
          <w:p w14:paraId="40E473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0.80</w:t>
            </w:r>
          </w:p>
        </w:tc>
        <w:tc>
          <w:tcPr>
            <w:tcW w:w="1267" w:type="dxa"/>
            <w:tcBorders>
              <w:tl2br w:val="nil"/>
              <w:tr2bl w:val="nil"/>
            </w:tcBorders>
            <w:shd w:val="clear" w:color="auto" w:fill="auto"/>
            <w:vAlign w:val="center"/>
          </w:tcPr>
          <w:p w14:paraId="19354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0.68</w:t>
            </w:r>
          </w:p>
        </w:tc>
        <w:tc>
          <w:tcPr>
            <w:tcW w:w="1268" w:type="dxa"/>
            <w:tcBorders>
              <w:tl2br w:val="nil"/>
              <w:tr2bl w:val="nil"/>
            </w:tcBorders>
            <w:shd w:val="clear" w:color="auto" w:fill="auto"/>
            <w:vAlign w:val="center"/>
          </w:tcPr>
          <w:p w14:paraId="1E5DA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0.88</w:t>
            </w:r>
          </w:p>
        </w:tc>
        <w:tc>
          <w:tcPr>
            <w:tcW w:w="1321" w:type="dxa"/>
            <w:tcBorders>
              <w:tl2br w:val="nil"/>
              <w:tr2bl w:val="nil"/>
            </w:tcBorders>
            <w:shd w:val="clear" w:color="auto" w:fill="auto"/>
            <w:vAlign w:val="center"/>
          </w:tcPr>
          <w:p w14:paraId="35B06F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0.73</w:t>
            </w:r>
          </w:p>
        </w:tc>
      </w:tr>
      <w:tr w14:paraId="1EECEB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197" w:type="dxa"/>
            <w:vMerge w:val="continue"/>
            <w:tcBorders>
              <w:tl2br w:val="nil"/>
              <w:tr2bl w:val="nil"/>
            </w:tcBorders>
            <w:shd w:val="clear" w:color="auto" w:fill="auto"/>
            <w:vAlign w:val="center"/>
          </w:tcPr>
          <w:p w14:paraId="145895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i w:val="0"/>
                <w:iCs w:val="0"/>
                <w:color w:val="000000"/>
                <w:sz w:val="21"/>
                <w:szCs w:val="21"/>
                <w:u w:val="none"/>
              </w:rPr>
            </w:pPr>
          </w:p>
        </w:tc>
        <w:tc>
          <w:tcPr>
            <w:tcW w:w="1765" w:type="dxa"/>
            <w:vMerge w:val="continue"/>
            <w:tcBorders>
              <w:tl2br w:val="nil"/>
              <w:tr2bl w:val="nil"/>
            </w:tcBorders>
            <w:shd w:val="clear" w:color="auto" w:fill="auto"/>
            <w:vAlign w:val="center"/>
          </w:tcPr>
          <w:p w14:paraId="676E4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p>
        </w:tc>
        <w:tc>
          <w:tcPr>
            <w:tcW w:w="2119" w:type="dxa"/>
            <w:tcBorders>
              <w:tl2br w:val="nil"/>
              <w:tr2bl w:val="nil"/>
            </w:tcBorders>
            <w:shd w:val="clear" w:color="auto" w:fill="auto"/>
            <w:vAlign w:val="center"/>
          </w:tcPr>
          <w:p w14:paraId="70FD1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Style w:val="53"/>
                <w:rFonts w:hint="default" w:ascii="Times New Roman" w:hAnsi="Times New Roman" w:cs="Times New Roman" w:eastAsiaTheme="minorEastAsia"/>
                <w:sz w:val="21"/>
                <w:szCs w:val="21"/>
                <w:lang w:val="en-US" w:eastAsia="zh-CN" w:bidi="ar"/>
              </w:rPr>
              <w:t>总排放量（</w:t>
            </w:r>
            <w:r>
              <w:rPr>
                <w:rStyle w:val="54"/>
                <w:rFonts w:hint="default" w:ascii="Times New Roman" w:hAnsi="Times New Roman" w:cs="Times New Roman" w:eastAsiaTheme="minorEastAsia"/>
                <w:sz w:val="21"/>
                <w:szCs w:val="21"/>
                <w:lang w:val="en-US" w:eastAsia="zh-CN" w:bidi="ar"/>
              </w:rPr>
              <w:t>t/a</w:t>
            </w:r>
            <w:r>
              <w:rPr>
                <w:rStyle w:val="53"/>
                <w:rFonts w:hint="default" w:ascii="Times New Roman" w:hAnsi="Times New Roman" w:cs="Times New Roman" w:eastAsiaTheme="minorEastAsia"/>
                <w:sz w:val="21"/>
                <w:szCs w:val="21"/>
                <w:lang w:val="en-US" w:eastAsia="zh-CN" w:bidi="ar"/>
              </w:rPr>
              <w:t>）</w:t>
            </w:r>
          </w:p>
        </w:tc>
        <w:tc>
          <w:tcPr>
            <w:tcW w:w="1383" w:type="dxa"/>
            <w:tcBorders>
              <w:tl2br w:val="nil"/>
              <w:tr2bl w:val="nil"/>
            </w:tcBorders>
            <w:shd w:val="clear" w:color="auto" w:fill="auto"/>
            <w:vAlign w:val="center"/>
          </w:tcPr>
          <w:p w14:paraId="23AFA0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8.33</w:t>
            </w:r>
          </w:p>
        </w:tc>
        <w:tc>
          <w:tcPr>
            <w:tcW w:w="1267" w:type="dxa"/>
            <w:tcBorders>
              <w:tl2br w:val="nil"/>
              <w:tr2bl w:val="nil"/>
            </w:tcBorders>
            <w:shd w:val="clear" w:color="auto" w:fill="auto"/>
            <w:vAlign w:val="center"/>
          </w:tcPr>
          <w:p w14:paraId="34A92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1267" w:type="dxa"/>
            <w:tcBorders>
              <w:tl2br w:val="nil"/>
              <w:tr2bl w:val="nil"/>
            </w:tcBorders>
            <w:shd w:val="clear" w:color="auto" w:fill="auto"/>
            <w:vAlign w:val="center"/>
          </w:tcPr>
          <w:p w14:paraId="4BD310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5.21</w:t>
            </w:r>
          </w:p>
        </w:tc>
        <w:tc>
          <w:tcPr>
            <w:tcW w:w="1320" w:type="dxa"/>
            <w:tcBorders>
              <w:tl2br w:val="nil"/>
              <w:tr2bl w:val="nil"/>
            </w:tcBorders>
            <w:shd w:val="clear" w:color="auto" w:fill="auto"/>
            <w:vAlign w:val="center"/>
          </w:tcPr>
          <w:p w14:paraId="4921DE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1267" w:type="dxa"/>
            <w:tcBorders>
              <w:tl2br w:val="nil"/>
              <w:tr2bl w:val="nil"/>
            </w:tcBorders>
            <w:shd w:val="clear" w:color="auto" w:fill="auto"/>
            <w:vAlign w:val="center"/>
          </w:tcPr>
          <w:p w14:paraId="6B04C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268" w:type="dxa"/>
            <w:tcBorders>
              <w:tl2br w:val="nil"/>
              <w:tr2bl w:val="nil"/>
            </w:tcBorders>
            <w:shd w:val="clear" w:color="auto" w:fill="auto"/>
            <w:vAlign w:val="center"/>
          </w:tcPr>
          <w:p w14:paraId="695DF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321" w:type="dxa"/>
            <w:tcBorders>
              <w:tl2br w:val="nil"/>
              <w:tr2bl w:val="nil"/>
            </w:tcBorders>
            <w:shd w:val="clear" w:color="auto" w:fill="auto"/>
            <w:vAlign w:val="center"/>
          </w:tcPr>
          <w:p w14:paraId="2E6E3B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r>
    </w:tbl>
    <w:p w14:paraId="2B6FE597">
      <w:pPr>
        <w:pStyle w:val="25"/>
        <w:spacing w:line="360" w:lineRule="auto"/>
        <w:rPr>
          <w:rFonts w:hint="default" w:ascii="Times New Roman" w:hAnsi="Times New Roman" w:eastAsia="宋体" w:cs="Times New Roman"/>
          <w:b/>
          <w:bCs/>
          <w:color w:val="auto"/>
          <w:sz w:val="24"/>
          <w:u w:val="none"/>
          <w:lang w:val="en-US" w:eastAsia="zh-CN"/>
        </w:rPr>
      </w:pPr>
      <w:r>
        <w:rPr>
          <w:rFonts w:hint="eastAsia"/>
          <w:color w:val="auto"/>
          <w:lang w:val="en-US" w:eastAsia="zh-CN"/>
        </w:rPr>
        <w:t>经厂区污水处理站处理后，其</w:t>
      </w:r>
      <w:r>
        <w:rPr>
          <w:rFonts w:hint="default" w:ascii="Times New Roman" w:hAnsi="Times New Roman" w:eastAsia="仿宋_GB2312" w:cs="Times New Roman"/>
          <w:color w:val="auto"/>
          <w:sz w:val="24"/>
          <w:highlight w:val="none"/>
          <w:lang w:val="en-US" w:eastAsia="zh-CN"/>
        </w:rPr>
        <w:t>排放主要</w:t>
      </w:r>
      <w:r>
        <w:rPr>
          <w:rFonts w:hint="default" w:ascii="Times New Roman" w:hAnsi="Times New Roman" w:eastAsia="仿宋_GB2312" w:cs="Times New Roman"/>
          <w:color w:val="auto"/>
          <w:sz w:val="24"/>
          <w:highlight w:val="none"/>
          <w:lang w:val="zh-CN"/>
        </w:rPr>
        <w:t>污染物</w:t>
      </w:r>
      <w:r>
        <w:rPr>
          <w:rFonts w:hint="default" w:ascii="Times New Roman" w:hAnsi="Times New Roman" w:eastAsia="仿宋_GB2312" w:cs="Times New Roman"/>
          <w:color w:val="auto"/>
          <w:sz w:val="24"/>
          <w:highlight w:val="none"/>
          <w:lang w:val="en-US" w:eastAsia="zh-CN"/>
        </w:rPr>
        <w:t>及</w:t>
      </w:r>
      <w:r>
        <w:rPr>
          <w:rFonts w:hint="default" w:ascii="Times New Roman" w:hAnsi="Times New Roman" w:eastAsia="仿宋_GB2312" w:cs="Times New Roman"/>
          <w:color w:val="auto"/>
          <w:sz w:val="24"/>
          <w:highlight w:val="none"/>
          <w:lang w:val="zh-CN"/>
        </w:rPr>
        <w:t>浓度为COD</w:t>
      </w:r>
      <w:r>
        <w:rPr>
          <w:rFonts w:hint="eastAsia" w:cs="Times New Roman"/>
          <w:color w:val="auto"/>
          <w:sz w:val="24"/>
          <w:highlight w:val="none"/>
          <w:lang w:eastAsia="zh-CN"/>
        </w:rPr>
        <w:t>：452.57</w:t>
      </w:r>
      <w:r>
        <w:rPr>
          <w:rFonts w:hint="default" w:ascii="Times New Roman" w:hAnsi="Times New Roman" w:eastAsia="仿宋_GB2312" w:cs="Times New Roman"/>
          <w:color w:val="auto"/>
          <w:sz w:val="24"/>
          <w:highlight w:val="none"/>
          <w:lang w:val="zh-CN"/>
        </w:rPr>
        <w:t>mg/L、BOD</w:t>
      </w:r>
      <w:r>
        <w:rPr>
          <w:rFonts w:hint="default" w:ascii="Times New Roman" w:hAnsi="Times New Roman" w:eastAsia="仿宋_GB2312" w:cs="Times New Roman"/>
          <w:color w:val="auto"/>
          <w:sz w:val="24"/>
          <w:highlight w:val="none"/>
          <w:vertAlign w:val="subscript"/>
          <w:lang w:val="zh-CN"/>
        </w:rPr>
        <w:t>5</w:t>
      </w:r>
      <w:r>
        <w:rPr>
          <w:rFonts w:hint="eastAsia" w:cs="Times New Roman"/>
          <w:color w:val="auto"/>
          <w:sz w:val="24"/>
          <w:highlight w:val="none"/>
          <w:lang w:eastAsia="zh-CN"/>
        </w:rPr>
        <w:t>：224.78</w:t>
      </w:r>
      <w:r>
        <w:rPr>
          <w:rFonts w:hint="default" w:ascii="Times New Roman" w:hAnsi="Times New Roman" w:eastAsia="仿宋_GB2312" w:cs="Times New Roman"/>
          <w:color w:val="auto"/>
          <w:sz w:val="24"/>
          <w:highlight w:val="none"/>
          <w:lang w:val="zh-CN"/>
        </w:rPr>
        <w:t>mg/L、氨氮</w:t>
      </w:r>
      <w:r>
        <w:rPr>
          <w:rFonts w:hint="eastAsia" w:cs="Times New Roman"/>
          <w:color w:val="auto"/>
          <w:sz w:val="24"/>
          <w:highlight w:val="none"/>
          <w:lang w:eastAsia="zh-CN"/>
        </w:rPr>
        <w:t>：</w:t>
      </w:r>
      <w:r>
        <w:rPr>
          <w:rFonts w:hint="eastAsia" w:cs="Times New Roman"/>
          <w:color w:val="auto"/>
          <w:sz w:val="24"/>
          <w:highlight w:val="none"/>
          <w:lang w:val="en-US" w:eastAsia="zh-CN"/>
        </w:rPr>
        <w:t>30</w:t>
      </w:r>
      <w:r>
        <w:rPr>
          <w:rFonts w:hint="default" w:ascii="Times New Roman" w:hAnsi="Times New Roman" w:eastAsia="仿宋_GB2312" w:cs="Times New Roman"/>
          <w:color w:val="auto"/>
          <w:sz w:val="24"/>
          <w:highlight w:val="none"/>
          <w:lang w:val="zh-CN"/>
        </w:rPr>
        <w:t>mg/L、SS</w:t>
      </w:r>
      <w:r>
        <w:rPr>
          <w:rFonts w:hint="eastAsia" w:cs="Times New Roman"/>
          <w:color w:val="auto"/>
          <w:sz w:val="24"/>
          <w:highlight w:val="none"/>
          <w:lang w:eastAsia="zh-CN"/>
        </w:rPr>
        <w:t>：283.24</w:t>
      </w:r>
      <w:r>
        <w:rPr>
          <w:rFonts w:hint="default" w:ascii="Times New Roman" w:hAnsi="Times New Roman" w:eastAsia="仿宋_GB2312" w:cs="Times New Roman"/>
          <w:color w:val="auto"/>
          <w:sz w:val="24"/>
          <w:highlight w:val="none"/>
          <w:lang w:val="zh-CN"/>
        </w:rPr>
        <w:t>mg/L、动植物油</w:t>
      </w:r>
      <w:r>
        <w:rPr>
          <w:rFonts w:hint="eastAsia" w:cs="Times New Roman"/>
          <w:color w:val="auto"/>
          <w:sz w:val="24"/>
          <w:highlight w:val="none"/>
          <w:lang w:val="zh-CN"/>
        </w:rPr>
        <w:t>：64.88</w:t>
      </w:r>
      <w:r>
        <w:rPr>
          <w:rFonts w:hint="default" w:ascii="Times New Roman" w:hAnsi="Times New Roman" w:eastAsia="仿宋_GB2312" w:cs="Times New Roman"/>
          <w:color w:val="auto"/>
          <w:sz w:val="24"/>
          <w:highlight w:val="none"/>
          <w:lang w:val="zh-CN"/>
        </w:rPr>
        <w:t>mg/L</w:t>
      </w:r>
      <w:r>
        <w:rPr>
          <w:rFonts w:hint="eastAsia" w:cs="Times New Roman"/>
          <w:color w:val="auto"/>
          <w:sz w:val="24"/>
          <w:highlight w:val="none"/>
          <w:lang w:val="zh-CN"/>
        </w:rPr>
        <w:t>、</w:t>
      </w:r>
      <w:r>
        <w:rPr>
          <w:rFonts w:hint="eastAsia" w:cs="Times New Roman"/>
          <w:color w:val="auto"/>
          <w:sz w:val="24"/>
          <w:highlight w:val="none"/>
          <w:lang w:val="en-US" w:eastAsia="zh-CN"/>
        </w:rPr>
        <w:t>总磷：6.48</w:t>
      </w:r>
      <w:r>
        <w:rPr>
          <w:rFonts w:hint="default" w:ascii="Times New Roman" w:hAnsi="Times New Roman" w:eastAsia="仿宋_GB2312" w:cs="Times New Roman"/>
          <w:color w:val="auto"/>
          <w:sz w:val="24"/>
          <w:highlight w:val="none"/>
          <w:lang w:val="zh-CN"/>
        </w:rPr>
        <w:t>mg/L</w:t>
      </w:r>
      <w:r>
        <w:rPr>
          <w:rFonts w:hint="eastAsia" w:cs="Times New Roman"/>
          <w:color w:val="auto"/>
          <w:sz w:val="24"/>
          <w:highlight w:val="none"/>
          <w:lang w:val="zh-CN"/>
        </w:rPr>
        <w:t>、</w:t>
      </w:r>
      <w:r>
        <w:rPr>
          <w:rFonts w:hint="eastAsia" w:cs="Times New Roman"/>
          <w:color w:val="auto"/>
          <w:sz w:val="24"/>
          <w:highlight w:val="none"/>
          <w:lang w:val="en-US" w:eastAsia="zh-CN"/>
        </w:rPr>
        <w:t>总氮：65.07</w:t>
      </w:r>
      <w:r>
        <w:rPr>
          <w:rFonts w:hint="default" w:ascii="Times New Roman" w:hAnsi="Times New Roman" w:eastAsia="仿宋_GB2312" w:cs="Times New Roman"/>
          <w:color w:val="auto"/>
          <w:sz w:val="24"/>
          <w:highlight w:val="none"/>
          <w:lang w:val="zh-CN"/>
        </w:rPr>
        <w:t>mg/L</w:t>
      </w:r>
      <w:r>
        <w:rPr>
          <w:rFonts w:hint="eastAsia" w:cs="Times New Roman"/>
          <w:color w:val="auto"/>
          <w:sz w:val="24"/>
          <w:highlight w:val="none"/>
          <w:lang w:val="en-US" w:eastAsia="zh-CN"/>
        </w:rPr>
        <w:t>，</w:t>
      </w:r>
      <w:r>
        <w:rPr>
          <w:rFonts w:hint="default" w:ascii="Times New Roman" w:hAnsi="Times New Roman" w:eastAsia="仿宋_GB2312" w:cs="Times New Roman"/>
          <w:color w:val="auto"/>
          <w:sz w:val="24"/>
          <w:highlight w:val="none"/>
          <w:lang w:val="zh-CN"/>
        </w:rPr>
        <w:t>水质满足《屠宰及肉类加工工业水污染物排放标准》（GB13457-2025）表1间接排放标准</w:t>
      </w:r>
      <w:r>
        <w:rPr>
          <w:rFonts w:hint="eastAsia" w:cs="Times New Roman"/>
          <w:color w:val="auto"/>
          <w:sz w:val="24"/>
          <w:highlight w:val="none"/>
          <w:lang w:val="zh-CN"/>
        </w:rPr>
        <w:t>、</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eastAsia" w:cs="Times New Roman"/>
          <w:color w:val="auto"/>
          <w:sz w:val="24"/>
          <w:highlight w:val="none"/>
          <w:lang w:val="en-US" w:eastAsia="zh-CN"/>
        </w:rPr>
        <w:t>后</w:t>
      </w:r>
      <w:r>
        <w:rPr>
          <w:rFonts w:hint="default" w:ascii="Times New Roman" w:hAnsi="Times New Roman" w:eastAsia="仿宋_GB2312" w:cs="Times New Roman"/>
          <w:color w:val="auto"/>
          <w:sz w:val="24"/>
          <w:highlight w:val="none"/>
          <w:lang w:val="zh-CN"/>
        </w:rPr>
        <w:t>排至城区污水处理厂</w:t>
      </w:r>
      <w:r>
        <w:rPr>
          <w:rFonts w:hint="eastAsia" w:cs="Times New Roman"/>
          <w:color w:val="auto"/>
          <w:sz w:val="24"/>
          <w:highlight w:val="none"/>
          <w:lang w:val="en-US" w:eastAsia="zh-CN"/>
        </w:rPr>
        <w:t>进一步处理</w:t>
      </w:r>
      <w:r>
        <w:rPr>
          <w:rFonts w:hint="default" w:ascii="Times New Roman" w:hAnsi="Times New Roman" w:eastAsia="仿宋_GB2312" w:cs="Times New Roman"/>
          <w:color w:val="auto"/>
          <w:sz w:val="24"/>
          <w:highlight w:val="none"/>
          <w:lang w:val="zh-CN"/>
        </w:rPr>
        <w:t>。</w:t>
      </w:r>
    </w:p>
    <w:p w14:paraId="7678ED86">
      <w:pPr>
        <w:pStyle w:val="25"/>
        <w:rPr>
          <w:rFonts w:hint="eastAsia" w:ascii="Times New Roman" w:hAnsi="Times New Roman" w:eastAsia="宋体" w:cs="Times New Roman"/>
          <w:b/>
          <w:bCs/>
          <w:color w:val="auto"/>
          <w:sz w:val="24"/>
          <w:u w:val="none"/>
          <w:lang w:val="en-US" w:eastAsia="zh-CN"/>
        </w:rPr>
        <w:sectPr>
          <w:headerReference r:id="rId29"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102583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根据</w:t>
      </w:r>
      <w:r>
        <w:rPr>
          <w:rFonts w:hint="default" w:ascii="Times New Roman" w:hAnsi="Times New Roman" w:eastAsia="仿宋_GB2312" w:cs="Times New Roman"/>
          <w:color w:val="auto"/>
          <w:sz w:val="24"/>
          <w:highlight w:val="none"/>
          <w:lang w:val="zh-CN"/>
        </w:rPr>
        <w:t>《屠宰及肉类加工工业水污染物排放标准》（GB13457-2025）</w:t>
      </w:r>
      <w:r>
        <w:rPr>
          <w:rFonts w:hint="eastAsia" w:ascii="Times New Roman" w:hAnsi="Times New Roman" w:cs="Times New Roman"/>
          <w:color w:val="auto"/>
          <w:sz w:val="24"/>
          <w:highlight w:val="none"/>
          <w:lang w:val="en-US" w:eastAsia="zh-CN"/>
        </w:rPr>
        <w:t>表2单位产品基准排水量</w:t>
      </w:r>
      <w:r>
        <w:rPr>
          <w:rFonts w:hint="eastAsia" w:ascii="Times New Roman" w:hAnsi="Times New Roman" w:cs="Times New Roman"/>
          <w:color w:val="auto"/>
          <w:sz w:val="24"/>
          <w:highlight w:val="none"/>
          <w:lang w:val="zh-CN"/>
        </w:rPr>
        <w:t>，</w:t>
      </w:r>
      <w:r>
        <w:rPr>
          <w:rFonts w:hint="eastAsia" w:ascii="Times New Roman" w:hAnsi="Times New Roman" w:cs="Times New Roman"/>
          <w:color w:val="auto"/>
          <w:sz w:val="24"/>
          <w:highlight w:val="none"/>
          <w:lang w:val="en-US" w:eastAsia="zh-CN"/>
        </w:rPr>
        <w:t>单位产品基准排水量牛为2.5m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/头、羊为0.3m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/头。经计算，本项目牛排水量为0.45m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/头、羊排水量为0.09m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/头，满足</w:t>
      </w:r>
      <w:r>
        <w:rPr>
          <w:rFonts w:hint="default" w:ascii="Times New Roman" w:hAnsi="Times New Roman" w:eastAsia="仿宋_GB2312" w:cs="Times New Roman"/>
          <w:color w:val="auto"/>
          <w:sz w:val="24"/>
          <w:highlight w:val="none"/>
          <w:lang w:val="zh-CN"/>
        </w:rPr>
        <w:t>《屠宰及肉类加工工业水污染物排放标准》（GB13457-2025）</w:t>
      </w:r>
      <w:r>
        <w:rPr>
          <w:rFonts w:hint="eastAsia" w:ascii="Times New Roman" w:hAnsi="Times New Roman" w:cs="Times New Roman"/>
          <w:color w:val="auto"/>
          <w:sz w:val="24"/>
          <w:highlight w:val="none"/>
          <w:lang w:val="en-US" w:eastAsia="zh-CN"/>
        </w:rPr>
        <w:t>表2单位产品基准排水量要求。</w:t>
      </w:r>
      <w:r>
        <w:rPr>
          <w:rFonts w:hint="eastAsia"/>
          <w:color w:val="auto"/>
          <w:lang w:val="en-US" w:eastAsia="zh-CN"/>
        </w:rPr>
        <w:t>水污染物COD、BOD</w:t>
      </w:r>
      <w:r>
        <w:rPr>
          <w:rFonts w:hint="eastAsia"/>
          <w:color w:val="auto"/>
          <w:vertAlign w:val="subscript"/>
          <w:lang w:val="en-US" w:eastAsia="zh-CN"/>
        </w:rPr>
        <w:t>5</w:t>
      </w:r>
      <w:r>
        <w:rPr>
          <w:rFonts w:hint="eastAsia"/>
          <w:color w:val="auto"/>
          <w:lang w:val="en-US" w:eastAsia="zh-CN"/>
        </w:rPr>
        <w:t>、SS、NH</w:t>
      </w:r>
      <w:r>
        <w:rPr>
          <w:rFonts w:hint="eastAsia"/>
          <w:color w:val="auto"/>
          <w:vertAlign w:val="subscript"/>
          <w:lang w:val="en-US" w:eastAsia="zh-CN"/>
        </w:rPr>
        <w:t>3</w:t>
      </w:r>
      <w:r>
        <w:rPr>
          <w:rFonts w:hint="eastAsia"/>
          <w:color w:val="auto"/>
          <w:lang w:val="en-US" w:eastAsia="zh-CN"/>
        </w:rPr>
        <w:t>-N、动植物油、TN、TP均满足《屠宰及肉类加工工业水污染物排放标准》（GB13457-2025）</w:t>
      </w:r>
      <w:r>
        <w:rPr>
          <w:rFonts w:hint="eastAsia" w:ascii="Times New Roman" w:hAnsi="Times New Roman"/>
          <w:color w:val="auto"/>
          <w:lang w:val="en-US" w:eastAsia="zh-CN"/>
        </w:rPr>
        <w:t>表</w:t>
      </w:r>
      <w:r>
        <w:rPr>
          <w:rFonts w:hint="eastAsia"/>
          <w:color w:val="auto"/>
          <w:lang w:val="en-US" w:eastAsia="zh-CN"/>
        </w:rPr>
        <w:t>1间接排放</w:t>
      </w:r>
      <w:r>
        <w:rPr>
          <w:rFonts w:hint="eastAsia" w:ascii="Times New Roman" w:hAnsi="Times New Roman"/>
          <w:color w:val="auto"/>
          <w:lang w:val="en-US" w:eastAsia="zh-CN"/>
        </w:rPr>
        <w:t>标准</w:t>
      </w:r>
      <w:r>
        <w:rPr>
          <w:rFonts w:hint="eastAsia"/>
          <w:color w:val="auto"/>
          <w:lang w:val="en-US" w:eastAsia="zh-CN"/>
        </w:rPr>
        <w:t>、</w:t>
      </w:r>
      <w:r>
        <w:rPr>
          <w:rFonts w:hint="eastAsia" w:ascii="Times New Roman" w:hAnsi="Times New Roman" w:cs="Times New Roman"/>
          <w:color w:val="auto"/>
          <w:sz w:val="24"/>
          <w:highlight w:val="none"/>
          <w:lang w:val="en-US" w:eastAsia="zh-CN"/>
        </w:rPr>
        <w:t>《污水综合排放标准》（GB8978-1996）三级排放标准</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城区污水处理厂接管标准《污水排入城镇下水道水质标准》（GB/T31962-2015）A级排放标准</w:t>
      </w:r>
      <w:r>
        <w:rPr>
          <w:rFonts w:hint="eastAsia"/>
          <w:color w:val="auto"/>
          <w:lang w:val="en-US" w:eastAsia="zh-CN"/>
        </w:rPr>
        <w:t>。</w:t>
      </w:r>
    </w:p>
    <w:p w14:paraId="2566A4C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val="en-US" w:eastAsia="zh-CN"/>
        </w:rPr>
        <w:t>（2）污泥脱水处理技术可行性分析</w:t>
      </w:r>
    </w:p>
    <w:p w14:paraId="7139A56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仿宋_GB2312"/>
          <w:color w:val="auto"/>
          <w:lang w:val="en-US" w:eastAsia="zh-CN"/>
        </w:rPr>
      </w:pPr>
      <w:r>
        <w:rPr>
          <w:rFonts w:hint="eastAsia"/>
          <w:color w:val="auto"/>
          <w:lang w:val="en-US" w:eastAsia="zh-CN"/>
        </w:rPr>
        <w:t>本项目污泥脱水采用重力式污泥浓缩池，浓缩后污泥含水率小于80%，脱水后的污泥严禁露天堆放，及时拉运至固原富田有机肥有限公司生产肥料。符合</w:t>
      </w:r>
      <w:r>
        <w:rPr>
          <w:rFonts w:hint="eastAsia"/>
          <w:color w:val="auto"/>
        </w:rPr>
        <w:t>《屠宰与肉类加工废水治理工程技术规范》（HJ2004-2010）</w:t>
      </w:r>
      <w:r>
        <w:rPr>
          <w:rFonts w:hint="eastAsia"/>
          <w:color w:val="auto"/>
          <w:lang w:val="en-US" w:eastAsia="zh-CN"/>
        </w:rPr>
        <w:t>中的相关要求。</w:t>
      </w:r>
    </w:p>
    <w:p w14:paraId="5D85FA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固原富田有机肥有限公司位于固原市原州区彭堡镇硝沟村，厂界中心地理位置坐标为：北纬</w:t>
      </w:r>
      <w:r>
        <w:rPr>
          <w:rFonts w:hint="default" w:ascii="Times New Roman" w:hAnsi="Times New Roman" w:cs="Times New Roman"/>
          <w:color w:val="auto"/>
          <w:lang w:val="en-US" w:eastAsia="zh-CN"/>
        </w:rPr>
        <w:t>36</w:t>
      </w:r>
      <w:r>
        <w:rPr>
          <w:rFonts w:hint="default" w:ascii="Times New Roman" w:hAnsi="Times New Roman" w:cs="Times New Roman"/>
          <w:color w:val="auto"/>
        </w:rPr>
        <w:t>°</w:t>
      </w:r>
      <w:r>
        <w:rPr>
          <w:rFonts w:hint="default" w:ascii="Times New Roman" w:hAnsi="Times New Roman" w:cs="Times New Roman"/>
          <w:color w:val="auto"/>
          <w:lang w:val="en-US" w:eastAsia="zh-CN"/>
        </w:rPr>
        <w:t>8</w:t>
      </w:r>
      <w:r>
        <w:rPr>
          <w:rFonts w:hint="default" w:ascii="Times New Roman" w:hAnsi="Times New Roman" w:cs="Times New Roman"/>
          <w:color w:val="auto"/>
        </w:rPr>
        <w:t>′</w:t>
      </w:r>
      <w:r>
        <w:rPr>
          <w:rFonts w:hint="default" w:ascii="Times New Roman" w:hAnsi="Times New Roman" w:cs="Times New Roman"/>
          <w:color w:val="auto"/>
          <w:lang w:val="en-US" w:eastAsia="zh-CN"/>
        </w:rPr>
        <w:t>32.37</w:t>
      </w:r>
      <w:r>
        <w:rPr>
          <w:rFonts w:hint="default" w:ascii="Times New Roman" w:hAnsi="Times New Roman" w:cs="Times New Roman"/>
          <w:color w:val="auto"/>
        </w:rPr>
        <w:t>″</w:t>
      </w:r>
      <w:r>
        <w:rPr>
          <w:rFonts w:hint="default" w:ascii="Times New Roman" w:hAnsi="Times New Roman" w:cs="Times New Roman"/>
          <w:color w:val="auto"/>
          <w:lang w:val="en-US" w:eastAsia="zh-CN"/>
        </w:rPr>
        <w:t>、东经106°8</w:t>
      </w:r>
      <w:r>
        <w:rPr>
          <w:rFonts w:hint="default" w:ascii="Times New Roman" w:hAnsi="Times New Roman" w:cs="Times New Roman"/>
          <w:color w:val="auto"/>
        </w:rPr>
        <w:t>′</w:t>
      </w:r>
      <w:r>
        <w:rPr>
          <w:rFonts w:hint="default" w:ascii="Times New Roman" w:hAnsi="Times New Roman" w:cs="Times New Roman"/>
          <w:color w:val="auto"/>
          <w:lang w:val="en-US" w:eastAsia="zh-CN"/>
        </w:rPr>
        <w:t>10.66</w:t>
      </w:r>
      <w:r>
        <w:rPr>
          <w:rFonts w:hint="default" w:ascii="Times New Roman" w:hAnsi="Times New Roman" w:cs="Times New Roman"/>
          <w:color w:val="auto"/>
        </w:rPr>
        <w:t>″</w:t>
      </w:r>
      <w:r>
        <w:rPr>
          <w:rFonts w:hint="eastAsia"/>
          <w:color w:val="auto"/>
          <w:lang w:val="en-US" w:eastAsia="zh-CN"/>
        </w:rPr>
        <w:t>。位于本项目西北方向16km处，已于2020年建设完成并投入运行。固原富田有机肥有限公司建设一座全封闭式发酵车间1100m</w:t>
      </w:r>
      <w:r>
        <w:rPr>
          <w:rFonts w:hint="eastAsia"/>
          <w:color w:val="auto"/>
          <w:vertAlign w:val="superscript"/>
          <w:lang w:val="en-US" w:eastAsia="zh-CN"/>
        </w:rPr>
        <w:t>2</w:t>
      </w:r>
      <w:r>
        <w:rPr>
          <w:rFonts w:hint="eastAsia"/>
          <w:color w:val="auto"/>
          <w:lang w:val="en-US" w:eastAsia="zh-CN"/>
        </w:rPr>
        <w:t>，有机肥加工车间及库房3000m</w:t>
      </w:r>
      <w:r>
        <w:rPr>
          <w:rFonts w:hint="eastAsia"/>
          <w:color w:val="auto"/>
          <w:vertAlign w:val="superscript"/>
          <w:lang w:val="en-US" w:eastAsia="zh-CN"/>
        </w:rPr>
        <w:t>2</w:t>
      </w:r>
      <w:r>
        <w:rPr>
          <w:rFonts w:hint="eastAsia"/>
          <w:color w:val="auto"/>
          <w:lang w:val="en-US" w:eastAsia="zh-CN"/>
        </w:rPr>
        <w:t>，二次堆放车间1000m</w:t>
      </w:r>
      <w:r>
        <w:rPr>
          <w:rFonts w:hint="eastAsia"/>
          <w:color w:val="auto"/>
          <w:vertAlign w:val="superscript"/>
          <w:lang w:val="en-US" w:eastAsia="zh-CN"/>
        </w:rPr>
        <w:t>2</w:t>
      </w:r>
      <w:r>
        <w:rPr>
          <w:rFonts w:hint="eastAsia"/>
          <w:color w:val="auto"/>
          <w:lang w:val="en-US" w:eastAsia="zh-CN"/>
        </w:rPr>
        <w:t>，粪便堆放车间2200m</w:t>
      </w:r>
      <w:r>
        <w:rPr>
          <w:rFonts w:hint="eastAsia"/>
          <w:color w:val="auto"/>
          <w:vertAlign w:val="superscript"/>
          <w:lang w:val="en-US" w:eastAsia="zh-CN"/>
        </w:rPr>
        <w:t>2</w:t>
      </w:r>
      <w:r>
        <w:rPr>
          <w:rFonts w:hint="eastAsia"/>
          <w:color w:val="auto"/>
          <w:lang w:val="en-US" w:eastAsia="zh-CN"/>
        </w:rPr>
        <w:t>，购置各类生产设备24台（套），主要以畜禽粪便、秸秆等农业废弃物为原料，通过发酵、粉碎、造粒等工序进行有机肥料生产，年产1万吨高效有机肥。</w:t>
      </w:r>
    </w:p>
    <w:p w14:paraId="504A86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val="en-US" w:eastAsia="zh-CN"/>
        </w:rPr>
        <w:t>综上所述，本项目污泥处理方式是可行的。</w:t>
      </w:r>
    </w:p>
    <w:p w14:paraId="505998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（3）排污许可技术可行性分析</w:t>
      </w:r>
    </w:p>
    <w:p w14:paraId="619AEA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根据《排污许可证申请与核发技术规范 农副食品加工工业-屠宰及肉类加工工业》（HJ860.3-2018）中表7屠宰及肉类加工工业排污单位废水污染防治可行技术参照表分析技改工程工艺技术可行性，具体对照情况见表6.2-3。</w:t>
      </w:r>
    </w:p>
    <w:p w14:paraId="6612D2E2">
      <w:pPr>
        <w:widowControl w:val="0"/>
        <w:overflowPunct w:val="0"/>
        <w:adjustRightInd w:val="0"/>
        <w:snapToGrid w:val="0"/>
        <w:spacing w:line="240" w:lineRule="auto"/>
        <w:ind w:firstLine="42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bCs/>
          <w:snapToGrid w:val="0"/>
          <w:color w:val="auto"/>
          <w:kern w:val="0"/>
          <w:sz w:val="21"/>
          <w:szCs w:val="21"/>
          <w:highlight w:val="none"/>
          <w:lang w:val="sq-AL"/>
        </w:rPr>
        <w:t>表</w:t>
      </w:r>
      <w:r>
        <w:rPr>
          <w:rFonts w:hint="default" w:ascii="Times New Roman" w:hAnsi="Times New Roman" w:eastAsia="宋体" w:cs="Times New Roman"/>
          <w:bCs/>
          <w:snapToGrid w:val="0"/>
          <w:color w:val="auto"/>
          <w:kern w:val="0"/>
          <w:sz w:val="21"/>
          <w:szCs w:val="21"/>
          <w:highlight w:val="none"/>
        </w:rPr>
        <w:t>6.2-</w:t>
      </w:r>
      <w:r>
        <w:rPr>
          <w:rFonts w:hint="eastAsia" w:eastAsia="宋体" w:cs="Times New Roman"/>
          <w:bCs/>
          <w:snapToGrid w:val="0"/>
          <w:color w:val="auto"/>
          <w:kern w:val="0"/>
          <w:sz w:val="21"/>
          <w:szCs w:val="21"/>
          <w:highlight w:val="none"/>
          <w:lang w:val="en-US" w:eastAsia="zh-CN"/>
        </w:rPr>
        <w:t>3</w:t>
      </w:r>
      <w:r>
        <w:rPr>
          <w:rFonts w:hint="default" w:ascii="Times New Roman" w:hAnsi="Times New Roman" w:eastAsia="宋体" w:cs="Times New Roman"/>
          <w:b/>
          <w:snapToGrid w:val="0"/>
          <w:color w:val="auto"/>
          <w:kern w:val="0"/>
          <w:sz w:val="24"/>
          <w:highlight w:val="none"/>
        </w:rPr>
        <w:t xml:space="preserve">  </w:t>
      </w:r>
      <w:r>
        <w:rPr>
          <w:rFonts w:hint="eastAsia" w:ascii="Times New Roman" w:hAnsi="Times New Roman" w:eastAsia="宋体" w:cs="Times New Roman"/>
          <w:b/>
          <w:snapToGrid w:val="0"/>
          <w:color w:val="auto"/>
          <w:kern w:val="0"/>
          <w:sz w:val="24"/>
          <w:highlight w:val="none"/>
          <w:lang w:val="en-US" w:eastAsia="zh-CN"/>
        </w:rPr>
        <w:t xml:space="preserve">         </w:t>
      </w:r>
      <w:r>
        <w:rPr>
          <w:rFonts w:hint="default" w:ascii="Times New Roman" w:hAnsi="Times New Roman" w:eastAsia="宋体" w:cs="Times New Roman"/>
          <w:b/>
          <w:snapToGrid w:val="0"/>
          <w:color w:val="auto"/>
          <w:kern w:val="0"/>
          <w:sz w:val="24"/>
          <w:highlight w:val="none"/>
        </w:rPr>
        <w:t>本项目污水处理工艺技术可行性分析</w:t>
      </w:r>
    </w:p>
    <w:tbl>
      <w:tblPr>
        <w:tblStyle w:val="27"/>
        <w:tblW w:w="48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4841"/>
        <w:gridCol w:w="1547"/>
        <w:gridCol w:w="1110"/>
      </w:tblGrid>
      <w:tr w14:paraId="6E502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6" w:type="dxa"/>
            <w:noWrap w:val="0"/>
            <w:vAlign w:val="center"/>
          </w:tcPr>
          <w:p w14:paraId="19761654">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处理方式</w:t>
            </w:r>
          </w:p>
        </w:tc>
        <w:tc>
          <w:tcPr>
            <w:tcW w:w="4841" w:type="dxa"/>
            <w:noWrap w:val="0"/>
            <w:vAlign w:val="center"/>
          </w:tcPr>
          <w:p w14:paraId="247AC0DC">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屠宰及肉类加工工业排污单位废水污染防治可行技术</w:t>
            </w:r>
          </w:p>
        </w:tc>
        <w:tc>
          <w:tcPr>
            <w:tcW w:w="1547" w:type="dxa"/>
            <w:noWrap w:val="0"/>
            <w:vAlign w:val="center"/>
          </w:tcPr>
          <w:p w14:paraId="229A360D">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1110" w:type="dxa"/>
            <w:noWrap w:val="0"/>
            <w:vAlign w:val="center"/>
          </w:tcPr>
          <w:p w14:paraId="31A8D55F">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是否为</w:t>
            </w:r>
          </w:p>
          <w:p w14:paraId="196E8870">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可行技术</w:t>
            </w:r>
          </w:p>
        </w:tc>
      </w:tr>
      <w:tr w14:paraId="7359D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266" w:type="dxa"/>
            <w:noWrap w:val="0"/>
            <w:vAlign w:val="center"/>
          </w:tcPr>
          <w:p w14:paraId="730E47D6">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预处理工艺</w:t>
            </w:r>
          </w:p>
        </w:tc>
        <w:tc>
          <w:tcPr>
            <w:tcW w:w="4841" w:type="dxa"/>
            <w:noWrap w:val="0"/>
            <w:vAlign w:val="center"/>
          </w:tcPr>
          <w:p w14:paraId="6CDDB38D">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粗（细）格栅；平流或旋流式沉砂、竖流或辐流式沉淀、混凝沉淀；斜板或平流式隔油池；气浮。</w:t>
            </w:r>
          </w:p>
        </w:tc>
        <w:tc>
          <w:tcPr>
            <w:tcW w:w="1547" w:type="dxa"/>
            <w:noWrap w:val="0"/>
            <w:vAlign w:val="center"/>
          </w:tcPr>
          <w:p w14:paraId="5C2A4D0A">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格栅、调节池、隔油池、气浮</w:t>
            </w:r>
          </w:p>
        </w:tc>
        <w:tc>
          <w:tcPr>
            <w:tcW w:w="1110" w:type="dxa"/>
            <w:noWrap w:val="0"/>
            <w:vAlign w:val="center"/>
          </w:tcPr>
          <w:p w14:paraId="703645AB">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14:paraId="7C793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6" w:type="dxa"/>
            <w:noWrap w:val="0"/>
            <w:vAlign w:val="center"/>
          </w:tcPr>
          <w:p w14:paraId="6A7F0391">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生化法处理工艺</w:t>
            </w:r>
          </w:p>
        </w:tc>
        <w:tc>
          <w:tcPr>
            <w:tcW w:w="4841" w:type="dxa"/>
            <w:noWrap w:val="0"/>
            <w:vAlign w:val="center"/>
          </w:tcPr>
          <w:p w14:paraId="160CAFEF">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升流式厌氧污泥床（UASB）；IC反应器或水解酸化技术；活性污泥法、氧化沟法及其各类改型工艺；生物接触氧化法；序批式活性污泥法（SBR）；缺氧/好氧活性污泥法（A/O法）；厌氧-缺氧-好氧活性污泥法（A</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/O法）；膜生物反应器（MBR）法。</w:t>
            </w:r>
          </w:p>
        </w:tc>
        <w:tc>
          <w:tcPr>
            <w:tcW w:w="1547" w:type="dxa"/>
            <w:noWrap w:val="0"/>
            <w:vAlign w:val="center"/>
          </w:tcPr>
          <w:p w14:paraId="1339B832">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水解酸化、缺氧、生物接触氧化</w:t>
            </w:r>
          </w:p>
        </w:tc>
        <w:tc>
          <w:tcPr>
            <w:tcW w:w="1110" w:type="dxa"/>
            <w:noWrap w:val="0"/>
            <w:vAlign w:val="center"/>
          </w:tcPr>
          <w:p w14:paraId="5EB22CDC">
            <w:pPr>
              <w:pStyle w:val="32"/>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bl>
    <w:p w14:paraId="394016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由上表可知，本项目废水处理工艺属于《排污许可证申请与核发技术规范 农副食品加工工业-屠宰及肉类加工工业》（HJ860.3-2018）中可行技术。</w:t>
      </w:r>
    </w:p>
    <w:p w14:paraId="397430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（4）废水达标排放可行性分析</w:t>
      </w:r>
    </w:p>
    <w:p w14:paraId="177DA0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color w:val="auto"/>
          <w:lang w:val="en-US" w:eastAsia="zh-CN"/>
        </w:rPr>
        <w:t>本项目生活污水经化粪池收集，屠宰废水经厂区污水处理站处理后一起排至城区污水处理厂处理，达标排放情况见下表。</w:t>
      </w:r>
    </w:p>
    <w:p w14:paraId="46B44A6C">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imes New Roman" w:hAnsi="Times New Roman"/>
          <w:color w:val="auto"/>
        </w:rPr>
        <w:sectPr>
          <w:headerReference r:id="rId30"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278E98A5">
      <w:pPr>
        <w:pStyle w:val="34"/>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Cs/>
          <w:snapToGrid w:val="0"/>
          <w:color w:val="auto"/>
          <w:kern w:val="0"/>
          <w:sz w:val="21"/>
          <w:szCs w:val="21"/>
          <w:highlight w:val="none"/>
          <w:lang w:val="sq-AL"/>
        </w:rPr>
        <w:t>表6.2-</w:t>
      </w:r>
      <w:r>
        <w:rPr>
          <w:rFonts w:hint="eastAsia" w:ascii="Times New Roman" w:cs="Times New Roman"/>
          <w:bCs/>
          <w:snapToGrid w:val="0"/>
          <w:color w:val="auto"/>
          <w:kern w:val="0"/>
          <w:sz w:val="21"/>
          <w:szCs w:val="21"/>
          <w:highlight w:val="none"/>
          <w:lang w:val="en-US" w:eastAsia="zh-CN"/>
        </w:rPr>
        <w:t>4</w:t>
      </w:r>
      <w:r>
        <w:rPr>
          <w:rFonts w:hint="eastAsia" w:ascii="Times New Roman" w:hAnsi="Times New Roman" w:eastAsia="宋体" w:cs="Times New Roman"/>
          <w:bCs/>
          <w:snapToGrid w:val="0"/>
          <w:color w:val="auto"/>
          <w:kern w:val="0"/>
          <w:sz w:val="21"/>
          <w:szCs w:val="21"/>
          <w:highlight w:val="none"/>
          <w:lang w:val="en-US" w:eastAsia="zh-CN"/>
        </w:rPr>
        <w:t xml:space="preserve">            </w:t>
      </w:r>
      <w:r>
        <w:rPr>
          <w:rFonts w:hint="eastAsia" w:eastAsia="宋体" w:cs="Times New Roman"/>
          <w:bCs/>
          <w:snapToGrid w:val="0"/>
          <w:color w:val="auto"/>
          <w:kern w:val="0"/>
          <w:sz w:val="21"/>
          <w:szCs w:val="21"/>
          <w:highlight w:val="none"/>
          <w:lang w:val="en-US" w:eastAsia="zh-CN"/>
        </w:rPr>
        <w:t xml:space="preserve">                        </w:t>
      </w:r>
      <w:r>
        <w:rPr>
          <w:rFonts w:hint="eastAsia" w:ascii="Times New Roman" w:hAnsi="Times New Roman" w:eastAsia="宋体" w:cs="Times New Roman"/>
          <w:bCs/>
          <w:snapToGrid w:val="0"/>
          <w:color w:val="auto"/>
          <w:kern w:val="0"/>
          <w:sz w:val="21"/>
          <w:szCs w:val="21"/>
          <w:highlight w:val="none"/>
          <w:lang w:val="en-US" w:eastAsia="zh-CN"/>
        </w:rPr>
        <w:t xml:space="preserve">     </w:t>
      </w:r>
      <w:r>
        <w:rPr>
          <w:rFonts w:hint="default" w:ascii="Times New Roman" w:hAnsi="Times New Roman" w:cs="Times New Roman"/>
          <w:b/>
          <w:color w:val="auto"/>
          <w:sz w:val="24"/>
          <w:highlight w:val="none"/>
        </w:rPr>
        <w:t xml:space="preserve">  </w:t>
      </w:r>
      <w:r>
        <w:rPr>
          <w:rFonts w:hint="default" w:ascii="Times New Roman" w:hAnsi="Times New Roman" w:eastAsia="宋体" w:cs="Times New Roman"/>
          <w:b/>
          <w:snapToGrid w:val="0"/>
          <w:color w:val="auto"/>
          <w:kern w:val="0"/>
          <w:sz w:val="24"/>
          <w:highlight w:val="none"/>
        </w:rPr>
        <w:t>污染物浓度达标情况</w:t>
      </w:r>
    </w:p>
    <w:tbl>
      <w:tblPr>
        <w:tblStyle w:val="27"/>
        <w:tblW w:w="51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73"/>
        <w:gridCol w:w="1148"/>
        <w:gridCol w:w="1032"/>
        <w:gridCol w:w="874"/>
        <w:gridCol w:w="1054"/>
        <w:gridCol w:w="862"/>
        <w:gridCol w:w="1043"/>
        <w:gridCol w:w="842"/>
        <w:gridCol w:w="1652"/>
        <w:gridCol w:w="1780"/>
        <w:gridCol w:w="1337"/>
        <w:gridCol w:w="917"/>
      </w:tblGrid>
      <w:tr w14:paraId="6AD04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restart"/>
            <w:noWrap w:val="0"/>
            <w:vAlign w:val="center"/>
          </w:tcPr>
          <w:p w14:paraId="2BD80C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类别</w:t>
            </w:r>
          </w:p>
        </w:tc>
        <w:tc>
          <w:tcPr>
            <w:tcW w:w="873" w:type="dxa"/>
            <w:vMerge w:val="restart"/>
            <w:noWrap w:val="0"/>
            <w:vAlign w:val="center"/>
          </w:tcPr>
          <w:p w14:paraId="2E174F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废水量m</w:t>
            </w:r>
            <w:r>
              <w:rPr>
                <w:rFonts w:hint="default" w:ascii="Times New Roman" w:hAnsi="Times New Roman" w:cs="Times New Roman" w:eastAsiaTheme="minorEastAsia"/>
                <w:b/>
                <w:bCs/>
                <w:color w:val="auto"/>
                <w:kern w:val="0"/>
                <w:sz w:val="21"/>
                <w:szCs w:val="21"/>
                <w:vertAlign w:val="superscript"/>
              </w:rPr>
              <w:t>3</w:t>
            </w:r>
            <w:r>
              <w:rPr>
                <w:rFonts w:hint="default" w:ascii="Times New Roman" w:hAnsi="Times New Roman" w:cs="Times New Roman" w:eastAsiaTheme="minorEastAsia"/>
                <w:b/>
                <w:bCs/>
                <w:color w:val="auto"/>
                <w:kern w:val="0"/>
                <w:sz w:val="21"/>
                <w:szCs w:val="21"/>
              </w:rPr>
              <w:t>/a</w:t>
            </w:r>
          </w:p>
        </w:tc>
        <w:tc>
          <w:tcPr>
            <w:tcW w:w="1148" w:type="dxa"/>
            <w:vMerge w:val="restart"/>
            <w:noWrap w:val="0"/>
            <w:vAlign w:val="center"/>
          </w:tcPr>
          <w:p w14:paraId="1CF5851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w:t>
            </w:r>
          </w:p>
          <w:p w14:paraId="037EE5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名称</w:t>
            </w:r>
          </w:p>
        </w:tc>
        <w:tc>
          <w:tcPr>
            <w:tcW w:w="1906" w:type="dxa"/>
            <w:gridSpan w:val="2"/>
            <w:noWrap w:val="0"/>
            <w:vAlign w:val="center"/>
          </w:tcPr>
          <w:p w14:paraId="37B799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污染物产生量</w:t>
            </w:r>
          </w:p>
        </w:tc>
        <w:tc>
          <w:tcPr>
            <w:tcW w:w="1054" w:type="dxa"/>
            <w:vMerge w:val="restart"/>
            <w:noWrap w:val="0"/>
            <w:vAlign w:val="center"/>
          </w:tcPr>
          <w:p w14:paraId="22AAEF7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治理</w:t>
            </w:r>
          </w:p>
          <w:p w14:paraId="7A6BBE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措施</w:t>
            </w:r>
          </w:p>
        </w:tc>
        <w:tc>
          <w:tcPr>
            <w:tcW w:w="862" w:type="dxa"/>
            <w:vMerge w:val="restart"/>
            <w:noWrap w:val="0"/>
            <w:vAlign w:val="center"/>
          </w:tcPr>
          <w:p w14:paraId="1C325D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处理</w:t>
            </w:r>
          </w:p>
          <w:p w14:paraId="239AB8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b/>
                <w:bCs/>
                <w:color w:val="auto"/>
                <w:kern w:val="0"/>
                <w:sz w:val="21"/>
                <w:szCs w:val="21"/>
                <w:lang w:eastAsia="zh-CN"/>
              </w:rPr>
            </w:pPr>
            <w:r>
              <w:rPr>
                <w:rFonts w:hint="default" w:ascii="Times New Roman" w:hAnsi="Times New Roman" w:cs="Times New Roman" w:eastAsiaTheme="minorEastAsia"/>
                <w:b/>
                <w:bCs/>
                <w:color w:val="auto"/>
                <w:kern w:val="0"/>
                <w:sz w:val="21"/>
                <w:szCs w:val="21"/>
              </w:rPr>
              <w:t>效率</w:t>
            </w:r>
            <w:r>
              <w:rPr>
                <w:rFonts w:hint="eastAsia" w:cs="Times New Roman" w:eastAsiaTheme="minorEastAsia"/>
                <w:b/>
                <w:bCs/>
                <w:color w:val="auto"/>
                <w:kern w:val="0"/>
                <w:sz w:val="21"/>
                <w:szCs w:val="21"/>
                <w:lang w:eastAsia="zh-CN"/>
              </w:rPr>
              <w:t>（</w:t>
            </w:r>
            <w:r>
              <w:rPr>
                <w:rFonts w:hint="eastAsia" w:cs="Times New Roman" w:eastAsiaTheme="minorEastAsia"/>
                <w:b/>
                <w:bCs/>
                <w:color w:val="auto"/>
                <w:kern w:val="0"/>
                <w:sz w:val="21"/>
                <w:szCs w:val="21"/>
                <w:lang w:val="en-US" w:eastAsia="zh-CN"/>
              </w:rPr>
              <w:t>%</w:t>
            </w:r>
            <w:r>
              <w:rPr>
                <w:rFonts w:hint="eastAsia" w:cs="Times New Roman" w:eastAsiaTheme="minorEastAsia"/>
                <w:b/>
                <w:bCs/>
                <w:color w:val="auto"/>
                <w:kern w:val="0"/>
                <w:sz w:val="21"/>
                <w:szCs w:val="21"/>
                <w:lang w:eastAsia="zh-CN"/>
              </w:rPr>
              <w:t>）</w:t>
            </w:r>
          </w:p>
        </w:tc>
        <w:tc>
          <w:tcPr>
            <w:tcW w:w="1885" w:type="dxa"/>
            <w:gridSpan w:val="2"/>
            <w:noWrap w:val="0"/>
            <w:vAlign w:val="center"/>
          </w:tcPr>
          <w:p w14:paraId="5B4B355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污染物排放量</w:t>
            </w:r>
          </w:p>
        </w:tc>
        <w:tc>
          <w:tcPr>
            <w:tcW w:w="1652" w:type="dxa"/>
            <w:vMerge w:val="restart"/>
            <w:noWrap w:val="0"/>
            <w:vAlign w:val="center"/>
          </w:tcPr>
          <w:p w14:paraId="679DC6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《屠宰及肉类加工工业水污染物排放标准》（GB13457-2025）</w:t>
            </w:r>
          </w:p>
        </w:tc>
        <w:tc>
          <w:tcPr>
            <w:tcW w:w="1780" w:type="dxa"/>
            <w:vMerge w:val="restart"/>
            <w:noWrap w:val="0"/>
            <w:vAlign w:val="center"/>
          </w:tcPr>
          <w:p w14:paraId="4CF234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w:t>
            </w:r>
            <w:r>
              <w:rPr>
                <w:rFonts w:hint="default" w:ascii="Times New Roman" w:hAnsi="Times New Roman" w:cs="Times New Roman" w:eastAsiaTheme="minorEastAsia"/>
                <w:b/>
                <w:bCs/>
                <w:color w:val="auto"/>
                <w:kern w:val="0"/>
                <w:sz w:val="21"/>
                <w:szCs w:val="21"/>
                <w:lang w:eastAsia="zh-CN"/>
              </w:rPr>
              <w:t>污水排入城镇下水道水质</w:t>
            </w:r>
            <w:r>
              <w:rPr>
                <w:rFonts w:hint="default" w:ascii="Times New Roman" w:hAnsi="Times New Roman" w:cs="Times New Roman" w:eastAsiaTheme="minorEastAsia"/>
                <w:b/>
                <w:bCs/>
                <w:color w:val="auto"/>
                <w:kern w:val="0"/>
                <w:sz w:val="21"/>
                <w:szCs w:val="21"/>
              </w:rPr>
              <w:t>标准》（GB</w:t>
            </w:r>
            <w:r>
              <w:rPr>
                <w:rFonts w:hint="default" w:ascii="Times New Roman" w:hAnsi="Times New Roman" w:cs="Times New Roman" w:eastAsiaTheme="minorEastAsia"/>
                <w:b/>
                <w:bCs/>
                <w:color w:val="auto"/>
                <w:kern w:val="0"/>
                <w:sz w:val="21"/>
                <w:szCs w:val="21"/>
                <w:lang w:val="en-US" w:eastAsia="zh-CN"/>
              </w:rPr>
              <w:t>/T31962-2015</w:t>
            </w:r>
            <w:r>
              <w:rPr>
                <w:rFonts w:hint="default" w:ascii="Times New Roman" w:hAnsi="Times New Roman" w:cs="Times New Roman" w:eastAsiaTheme="minorEastAsia"/>
                <w:b/>
                <w:bCs/>
                <w:color w:val="auto"/>
                <w:kern w:val="0"/>
                <w:sz w:val="21"/>
                <w:szCs w:val="21"/>
              </w:rPr>
              <w:t>）</w:t>
            </w:r>
          </w:p>
        </w:tc>
        <w:tc>
          <w:tcPr>
            <w:tcW w:w="1337" w:type="dxa"/>
            <w:vMerge w:val="restart"/>
            <w:noWrap w:val="0"/>
            <w:vAlign w:val="center"/>
          </w:tcPr>
          <w:p w14:paraId="573054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《污水综合排放标准》（GB8978-1996）</w:t>
            </w:r>
          </w:p>
        </w:tc>
        <w:tc>
          <w:tcPr>
            <w:tcW w:w="917" w:type="dxa"/>
            <w:vMerge w:val="restart"/>
            <w:noWrap w:val="0"/>
            <w:vAlign w:val="center"/>
          </w:tcPr>
          <w:p w14:paraId="4F5D515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本项目废水排放标准</w:t>
            </w:r>
          </w:p>
        </w:tc>
      </w:tr>
      <w:tr w14:paraId="57DFD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0B675F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b/>
                <w:bCs/>
                <w:color w:val="auto"/>
                <w:kern w:val="0"/>
                <w:sz w:val="21"/>
                <w:szCs w:val="21"/>
              </w:rPr>
            </w:pPr>
          </w:p>
        </w:tc>
        <w:tc>
          <w:tcPr>
            <w:tcW w:w="873" w:type="dxa"/>
            <w:vMerge w:val="continue"/>
            <w:noWrap w:val="0"/>
            <w:vAlign w:val="center"/>
          </w:tcPr>
          <w:p w14:paraId="57D540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b/>
                <w:bCs/>
                <w:color w:val="auto"/>
                <w:kern w:val="0"/>
                <w:sz w:val="21"/>
                <w:szCs w:val="21"/>
              </w:rPr>
            </w:pPr>
          </w:p>
        </w:tc>
        <w:tc>
          <w:tcPr>
            <w:tcW w:w="1148" w:type="dxa"/>
            <w:vMerge w:val="continue"/>
            <w:noWrap w:val="0"/>
            <w:vAlign w:val="center"/>
          </w:tcPr>
          <w:p w14:paraId="5FB942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b/>
                <w:bCs/>
                <w:color w:val="auto"/>
                <w:kern w:val="0"/>
                <w:sz w:val="21"/>
                <w:szCs w:val="21"/>
              </w:rPr>
            </w:pPr>
          </w:p>
        </w:tc>
        <w:tc>
          <w:tcPr>
            <w:tcW w:w="1032" w:type="dxa"/>
            <w:noWrap w:val="0"/>
            <w:vAlign w:val="center"/>
          </w:tcPr>
          <w:p w14:paraId="22BE52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浓度（mg/L）</w:t>
            </w:r>
          </w:p>
        </w:tc>
        <w:tc>
          <w:tcPr>
            <w:tcW w:w="874" w:type="dxa"/>
            <w:noWrap w:val="0"/>
            <w:vAlign w:val="center"/>
          </w:tcPr>
          <w:p w14:paraId="6EC8B0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产生量（t/a）</w:t>
            </w:r>
          </w:p>
        </w:tc>
        <w:tc>
          <w:tcPr>
            <w:tcW w:w="1054" w:type="dxa"/>
            <w:vMerge w:val="continue"/>
            <w:noWrap w:val="0"/>
            <w:vAlign w:val="center"/>
          </w:tcPr>
          <w:p w14:paraId="6726B4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vMerge w:val="continue"/>
            <w:noWrap w:val="0"/>
            <w:vAlign w:val="center"/>
          </w:tcPr>
          <w:p w14:paraId="2AFD04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043" w:type="dxa"/>
            <w:noWrap w:val="0"/>
            <w:vAlign w:val="center"/>
          </w:tcPr>
          <w:p w14:paraId="713928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浓度（mg/L）</w:t>
            </w:r>
          </w:p>
        </w:tc>
        <w:tc>
          <w:tcPr>
            <w:tcW w:w="842" w:type="dxa"/>
            <w:noWrap w:val="0"/>
            <w:vAlign w:val="center"/>
          </w:tcPr>
          <w:p w14:paraId="0A8068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排放量（t/a）</w:t>
            </w:r>
          </w:p>
        </w:tc>
        <w:tc>
          <w:tcPr>
            <w:tcW w:w="1652" w:type="dxa"/>
            <w:vMerge w:val="continue"/>
            <w:noWrap w:val="0"/>
            <w:vAlign w:val="center"/>
          </w:tcPr>
          <w:p w14:paraId="13FBA05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780" w:type="dxa"/>
            <w:vMerge w:val="continue"/>
            <w:noWrap w:val="0"/>
            <w:vAlign w:val="center"/>
          </w:tcPr>
          <w:p w14:paraId="6CBB73B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337" w:type="dxa"/>
            <w:vMerge w:val="continue"/>
            <w:noWrap w:val="0"/>
            <w:vAlign w:val="center"/>
          </w:tcPr>
          <w:p w14:paraId="4A01DF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917" w:type="dxa"/>
            <w:vMerge w:val="continue"/>
            <w:noWrap w:val="0"/>
            <w:vAlign w:val="center"/>
          </w:tcPr>
          <w:p w14:paraId="4BA60D7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r>
      <w:tr w14:paraId="58187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restart"/>
            <w:noWrap w:val="0"/>
            <w:vAlign w:val="center"/>
          </w:tcPr>
          <w:p w14:paraId="710313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eastAsia" w:cs="Times New Roman" w:eastAsiaTheme="minorEastAsia"/>
                <w:snapToGrid w:val="0"/>
                <w:color w:val="auto"/>
                <w:kern w:val="0"/>
                <w:sz w:val="21"/>
                <w:szCs w:val="21"/>
                <w:lang w:val="en-US" w:eastAsia="zh-CN"/>
              </w:rPr>
              <w:t>生产</w:t>
            </w:r>
            <w:r>
              <w:rPr>
                <w:rFonts w:hint="default" w:ascii="Times New Roman" w:hAnsi="Times New Roman" w:cs="Times New Roman" w:eastAsiaTheme="minorEastAsia"/>
                <w:snapToGrid w:val="0"/>
                <w:color w:val="auto"/>
                <w:kern w:val="0"/>
                <w:sz w:val="21"/>
                <w:szCs w:val="21"/>
                <w:lang w:eastAsia="zh-CN"/>
              </w:rPr>
              <w:t>废水</w:t>
            </w:r>
          </w:p>
        </w:tc>
        <w:tc>
          <w:tcPr>
            <w:tcW w:w="873" w:type="dxa"/>
            <w:vMerge w:val="restart"/>
            <w:noWrap w:val="0"/>
            <w:vAlign w:val="center"/>
          </w:tcPr>
          <w:p w14:paraId="426F8BD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18407.88</w:t>
            </w:r>
          </w:p>
        </w:tc>
        <w:tc>
          <w:tcPr>
            <w:tcW w:w="1148" w:type="dxa"/>
            <w:noWrap w:val="0"/>
            <w:vAlign w:val="center"/>
          </w:tcPr>
          <w:p w14:paraId="10405A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pH（无量纲）</w:t>
            </w:r>
          </w:p>
        </w:tc>
        <w:tc>
          <w:tcPr>
            <w:tcW w:w="1032" w:type="dxa"/>
            <w:noWrap w:val="0"/>
            <w:vAlign w:val="center"/>
          </w:tcPr>
          <w:p w14:paraId="62F6D40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6.5~7.5</w:t>
            </w:r>
          </w:p>
        </w:tc>
        <w:tc>
          <w:tcPr>
            <w:tcW w:w="874" w:type="dxa"/>
            <w:noWrap w:val="0"/>
            <w:vAlign w:val="center"/>
          </w:tcPr>
          <w:p w14:paraId="3B4A29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4" w:type="dxa"/>
            <w:vMerge w:val="restart"/>
            <w:noWrap w:val="0"/>
            <w:vAlign w:val="center"/>
          </w:tcPr>
          <w:p w14:paraId="450293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r>
              <w:rPr>
                <w:rFonts w:hint="default" w:ascii="Times New Roman" w:hAnsi="Times New Roman" w:cs="Times New Roman" w:eastAsiaTheme="minorEastAsia"/>
                <w:color w:val="auto"/>
                <w:kern w:val="0"/>
                <w:sz w:val="21"/>
                <w:szCs w:val="21"/>
                <w:lang w:val="en-US"/>
              </w:rPr>
              <w:t>“格栅+调节池+隔油池+气浮+水解酸化+缺氧+生物接触氧化+二沉+消毒池（次氯酸钠消毒）”</w:t>
            </w:r>
          </w:p>
        </w:tc>
        <w:tc>
          <w:tcPr>
            <w:tcW w:w="862" w:type="dxa"/>
            <w:noWrap w:val="0"/>
            <w:vAlign w:val="center"/>
          </w:tcPr>
          <w:p w14:paraId="00FA86D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43" w:type="dxa"/>
            <w:noWrap w:val="0"/>
            <w:vAlign w:val="center"/>
          </w:tcPr>
          <w:p w14:paraId="6774E9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6.5~7.5</w:t>
            </w:r>
          </w:p>
        </w:tc>
        <w:tc>
          <w:tcPr>
            <w:tcW w:w="842" w:type="dxa"/>
            <w:noWrap w:val="0"/>
            <w:vAlign w:val="center"/>
          </w:tcPr>
          <w:p w14:paraId="50C36D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652" w:type="dxa"/>
            <w:shd w:val="clear" w:color="auto" w:fill="auto"/>
            <w:noWrap w:val="0"/>
            <w:vAlign w:val="center"/>
          </w:tcPr>
          <w:p w14:paraId="61961B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6~9</w:t>
            </w:r>
          </w:p>
        </w:tc>
        <w:tc>
          <w:tcPr>
            <w:tcW w:w="1780" w:type="dxa"/>
            <w:shd w:val="clear" w:color="auto" w:fill="auto"/>
            <w:noWrap w:val="0"/>
            <w:vAlign w:val="center"/>
          </w:tcPr>
          <w:p w14:paraId="3613B9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6.5~9.5</w:t>
            </w:r>
          </w:p>
        </w:tc>
        <w:tc>
          <w:tcPr>
            <w:tcW w:w="1337" w:type="dxa"/>
            <w:shd w:val="clear" w:color="auto" w:fill="auto"/>
            <w:noWrap w:val="0"/>
            <w:vAlign w:val="center"/>
          </w:tcPr>
          <w:p w14:paraId="618011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6~9</w:t>
            </w:r>
          </w:p>
        </w:tc>
        <w:tc>
          <w:tcPr>
            <w:tcW w:w="917" w:type="dxa"/>
            <w:shd w:val="clear" w:color="auto" w:fill="auto"/>
            <w:noWrap w:val="0"/>
            <w:vAlign w:val="center"/>
          </w:tcPr>
          <w:p w14:paraId="53CCE2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6.5~8.5</w:t>
            </w:r>
          </w:p>
        </w:tc>
      </w:tr>
      <w:tr w14:paraId="33F57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7A0B05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398EEE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p>
        </w:tc>
        <w:tc>
          <w:tcPr>
            <w:tcW w:w="1148" w:type="dxa"/>
            <w:noWrap w:val="0"/>
            <w:vAlign w:val="center"/>
          </w:tcPr>
          <w:p w14:paraId="755CBD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COD</w:t>
            </w:r>
          </w:p>
        </w:tc>
        <w:tc>
          <w:tcPr>
            <w:tcW w:w="1032" w:type="dxa"/>
            <w:noWrap w:val="0"/>
            <w:vAlign w:val="center"/>
          </w:tcPr>
          <w:p w14:paraId="6166FE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kern w:val="0"/>
                <w:sz w:val="21"/>
                <w:szCs w:val="21"/>
              </w:rPr>
              <w:t>000</w:t>
            </w:r>
          </w:p>
        </w:tc>
        <w:tc>
          <w:tcPr>
            <w:tcW w:w="874" w:type="dxa"/>
            <w:noWrap w:val="0"/>
            <w:vAlign w:val="center"/>
          </w:tcPr>
          <w:p w14:paraId="633D71B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36.82</w:t>
            </w:r>
          </w:p>
        </w:tc>
        <w:tc>
          <w:tcPr>
            <w:tcW w:w="1054" w:type="dxa"/>
            <w:vMerge w:val="continue"/>
            <w:noWrap w:val="0"/>
            <w:vAlign w:val="center"/>
          </w:tcPr>
          <w:p w14:paraId="758C032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p>
        </w:tc>
        <w:tc>
          <w:tcPr>
            <w:tcW w:w="862" w:type="dxa"/>
            <w:noWrap w:val="0"/>
            <w:vAlign w:val="center"/>
          </w:tcPr>
          <w:p w14:paraId="4BA88F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77</w:t>
            </w:r>
          </w:p>
        </w:tc>
        <w:tc>
          <w:tcPr>
            <w:tcW w:w="1043" w:type="dxa"/>
            <w:noWrap w:val="0"/>
            <w:vAlign w:val="center"/>
          </w:tcPr>
          <w:p w14:paraId="37F5CE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460</w:t>
            </w:r>
          </w:p>
        </w:tc>
        <w:tc>
          <w:tcPr>
            <w:tcW w:w="842" w:type="dxa"/>
            <w:noWrap w:val="0"/>
            <w:vAlign w:val="center"/>
          </w:tcPr>
          <w:p w14:paraId="5D5D9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8.469</w:t>
            </w:r>
          </w:p>
        </w:tc>
        <w:tc>
          <w:tcPr>
            <w:tcW w:w="1652" w:type="dxa"/>
            <w:noWrap w:val="0"/>
            <w:vAlign w:val="center"/>
          </w:tcPr>
          <w:p w14:paraId="0AA10AC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1780" w:type="dxa"/>
            <w:noWrap w:val="0"/>
            <w:vAlign w:val="center"/>
          </w:tcPr>
          <w:p w14:paraId="79A7E6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c>
          <w:tcPr>
            <w:tcW w:w="1337" w:type="dxa"/>
            <w:noWrap w:val="0"/>
            <w:vAlign w:val="center"/>
          </w:tcPr>
          <w:p w14:paraId="5028F4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917" w:type="dxa"/>
            <w:noWrap w:val="0"/>
            <w:vAlign w:val="center"/>
          </w:tcPr>
          <w:p w14:paraId="07E532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r>
      <w:tr w14:paraId="7434E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353DE2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6C7193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47585F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eastAsiaTheme="minorEastAsia"/>
                <w:color w:val="auto"/>
                <w:kern w:val="0"/>
                <w:sz w:val="21"/>
                <w:szCs w:val="21"/>
                <w:vertAlign w:val="subscript"/>
              </w:rPr>
              <w:t>5</w:t>
            </w:r>
          </w:p>
        </w:tc>
        <w:tc>
          <w:tcPr>
            <w:tcW w:w="1032" w:type="dxa"/>
            <w:noWrap w:val="0"/>
            <w:vAlign w:val="center"/>
          </w:tcPr>
          <w:p w14:paraId="42B8EF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0</w:t>
            </w:r>
            <w:r>
              <w:rPr>
                <w:rFonts w:hint="default" w:ascii="Times New Roman" w:hAnsi="Times New Roman" w:cs="Times New Roman" w:eastAsiaTheme="minorEastAsia"/>
                <w:color w:val="auto"/>
                <w:kern w:val="0"/>
                <w:sz w:val="21"/>
                <w:szCs w:val="21"/>
              </w:rPr>
              <w:t>00</w:t>
            </w:r>
          </w:p>
        </w:tc>
        <w:tc>
          <w:tcPr>
            <w:tcW w:w="874" w:type="dxa"/>
            <w:noWrap w:val="0"/>
            <w:vAlign w:val="center"/>
          </w:tcPr>
          <w:p w14:paraId="4A36C5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18.41</w:t>
            </w:r>
          </w:p>
        </w:tc>
        <w:tc>
          <w:tcPr>
            <w:tcW w:w="1054" w:type="dxa"/>
            <w:vMerge w:val="continue"/>
            <w:noWrap w:val="0"/>
            <w:vAlign w:val="center"/>
          </w:tcPr>
          <w:p w14:paraId="20607F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70598D5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78</w:t>
            </w:r>
          </w:p>
        </w:tc>
        <w:tc>
          <w:tcPr>
            <w:tcW w:w="1043" w:type="dxa"/>
            <w:noWrap w:val="0"/>
            <w:vAlign w:val="center"/>
          </w:tcPr>
          <w:p w14:paraId="70D721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842" w:type="dxa"/>
            <w:noWrap w:val="0"/>
            <w:vAlign w:val="center"/>
          </w:tcPr>
          <w:p w14:paraId="11B893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4.050</w:t>
            </w:r>
          </w:p>
        </w:tc>
        <w:tc>
          <w:tcPr>
            <w:tcW w:w="1652" w:type="dxa"/>
            <w:noWrap w:val="0"/>
            <w:vAlign w:val="center"/>
          </w:tcPr>
          <w:p w14:paraId="0822255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350</w:t>
            </w:r>
          </w:p>
        </w:tc>
        <w:tc>
          <w:tcPr>
            <w:tcW w:w="1780" w:type="dxa"/>
            <w:noWrap w:val="0"/>
            <w:vAlign w:val="center"/>
          </w:tcPr>
          <w:p w14:paraId="358760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350</w:t>
            </w:r>
          </w:p>
        </w:tc>
        <w:tc>
          <w:tcPr>
            <w:tcW w:w="1337" w:type="dxa"/>
            <w:noWrap w:val="0"/>
            <w:vAlign w:val="center"/>
          </w:tcPr>
          <w:p w14:paraId="457E9D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c>
          <w:tcPr>
            <w:tcW w:w="917" w:type="dxa"/>
            <w:noWrap w:val="0"/>
            <w:vAlign w:val="center"/>
          </w:tcPr>
          <w:p w14:paraId="64FBA5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r>
      <w:tr w14:paraId="7A6B9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6ED003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0D13E6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3E1727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SS</w:t>
            </w:r>
          </w:p>
        </w:tc>
        <w:tc>
          <w:tcPr>
            <w:tcW w:w="1032" w:type="dxa"/>
            <w:noWrap w:val="0"/>
            <w:vAlign w:val="center"/>
          </w:tcPr>
          <w:p w14:paraId="5705A5F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0</w:t>
            </w:r>
            <w:r>
              <w:rPr>
                <w:rFonts w:hint="default" w:ascii="Times New Roman" w:hAnsi="Times New Roman" w:cs="Times New Roman" w:eastAsiaTheme="minorEastAsia"/>
                <w:color w:val="auto"/>
                <w:kern w:val="0"/>
                <w:sz w:val="21"/>
                <w:szCs w:val="21"/>
              </w:rPr>
              <w:t>00</w:t>
            </w:r>
          </w:p>
        </w:tc>
        <w:tc>
          <w:tcPr>
            <w:tcW w:w="874" w:type="dxa"/>
            <w:noWrap w:val="0"/>
            <w:vAlign w:val="center"/>
          </w:tcPr>
          <w:p w14:paraId="5D06BC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18.41</w:t>
            </w:r>
          </w:p>
        </w:tc>
        <w:tc>
          <w:tcPr>
            <w:tcW w:w="1054" w:type="dxa"/>
            <w:vMerge w:val="continue"/>
            <w:noWrap w:val="0"/>
            <w:vAlign w:val="center"/>
          </w:tcPr>
          <w:p w14:paraId="308CD3A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6050E8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72</w:t>
            </w:r>
          </w:p>
        </w:tc>
        <w:tc>
          <w:tcPr>
            <w:tcW w:w="1043" w:type="dxa"/>
            <w:noWrap w:val="0"/>
            <w:vAlign w:val="center"/>
          </w:tcPr>
          <w:p w14:paraId="25C2FB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842" w:type="dxa"/>
            <w:noWrap w:val="0"/>
            <w:vAlign w:val="center"/>
          </w:tcPr>
          <w:p w14:paraId="13CCDE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5.155</w:t>
            </w:r>
          </w:p>
        </w:tc>
        <w:tc>
          <w:tcPr>
            <w:tcW w:w="1652" w:type="dxa"/>
            <w:noWrap w:val="0"/>
            <w:vAlign w:val="center"/>
          </w:tcPr>
          <w:p w14:paraId="37FABD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1780" w:type="dxa"/>
            <w:noWrap w:val="0"/>
            <w:vAlign w:val="center"/>
          </w:tcPr>
          <w:p w14:paraId="56E88A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400</w:t>
            </w:r>
          </w:p>
        </w:tc>
        <w:tc>
          <w:tcPr>
            <w:tcW w:w="1337" w:type="dxa"/>
            <w:noWrap w:val="0"/>
            <w:vAlign w:val="center"/>
          </w:tcPr>
          <w:p w14:paraId="5106C9D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917" w:type="dxa"/>
            <w:noWrap w:val="0"/>
            <w:vAlign w:val="center"/>
          </w:tcPr>
          <w:p w14:paraId="115B46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r>
      <w:tr w14:paraId="0FB09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58786E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44C1D87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6071F03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NH</w:t>
            </w:r>
            <w:r>
              <w:rPr>
                <w:rFonts w:hint="default" w:ascii="Times New Roman" w:hAnsi="Times New Roman" w:cs="Times New Roman" w:eastAsiaTheme="minorEastAsia"/>
                <w:color w:val="auto"/>
                <w:kern w:val="0"/>
                <w:sz w:val="21"/>
                <w:szCs w:val="21"/>
                <w:vertAlign w:val="subscript"/>
              </w:rPr>
              <w:t>3</w:t>
            </w:r>
            <w:r>
              <w:rPr>
                <w:rFonts w:hint="default" w:ascii="Times New Roman" w:hAnsi="Times New Roman" w:cs="Times New Roman" w:eastAsiaTheme="minorEastAsia"/>
                <w:color w:val="auto"/>
                <w:kern w:val="0"/>
                <w:sz w:val="21"/>
                <w:szCs w:val="21"/>
              </w:rPr>
              <w:t>-N</w:t>
            </w:r>
          </w:p>
        </w:tc>
        <w:tc>
          <w:tcPr>
            <w:tcW w:w="1032" w:type="dxa"/>
            <w:noWrap w:val="0"/>
            <w:vAlign w:val="center"/>
          </w:tcPr>
          <w:p w14:paraId="7BB927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1</w:t>
            </w:r>
            <w:r>
              <w:rPr>
                <w:rFonts w:hint="default" w:ascii="Times New Roman" w:hAnsi="Times New Roman" w:cs="Times New Roman" w:eastAsiaTheme="minorEastAsia"/>
                <w:color w:val="auto"/>
                <w:kern w:val="0"/>
                <w:sz w:val="21"/>
                <w:szCs w:val="21"/>
              </w:rPr>
              <w:t>50</w:t>
            </w:r>
          </w:p>
        </w:tc>
        <w:tc>
          <w:tcPr>
            <w:tcW w:w="874" w:type="dxa"/>
            <w:noWrap w:val="0"/>
            <w:vAlign w:val="center"/>
          </w:tcPr>
          <w:p w14:paraId="355348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3.76</w:t>
            </w:r>
          </w:p>
        </w:tc>
        <w:tc>
          <w:tcPr>
            <w:tcW w:w="1054" w:type="dxa"/>
            <w:vMerge w:val="continue"/>
            <w:noWrap w:val="0"/>
            <w:vAlign w:val="center"/>
          </w:tcPr>
          <w:p w14:paraId="25F81F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360E78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80</w:t>
            </w:r>
          </w:p>
        </w:tc>
        <w:tc>
          <w:tcPr>
            <w:tcW w:w="1043" w:type="dxa"/>
            <w:noWrap w:val="0"/>
            <w:vAlign w:val="center"/>
          </w:tcPr>
          <w:p w14:paraId="3F5A8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842" w:type="dxa"/>
            <w:noWrap w:val="0"/>
            <w:vAlign w:val="center"/>
          </w:tcPr>
          <w:p w14:paraId="5BE7F2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0.752</w:t>
            </w:r>
          </w:p>
        </w:tc>
        <w:tc>
          <w:tcPr>
            <w:tcW w:w="1652" w:type="dxa"/>
            <w:noWrap w:val="0"/>
            <w:vAlign w:val="center"/>
          </w:tcPr>
          <w:p w14:paraId="0FB8B2F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45</w:t>
            </w:r>
          </w:p>
        </w:tc>
        <w:tc>
          <w:tcPr>
            <w:tcW w:w="1780" w:type="dxa"/>
            <w:noWrap w:val="0"/>
            <w:vAlign w:val="center"/>
          </w:tcPr>
          <w:p w14:paraId="09A6AB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337" w:type="dxa"/>
            <w:noWrap w:val="0"/>
            <w:vAlign w:val="center"/>
          </w:tcPr>
          <w:p w14:paraId="0DF7BF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w:t>
            </w:r>
          </w:p>
        </w:tc>
        <w:tc>
          <w:tcPr>
            <w:tcW w:w="917" w:type="dxa"/>
            <w:noWrap w:val="0"/>
            <w:vAlign w:val="center"/>
          </w:tcPr>
          <w:p w14:paraId="250A38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r>
      <w:tr w14:paraId="1EFA3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3F227C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560E125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2874AC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动植物油</w:t>
            </w:r>
          </w:p>
        </w:tc>
        <w:tc>
          <w:tcPr>
            <w:tcW w:w="1032" w:type="dxa"/>
            <w:noWrap w:val="0"/>
            <w:vAlign w:val="center"/>
          </w:tcPr>
          <w:p w14:paraId="2B3AED5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20</w:t>
            </w:r>
            <w:r>
              <w:rPr>
                <w:rFonts w:hint="default" w:ascii="Times New Roman" w:hAnsi="Times New Roman" w:cs="Times New Roman" w:eastAsiaTheme="minorEastAsia"/>
                <w:color w:val="auto"/>
                <w:kern w:val="0"/>
                <w:sz w:val="21"/>
                <w:szCs w:val="21"/>
              </w:rPr>
              <w:t>0</w:t>
            </w:r>
          </w:p>
        </w:tc>
        <w:tc>
          <w:tcPr>
            <w:tcW w:w="874" w:type="dxa"/>
            <w:noWrap w:val="0"/>
            <w:vAlign w:val="center"/>
          </w:tcPr>
          <w:p w14:paraId="006745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3.68</w:t>
            </w:r>
          </w:p>
        </w:tc>
        <w:tc>
          <w:tcPr>
            <w:tcW w:w="1054" w:type="dxa"/>
            <w:vMerge w:val="continue"/>
            <w:noWrap w:val="0"/>
            <w:vAlign w:val="center"/>
          </w:tcPr>
          <w:p w14:paraId="705959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3FDCB9D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68</w:t>
            </w:r>
          </w:p>
        </w:tc>
        <w:tc>
          <w:tcPr>
            <w:tcW w:w="1043" w:type="dxa"/>
            <w:noWrap w:val="0"/>
            <w:vAlign w:val="center"/>
          </w:tcPr>
          <w:p w14:paraId="4BFCF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842" w:type="dxa"/>
            <w:noWrap w:val="0"/>
            <w:vAlign w:val="center"/>
          </w:tcPr>
          <w:p w14:paraId="497D4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1.178</w:t>
            </w:r>
          </w:p>
        </w:tc>
        <w:tc>
          <w:tcPr>
            <w:tcW w:w="1652" w:type="dxa"/>
            <w:noWrap w:val="0"/>
            <w:vAlign w:val="center"/>
          </w:tcPr>
          <w:p w14:paraId="0AEF4A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1780" w:type="dxa"/>
            <w:noWrap w:val="0"/>
            <w:vAlign w:val="center"/>
          </w:tcPr>
          <w:p w14:paraId="20F006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w:t>
            </w:r>
          </w:p>
        </w:tc>
        <w:tc>
          <w:tcPr>
            <w:tcW w:w="1337" w:type="dxa"/>
            <w:noWrap w:val="0"/>
            <w:vAlign w:val="center"/>
          </w:tcPr>
          <w:p w14:paraId="638BE9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917" w:type="dxa"/>
            <w:noWrap w:val="0"/>
            <w:vAlign w:val="center"/>
          </w:tcPr>
          <w:p w14:paraId="7CEF41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r>
      <w:tr w14:paraId="296F9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6E5C0A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23C9A05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130FB7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总磷</w:t>
            </w:r>
          </w:p>
        </w:tc>
        <w:tc>
          <w:tcPr>
            <w:tcW w:w="1032" w:type="dxa"/>
            <w:noWrap w:val="0"/>
            <w:vAlign w:val="center"/>
          </w:tcPr>
          <w:p w14:paraId="15E11D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54</w:t>
            </w:r>
          </w:p>
        </w:tc>
        <w:tc>
          <w:tcPr>
            <w:tcW w:w="874" w:type="dxa"/>
            <w:noWrap w:val="0"/>
            <w:vAlign w:val="center"/>
          </w:tcPr>
          <w:p w14:paraId="2DAF09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0.99</w:t>
            </w:r>
          </w:p>
        </w:tc>
        <w:tc>
          <w:tcPr>
            <w:tcW w:w="1054" w:type="dxa"/>
            <w:vMerge w:val="continue"/>
            <w:noWrap w:val="0"/>
            <w:vAlign w:val="center"/>
          </w:tcPr>
          <w:p w14:paraId="3CDBB73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10888B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88</w:t>
            </w:r>
          </w:p>
        </w:tc>
        <w:tc>
          <w:tcPr>
            <w:tcW w:w="1043" w:type="dxa"/>
            <w:noWrap w:val="0"/>
            <w:vAlign w:val="center"/>
          </w:tcPr>
          <w:p w14:paraId="1355B7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6.48</w:t>
            </w:r>
          </w:p>
        </w:tc>
        <w:tc>
          <w:tcPr>
            <w:tcW w:w="842" w:type="dxa"/>
            <w:noWrap w:val="0"/>
            <w:vAlign w:val="center"/>
          </w:tcPr>
          <w:p w14:paraId="52EEA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0.119</w:t>
            </w:r>
          </w:p>
        </w:tc>
        <w:tc>
          <w:tcPr>
            <w:tcW w:w="1652" w:type="dxa"/>
            <w:shd w:val="clear" w:color="auto" w:fill="auto"/>
            <w:noWrap w:val="0"/>
            <w:vAlign w:val="center"/>
          </w:tcPr>
          <w:p w14:paraId="4D242D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780" w:type="dxa"/>
            <w:shd w:val="clear" w:color="auto" w:fill="auto"/>
            <w:noWrap w:val="0"/>
            <w:vAlign w:val="center"/>
          </w:tcPr>
          <w:p w14:paraId="3496D3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337" w:type="dxa"/>
            <w:shd w:val="clear" w:color="auto" w:fill="auto"/>
            <w:noWrap w:val="0"/>
            <w:vAlign w:val="center"/>
          </w:tcPr>
          <w:p w14:paraId="7DCCE8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w:t>
            </w:r>
          </w:p>
        </w:tc>
        <w:tc>
          <w:tcPr>
            <w:tcW w:w="917" w:type="dxa"/>
            <w:shd w:val="clear" w:color="auto" w:fill="auto"/>
            <w:noWrap w:val="0"/>
            <w:vAlign w:val="center"/>
          </w:tcPr>
          <w:p w14:paraId="5EF81E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r>
      <w:tr w14:paraId="2CAA1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06B8947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3AD750D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57F062B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总氮</w:t>
            </w:r>
          </w:p>
        </w:tc>
        <w:tc>
          <w:tcPr>
            <w:tcW w:w="1032" w:type="dxa"/>
            <w:noWrap w:val="0"/>
            <w:vAlign w:val="center"/>
          </w:tcPr>
          <w:p w14:paraId="22DB96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245</w:t>
            </w:r>
          </w:p>
        </w:tc>
        <w:tc>
          <w:tcPr>
            <w:tcW w:w="874" w:type="dxa"/>
            <w:noWrap w:val="0"/>
            <w:vAlign w:val="center"/>
          </w:tcPr>
          <w:p w14:paraId="7E2FF1D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4.51</w:t>
            </w:r>
          </w:p>
        </w:tc>
        <w:tc>
          <w:tcPr>
            <w:tcW w:w="1054" w:type="dxa"/>
            <w:vMerge w:val="continue"/>
            <w:noWrap w:val="0"/>
            <w:vAlign w:val="center"/>
          </w:tcPr>
          <w:p w14:paraId="631D4E4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noWrap w:val="0"/>
            <w:vAlign w:val="center"/>
          </w:tcPr>
          <w:p w14:paraId="68C161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73</w:t>
            </w:r>
          </w:p>
        </w:tc>
        <w:tc>
          <w:tcPr>
            <w:tcW w:w="1043" w:type="dxa"/>
            <w:noWrap w:val="0"/>
            <w:vAlign w:val="center"/>
          </w:tcPr>
          <w:p w14:paraId="5492D3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66.15</w:t>
            </w:r>
          </w:p>
        </w:tc>
        <w:tc>
          <w:tcPr>
            <w:tcW w:w="842" w:type="dxa"/>
            <w:noWrap w:val="0"/>
            <w:vAlign w:val="center"/>
          </w:tcPr>
          <w:p w14:paraId="4E88F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1.218</w:t>
            </w:r>
          </w:p>
        </w:tc>
        <w:tc>
          <w:tcPr>
            <w:tcW w:w="1652" w:type="dxa"/>
            <w:shd w:val="clear" w:color="auto" w:fill="auto"/>
            <w:noWrap w:val="0"/>
            <w:vAlign w:val="center"/>
          </w:tcPr>
          <w:p w14:paraId="0D6052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780" w:type="dxa"/>
            <w:shd w:val="clear" w:color="auto" w:fill="auto"/>
            <w:noWrap w:val="0"/>
            <w:vAlign w:val="center"/>
          </w:tcPr>
          <w:p w14:paraId="2EEC55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337" w:type="dxa"/>
            <w:shd w:val="clear" w:color="auto" w:fill="auto"/>
            <w:noWrap w:val="0"/>
            <w:vAlign w:val="center"/>
          </w:tcPr>
          <w:p w14:paraId="0E4027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w:t>
            </w:r>
          </w:p>
        </w:tc>
        <w:tc>
          <w:tcPr>
            <w:tcW w:w="917" w:type="dxa"/>
            <w:shd w:val="clear" w:color="auto" w:fill="auto"/>
            <w:noWrap w:val="0"/>
            <w:vAlign w:val="center"/>
          </w:tcPr>
          <w:p w14:paraId="5CF64F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r>
      <w:tr w14:paraId="262DA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restart"/>
            <w:noWrap w:val="0"/>
            <w:vAlign w:val="center"/>
          </w:tcPr>
          <w:p w14:paraId="305FA31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生活污水</w:t>
            </w:r>
          </w:p>
        </w:tc>
        <w:tc>
          <w:tcPr>
            <w:tcW w:w="873" w:type="dxa"/>
            <w:vMerge w:val="restart"/>
            <w:noWrap w:val="0"/>
            <w:vAlign w:val="center"/>
          </w:tcPr>
          <w:p w14:paraId="3558577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520</w:t>
            </w:r>
          </w:p>
        </w:tc>
        <w:tc>
          <w:tcPr>
            <w:tcW w:w="1148" w:type="dxa"/>
            <w:noWrap w:val="0"/>
            <w:vAlign w:val="center"/>
          </w:tcPr>
          <w:p w14:paraId="0CB153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COD</w:t>
            </w:r>
          </w:p>
        </w:tc>
        <w:tc>
          <w:tcPr>
            <w:tcW w:w="1032" w:type="dxa"/>
            <w:noWrap w:val="0"/>
            <w:vAlign w:val="center"/>
          </w:tcPr>
          <w:p w14:paraId="44B2C4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400</w:t>
            </w:r>
          </w:p>
        </w:tc>
        <w:tc>
          <w:tcPr>
            <w:tcW w:w="874" w:type="dxa"/>
            <w:shd w:val="clear" w:color="auto" w:fill="auto"/>
            <w:noWrap w:val="0"/>
            <w:vAlign w:val="center"/>
          </w:tcPr>
          <w:p w14:paraId="4505B5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0.208</w:t>
            </w:r>
          </w:p>
        </w:tc>
        <w:tc>
          <w:tcPr>
            <w:tcW w:w="1054" w:type="dxa"/>
            <w:vMerge w:val="restart"/>
            <w:noWrap w:val="0"/>
            <w:vAlign w:val="center"/>
          </w:tcPr>
          <w:p w14:paraId="6D7A13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化粪池</w:t>
            </w:r>
          </w:p>
        </w:tc>
        <w:tc>
          <w:tcPr>
            <w:tcW w:w="862" w:type="dxa"/>
            <w:shd w:val="clear" w:color="auto" w:fill="auto"/>
            <w:noWrap w:val="0"/>
            <w:vAlign w:val="center"/>
          </w:tcPr>
          <w:p w14:paraId="35B1F3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15</w:t>
            </w:r>
          </w:p>
        </w:tc>
        <w:tc>
          <w:tcPr>
            <w:tcW w:w="1043" w:type="dxa"/>
            <w:noWrap w:val="0"/>
            <w:vAlign w:val="center"/>
          </w:tcPr>
          <w:p w14:paraId="74372A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340</w:t>
            </w:r>
          </w:p>
        </w:tc>
        <w:tc>
          <w:tcPr>
            <w:tcW w:w="842" w:type="dxa"/>
            <w:noWrap w:val="0"/>
            <w:vAlign w:val="center"/>
          </w:tcPr>
          <w:p w14:paraId="7CB108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0.177</w:t>
            </w:r>
          </w:p>
        </w:tc>
        <w:tc>
          <w:tcPr>
            <w:tcW w:w="1652" w:type="dxa"/>
            <w:shd w:val="clear" w:color="auto" w:fill="auto"/>
            <w:noWrap w:val="0"/>
            <w:vAlign w:val="center"/>
          </w:tcPr>
          <w:p w14:paraId="45A92F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1780" w:type="dxa"/>
            <w:shd w:val="clear" w:color="auto" w:fill="auto"/>
            <w:noWrap w:val="0"/>
            <w:vAlign w:val="center"/>
          </w:tcPr>
          <w:p w14:paraId="584820F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c>
          <w:tcPr>
            <w:tcW w:w="1337" w:type="dxa"/>
            <w:shd w:val="clear" w:color="auto" w:fill="auto"/>
            <w:noWrap w:val="0"/>
            <w:vAlign w:val="center"/>
          </w:tcPr>
          <w:p w14:paraId="4E1CF2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917" w:type="dxa"/>
            <w:shd w:val="clear" w:color="auto" w:fill="auto"/>
            <w:noWrap w:val="0"/>
            <w:vAlign w:val="center"/>
          </w:tcPr>
          <w:p w14:paraId="289211F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r>
      <w:tr w14:paraId="6552F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300A7A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6EBC4A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03CA993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eastAsiaTheme="minorEastAsia"/>
                <w:color w:val="auto"/>
                <w:kern w:val="0"/>
                <w:sz w:val="21"/>
                <w:szCs w:val="21"/>
                <w:vertAlign w:val="subscript"/>
              </w:rPr>
              <w:t>5</w:t>
            </w:r>
          </w:p>
        </w:tc>
        <w:tc>
          <w:tcPr>
            <w:tcW w:w="1032" w:type="dxa"/>
            <w:noWrap w:val="0"/>
            <w:vAlign w:val="center"/>
          </w:tcPr>
          <w:p w14:paraId="59BE08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300</w:t>
            </w:r>
          </w:p>
        </w:tc>
        <w:tc>
          <w:tcPr>
            <w:tcW w:w="874" w:type="dxa"/>
            <w:shd w:val="clear" w:color="auto" w:fill="auto"/>
            <w:noWrap w:val="0"/>
            <w:vAlign w:val="center"/>
          </w:tcPr>
          <w:p w14:paraId="486602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0.156</w:t>
            </w:r>
          </w:p>
        </w:tc>
        <w:tc>
          <w:tcPr>
            <w:tcW w:w="1054" w:type="dxa"/>
            <w:vMerge w:val="continue"/>
            <w:noWrap w:val="0"/>
            <w:vAlign w:val="center"/>
          </w:tcPr>
          <w:p w14:paraId="3E762C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shd w:val="clear" w:color="auto" w:fill="auto"/>
            <w:noWrap w:val="0"/>
            <w:vAlign w:val="center"/>
          </w:tcPr>
          <w:p w14:paraId="3B9F8D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9</w:t>
            </w:r>
          </w:p>
        </w:tc>
        <w:tc>
          <w:tcPr>
            <w:tcW w:w="1043" w:type="dxa"/>
            <w:noWrap w:val="0"/>
            <w:vAlign w:val="center"/>
          </w:tcPr>
          <w:p w14:paraId="49CAD4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273</w:t>
            </w:r>
          </w:p>
        </w:tc>
        <w:tc>
          <w:tcPr>
            <w:tcW w:w="842" w:type="dxa"/>
            <w:noWrap w:val="0"/>
            <w:vAlign w:val="center"/>
          </w:tcPr>
          <w:p w14:paraId="534ABA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0.142</w:t>
            </w:r>
          </w:p>
        </w:tc>
        <w:tc>
          <w:tcPr>
            <w:tcW w:w="1652" w:type="dxa"/>
            <w:shd w:val="clear" w:color="auto" w:fill="auto"/>
            <w:noWrap w:val="0"/>
            <w:vAlign w:val="center"/>
          </w:tcPr>
          <w:p w14:paraId="3F25C5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350</w:t>
            </w:r>
          </w:p>
        </w:tc>
        <w:tc>
          <w:tcPr>
            <w:tcW w:w="1780" w:type="dxa"/>
            <w:shd w:val="clear" w:color="auto" w:fill="auto"/>
            <w:noWrap w:val="0"/>
            <w:vAlign w:val="center"/>
          </w:tcPr>
          <w:p w14:paraId="207A20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350</w:t>
            </w:r>
          </w:p>
        </w:tc>
        <w:tc>
          <w:tcPr>
            <w:tcW w:w="1337" w:type="dxa"/>
            <w:shd w:val="clear" w:color="auto" w:fill="auto"/>
            <w:noWrap w:val="0"/>
            <w:vAlign w:val="center"/>
          </w:tcPr>
          <w:p w14:paraId="2B1519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c>
          <w:tcPr>
            <w:tcW w:w="917" w:type="dxa"/>
            <w:shd w:val="clear" w:color="auto" w:fill="auto"/>
            <w:noWrap w:val="0"/>
            <w:vAlign w:val="center"/>
          </w:tcPr>
          <w:p w14:paraId="243B71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r>
      <w:tr w14:paraId="5F5C5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39BE387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5E4DB7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2BB202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SS</w:t>
            </w:r>
          </w:p>
        </w:tc>
        <w:tc>
          <w:tcPr>
            <w:tcW w:w="1032" w:type="dxa"/>
            <w:noWrap w:val="0"/>
            <w:vAlign w:val="center"/>
          </w:tcPr>
          <w:p w14:paraId="5C8D93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200</w:t>
            </w:r>
          </w:p>
        </w:tc>
        <w:tc>
          <w:tcPr>
            <w:tcW w:w="874" w:type="dxa"/>
            <w:shd w:val="clear" w:color="auto" w:fill="auto"/>
            <w:noWrap w:val="0"/>
            <w:vAlign w:val="center"/>
          </w:tcPr>
          <w:p w14:paraId="29BFFA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0.104</w:t>
            </w:r>
          </w:p>
        </w:tc>
        <w:tc>
          <w:tcPr>
            <w:tcW w:w="1054" w:type="dxa"/>
            <w:vMerge w:val="continue"/>
            <w:noWrap w:val="0"/>
            <w:vAlign w:val="center"/>
          </w:tcPr>
          <w:p w14:paraId="2ADA15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shd w:val="clear" w:color="auto" w:fill="auto"/>
            <w:noWrap w:val="0"/>
            <w:vAlign w:val="center"/>
          </w:tcPr>
          <w:p w14:paraId="592908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30</w:t>
            </w:r>
          </w:p>
        </w:tc>
        <w:tc>
          <w:tcPr>
            <w:tcW w:w="1043" w:type="dxa"/>
            <w:noWrap w:val="0"/>
            <w:vAlign w:val="center"/>
          </w:tcPr>
          <w:p w14:paraId="688638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140</w:t>
            </w:r>
          </w:p>
        </w:tc>
        <w:tc>
          <w:tcPr>
            <w:tcW w:w="842" w:type="dxa"/>
            <w:noWrap w:val="0"/>
            <w:vAlign w:val="center"/>
          </w:tcPr>
          <w:p w14:paraId="79960B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0.073</w:t>
            </w:r>
          </w:p>
        </w:tc>
        <w:tc>
          <w:tcPr>
            <w:tcW w:w="1652" w:type="dxa"/>
            <w:shd w:val="clear" w:color="auto" w:fill="auto"/>
            <w:noWrap w:val="0"/>
            <w:vAlign w:val="center"/>
          </w:tcPr>
          <w:p w14:paraId="46A6D3E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1780" w:type="dxa"/>
            <w:shd w:val="clear" w:color="auto" w:fill="auto"/>
            <w:noWrap w:val="0"/>
            <w:vAlign w:val="center"/>
          </w:tcPr>
          <w:p w14:paraId="752BE30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400</w:t>
            </w:r>
          </w:p>
        </w:tc>
        <w:tc>
          <w:tcPr>
            <w:tcW w:w="1337" w:type="dxa"/>
            <w:shd w:val="clear" w:color="auto" w:fill="auto"/>
            <w:noWrap w:val="0"/>
            <w:vAlign w:val="center"/>
          </w:tcPr>
          <w:p w14:paraId="7C143C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917" w:type="dxa"/>
            <w:shd w:val="clear" w:color="auto" w:fill="auto"/>
            <w:noWrap w:val="0"/>
            <w:vAlign w:val="center"/>
          </w:tcPr>
          <w:p w14:paraId="668149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r>
      <w:tr w14:paraId="708A8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7325DC5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2D29346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33CE8E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NH</w:t>
            </w:r>
            <w:r>
              <w:rPr>
                <w:rFonts w:hint="default" w:ascii="Times New Roman" w:hAnsi="Times New Roman" w:cs="Times New Roman" w:eastAsiaTheme="minorEastAsia"/>
                <w:color w:val="auto"/>
                <w:kern w:val="0"/>
                <w:sz w:val="21"/>
                <w:szCs w:val="21"/>
                <w:vertAlign w:val="subscript"/>
              </w:rPr>
              <w:t>3</w:t>
            </w:r>
            <w:r>
              <w:rPr>
                <w:rFonts w:hint="default" w:ascii="Times New Roman" w:hAnsi="Times New Roman" w:cs="Times New Roman" w:eastAsiaTheme="minorEastAsia"/>
                <w:color w:val="auto"/>
                <w:kern w:val="0"/>
                <w:sz w:val="21"/>
                <w:szCs w:val="21"/>
              </w:rPr>
              <w:t>-N</w:t>
            </w:r>
          </w:p>
        </w:tc>
        <w:tc>
          <w:tcPr>
            <w:tcW w:w="1032" w:type="dxa"/>
            <w:noWrap w:val="0"/>
            <w:vAlign w:val="center"/>
          </w:tcPr>
          <w:p w14:paraId="43FD5E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3</w:t>
            </w:r>
            <w:r>
              <w:rPr>
                <w:rFonts w:hint="default" w:ascii="Times New Roman" w:hAnsi="Times New Roman" w:eastAsia="宋体" w:cs="Times New Roman"/>
                <w:snapToGrid w:val="0"/>
                <w:color w:val="auto"/>
                <w:kern w:val="0"/>
                <w:sz w:val="21"/>
                <w:szCs w:val="21"/>
                <w:lang w:val="en-US" w:eastAsia="zh-CN"/>
              </w:rPr>
              <w:t>5</w:t>
            </w:r>
          </w:p>
        </w:tc>
        <w:tc>
          <w:tcPr>
            <w:tcW w:w="874" w:type="dxa"/>
            <w:shd w:val="clear" w:color="auto" w:fill="auto"/>
            <w:noWrap w:val="0"/>
            <w:vAlign w:val="center"/>
          </w:tcPr>
          <w:p w14:paraId="4DD58E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0.018</w:t>
            </w:r>
          </w:p>
        </w:tc>
        <w:tc>
          <w:tcPr>
            <w:tcW w:w="1054" w:type="dxa"/>
            <w:vMerge w:val="continue"/>
            <w:noWrap w:val="0"/>
            <w:vAlign w:val="center"/>
          </w:tcPr>
          <w:p w14:paraId="5DC3D03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shd w:val="clear" w:color="auto" w:fill="auto"/>
            <w:noWrap w:val="0"/>
            <w:vAlign w:val="center"/>
          </w:tcPr>
          <w:p w14:paraId="1AAA51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3</w:t>
            </w:r>
          </w:p>
        </w:tc>
        <w:tc>
          <w:tcPr>
            <w:tcW w:w="1043" w:type="dxa"/>
            <w:noWrap w:val="0"/>
            <w:vAlign w:val="center"/>
          </w:tcPr>
          <w:p w14:paraId="5AF095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33.95</w:t>
            </w:r>
          </w:p>
        </w:tc>
        <w:tc>
          <w:tcPr>
            <w:tcW w:w="842" w:type="dxa"/>
            <w:noWrap w:val="0"/>
            <w:vAlign w:val="center"/>
          </w:tcPr>
          <w:p w14:paraId="5CD862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0.018</w:t>
            </w:r>
          </w:p>
        </w:tc>
        <w:tc>
          <w:tcPr>
            <w:tcW w:w="1652" w:type="dxa"/>
            <w:shd w:val="clear" w:color="auto" w:fill="auto"/>
            <w:noWrap w:val="0"/>
            <w:vAlign w:val="center"/>
          </w:tcPr>
          <w:p w14:paraId="6BD1A4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780" w:type="dxa"/>
            <w:shd w:val="clear" w:color="auto" w:fill="auto"/>
            <w:noWrap w:val="0"/>
            <w:vAlign w:val="center"/>
          </w:tcPr>
          <w:p w14:paraId="2FF73E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337" w:type="dxa"/>
            <w:shd w:val="clear" w:color="auto" w:fill="auto"/>
            <w:noWrap w:val="0"/>
            <w:vAlign w:val="center"/>
          </w:tcPr>
          <w:p w14:paraId="0F339E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p>
        </w:tc>
        <w:tc>
          <w:tcPr>
            <w:tcW w:w="917" w:type="dxa"/>
            <w:shd w:val="clear" w:color="auto" w:fill="auto"/>
            <w:noWrap w:val="0"/>
            <w:vAlign w:val="center"/>
          </w:tcPr>
          <w:p w14:paraId="54C518C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r>
      <w:tr w14:paraId="55DFB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0B1F7B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49273DF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48" w:type="dxa"/>
            <w:noWrap w:val="0"/>
            <w:vAlign w:val="center"/>
          </w:tcPr>
          <w:p w14:paraId="5D6FBD5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动植物油</w:t>
            </w:r>
          </w:p>
        </w:tc>
        <w:tc>
          <w:tcPr>
            <w:tcW w:w="1032" w:type="dxa"/>
            <w:noWrap w:val="0"/>
            <w:vAlign w:val="center"/>
          </w:tcPr>
          <w:p w14:paraId="144D0A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40</w:t>
            </w:r>
          </w:p>
        </w:tc>
        <w:tc>
          <w:tcPr>
            <w:tcW w:w="874" w:type="dxa"/>
            <w:shd w:val="clear" w:color="auto" w:fill="auto"/>
            <w:noWrap w:val="0"/>
            <w:vAlign w:val="center"/>
          </w:tcPr>
          <w:p w14:paraId="35C890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0.02</w:t>
            </w:r>
            <w:r>
              <w:rPr>
                <w:rFonts w:hint="eastAsia" w:eastAsia="宋体" w:cs="Times New Roman"/>
                <w:snapToGrid w:val="0"/>
                <w:color w:val="auto"/>
                <w:kern w:val="0"/>
                <w:sz w:val="21"/>
                <w:szCs w:val="21"/>
                <w:lang w:val="en-US" w:eastAsia="zh-CN"/>
              </w:rPr>
              <w:t>08</w:t>
            </w:r>
          </w:p>
        </w:tc>
        <w:tc>
          <w:tcPr>
            <w:tcW w:w="1054" w:type="dxa"/>
            <w:vMerge w:val="continue"/>
            <w:noWrap w:val="0"/>
            <w:vAlign w:val="center"/>
          </w:tcPr>
          <w:p w14:paraId="1A1020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shd w:val="clear" w:color="auto" w:fill="auto"/>
            <w:noWrap w:val="0"/>
            <w:vAlign w:val="center"/>
          </w:tcPr>
          <w:p w14:paraId="4F7360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eastAsia="宋体" w:cs="Times New Roman"/>
                <w:snapToGrid w:val="0"/>
                <w:color w:val="auto"/>
                <w:kern w:val="0"/>
                <w:sz w:val="21"/>
                <w:szCs w:val="21"/>
                <w:lang w:val="en-US" w:eastAsia="zh-CN"/>
              </w:rPr>
              <w:t>30</w:t>
            </w:r>
          </w:p>
        </w:tc>
        <w:tc>
          <w:tcPr>
            <w:tcW w:w="1043" w:type="dxa"/>
            <w:noWrap w:val="0"/>
            <w:vAlign w:val="center"/>
          </w:tcPr>
          <w:p w14:paraId="492D06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28</w:t>
            </w:r>
          </w:p>
        </w:tc>
        <w:tc>
          <w:tcPr>
            <w:tcW w:w="842" w:type="dxa"/>
            <w:noWrap w:val="0"/>
            <w:vAlign w:val="center"/>
          </w:tcPr>
          <w:p w14:paraId="3122F4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0.015</w:t>
            </w:r>
          </w:p>
        </w:tc>
        <w:tc>
          <w:tcPr>
            <w:tcW w:w="1652" w:type="dxa"/>
            <w:shd w:val="clear" w:color="auto" w:fill="auto"/>
            <w:noWrap w:val="0"/>
            <w:vAlign w:val="center"/>
          </w:tcPr>
          <w:p w14:paraId="47ED7D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1780" w:type="dxa"/>
            <w:shd w:val="clear" w:color="auto" w:fill="auto"/>
            <w:noWrap w:val="0"/>
            <w:vAlign w:val="center"/>
          </w:tcPr>
          <w:p w14:paraId="563FE9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w:t>
            </w:r>
          </w:p>
        </w:tc>
        <w:tc>
          <w:tcPr>
            <w:tcW w:w="1337" w:type="dxa"/>
            <w:shd w:val="clear" w:color="auto" w:fill="auto"/>
            <w:noWrap w:val="0"/>
            <w:vAlign w:val="center"/>
          </w:tcPr>
          <w:p w14:paraId="78DE10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917" w:type="dxa"/>
            <w:shd w:val="clear" w:color="auto" w:fill="auto"/>
            <w:noWrap w:val="0"/>
            <w:vAlign w:val="center"/>
          </w:tcPr>
          <w:p w14:paraId="4B87851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r>
      <w:tr w14:paraId="193E3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restart"/>
            <w:shd w:val="clear" w:color="auto" w:fill="auto"/>
            <w:noWrap w:val="0"/>
            <w:vAlign w:val="center"/>
          </w:tcPr>
          <w:p w14:paraId="14E4CE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全厂废水</w:t>
            </w:r>
          </w:p>
        </w:tc>
        <w:tc>
          <w:tcPr>
            <w:tcW w:w="873" w:type="dxa"/>
            <w:vMerge w:val="restart"/>
            <w:shd w:val="clear" w:color="auto" w:fill="auto"/>
            <w:noWrap w:val="0"/>
            <w:vAlign w:val="center"/>
          </w:tcPr>
          <w:p w14:paraId="7F6D69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18927.88</w:t>
            </w:r>
          </w:p>
        </w:tc>
        <w:tc>
          <w:tcPr>
            <w:tcW w:w="1148" w:type="dxa"/>
            <w:shd w:val="clear" w:color="auto" w:fill="auto"/>
            <w:noWrap w:val="0"/>
            <w:vAlign w:val="center"/>
          </w:tcPr>
          <w:p w14:paraId="5DD023A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pH（无量纲）</w:t>
            </w:r>
          </w:p>
        </w:tc>
        <w:tc>
          <w:tcPr>
            <w:tcW w:w="1032" w:type="dxa"/>
            <w:shd w:val="clear" w:color="auto" w:fill="auto"/>
            <w:noWrap w:val="0"/>
            <w:vAlign w:val="center"/>
          </w:tcPr>
          <w:p w14:paraId="24A1F2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6.5~7.5</w:t>
            </w:r>
          </w:p>
        </w:tc>
        <w:tc>
          <w:tcPr>
            <w:tcW w:w="874" w:type="dxa"/>
            <w:shd w:val="clear" w:color="auto" w:fill="auto"/>
            <w:noWrap w:val="0"/>
            <w:vAlign w:val="center"/>
          </w:tcPr>
          <w:p w14:paraId="1D73C11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054" w:type="dxa"/>
            <w:vMerge w:val="restart"/>
            <w:shd w:val="clear" w:color="auto" w:fill="auto"/>
            <w:noWrap w:val="0"/>
            <w:vAlign w:val="center"/>
          </w:tcPr>
          <w:p w14:paraId="05FDB0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862" w:type="dxa"/>
            <w:shd w:val="clear" w:color="auto" w:fill="auto"/>
            <w:noWrap w:val="0"/>
            <w:vAlign w:val="center"/>
          </w:tcPr>
          <w:p w14:paraId="1F16EE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w:t>
            </w:r>
          </w:p>
        </w:tc>
        <w:tc>
          <w:tcPr>
            <w:tcW w:w="1043" w:type="dxa"/>
            <w:shd w:val="clear" w:color="auto" w:fill="auto"/>
            <w:noWrap w:val="0"/>
            <w:vAlign w:val="center"/>
          </w:tcPr>
          <w:p w14:paraId="164B855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6.5~7.5</w:t>
            </w:r>
          </w:p>
        </w:tc>
        <w:tc>
          <w:tcPr>
            <w:tcW w:w="842" w:type="dxa"/>
            <w:shd w:val="clear" w:color="auto" w:fill="auto"/>
            <w:noWrap w:val="0"/>
            <w:vAlign w:val="center"/>
          </w:tcPr>
          <w:p w14:paraId="6E0DB2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652" w:type="dxa"/>
            <w:shd w:val="clear" w:color="auto" w:fill="auto"/>
            <w:noWrap w:val="0"/>
            <w:vAlign w:val="center"/>
          </w:tcPr>
          <w:p w14:paraId="5CD85B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6~9</w:t>
            </w:r>
          </w:p>
        </w:tc>
        <w:tc>
          <w:tcPr>
            <w:tcW w:w="1780" w:type="dxa"/>
            <w:shd w:val="clear" w:color="auto" w:fill="auto"/>
            <w:noWrap w:val="0"/>
            <w:vAlign w:val="center"/>
          </w:tcPr>
          <w:p w14:paraId="28A394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6.5~9.5</w:t>
            </w:r>
          </w:p>
        </w:tc>
        <w:tc>
          <w:tcPr>
            <w:tcW w:w="1337" w:type="dxa"/>
            <w:shd w:val="clear" w:color="auto" w:fill="auto"/>
            <w:noWrap w:val="0"/>
            <w:vAlign w:val="center"/>
          </w:tcPr>
          <w:p w14:paraId="4493C3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6~9</w:t>
            </w:r>
          </w:p>
        </w:tc>
        <w:tc>
          <w:tcPr>
            <w:tcW w:w="917" w:type="dxa"/>
            <w:shd w:val="clear" w:color="auto" w:fill="auto"/>
            <w:noWrap w:val="0"/>
            <w:vAlign w:val="center"/>
          </w:tcPr>
          <w:p w14:paraId="2EDD44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6.5~8.5</w:t>
            </w:r>
          </w:p>
        </w:tc>
      </w:tr>
      <w:tr w14:paraId="124BD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noWrap w:val="0"/>
            <w:vAlign w:val="center"/>
          </w:tcPr>
          <w:p w14:paraId="00A7A8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73" w:type="dxa"/>
            <w:vMerge w:val="continue"/>
            <w:noWrap w:val="0"/>
            <w:vAlign w:val="center"/>
          </w:tcPr>
          <w:p w14:paraId="1C7EB20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1148" w:type="dxa"/>
            <w:shd w:val="clear" w:color="auto" w:fill="auto"/>
            <w:noWrap w:val="0"/>
            <w:vAlign w:val="center"/>
          </w:tcPr>
          <w:p w14:paraId="19D718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COD</w:t>
            </w:r>
          </w:p>
        </w:tc>
        <w:tc>
          <w:tcPr>
            <w:tcW w:w="1032" w:type="dxa"/>
            <w:shd w:val="clear" w:color="auto" w:fill="auto"/>
            <w:noWrap w:val="0"/>
            <w:vAlign w:val="center"/>
          </w:tcPr>
          <w:p w14:paraId="1FD9E77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1956.27</w:t>
            </w:r>
          </w:p>
        </w:tc>
        <w:tc>
          <w:tcPr>
            <w:tcW w:w="874" w:type="dxa"/>
            <w:shd w:val="clear" w:color="auto" w:fill="auto"/>
            <w:noWrap w:val="0"/>
            <w:vAlign w:val="center"/>
          </w:tcPr>
          <w:p w14:paraId="7C764E4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37.028</w:t>
            </w:r>
          </w:p>
        </w:tc>
        <w:tc>
          <w:tcPr>
            <w:tcW w:w="1054" w:type="dxa"/>
            <w:vMerge w:val="continue"/>
            <w:noWrap w:val="0"/>
            <w:vAlign w:val="center"/>
          </w:tcPr>
          <w:p w14:paraId="1C5666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62" w:type="dxa"/>
            <w:shd w:val="clear" w:color="auto" w:fill="auto"/>
            <w:noWrap w:val="0"/>
            <w:vAlign w:val="center"/>
          </w:tcPr>
          <w:p w14:paraId="2219865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77</w:t>
            </w:r>
          </w:p>
        </w:tc>
        <w:tc>
          <w:tcPr>
            <w:tcW w:w="1043" w:type="dxa"/>
            <w:shd w:val="clear" w:color="auto" w:fill="auto"/>
            <w:noWrap w:val="0"/>
            <w:vAlign w:val="center"/>
          </w:tcPr>
          <w:p w14:paraId="002E92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456.75</w:t>
            </w:r>
          </w:p>
        </w:tc>
        <w:tc>
          <w:tcPr>
            <w:tcW w:w="842" w:type="dxa"/>
            <w:shd w:val="clear" w:color="auto" w:fill="auto"/>
            <w:noWrap w:val="0"/>
            <w:vAlign w:val="center"/>
          </w:tcPr>
          <w:p w14:paraId="37449A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8.6</w:t>
            </w:r>
            <w:r>
              <w:rPr>
                <w:rFonts w:hint="eastAsia" w:cs="Times New Roman" w:eastAsiaTheme="minorEastAsia"/>
                <w:color w:val="auto"/>
                <w:sz w:val="21"/>
                <w:szCs w:val="21"/>
                <w:lang w:val="en-US" w:eastAsia="zh-CN"/>
              </w:rPr>
              <w:t>5</w:t>
            </w:r>
          </w:p>
        </w:tc>
        <w:tc>
          <w:tcPr>
            <w:tcW w:w="1652" w:type="dxa"/>
            <w:shd w:val="clear" w:color="auto" w:fill="auto"/>
            <w:noWrap w:val="0"/>
            <w:vAlign w:val="center"/>
          </w:tcPr>
          <w:p w14:paraId="1EEBB4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500</w:t>
            </w:r>
          </w:p>
        </w:tc>
        <w:tc>
          <w:tcPr>
            <w:tcW w:w="1780" w:type="dxa"/>
            <w:shd w:val="clear" w:color="auto" w:fill="auto"/>
            <w:noWrap w:val="0"/>
            <w:vAlign w:val="center"/>
          </w:tcPr>
          <w:p w14:paraId="1FEBED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500</w:t>
            </w:r>
          </w:p>
        </w:tc>
        <w:tc>
          <w:tcPr>
            <w:tcW w:w="1337" w:type="dxa"/>
            <w:shd w:val="clear" w:color="auto" w:fill="auto"/>
            <w:noWrap w:val="0"/>
            <w:vAlign w:val="center"/>
          </w:tcPr>
          <w:p w14:paraId="6D94A5E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500</w:t>
            </w:r>
          </w:p>
        </w:tc>
        <w:tc>
          <w:tcPr>
            <w:tcW w:w="917" w:type="dxa"/>
            <w:shd w:val="clear" w:color="auto" w:fill="auto"/>
            <w:noWrap w:val="0"/>
            <w:vAlign w:val="center"/>
          </w:tcPr>
          <w:p w14:paraId="029DC0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500</w:t>
            </w:r>
          </w:p>
        </w:tc>
      </w:tr>
      <w:tr w14:paraId="5F742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tcPr>
          <w:p w14:paraId="034741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73" w:type="dxa"/>
            <w:vMerge w:val="continue"/>
          </w:tcPr>
          <w:p w14:paraId="6E23A0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24528D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BOD</w:t>
            </w:r>
            <w:r>
              <w:rPr>
                <w:rFonts w:hint="default" w:cs="Times New Roman" w:eastAsiaTheme="minorEastAsia"/>
                <w:color w:val="auto"/>
                <w:sz w:val="21"/>
                <w:szCs w:val="21"/>
                <w:vertAlign w:val="subscript"/>
                <w:lang w:val="en-US" w:eastAsia="zh-CN"/>
              </w:rPr>
              <w:t>5</w:t>
            </w:r>
          </w:p>
        </w:tc>
        <w:tc>
          <w:tcPr>
            <w:tcW w:w="0" w:type="auto"/>
            <w:shd w:val="clear" w:color="auto" w:fill="auto"/>
            <w:vAlign w:val="center"/>
          </w:tcPr>
          <w:p w14:paraId="4DEDFCF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980.88</w:t>
            </w:r>
          </w:p>
        </w:tc>
        <w:tc>
          <w:tcPr>
            <w:tcW w:w="0" w:type="auto"/>
            <w:shd w:val="clear" w:color="auto" w:fill="auto"/>
            <w:vAlign w:val="center"/>
          </w:tcPr>
          <w:p w14:paraId="618B84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18.566</w:t>
            </w:r>
          </w:p>
        </w:tc>
        <w:tc>
          <w:tcPr>
            <w:tcW w:w="1054" w:type="dxa"/>
            <w:vMerge w:val="continue"/>
          </w:tcPr>
          <w:p w14:paraId="3AB513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2B4BCB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77</w:t>
            </w:r>
          </w:p>
        </w:tc>
        <w:tc>
          <w:tcPr>
            <w:tcW w:w="0" w:type="auto"/>
            <w:shd w:val="clear" w:color="auto" w:fill="auto"/>
            <w:vAlign w:val="center"/>
          </w:tcPr>
          <w:p w14:paraId="689B0A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221.48</w:t>
            </w:r>
          </w:p>
        </w:tc>
        <w:tc>
          <w:tcPr>
            <w:tcW w:w="0" w:type="auto"/>
            <w:shd w:val="clear" w:color="auto" w:fill="auto"/>
            <w:vAlign w:val="center"/>
          </w:tcPr>
          <w:p w14:paraId="000A2D9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4.19</w:t>
            </w:r>
          </w:p>
        </w:tc>
        <w:tc>
          <w:tcPr>
            <w:tcW w:w="0" w:type="auto"/>
            <w:shd w:val="clear" w:color="auto" w:fill="auto"/>
            <w:vAlign w:val="center"/>
          </w:tcPr>
          <w:p w14:paraId="5986FC5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350</w:t>
            </w:r>
          </w:p>
        </w:tc>
        <w:tc>
          <w:tcPr>
            <w:tcW w:w="0" w:type="auto"/>
            <w:shd w:val="clear" w:color="auto" w:fill="auto"/>
            <w:vAlign w:val="center"/>
          </w:tcPr>
          <w:p w14:paraId="1B3A37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350</w:t>
            </w:r>
          </w:p>
        </w:tc>
        <w:tc>
          <w:tcPr>
            <w:tcW w:w="0" w:type="auto"/>
            <w:shd w:val="clear" w:color="auto" w:fill="auto"/>
            <w:vAlign w:val="center"/>
          </w:tcPr>
          <w:p w14:paraId="3DAA76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300</w:t>
            </w:r>
          </w:p>
        </w:tc>
        <w:tc>
          <w:tcPr>
            <w:tcW w:w="0" w:type="auto"/>
            <w:shd w:val="clear" w:color="auto" w:fill="auto"/>
            <w:vAlign w:val="center"/>
          </w:tcPr>
          <w:p w14:paraId="6264130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300</w:t>
            </w:r>
          </w:p>
        </w:tc>
      </w:tr>
      <w:tr w14:paraId="1AB85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tcPr>
          <w:p w14:paraId="508F4C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73" w:type="dxa"/>
            <w:vMerge w:val="continue"/>
          </w:tcPr>
          <w:p w14:paraId="2982E1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4DA5976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SS</w:t>
            </w:r>
          </w:p>
        </w:tc>
        <w:tc>
          <w:tcPr>
            <w:tcW w:w="0" w:type="auto"/>
            <w:shd w:val="clear" w:color="auto" w:fill="auto"/>
            <w:vAlign w:val="center"/>
          </w:tcPr>
          <w:p w14:paraId="768A545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978.13</w:t>
            </w:r>
          </w:p>
        </w:tc>
        <w:tc>
          <w:tcPr>
            <w:tcW w:w="0" w:type="auto"/>
            <w:shd w:val="clear" w:color="auto" w:fill="auto"/>
            <w:vAlign w:val="center"/>
          </w:tcPr>
          <w:p w14:paraId="32F9C4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18.514</w:t>
            </w:r>
          </w:p>
        </w:tc>
        <w:tc>
          <w:tcPr>
            <w:tcW w:w="1054" w:type="dxa"/>
            <w:vMerge w:val="continue"/>
          </w:tcPr>
          <w:p w14:paraId="53A46A0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5D2CFD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72</w:t>
            </w:r>
          </w:p>
        </w:tc>
        <w:tc>
          <w:tcPr>
            <w:tcW w:w="0" w:type="auto"/>
            <w:shd w:val="clear" w:color="auto" w:fill="auto"/>
            <w:vAlign w:val="center"/>
          </w:tcPr>
          <w:p w14:paraId="2381AD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276.19</w:t>
            </w:r>
          </w:p>
        </w:tc>
        <w:tc>
          <w:tcPr>
            <w:tcW w:w="0" w:type="auto"/>
            <w:shd w:val="clear" w:color="auto" w:fill="auto"/>
            <w:vAlign w:val="center"/>
          </w:tcPr>
          <w:p w14:paraId="3AD601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5.2</w:t>
            </w:r>
            <w:r>
              <w:rPr>
                <w:rFonts w:hint="eastAsia" w:cs="Times New Roman" w:eastAsiaTheme="minorEastAsia"/>
                <w:color w:val="auto"/>
                <w:sz w:val="21"/>
                <w:szCs w:val="21"/>
                <w:lang w:val="en-US" w:eastAsia="zh-CN"/>
              </w:rPr>
              <w:t>3</w:t>
            </w:r>
          </w:p>
        </w:tc>
        <w:tc>
          <w:tcPr>
            <w:tcW w:w="0" w:type="auto"/>
            <w:shd w:val="clear" w:color="auto" w:fill="auto"/>
            <w:vAlign w:val="center"/>
          </w:tcPr>
          <w:p w14:paraId="63F1BC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400</w:t>
            </w:r>
          </w:p>
        </w:tc>
        <w:tc>
          <w:tcPr>
            <w:tcW w:w="0" w:type="auto"/>
            <w:shd w:val="clear" w:color="auto" w:fill="auto"/>
            <w:vAlign w:val="center"/>
          </w:tcPr>
          <w:p w14:paraId="2E51311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400</w:t>
            </w:r>
          </w:p>
        </w:tc>
        <w:tc>
          <w:tcPr>
            <w:tcW w:w="0" w:type="auto"/>
            <w:shd w:val="clear" w:color="auto" w:fill="auto"/>
            <w:vAlign w:val="center"/>
          </w:tcPr>
          <w:p w14:paraId="797706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400</w:t>
            </w:r>
          </w:p>
        </w:tc>
        <w:tc>
          <w:tcPr>
            <w:tcW w:w="0" w:type="auto"/>
            <w:shd w:val="clear" w:color="auto" w:fill="auto"/>
            <w:vAlign w:val="center"/>
          </w:tcPr>
          <w:p w14:paraId="6F4FF5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400</w:t>
            </w:r>
          </w:p>
        </w:tc>
      </w:tr>
      <w:tr w14:paraId="3CB84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tcPr>
          <w:p w14:paraId="79C19C8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73" w:type="dxa"/>
            <w:vMerge w:val="continue"/>
          </w:tcPr>
          <w:p w14:paraId="005DE61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2D5B9E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NH</w:t>
            </w:r>
            <w:r>
              <w:rPr>
                <w:rFonts w:hint="default" w:cs="Times New Roman" w:eastAsiaTheme="minorEastAsia"/>
                <w:color w:val="auto"/>
                <w:sz w:val="21"/>
                <w:szCs w:val="21"/>
                <w:vertAlign w:val="subscript"/>
                <w:lang w:val="en-US" w:eastAsia="zh-CN"/>
              </w:rPr>
              <w:t>3</w:t>
            </w:r>
            <w:r>
              <w:rPr>
                <w:rFonts w:hint="default" w:cs="Times New Roman" w:eastAsiaTheme="minorEastAsia"/>
                <w:color w:val="auto"/>
                <w:sz w:val="21"/>
                <w:szCs w:val="21"/>
                <w:lang w:val="en-US" w:eastAsia="zh-CN"/>
              </w:rPr>
              <w:t>-N</w:t>
            </w:r>
          </w:p>
        </w:tc>
        <w:tc>
          <w:tcPr>
            <w:tcW w:w="0" w:type="auto"/>
            <w:shd w:val="clear" w:color="auto" w:fill="auto"/>
            <w:vAlign w:val="center"/>
          </w:tcPr>
          <w:p w14:paraId="30DFA0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199.61</w:t>
            </w:r>
          </w:p>
        </w:tc>
        <w:tc>
          <w:tcPr>
            <w:tcW w:w="0" w:type="auto"/>
            <w:shd w:val="clear" w:color="auto" w:fill="auto"/>
            <w:vAlign w:val="center"/>
          </w:tcPr>
          <w:p w14:paraId="4DEEAEC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3.7782</w:t>
            </w:r>
          </w:p>
        </w:tc>
        <w:tc>
          <w:tcPr>
            <w:tcW w:w="1054" w:type="dxa"/>
            <w:vMerge w:val="continue"/>
          </w:tcPr>
          <w:p w14:paraId="3BAB260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69627D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80</w:t>
            </w:r>
          </w:p>
        </w:tc>
        <w:tc>
          <w:tcPr>
            <w:tcW w:w="0" w:type="auto"/>
            <w:shd w:val="clear" w:color="auto" w:fill="auto"/>
            <w:vAlign w:val="center"/>
          </w:tcPr>
          <w:p w14:paraId="60FDB8F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40.66</w:t>
            </w:r>
          </w:p>
        </w:tc>
        <w:tc>
          <w:tcPr>
            <w:tcW w:w="0" w:type="auto"/>
            <w:shd w:val="clear" w:color="auto" w:fill="auto"/>
            <w:vAlign w:val="center"/>
          </w:tcPr>
          <w:p w14:paraId="7488A8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0.7</w:t>
            </w:r>
            <w:r>
              <w:rPr>
                <w:rFonts w:hint="eastAsia" w:cs="Times New Roman" w:eastAsiaTheme="minorEastAsia"/>
                <w:color w:val="auto"/>
                <w:sz w:val="21"/>
                <w:szCs w:val="21"/>
                <w:lang w:val="en-US" w:eastAsia="zh-CN"/>
              </w:rPr>
              <w:t>7</w:t>
            </w:r>
          </w:p>
        </w:tc>
        <w:tc>
          <w:tcPr>
            <w:tcW w:w="0" w:type="auto"/>
            <w:shd w:val="clear" w:color="auto" w:fill="auto"/>
            <w:vAlign w:val="center"/>
          </w:tcPr>
          <w:p w14:paraId="56EDF6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45</w:t>
            </w:r>
          </w:p>
        </w:tc>
        <w:tc>
          <w:tcPr>
            <w:tcW w:w="0" w:type="auto"/>
            <w:shd w:val="clear" w:color="auto" w:fill="auto"/>
            <w:vAlign w:val="center"/>
          </w:tcPr>
          <w:p w14:paraId="56D0B6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45</w:t>
            </w:r>
          </w:p>
        </w:tc>
        <w:tc>
          <w:tcPr>
            <w:tcW w:w="0" w:type="auto"/>
            <w:shd w:val="clear" w:color="auto" w:fill="auto"/>
            <w:vAlign w:val="center"/>
          </w:tcPr>
          <w:p w14:paraId="23D041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w:t>
            </w:r>
          </w:p>
        </w:tc>
        <w:tc>
          <w:tcPr>
            <w:tcW w:w="0" w:type="auto"/>
            <w:shd w:val="clear" w:color="auto" w:fill="auto"/>
            <w:vAlign w:val="center"/>
          </w:tcPr>
          <w:p w14:paraId="13C9FF1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45</w:t>
            </w:r>
          </w:p>
        </w:tc>
      </w:tr>
      <w:tr w14:paraId="1029B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tcPr>
          <w:p w14:paraId="4648FBA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73" w:type="dxa"/>
            <w:vMerge w:val="continue"/>
          </w:tcPr>
          <w:p w14:paraId="397B55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4051EA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动植物油</w:t>
            </w:r>
          </w:p>
        </w:tc>
        <w:tc>
          <w:tcPr>
            <w:tcW w:w="0" w:type="auto"/>
            <w:shd w:val="clear" w:color="auto" w:fill="auto"/>
            <w:vAlign w:val="center"/>
          </w:tcPr>
          <w:p w14:paraId="0673254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195.52</w:t>
            </w:r>
          </w:p>
        </w:tc>
        <w:tc>
          <w:tcPr>
            <w:tcW w:w="0" w:type="auto"/>
            <w:shd w:val="clear" w:color="auto" w:fill="auto"/>
            <w:vAlign w:val="center"/>
          </w:tcPr>
          <w:p w14:paraId="192392C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3.7008</w:t>
            </w:r>
          </w:p>
        </w:tc>
        <w:tc>
          <w:tcPr>
            <w:tcW w:w="1054" w:type="dxa"/>
            <w:vMerge w:val="continue"/>
          </w:tcPr>
          <w:p w14:paraId="119E32B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12691A6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68</w:t>
            </w:r>
          </w:p>
        </w:tc>
        <w:tc>
          <w:tcPr>
            <w:tcW w:w="0" w:type="auto"/>
            <w:shd w:val="clear" w:color="auto" w:fill="auto"/>
            <w:vAlign w:val="center"/>
          </w:tcPr>
          <w:p w14:paraId="670D88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62.98</w:t>
            </w:r>
          </w:p>
        </w:tc>
        <w:tc>
          <w:tcPr>
            <w:tcW w:w="0" w:type="auto"/>
            <w:shd w:val="clear" w:color="auto" w:fill="auto"/>
            <w:vAlign w:val="center"/>
          </w:tcPr>
          <w:p w14:paraId="0EF6A64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1.19</w:t>
            </w:r>
          </w:p>
        </w:tc>
        <w:tc>
          <w:tcPr>
            <w:tcW w:w="0" w:type="auto"/>
            <w:shd w:val="clear" w:color="auto" w:fill="auto"/>
            <w:vAlign w:val="center"/>
          </w:tcPr>
          <w:p w14:paraId="3183BD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100</w:t>
            </w:r>
          </w:p>
        </w:tc>
        <w:tc>
          <w:tcPr>
            <w:tcW w:w="0" w:type="auto"/>
            <w:shd w:val="clear" w:color="auto" w:fill="auto"/>
            <w:vAlign w:val="center"/>
          </w:tcPr>
          <w:p w14:paraId="6CD7EB8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100</w:t>
            </w:r>
          </w:p>
        </w:tc>
        <w:tc>
          <w:tcPr>
            <w:tcW w:w="0" w:type="auto"/>
            <w:shd w:val="clear" w:color="auto" w:fill="auto"/>
            <w:vAlign w:val="center"/>
          </w:tcPr>
          <w:p w14:paraId="45B9B7A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100</w:t>
            </w:r>
          </w:p>
        </w:tc>
        <w:tc>
          <w:tcPr>
            <w:tcW w:w="0" w:type="auto"/>
            <w:shd w:val="clear" w:color="auto" w:fill="auto"/>
            <w:vAlign w:val="center"/>
          </w:tcPr>
          <w:p w14:paraId="6F46A32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100</w:t>
            </w:r>
          </w:p>
        </w:tc>
      </w:tr>
      <w:tr w14:paraId="795A9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tcPr>
          <w:p w14:paraId="7E194BB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73" w:type="dxa"/>
            <w:vMerge w:val="continue"/>
          </w:tcPr>
          <w:p w14:paraId="1B4C71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45E143B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总磷</w:t>
            </w:r>
          </w:p>
        </w:tc>
        <w:tc>
          <w:tcPr>
            <w:tcW w:w="0" w:type="auto"/>
            <w:shd w:val="clear" w:color="auto" w:fill="auto"/>
            <w:vAlign w:val="center"/>
          </w:tcPr>
          <w:p w14:paraId="77A5F29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52.30</w:t>
            </w:r>
          </w:p>
        </w:tc>
        <w:tc>
          <w:tcPr>
            <w:tcW w:w="0" w:type="auto"/>
            <w:shd w:val="clear" w:color="auto" w:fill="auto"/>
            <w:vAlign w:val="center"/>
          </w:tcPr>
          <w:p w14:paraId="67C5CDB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0.99</w:t>
            </w:r>
          </w:p>
        </w:tc>
        <w:tc>
          <w:tcPr>
            <w:tcW w:w="1054" w:type="dxa"/>
            <w:vMerge w:val="continue"/>
          </w:tcPr>
          <w:p w14:paraId="143056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7A7537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88</w:t>
            </w:r>
          </w:p>
        </w:tc>
        <w:tc>
          <w:tcPr>
            <w:tcW w:w="0" w:type="auto"/>
            <w:shd w:val="clear" w:color="auto" w:fill="auto"/>
            <w:vAlign w:val="center"/>
          </w:tcPr>
          <w:p w14:paraId="527734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6.28</w:t>
            </w:r>
          </w:p>
        </w:tc>
        <w:tc>
          <w:tcPr>
            <w:tcW w:w="0" w:type="auto"/>
            <w:shd w:val="clear" w:color="auto" w:fill="auto"/>
            <w:vAlign w:val="center"/>
          </w:tcPr>
          <w:p w14:paraId="578E92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0.1</w:t>
            </w:r>
            <w:r>
              <w:rPr>
                <w:rFonts w:hint="eastAsia" w:cs="Times New Roman" w:eastAsiaTheme="minorEastAsia"/>
                <w:color w:val="auto"/>
                <w:sz w:val="21"/>
                <w:szCs w:val="21"/>
                <w:lang w:val="en-US" w:eastAsia="zh-CN"/>
              </w:rPr>
              <w:t>2</w:t>
            </w:r>
          </w:p>
        </w:tc>
        <w:tc>
          <w:tcPr>
            <w:tcW w:w="0" w:type="auto"/>
            <w:shd w:val="clear" w:color="auto" w:fill="auto"/>
            <w:vAlign w:val="center"/>
          </w:tcPr>
          <w:p w14:paraId="283BCD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8</w:t>
            </w:r>
          </w:p>
        </w:tc>
        <w:tc>
          <w:tcPr>
            <w:tcW w:w="0" w:type="auto"/>
            <w:shd w:val="clear" w:color="auto" w:fill="auto"/>
            <w:vAlign w:val="center"/>
          </w:tcPr>
          <w:p w14:paraId="6AF257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8</w:t>
            </w:r>
          </w:p>
        </w:tc>
        <w:tc>
          <w:tcPr>
            <w:tcW w:w="0" w:type="auto"/>
            <w:shd w:val="clear" w:color="auto" w:fill="auto"/>
            <w:vAlign w:val="center"/>
          </w:tcPr>
          <w:p w14:paraId="59B76C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w:t>
            </w:r>
          </w:p>
        </w:tc>
        <w:tc>
          <w:tcPr>
            <w:tcW w:w="0" w:type="auto"/>
            <w:shd w:val="clear" w:color="auto" w:fill="auto"/>
            <w:vAlign w:val="center"/>
          </w:tcPr>
          <w:p w14:paraId="5990962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8</w:t>
            </w:r>
          </w:p>
        </w:tc>
      </w:tr>
      <w:tr w14:paraId="01FAF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0" w:type="dxa"/>
            <w:vMerge w:val="continue"/>
          </w:tcPr>
          <w:p w14:paraId="7FFAA0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73" w:type="dxa"/>
            <w:vMerge w:val="continue"/>
          </w:tcPr>
          <w:p w14:paraId="7446FCE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5C28263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总氮</w:t>
            </w:r>
          </w:p>
        </w:tc>
        <w:tc>
          <w:tcPr>
            <w:tcW w:w="0" w:type="auto"/>
            <w:shd w:val="clear" w:color="auto" w:fill="auto"/>
            <w:vAlign w:val="center"/>
          </w:tcPr>
          <w:p w14:paraId="5A2B660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238.27</w:t>
            </w:r>
          </w:p>
        </w:tc>
        <w:tc>
          <w:tcPr>
            <w:tcW w:w="0" w:type="auto"/>
            <w:shd w:val="clear" w:color="auto" w:fill="auto"/>
            <w:vAlign w:val="center"/>
          </w:tcPr>
          <w:p w14:paraId="5D3E31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4.51</w:t>
            </w:r>
          </w:p>
        </w:tc>
        <w:tc>
          <w:tcPr>
            <w:tcW w:w="1054" w:type="dxa"/>
            <w:vMerge w:val="continue"/>
          </w:tcPr>
          <w:p w14:paraId="4F1D92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0" w:type="auto"/>
            <w:shd w:val="clear" w:color="auto" w:fill="auto"/>
            <w:vAlign w:val="center"/>
          </w:tcPr>
          <w:p w14:paraId="3FF43EB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73</w:t>
            </w:r>
          </w:p>
        </w:tc>
        <w:tc>
          <w:tcPr>
            <w:tcW w:w="0" w:type="auto"/>
            <w:shd w:val="clear" w:color="auto" w:fill="auto"/>
            <w:vAlign w:val="center"/>
          </w:tcPr>
          <w:p w14:paraId="3CC21CF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64.33</w:t>
            </w:r>
          </w:p>
        </w:tc>
        <w:tc>
          <w:tcPr>
            <w:tcW w:w="0" w:type="auto"/>
            <w:shd w:val="clear" w:color="auto" w:fill="auto"/>
            <w:vAlign w:val="top"/>
          </w:tcPr>
          <w:p w14:paraId="288E7B4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1.2</w:t>
            </w:r>
            <w:r>
              <w:rPr>
                <w:rFonts w:hint="eastAsia" w:cs="Times New Roman" w:eastAsiaTheme="minorEastAsia"/>
                <w:color w:val="auto"/>
                <w:sz w:val="21"/>
                <w:szCs w:val="21"/>
                <w:lang w:val="en-US" w:eastAsia="zh-CN"/>
              </w:rPr>
              <w:t>2</w:t>
            </w:r>
          </w:p>
        </w:tc>
        <w:tc>
          <w:tcPr>
            <w:tcW w:w="0" w:type="auto"/>
            <w:shd w:val="clear" w:color="auto" w:fill="auto"/>
            <w:vAlign w:val="center"/>
          </w:tcPr>
          <w:p w14:paraId="387159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70</w:t>
            </w:r>
          </w:p>
        </w:tc>
        <w:tc>
          <w:tcPr>
            <w:tcW w:w="0" w:type="auto"/>
            <w:shd w:val="clear" w:color="auto" w:fill="auto"/>
            <w:vAlign w:val="center"/>
          </w:tcPr>
          <w:p w14:paraId="1F583A5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70</w:t>
            </w:r>
          </w:p>
        </w:tc>
        <w:tc>
          <w:tcPr>
            <w:tcW w:w="0" w:type="auto"/>
            <w:shd w:val="clear" w:color="auto" w:fill="auto"/>
            <w:vAlign w:val="center"/>
          </w:tcPr>
          <w:p w14:paraId="33A1FF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w:t>
            </w:r>
          </w:p>
        </w:tc>
        <w:tc>
          <w:tcPr>
            <w:tcW w:w="0" w:type="auto"/>
            <w:shd w:val="clear" w:color="auto" w:fill="auto"/>
            <w:vAlign w:val="center"/>
          </w:tcPr>
          <w:p w14:paraId="0A61CF7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70</w:t>
            </w:r>
          </w:p>
        </w:tc>
      </w:tr>
    </w:tbl>
    <w:p w14:paraId="35A7A240">
      <w:pPr>
        <w:pStyle w:val="25"/>
        <w:rPr>
          <w:rFonts w:hint="default" w:ascii="Times New Roman" w:hAnsi="Times New Roman" w:eastAsia="宋体" w:cs="Times New Roman"/>
          <w:b/>
          <w:snapToGrid w:val="0"/>
          <w:color w:val="auto"/>
          <w:kern w:val="0"/>
          <w:sz w:val="24"/>
          <w:highlight w:val="none"/>
        </w:rPr>
        <w:sectPr>
          <w:headerReference r:id="rId31"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4021E1D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6.2.2.2</w:t>
      </w:r>
      <w:r>
        <w:rPr>
          <w:rFonts w:hint="eastAsia" w:eastAsia="黑体" w:cs="Times New Roman"/>
          <w:b/>
          <w:bCs w:val="0"/>
          <w:color w:val="auto"/>
          <w:sz w:val="24"/>
          <w:szCs w:val="24"/>
          <w:lang w:val="en-US" w:eastAsia="zh-CN"/>
        </w:rPr>
        <w:t>污水排至污水处理厂</w:t>
      </w:r>
      <w:r>
        <w:rPr>
          <w:rFonts w:hint="eastAsia" w:ascii="Times New Roman" w:hAnsi="Times New Roman" w:eastAsia="黑体" w:cs="Times New Roman"/>
          <w:b/>
          <w:bCs w:val="0"/>
          <w:color w:val="auto"/>
          <w:sz w:val="24"/>
          <w:szCs w:val="24"/>
          <w:lang w:val="en-US" w:eastAsia="zh-CN"/>
        </w:rPr>
        <w:t>可行性分析</w:t>
      </w:r>
    </w:p>
    <w:p w14:paraId="12BC8833">
      <w:pPr>
        <w:bidi w:val="0"/>
        <w:spacing w:line="360" w:lineRule="auto"/>
        <w:rPr>
          <w:rFonts w:hint="eastAsia"/>
          <w:color w:val="auto"/>
          <w:lang w:val="en-US" w:eastAsia="zh-CN"/>
        </w:rPr>
      </w:pPr>
      <w:r>
        <w:rPr>
          <w:rFonts w:hint="eastAsia"/>
          <w:color w:val="auto"/>
          <w:lang w:val="en-US" w:eastAsia="zh-CN"/>
        </w:rPr>
        <w:t>根据《宁夏固原经济开发区“一区三园”总体规划修编（2022-2035年）》：轻工产业园地块国道309北侧区域及长城梁地块的污水经由长城梁地块北侧的污水提升泵站，沿兴业路接入固原市污水管网，排入城市污水处理厂进行处理。轻工产业园地块国道309南侧的污水经由地块北侧的污水提升泵站，沿国道309接入固原市污水管网，由城区污水处理厂进行处理。</w:t>
      </w:r>
    </w:p>
    <w:p w14:paraId="32B957C0">
      <w:pPr>
        <w:bidi w:val="0"/>
        <w:spacing w:line="360" w:lineRule="auto"/>
        <w:rPr>
          <w:rFonts w:hint="eastAsia"/>
          <w:color w:val="auto"/>
          <w:lang w:val="en-US" w:eastAsia="zh-CN"/>
        </w:rPr>
      </w:pPr>
      <w:r>
        <w:rPr>
          <w:rFonts w:hint="eastAsia"/>
          <w:color w:val="auto"/>
          <w:lang w:val="en-US" w:eastAsia="zh-CN"/>
        </w:rPr>
        <w:t>固原市原州区现有第一、第二污水处理厂，一污工程于2003年开工建设、于2005年6月底竣工，设计规模2万m</w:t>
      </w:r>
      <w:r>
        <w:rPr>
          <w:rFonts w:hint="eastAsia"/>
          <w:color w:val="auto"/>
          <w:vertAlign w:val="superscript"/>
          <w:lang w:val="en-US" w:eastAsia="zh-CN"/>
        </w:rPr>
        <w:t>3</w:t>
      </w:r>
      <w:r>
        <w:rPr>
          <w:rFonts w:hint="eastAsia"/>
          <w:color w:val="auto"/>
          <w:lang w:val="en-US" w:eastAsia="zh-CN"/>
        </w:rPr>
        <w:t>/d，处理工艺为CASS工艺，设计出水水质为《污水综合排放标准》（GB8978-1996）二级标准。第二污水处理厂建设于2016年，设计规模2万m</w:t>
      </w:r>
      <w:r>
        <w:rPr>
          <w:rFonts w:hint="eastAsia"/>
          <w:color w:val="auto"/>
          <w:vertAlign w:val="superscript"/>
          <w:lang w:val="en-US" w:eastAsia="zh-CN"/>
        </w:rPr>
        <w:t>3</w:t>
      </w:r>
      <w:r>
        <w:rPr>
          <w:rFonts w:hint="eastAsia"/>
          <w:color w:val="auto"/>
          <w:lang w:val="en-US" w:eastAsia="zh-CN"/>
        </w:rPr>
        <w:t>/d，处理工艺为CAST工艺，设计出水水质《城镇污水处理厂污染物排放标准》（GB18918-2002）一级B标准。2017年进行提升改造，提标改造设计出水水质为《城镇污水处理厂污染物排放标准》（GB18918-2002）一级A标准，目前电厂建有中水厂一座，规模为1.5万m</w:t>
      </w:r>
      <w:r>
        <w:rPr>
          <w:rFonts w:hint="eastAsia"/>
          <w:color w:val="auto"/>
          <w:vertAlign w:val="superscript"/>
          <w:lang w:val="en-US" w:eastAsia="zh-CN"/>
        </w:rPr>
        <w:t>3</w:t>
      </w:r>
      <w:r>
        <w:rPr>
          <w:rFonts w:hint="eastAsia"/>
          <w:color w:val="auto"/>
          <w:lang w:val="en-US" w:eastAsia="zh-CN"/>
        </w:rPr>
        <w:t>/d，目前实际处理规模为自用的0.4~0.5万m</w:t>
      </w:r>
      <w:r>
        <w:rPr>
          <w:rFonts w:hint="eastAsia"/>
          <w:color w:val="auto"/>
          <w:vertAlign w:val="superscript"/>
          <w:lang w:val="en-US" w:eastAsia="zh-CN"/>
        </w:rPr>
        <w:t>3</w:t>
      </w:r>
      <w:r>
        <w:rPr>
          <w:rFonts w:hint="eastAsia"/>
          <w:color w:val="auto"/>
          <w:lang w:val="en-US" w:eastAsia="zh-CN"/>
        </w:rPr>
        <w:t>/d；其余污水达标水均排入清水河，日排放量约2.0~2.5万m</w:t>
      </w:r>
      <w:r>
        <w:rPr>
          <w:rFonts w:hint="eastAsia"/>
          <w:color w:val="auto"/>
          <w:vertAlign w:val="superscript"/>
          <w:lang w:val="en-US" w:eastAsia="zh-CN"/>
        </w:rPr>
        <w:t>3</w:t>
      </w:r>
      <w:r>
        <w:rPr>
          <w:rFonts w:hint="eastAsia"/>
          <w:color w:val="auto"/>
          <w:lang w:val="en-US" w:eastAsia="zh-CN"/>
        </w:rPr>
        <w:t>/d。</w:t>
      </w:r>
    </w:p>
    <w:p w14:paraId="04518B15">
      <w:pPr>
        <w:bidi w:val="0"/>
        <w:spacing w:line="360" w:lineRule="auto"/>
        <w:rPr>
          <w:rFonts w:hint="eastAsia"/>
          <w:color w:val="auto"/>
          <w:lang w:val="en-US" w:eastAsia="zh-CN"/>
        </w:rPr>
      </w:pPr>
      <w:r>
        <w:rPr>
          <w:rFonts w:hint="eastAsia"/>
          <w:color w:val="auto"/>
          <w:lang w:val="en-US" w:eastAsia="zh-CN"/>
        </w:rPr>
        <w:t>为了保证固原市污水处理厂的正常运转，使处理后的出水水质达到规定的排放标准，不至于造成二次污染，特殊工业废水应当在各工业企业内部自行处理，有行业要求的需满足行业污染物排放标准，同时还得达到《污水排入城市下水道水质标准》（CB/T31962-2015）A等级要求后，方可排入园区排水系统，最终进入固原市污水处理厂。</w:t>
      </w:r>
    </w:p>
    <w:p w14:paraId="74791244">
      <w:pPr>
        <w:bidi w:val="0"/>
        <w:spacing w:line="360" w:lineRule="auto"/>
        <w:rPr>
          <w:rFonts w:hint="eastAsia"/>
          <w:color w:val="auto"/>
          <w:lang w:val="en-US" w:eastAsia="zh-CN"/>
        </w:rPr>
      </w:pPr>
      <w:r>
        <w:rPr>
          <w:rFonts w:hint="eastAsia"/>
          <w:color w:val="auto"/>
          <w:lang w:val="en-US" w:eastAsia="zh-CN"/>
        </w:rPr>
        <w:t>本项目位于固原经济开发区轻工产业园</w:t>
      </w:r>
      <w:r>
        <w:rPr>
          <w:rFonts w:hint="eastAsia" w:cs="Times New Roman"/>
          <w:color w:val="auto"/>
          <w:kern w:val="2"/>
          <w:sz w:val="24"/>
          <w:szCs w:val="24"/>
          <w:lang w:val="en-US" w:eastAsia="zh-CN" w:bidi="ar-SA"/>
        </w:rPr>
        <w:t>（中河乡）</w:t>
      </w:r>
      <w:r>
        <w:rPr>
          <w:rFonts w:hint="eastAsia"/>
          <w:color w:val="auto"/>
          <w:lang w:val="en-US" w:eastAsia="zh-CN"/>
        </w:rPr>
        <w:t>，废水排放量为187.5m</w:t>
      </w:r>
      <w:r>
        <w:rPr>
          <w:rFonts w:hint="eastAsia"/>
          <w:color w:val="auto"/>
          <w:vertAlign w:val="superscript"/>
          <w:lang w:val="en-US" w:eastAsia="zh-CN"/>
        </w:rPr>
        <w:t>3</w:t>
      </w:r>
      <w:r>
        <w:rPr>
          <w:rFonts w:hint="eastAsia"/>
          <w:color w:val="auto"/>
          <w:lang w:val="en-US" w:eastAsia="zh-CN"/>
        </w:rPr>
        <w:t>/d，且废水经化粪池及厂区污水处理站预处理后符合《屠宰及肉类加工工业水污染物排放标准》（GB13457-2025）</w:t>
      </w:r>
      <w:r>
        <w:rPr>
          <w:rFonts w:hint="eastAsia" w:ascii="Times New Roman" w:hAnsi="Times New Roman"/>
          <w:color w:val="auto"/>
          <w:lang w:val="en-US" w:eastAsia="zh-CN"/>
        </w:rPr>
        <w:t>表</w:t>
      </w:r>
      <w:r>
        <w:rPr>
          <w:rFonts w:hint="eastAsia"/>
          <w:color w:val="auto"/>
          <w:lang w:val="en-US" w:eastAsia="zh-CN"/>
        </w:rPr>
        <w:t>1间接排放</w:t>
      </w:r>
      <w:r>
        <w:rPr>
          <w:rFonts w:hint="eastAsia" w:ascii="Times New Roman" w:hAnsi="Times New Roman"/>
          <w:color w:val="auto"/>
          <w:lang w:val="en-US" w:eastAsia="zh-CN"/>
        </w:rPr>
        <w:t>标准</w:t>
      </w:r>
      <w:r>
        <w:rPr>
          <w:rFonts w:hint="eastAsia"/>
          <w:color w:val="auto"/>
          <w:lang w:val="en-US" w:eastAsia="zh-CN"/>
        </w:rPr>
        <w:t>、</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eastAsia"/>
          <w:color w:val="auto"/>
          <w:lang w:val="en-US" w:eastAsia="zh-CN"/>
        </w:rPr>
        <w:t>要求，因此，本项目废水经厂区内预处理后排入污水管网，最终经由地块北侧的污水提升泵站调配至城区污水处理厂进行处理是可行的。</w:t>
      </w:r>
    </w:p>
    <w:p w14:paraId="1A0B036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r>
        <w:rPr>
          <w:rFonts w:hint="default" w:ascii="Times New Roman" w:hAnsi="Times New Roman" w:eastAsia="黑体" w:cs="Times New Roman"/>
          <w:b/>
          <w:color w:val="auto"/>
          <w:sz w:val="28"/>
          <w:szCs w:val="28"/>
          <w:highlight w:val="none"/>
          <w:lang w:val="en-US" w:eastAsia="zh-CN"/>
        </w:rPr>
        <w:t>6.2.3地下水污染防控措施评述</w:t>
      </w:r>
    </w:p>
    <w:p w14:paraId="7FC1E275">
      <w:pPr>
        <w:bidi w:val="0"/>
        <w:spacing w:line="360" w:lineRule="auto"/>
        <w:rPr>
          <w:rFonts w:hint="eastAsia"/>
          <w:color w:val="auto"/>
          <w:lang w:val="en-US" w:eastAsia="zh-CN"/>
        </w:rPr>
      </w:pPr>
      <w:r>
        <w:rPr>
          <w:rFonts w:hint="eastAsia"/>
          <w:color w:val="auto"/>
          <w:lang w:val="en-US" w:eastAsia="zh-CN"/>
        </w:rPr>
        <w:t>（1）总体原则</w:t>
      </w:r>
    </w:p>
    <w:p w14:paraId="6BE63459">
      <w:pPr>
        <w:bidi w:val="0"/>
        <w:spacing w:line="360" w:lineRule="auto"/>
        <w:rPr>
          <w:rFonts w:hint="eastAsia"/>
          <w:color w:val="auto"/>
          <w:lang w:val="en-US" w:eastAsia="zh-CN"/>
        </w:rPr>
      </w:pPr>
      <w:r>
        <w:rPr>
          <w:rFonts w:hint="eastAsia"/>
          <w:color w:val="auto"/>
          <w:lang w:val="en-US" w:eastAsia="zh-CN"/>
        </w:rPr>
        <w:t>本项目设有生产区及污水处理区等，根据项目特点和当地的实际情况，按照“源头控制、分区防治、污染监控、应急响应”的地下水污染防治总体原则，本项目将从污染物的产生、入渗、扩散等采取全方位的控制措施。</w:t>
      </w:r>
    </w:p>
    <w:p w14:paraId="266FBA60">
      <w:pPr>
        <w:bidi w:val="0"/>
        <w:spacing w:line="360" w:lineRule="auto"/>
        <w:rPr>
          <w:rFonts w:hint="eastAsia"/>
          <w:color w:val="auto"/>
          <w:lang w:val="en-US" w:eastAsia="zh-CN"/>
        </w:rPr>
      </w:pPr>
      <w:r>
        <w:rPr>
          <w:rFonts w:hint="eastAsia"/>
          <w:color w:val="auto"/>
          <w:lang w:val="en-US" w:eastAsia="zh-CN"/>
        </w:rPr>
        <w:t>（2）源头控制措施</w:t>
      </w:r>
    </w:p>
    <w:p w14:paraId="681B8317">
      <w:pPr>
        <w:bidi w:val="0"/>
        <w:spacing w:line="360" w:lineRule="auto"/>
        <w:rPr>
          <w:rFonts w:hint="eastAsia"/>
          <w:color w:val="auto"/>
          <w:lang w:val="en-US" w:eastAsia="zh-CN"/>
        </w:rPr>
      </w:pPr>
      <w:r>
        <w:rPr>
          <w:rFonts w:hint="eastAsia"/>
          <w:color w:val="auto"/>
          <w:lang w:val="en-US" w:eastAsia="zh-CN"/>
        </w:rPr>
        <w:t>本项目选择先进、成熟、可靠的工艺技术，并对产生的废物进行合理的综合利用和治理，尽可能从源头上减少污染物排放；严格按照国家相关规范要求，对工艺、管道、设备、污水收集及处理构筑物采取相应的措施，以防止和降低污染物的跑、冒、滴、漏，将污染物泄漏的环境风险事故降到最低程度。</w:t>
      </w:r>
    </w:p>
    <w:p w14:paraId="1C6B98E8">
      <w:pPr>
        <w:bidi w:val="0"/>
        <w:spacing w:line="360" w:lineRule="auto"/>
        <w:rPr>
          <w:rFonts w:hint="eastAsia"/>
          <w:color w:val="auto"/>
          <w:lang w:val="en-US" w:eastAsia="zh-CN"/>
        </w:rPr>
      </w:pPr>
      <w:r>
        <w:rPr>
          <w:rFonts w:hint="eastAsia"/>
          <w:color w:val="auto"/>
          <w:lang w:val="en-US" w:eastAsia="zh-CN"/>
        </w:rPr>
        <w:t>（3）分区防治措施</w:t>
      </w:r>
    </w:p>
    <w:p w14:paraId="1B02B82F">
      <w:pPr>
        <w:bidi w:val="0"/>
        <w:spacing w:line="360" w:lineRule="auto"/>
        <w:rPr>
          <w:rFonts w:hint="eastAsia"/>
          <w:color w:val="auto"/>
          <w:lang w:val="en-US" w:eastAsia="zh-CN"/>
        </w:rPr>
      </w:pPr>
      <w:r>
        <w:rPr>
          <w:rFonts w:hint="eastAsia"/>
          <w:color w:val="auto"/>
          <w:lang w:val="en-US" w:eastAsia="zh-CN"/>
        </w:rPr>
        <w:t>项目厂区按照功能区分区原则布局，包括生产区、辅助设施及生活区等，根据《环境影响评价技术导则 地下水环境》（HJ610-2016）分区防渗的要求，对不同工程单元采取相应的防渗措施，具体根据建设项目场地天然包气带防污性能、污染控制难易程度和污染物特性划分不同等级的防渗区，分区采取防渗措施。建设项目场地天然包气带防污性能分级参照表6.2-5，污染控制难易程度参照表6.2-6，地下水防渗区分级见表6.2-7，各单元防渗层划分及防渗要求见表6.2-8。</w:t>
      </w:r>
    </w:p>
    <w:p w14:paraId="158FCD50">
      <w:pPr>
        <w:widowControl w:val="0"/>
        <w:snapToGrid w:val="0"/>
        <w:spacing w:line="240" w:lineRule="auto"/>
        <w:ind w:firstLine="420" w:firstLineChars="200"/>
        <w:jc w:val="both"/>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Cs/>
          <w:snapToGrid w:val="0"/>
          <w:color w:val="auto"/>
          <w:kern w:val="0"/>
          <w:sz w:val="21"/>
          <w:szCs w:val="21"/>
          <w:highlight w:val="none"/>
        </w:rPr>
        <w:t>表6.2-</w:t>
      </w:r>
      <w:r>
        <w:rPr>
          <w:rFonts w:hint="eastAsia" w:eastAsia="宋体" w:cs="Times New Roman"/>
          <w:bCs/>
          <w:snapToGrid w:val="0"/>
          <w:color w:val="auto"/>
          <w:kern w:val="0"/>
          <w:sz w:val="21"/>
          <w:szCs w:val="21"/>
          <w:highlight w:val="none"/>
          <w:lang w:val="en-US" w:eastAsia="zh-CN"/>
        </w:rPr>
        <w:t>5</w:t>
      </w:r>
      <w:r>
        <w:rPr>
          <w:rFonts w:hint="default" w:ascii="Times New Roman" w:hAnsi="Times New Roman" w:eastAsia="宋体" w:cs="Times New Roman"/>
          <w:b/>
          <w:snapToGrid w:val="0"/>
          <w:color w:val="auto"/>
          <w:kern w:val="0"/>
          <w:sz w:val="24"/>
          <w:highlight w:val="none"/>
        </w:rPr>
        <w:t xml:space="preserve"> </w:t>
      </w:r>
      <w:r>
        <w:rPr>
          <w:rFonts w:hint="eastAsia" w:ascii="Times New Roman" w:hAnsi="Times New Roman" w:eastAsia="宋体" w:cs="Times New Roman"/>
          <w:b/>
          <w:snapToGrid w:val="0"/>
          <w:color w:val="auto"/>
          <w:kern w:val="0"/>
          <w:sz w:val="24"/>
          <w:highlight w:val="none"/>
          <w:lang w:val="en-US" w:eastAsia="zh-CN"/>
        </w:rPr>
        <w:t xml:space="preserve">           </w:t>
      </w:r>
      <w:r>
        <w:rPr>
          <w:rFonts w:hint="default" w:ascii="Times New Roman" w:hAnsi="Times New Roman" w:eastAsia="宋体" w:cs="Times New Roman"/>
          <w:b/>
          <w:snapToGrid w:val="0"/>
          <w:color w:val="auto"/>
          <w:kern w:val="0"/>
          <w:sz w:val="24"/>
          <w:highlight w:val="none"/>
        </w:rPr>
        <w:t xml:space="preserve"> 天然包气带防污性能分级参照表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7"/>
        <w:gridCol w:w="8241"/>
      </w:tblGrid>
      <w:tr w14:paraId="1CF65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9" w:type="dxa"/>
            <w:tcBorders>
              <w:top w:val="single" w:color="auto" w:sz="12" w:space="0"/>
              <w:left w:val="single" w:color="auto" w:sz="12" w:space="0"/>
              <w:bottom w:val="single" w:color="auto" w:sz="6" w:space="0"/>
              <w:right w:val="single" w:color="auto" w:sz="6" w:space="0"/>
            </w:tcBorders>
            <w:noWrap w:val="0"/>
            <w:vAlign w:val="center"/>
          </w:tcPr>
          <w:p w14:paraId="3971A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分级</w:t>
            </w:r>
          </w:p>
        </w:tc>
        <w:tc>
          <w:tcPr>
            <w:tcW w:w="8151" w:type="dxa"/>
            <w:tcBorders>
              <w:top w:val="single" w:color="auto" w:sz="12" w:space="0"/>
              <w:left w:val="single" w:color="auto" w:sz="6" w:space="0"/>
              <w:bottom w:val="single" w:color="auto" w:sz="6" w:space="0"/>
              <w:right w:val="single" w:color="auto" w:sz="12" w:space="0"/>
            </w:tcBorders>
            <w:noWrap w:val="0"/>
            <w:vAlign w:val="center"/>
          </w:tcPr>
          <w:p w14:paraId="1AA69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包气带岩土的渗透性能</w:t>
            </w:r>
          </w:p>
        </w:tc>
      </w:tr>
      <w:tr w14:paraId="110E7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9" w:type="dxa"/>
            <w:tcBorders>
              <w:top w:val="single" w:color="auto" w:sz="6" w:space="0"/>
              <w:left w:val="single" w:color="auto" w:sz="12" w:space="0"/>
              <w:bottom w:val="single" w:color="auto" w:sz="6" w:space="0"/>
              <w:right w:val="single" w:color="auto" w:sz="6" w:space="0"/>
            </w:tcBorders>
            <w:noWrap w:val="0"/>
            <w:vAlign w:val="center"/>
          </w:tcPr>
          <w:p w14:paraId="16773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强</w:t>
            </w:r>
          </w:p>
        </w:tc>
        <w:tc>
          <w:tcPr>
            <w:tcW w:w="8151" w:type="dxa"/>
            <w:tcBorders>
              <w:top w:val="single" w:color="auto" w:sz="6" w:space="0"/>
              <w:left w:val="single" w:color="auto" w:sz="6" w:space="0"/>
              <w:bottom w:val="single" w:color="auto" w:sz="6" w:space="0"/>
              <w:right w:val="single" w:color="auto" w:sz="12" w:space="0"/>
            </w:tcBorders>
            <w:noWrap w:val="0"/>
            <w:vAlign w:val="center"/>
          </w:tcPr>
          <w:p w14:paraId="7ABB9C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岩（土）层单层厚度Mb≥1.0m，渗透系数K≤1×10</w:t>
            </w:r>
            <w:r>
              <w:rPr>
                <w:rFonts w:hint="default" w:ascii="Times New Roman" w:hAnsi="Times New Roman" w:eastAsia="宋体" w:cs="Times New Roman"/>
                <w:snapToGrid w:val="0"/>
                <w:color w:val="auto"/>
                <w:kern w:val="0"/>
                <w:sz w:val="21"/>
                <w:szCs w:val="21"/>
                <w:highlight w:val="none"/>
                <w:vertAlign w:val="superscript"/>
              </w:rPr>
              <w:t>-6</w:t>
            </w:r>
            <w:r>
              <w:rPr>
                <w:rFonts w:hint="default" w:ascii="Times New Roman" w:hAnsi="Times New Roman" w:eastAsia="宋体" w:cs="Times New Roman"/>
                <w:snapToGrid w:val="0"/>
                <w:color w:val="auto"/>
                <w:kern w:val="0"/>
                <w:sz w:val="21"/>
                <w:szCs w:val="21"/>
                <w:highlight w:val="none"/>
              </w:rPr>
              <w:t xml:space="preserve"> cm/s，且分布连续、稳定。</w:t>
            </w:r>
          </w:p>
        </w:tc>
      </w:tr>
      <w:tr w14:paraId="71EB0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9" w:type="dxa"/>
            <w:tcBorders>
              <w:top w:val="single" w:color="auto" w:sz="6" w:space="0"/>
              <w:left w:val="single" w:color="auto" w:sz="12" w:space="0"/>
              <w:bottom w:val="single" w:color="auto" w:sz="6" w:space="0"/>
              <w:right w:val="single" w:color="auto" w:sz="6" w:space="0"/>
            </w:tcBorders>
            <w:noWrap w:val="0"/>
            <w:vAlign w:val="center"/>
          </w:tcPr>
          <w:p w14:paraId="4D0DE0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中</w:t>
            </w:r>
          </w:p>
        </w:tc>
        <w:tc>
          <w:tcPr>
            <w:tcW w:w="8151" w:type="dxa"/>
            <w:tcBorders>
              <w:top w:val="single" w:color="auto" w:sz="6" w:space="0"/>
              <w:left w:val="single" w:color="auto" w:sz="6" w:space="0"/>
              <w:bottom w:val="single" w:color="auto" w:sz="6" w:space="0"/>
              <w:right w:val="single" w:color="auto" w:sz="12" w:space="0"/>
            </w:tcBorders>
            <w:noWrap w:val="0"/>
            <w:vAlign w:val="center"/>
          </w:tcPr>
          <w:p w14:paraId="6A589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岩（土）层单层厚度0.5m≤Mb&lt;1.0m，渗透系数K≤1×10</w:t>
            </w:r>
            <w:r>
              <w:rPr>
                <w:rFonts w:hint="default" w:ascii="Times New Roman" w:hAnsi="Times New Roman" w:eastAsia="宋体" w:cs="Times New Roman"/>
                <w:snapToGrid w:val="0"/>
                <w:color w:val="auto"/>
                <w:kern w:val="0"/>
                <w:sz w:val="21"/>
                <w:szCs w:val="21"/>
                <w:highlight w:val="none"/>
                <w:vertAlign w:val="superscript"/>
              </w:rPr>
              <w:t>-6</w:t>
            </w:r>
            <w:r>
              <w:rPr>
                <w:rFonts w:hint="default" w:ascii="Times New Roman" w:hAnsi="Times New Roman" w:eastAsia="宋体" w:cs="Times New Roman"/>
                <w:snapToGrid w:val="0"/>
                <w:color w:val="auto"/>
                <w:kern w:val="0"/>
                <w:sz w:val="21"/>
                <w:szCs w:val="21"/>
                <w:highlight w:val="none"/>
              </w:rPr>
              <w:t xml:space="preserve"> cm/s，且分布连续、稳定。岩（土）层单层厚度Mb≥1.0m，渗透系数1×10</w:t>
            </w:r>
            <w:r>
              <w:rPr>
                <w:rFonts w:hint="default" w:ascii="Times New Roman" w:hAnsi="Times New Roman" w:eastAsia="宋体" w:cs="Times New Roman"/>
                <w:snapToGrid w:val="0"/>
                <w:color w:val="auto"/>
                <w:kern w:val="0"/>
                <w:sz w:val="21"/>
                <w:szCs w:val="21"/>
                <w:highlight w:val="none"/>
                <w:vertAlign w:val="superscript"/>
              </w:rPr>
              <w:t>-6</w:t>
            </w:r>
            <w:r>
              <w:rPr>
                <w:rFonts w:hint="default" w:ascii="Times New Roman" w:hAnsi="Times New Roman" w:eastAsia="宋体" w:cs="Times New Roman"/>
                <w:snapToGrid w:val="0"/>
                <w:color w:val="auto"/>
                <w:kern w:val="0"/>
                <w:sz w:val="21"/>
                <w:szCs w:val="21"/>
                <w:highlight w:val="none"/>
              </w:rPr>
              <w:t>cm/s≤K≤1×10</w:t>
            </w:r>
            <w:r>
              <w:rPr>
                <w:rFonts w:hint="default" w:ascii="Times New Roman" w:hAnsi="Times New Roman" w:eastAsia="宋体" w:cs="Times New Roman"/>
                <w:snapToGrid w:val="0"/>
                <w:color w:val="auto"/>
                <w:kern w:val="0"/>
                <w:sz w:val="21"/>
                <w:szCs w:val="21"/>
                <w:highlight w:val="none"/>
                <w:vertAlign w:val="superscript"/>
              </w:rPr>
              <w:t>-4</w:t>
            </w:r>
            <w:r>
              <w:rPr>
                <w:rFonts w:hint="default" w:ascii="Times New Roman" w:hAnsi="Times New Roman" w:eastAsia="宋体" w:cs="Times New Roman"/>
                <w:snapToGrid w:val="0"/>
                <w:color w:val="auto"/>
                <w:kern w:val="0"/>
                <w:sz w:val="21"/>
                <w:szCs w:val="21"/>
                <w:highlight w:val="none"/>
              </w:rPr>
              <w:t>cm/s，且分布连续、稳定。</w:t>
            </w:r>
          </w:p>
        </w:tc>
      </w:tr>
      <w:tr w14:paraId="201ED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9" w:type="dxa"/>
            <w:tcBorders>
              <w:top w:val="single" w:color="auto" w:sz="6" w:space="0"/>
              <w:left w:val="single" w:color="auto" w:sz="12" w:space="0"/>
              <w:bottom w:val="single" w:color="auto" w:sz="12" w:space="0"/>
              <w:right w:val="single" w:color="auto" w:sz="6" w:space="0"/>
            </w:tcBorders>
            <w:noWrap w:val="0"/>
            <w:vAlign w:val="center"/>
          </w:tcPr>
          <w:p w14:paraId="72C39B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弱</w:t>
            </w:r>
          </w:p>
        </w:tc>
        <w:tc>
          <w:tcPr>
            <w:tcW w:w="8151" w:type="dxa"/>
            <w:tcBorders>
              <w:top w:val="single" w:color="auto" w:sz="6" w:space="0"/>
              <w:left w:val="single" w:color="auto" w:sz="6" w:space="0"/>
              <w:bottom w:val="single" w:color="auto" w:sz="12" w:space="0"/>
              <w:right w:val="single" w:color="auto" w:sz="12" w:space="0"/>
            </w:tcBorders>
            <w:noWrap w:val="0"/>
            <w:vAlign w:val="center"/>
          </w:tcPr>
          <w:p w14:paraId="681A90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岩（土）层不满足上述“强”和“中”条件</w:t>
            </w:r>
          </w:p>
        </w:tc>
      </w:tr>
    </w:tbl>
    <w:p w14:paraId="0AD18EE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b/>
          <w:snapToGrid w:val="0"/>
          <w:color w:val="auto"/>
          <w:kern w:val="0"/>
          <w:sz w:val="24"/>
          <w:highlight w:val="none"/>
        </w:rPr>
      </w:pPr>
      <w:r>
        <w:rPr>
          <w:rFonts w:hint="default" w:ascii="Times New Roman" w:hAnsi="Times New Roman" w:eastAsia="宋体" w:cs="Times New Roman"/>
          <w:bCs/>
          <w:snapToGrid w:val="0"/>
          <w:color w:val="auto"/>
          <w:kern w:val="0"/>
          <w:sz w:val="21"/>
          <w:szCs w:val="21"/>
          <w:highlight w:val="none"/>
        </w:rPr>
        <w:t>表6.2-</w:t>
      </w:r>
      <w:r>
        <w:rPr>
          <w:rFonts w:hint="eastAsia" w:eastAsia="宋体" w:cs="Times New Roman"/>
          <w:bCs/>
          <w:snapToGrid w:val="0"/>
          <w:color w:val="auto"/>
          <w:kern w:val="0"/>
          <w:sz w:val="21"/>
          <w:szCs w:val="21"/>
          <w:highlight w:val="none"/>
          <w:lang w:val="en-US" w:eastAsia="zh-CN"/>
        </w:rPr>
        <w:t>6</w:t>
      </w:r>
      <w:r>
        <w:rPr>
          <w:rFonts w:hint="default" w:ascii="Times New Roman" w:hAnsi="Times New Roman" w:cs="Times New Roman"/>
          <w:b/>
          <w:snapToGrid w:val="0"/>
          <w:color w:val="auto"/>
          <w:kern w:val="0"/>
          <w:sz w:val="24"/>
          <w:highlight w:val="none"/>
        </w:rPr>
        <w:t xml:space="preserve">  </w:t>
      </w:r>
      <w:r>
        <w:rPr>
          <w:rFonts w:hint="eastAsia" w:cs="Times New Roman"/>
          <w:b/>
          <w:snapToGrid w:val="0"/>
          <w:color w:val="auto"/>
          <w:kern w:val="0"/>
          <w:sz w:val="24"/>
          <w:highlight w:val="none"/>
          <w:lang w:val="en-US" w:eastAsia="zh-CN"/>
        </w:rPr>
        <w:t xml:space="preserve">             </w:t>
      </w:r>
      <w:r>
        <w:rPr>
          <w:rFonts w:hint="default" w:ascii="Times New Roman" w:hAnsi="Times New Roman" w:eastAsia="宋体" w:cs="Times New Roman"/>
          <w:b/>
          <w:snapToGrid w:val="0"/>
          <w:color w:val="auto"/>
          <w:kern w:val="0"/>
          <w:sz w:val="24"/>
          <w:highlight w:val="none"/>
        </w:rPr>
        <w:t>污染控制难易程度分级参照表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61"/>
        <w:gridCol w:w="6787"/>
      </w:tblGrid>
      <w:tr w14:paraId="2E389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17" w:type="dxa"/>
            <w:tcBorders>
              <w:top w:val="single" w:color="auto" w:sz="12" w:space="0"/>
              <w:left w:val="single" w:color="auto" w:sz="12" w:space="0"/>
              <w:bottom w:val="single" w:color="auto" w:sz="6" w:space="0"/>
              <w:right w:val="single" w:color="auto" w:sz="6" w:space="0"/>
            </w:tcBorders>
            <w:noWrap/>
            <w:vAlign w:val="center"/>
          </w:tcPr>
          <w:p w14:paraId="0C584F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污染控制难易程度</w:t>
            </w:r>
          </w:p>
        </w:tc>
        <w:tc>
          <w:tcPr>
            <w:tcW w:w="6647" w:type="dxa"/>
            <w:tcBorders>
              <w:top w:val="single" w:color="auto" w:sz="12" w:space="0"/>
              <w:left w:val="single" w:color="auto" w:sz="6" w:space="0"/>
              <w:bottom w:val="single" w:color="auto" w:sz="6" w:space="0"/>
              <w:right w:val="single" w:color="auto" w:sz="12" w:space="0"/>
            </w:tcBorders>
            <w:noWrap/>
            <w:vAlign w:val="center"/>
          </w:tcPr>
          <w:p w14:paraId="00C8DE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主要特征</w:t>
            </w:r>
          </w:p>
        </w:tc>
      </w:tr>
      <w:tr w14:paraId="24AB5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17" w:type="dxa"/>
            <w:tcBorders>
              <w:top w:val="single" w:color="auto" w:sz="6" w:space="0"/>
              <w:left w:val="single" w:color="auto" w:sz="12" w:space="0"/>
              <w:bottom w:val="single" w:color="auto" w:sz="6" w:space="0"/>
              <w:right w:val="single" w:color="auto" w:sz="6" w:space="0"/>
            </w:tcBorders>
            <w:noWrap/>
            <w:vAlign w:val="center"/>
          </w:tcPr>
          <w:p w14:paraId="6BD091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难</w:t>
            </w:r>
          </w:p>
        </w:tc>
        <w:tc>
          <w:tcPr>
            <w:tcW w:w="6647" w:type="dxa"/>
            <w:tcBorders>
              <w:top w:val="single" w:color="auto" w:sz="6" w:space="0"/>
              <w:left w:val="single" w:color="auto" w:sz="6" w:space="0"/>
              <w:bottom w:val="single" w:color="auto" w:sz="6" w:space="0"/>
              <w:right w:val="single" w:color="auto" w:sz="12" w:space="0"/>
            </w:tcBorders>
            <w:noWrap/>
            <w:vAlign w:val="center"/>
          </w:tcPr>
          <w:p w14:paraId="3420BD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对地下水环境有污染的物料或污染物泄漏后，不能及时发现和处理。</w:t>
            </w:r>
          </w:p>
        </w:tc>
      </w:tr>
      <w:tr w14:paraId="7FE33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17" w:type="dxa"/>
            <w:tcBorders>
              <w:top w:val="single" w:color="auto" w:sz="6" w:space="0"/>
              <w:left w:val="single" w:color="auto" w:sz="12" w:space="0"/>
              <w:bottom w:val="single" w:color="auto" w:sz="12" w:space="0"/>
              <w:right w:val="single" w:color="auto" w:sz="6" w:space="0"/>
            </w:tcBorders>
            <w:noWrap/>
            <w:vAlign w:val="center"/>
          </w:tcPr>
          <w:p w14:paraId="47711E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易</w:t>
            </w:r>
          </w:p>
        </w:tc>
        <w:tc>
          <w:tcPr>
            <w:tcW w:w="6647" w:type="dxa"/>
            <w:tcBorders>
              <w:top w:val="single" w:color="auto" w:sz="6" w:space="0"/>
              <w:left w:val="single" w:color="auto" w:sz="6" w:space="0"/>
              <w:bottom w:val="single" w:color="auto" w:sz="12" w:space="0"/>
              <w:right w:val="single" w:color="auto" w:sz="12" w:space="0"/>
            </w:tcBorders>
            <w:noWrap/>
            <w:vAlign w:val="center"/>
          </w:tcPr>
          <w:p w14:paraId="18DDF1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对地下水环境有污染的物料或污染物泄漏后，可及时发现和处理。</w:t>
            </w:r>
          </w:p>
        </w:tc>
      </w:tr>
    </w:tbl>
    <w:p w14:paraId="065BC0A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b/>
          <w:snapToGrid w:val="0"/>
          <w:color w:val="auto"/>
          <w:kern w:val="0"/>
          <w:sz w:val="24"/>
          <w:highlight w:val="none"/>
        </w:rPr>
      </w:pPr>
      <w:r>
        <w:rPr>
          <w:rFonts w:hint="default" w:ascii="Times New Roman" w:hAnsi="Times New Roman" w:eastAsia="宋体" w:cs="Times New Roman"/>
          <w:bCs/>
          <w:snapToGrid w:val="0"/>
          <w:color w:val="auto"/>
          <w:kern w:val="0"/>
          <w:sz w:val="21"/>
          <w:szCs w:val="21"/>
          <w:highlight w:val="none"/>
        </w:rPr>
        <w:t>表6.2-</w:t>
      </w:r>
      <w:r>
        <w:rPr>
          <w:rFonts w:hint="eastAsia" w:eastAsia="宋体" w:cs="Times New Roman"/>
          <w:bCs/>
          <w:snapToGrid w:val="0"/>
          <w:color w:val="auto"/>
          <w:kern w:val="0"/>
          <w:sz w:val="21"/>
          <w:szCs w:val="21"/>
          <w:highlight w:val="none"/>
          <w:lang w:val="en-US" w:eastAsia="zh-CN"/>
        </w:rPr>
        <w:t>7</w:t>
      </w:r>
      <w:r>
        <w:rPr>
          <w:rFonts w:hint="default" w:ascii="Times New Roman" w:hAnsi="Times New Roman" w:cs="Times New Roman"/>
          <w:b/>
          <w:snapToGrid w:val="0"/>
          <w:color w:val="auto"/>
          <w:kern w:val="0"/>
          <w:sz w:val="24"/>
          <w:highlight w:val="none"/>
        </w:rPr>
        <w:t xml:space="preserve">  </w:t>
      </w:r>
      <w:r>
        <w:rPr>
          <w:rFonts w:hint="eastAsia" w:cs="Times New Roman"/>
          <w:b/>
          <w:snapToGrid w:val="0"/>
          <w:color w:val="auto"/>
          <w:kern w:val="0"/>
          <w:sz w:val="24"/>
          <w:highlight w:val="none"/>
          <w:lang w:val="en-US" w:eastAsia="zh-CN"/>
        </w:rPr>
        <w:t xml:space="preserve">               </w:t>
      </w:r>
      <w:r>
        <w:rPr>
          <w:rFonts w:hint="default" w:ascii="Times New Roman" w:hAnsi="Times New Roman" w:eastAsia="宋体" w:cs="Times New Roman"/>
          <w:b/>
          <w:snapToGrid w:val="0"/>
          <w:color w:val="auto"/>
          <w:kern w:val="0"/>
          <w:sz w:val="24"/>
          <w:highlight w:val="none"/>
        </w:rPr>
        <w:t>地下水污染防渗分区分级表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5"/>
        <w:gridCol w:w="2937"/>
        <w:gridCol w:w="2643"/>
        <w:gridCol w:w="1683"/>
      </w:tblGrid>
      <w:tr w14:paraId="41BEF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658" w:type="dxa"/>
            <w:tcBorders>
              <w:tl2br w:val="nil"/>
              <w:tr2bl w:val="nil"/>
            </w:tcBorders>
            <w:noWrap/>
            <w:vAlign w:val="center"/>
          </w:tcPr>
          <w:p w14:paraId="454F75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防渗分区</w:t>
            </w:r>
          </w:p>
        </w:tc>
        <w:tc>
          <w:tcPr>
            <w:tcW w:w="2890" w:type="dxa"/>
            <w:tcBorders>
              <w:tl2br w:val="nil"/>
              <w:tr2bl w:val="nil"/>
            </w:tcBorders>
            <w:noWrap/>
            <w:vAlign w:val="center"/>
          </w:tcPr>
          <w:p w14:paraId="027C48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天然包气带防污性能</w:t>
            </w:r>
          </w:p>
        </w:tc>
        <w:tc>
          <w:tcPr>
            <w:tcW w:w="2601" w:type="dxa"/>
            <w:tcBorders>
              <w:tl2br w:val="nil"/>
              <w:tr2bl w:val="nil"/>
            </w:tcBorders>
            <w:noWrap/>
            <w:vAlign w:val="center"/>
          </w:tcPr>
          <w:p w14:paraId="724E0C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污染控制难易程度</w:t>
            </w:r>
          </w:p>
        </w:tc>
        <w:tc>
          <w:tcPr>
            <w:tcW w:w="1656" w:type="dxa"/>
            <w:tcBorders>
              <w:tl2br w:val="nil"/>
              <w:tr2bl w:val="nil"/>
            </w:tcBorders>
            <w:noWrap/>
            <w:vAlign w:val="center"/>
          </w:tcPr>
          <w:p w14:paraId="43EC87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污染物类型</w:t>
            </w:r>
          </w:p>
        </w:tc>
      </w:tr>
      <w:tr w14:paraId="411AC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8" w:type="dxa"/>
            <w:vMerge w:val="restart"/>
            <w:tcBorders>
              <w:tl2br w:val="nil"/>
              <w:tr2bl w:val="nil"/>
            </w:tcBorders>
            <w:noWrap w:val="0"/>
            <w:vAlign w:val="center"/>
          </w:tcPr>
          <w:p w14:paraId="35CBF9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重点防渗区</w:t>
            </w:r>
          </w:p>
        </w:tc>
        <w:tc>
          <w:tcPr>
            <w:tcW w:w="2890" w:type="dxa"/>
            <w:tcBorders>
              <w:tl2br w:val="nil"/>
              <w:tr2bl w:val="nil"/>
            </w:tcBorders>
            <w:noWrap/>
            <w:vAlign w:val="center"/>
          </w:tcPr>
          <w:p w14:paraId="389B2E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弱</w:t>
            </w:r>
          </w:p>
        </w:tc>
        <w:tc>
          <w:tcPr>
            <w:tcW w:w="2601" w:type="dxa"/>
            <w:tcBorders>
              <w:tl2br w:val="nil"/>
              <w:tr2bl w:val="nil"/>
            </w:tcBorders>
            <w:noWrap/>
            <w:vAlign w:val="center"/>
          </w:tcPr>
          <w:p w14:paraId="4A8F8E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难</w:t>
            </w:r>
          </w:p>
        </w:tc>
        <w:tc>
          <w:tcPr>
            <w:tcW w:w="1656" w:type="dxa"/>
            <w:vMerge w:val="restart"/>
            <w:tcBorders>
              <w:tl2br w:val="nil"/>
              <w:tr2bl w:val="nil"/>
            </w:tcBorders>
            <w:noWrap w:val="0"/>
            <w:vAlign w:val="center"/>
          </w:tcPr>
          <w:p w14:paraId="1A4226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重金属、持久性有机物污染物</w:t>
            </w:r>
          </w:p>
        </w:tc>
      </w:tr>
      <w:tr w14:paraId="03D31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8" w:type="dxa"/>
            <w:vMerge w:val="continue"/>
            <w:tcBorders>
              <w:tl2br w:val="nil"/>
              <w:tr2bl w:val="nil"/>
            </w:tcBorders>
            <w:noWrap w:val="0"/>
            <w:vAlign w:val="center"/>
          </w:tcPr>
          <w:p w14:paraId="3EB91C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p>
        </w:tc>
        <w:tc>
          <w:tcPr>
            <w:tcW w:w="2890" w:type="dxa"/>
            <w:tcBorders>
              <w:tl2br w:val="nil"/>
              <w:tr2bl w:val="nil"/>
            </w:tcBorders>
            <w:noWrap/>
            <w:vAlign w:val="center"/>
          </w:tcPr>
          <w:p w14:paraId="027A3C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中-强</w:t>
            </w:r>
          </w:p>
        </w:tc>
        <w:tc>
          <w:tcPr>
            <w:tcW w:w="2601" w:type="dxa"/>
            <w:tcBorders>
              <w:tl2br w:val="nil"/>
              <w:tr2bl w:val="nil"/>
            </w:tcBorders>
            <w:noWrap/>
            <w:vAlign w:val="center"/>
          </w:tcPr>
          <w:p w14:paraId="542C3E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难</w:t>
            </w:r>
          </w:p>
        </w:tc>
        <w:tc>
          <w:tcPr>
            <w:tcW w:w="1656" w:type="dxa"/>
            <w:vMerge w:val="continue"/>
            <w:tcBorders>
              <w:tl2br w:val="nil"/>
              <w:tr2bl w:val="nil"/>
            </w:tcBorders>
            <w:noWrap w:val="0"/>
            <w:vAlign w:val="center"/>
          </w:tcPr>
          <w:p w14:paraId="0A4A55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p>
        </w:tc>
      </w:tr>
      <w:tr w14:paraId="2C9D7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8" w:type="dxa"/>
            <w:vMerge w:val="continue"/>
            <w:tcBorders>
              <w:tl2br w:val="nil"/>
              <w:tr2bl w:val="nil"/>
            </w:tcBorders>
            <w:noWrap w:val="0"/>
            <w:vAlign w:val="center"/>
          </w:tcPr>
          <w:p w14:paraId="7110D8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p>
        </w:tc>
        <w:tc>
          <w:tcPr>
            <w:tcW w:w="2890" w:type="dxa"/>
            <w:tcBorders>
              <w:tl2br w:val="nil"/>
              <w:tr2bl w:val="nil"/>
            </w:tcBorders>
            <w:noWrap/>
            <w:vAlign w:val="center"/>
          </w:tcPr>
          <w:p w14:paraId="3A3AE6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弱</w:t>
            </w:r>
          </w:p>
        </w:tc>
        <w:tc>
          <w:tcPr>
            <w:tcW w:w="2601" w:type="dxa"/>
            <w:tcBorders>
              <w:tl2br w:val="nil"/>
              <w:tr2bl w:val="nil"/>
            </w:tcBorders>
            <w:noWrap/>
            <w:vAlign w:val="center"/>
          </w:tcPr>
          <w:p w14:paraId="1EB372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易</w:t>
            </w:r>
          </w:p>
        </w:tc>
        <w:tc>
          <w:tcPr>
            <w:tcW w:w="1656" w:type="dxa"/>
            <w:vMerge w:val="continue"/>
            <w:tcBorders>
              <w:tl2br w:val="nil"/>
              <w:tr2bl w:val="nil"/>
            </w:tcBorders>
            <w:noWrap w:val="0"/>
            <w:vAlign w:val="center"/>
          </w:tcPr>
          <w:p w14:paraId="3C2069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p>
        </w:tc>
      </w:tr>
      <w:tr w14:paraId="7DCC7D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8" w:type="dxa"/>
            <w:vMerge w:val="restart"/>
            <w:tcBorders>
              <w:tl2br w:val="nil"/>
              <w:tr2bl w:val="nil"/>
            </w:tcBorders>
            <w:noWrap w:val="0"/>
            <w:vAlign w:val="center"/>
          </w:tcPr>
          <w:p w14:paraId="7D0F2B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一般防渗区</w:t>
            </w:r>
          </w:p>
        </w:tc>
        <w:tc>
          <w:tcPr>
            <w:tcW w:w="2890" w:type="dxa"/>
            <w:tcBorders>
              <w:tl2br w:val="nil"/>
              <w:tr2bl w:val="nil"/>
            </w:tcBorders>
            <w:noWrap/>
            <w:vAlign w:val="center"/>
          </w:tcPr>
          <w:p w14:paraId="6335A2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弱</w:t>
            </w:r>
          </w:p>
        </w:tc>
        <w:tc>
          <w:tcPr>
            <w:tcW w:w="2601" w:type="dxa"/>
            <w:tcBorders>
              <w:tl2br w:val="nil"/>
              <w:tr2bl w:val="nil"/>
            </w:tcBorders>
            <w:noWrap/>
            <w:vAlign w:val="center"/>
          </w:tcPr>
          <w:p w14:paraId="730ED1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易-难</w:t>
            </w:r>
          </w:p>
        </w:tc>
        <w:tc>
          <w:tcPr>
            <w:tcW w:w="1656" w:type="dxa"/>
            <w:vMerge w:val="restart"/>
            <w:tcBorders>
              <w:tl2br w:val="nil"/>
              <w:tr2bl w:val="nil"/>
            </w:tcBorders>
            <w:noWrap/>
            <w:vAlign w:val="center"/>
          </w:tcPr>
          <w:p w14:paraId="50CD57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其他类型</w:t>
            </w:r>
          </w:p>
        </w:tc>
      </w:tr>
      <w:tr w14:paraId="03DDC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8" w:type="dxa"/>
            <w:vMerge w:val="continue"/>
            <w:tcBorders>
              <w:tl2br w:val="nil"/>
              <w:tr2bl w:val="nil"/>
            </w:tcBorders>
            <w:noWrap w:val="0"/>
            <w:vAlign w:val="center"/>
          </w:tcPr>
          <w:p w14:paraId="59BAF2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p>
        </w:tc>
        <w:tc>
          <w:tcPr>
            <w:tcW w:w="2890" w:type="dxa"/>
            <w:tcBorders>
              <w:tl2br w:val="nil"/>
              <w:tr2bl w:val="nil"/>
            </w:tcBorders>
            <w:noWrap/>
            <w:vAlign w:val="center"/>
          </w:tcPr>
          <w:p w14:paraId="29D2D8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中-强</w:t>
            </w:r>
          </w:p>
        </w:tc>
        <w:tc>
          <w:tcPr>
            <w:tcW w:w="2601" w:type="dxa"/>
            <w:tcBorders>
              <w:tl2br w:val="nil"/>
              <w:tr2bl w:val="nil"/>
            </w:tcBorders>
            <w:noWrap/>
            <w:vAlign w:val="center"/>
          </w:tcPr>
          <w:p w14:paraId="457AEE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难</w:t>
            </w:r>
          </w:p>
        </w:tc>
        <w:tc>
          <w:tcPr>
            <w:tcW w:w="1656" w:type="dxa"/>
            <w:vMerge w:val="continue"/>
            <w:tcBorders>
              <w:tl2br w:val="nil"/>
              <w:tr2bl w:val="nil"/>
            </w:tcBorders>
            <w:noWrap w:val="0"/>
            <w:vAlign w:val="center"/>
          </w:tcPr>
          <w:p w14:paraId="085B69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p>
        </w:tc>
      </w:tr>
      <w:tr w14:paraId="4AD0BD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8" w:type="dxa"/>
            <w:vMerge w:val="continue"/>
            <w:tcBorders>
              <w:tl2br w:val="nil"/>
              <w:tr2bl w:val="nil"/>
            </w:tcBorders>
            <w:noWrap w:val="0"/>
            <w:vAlign w:val="center"/>
          </w:tcPr>
          <w:p w14:paraId="05A4AE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p>
        </w:tc>
        <w:tc>
          <w:tcPr>
            <w:tcW w:w="2890" w:type="dxa"/>
            <w:tcBorders>
              <w:tl2br w:val="nil"/>
              <w:tr2bl w:val="nil"/>
            </w:tcBorders>
            <w:noWrap/>
            <w:vAlign w:val="center"/>
          </w:tcPr>
          <w:p w14:paraId="4FA6D4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中</w:t>
            </w:r>
          </w:p>
        </w:tc>
        <w:tc>
          <w:tcPr>
            <w:tcW w:w="2601" w:type="dxa"/>
            <w:tcBorders>
              <w:tl2br w:val="nil"/>
              <w:tr2bl w:val="nil"/>
            </w:tcBorders>
            <w:noWrap/>
            <w:vAlign w:val="center"/>
          </w:tcPr>
          <w:p w14:paraId="7F60F0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易</w:t>
            </w:r>
          </w:p>
        </w:tc>
        <w:tc>
          <w:tcPr>
            <w:tcW w:w="1656" w:type="dxa"/>
            <w:vMerge w:val="restart"/>
            <w:tcBorders>
              <w:tl2br w:val="nil"/>
              <w:tr2bl w:val="nil"/>
            </w:tcBorders>
            <w:noWrap w:val="0"/>
            <w:vAlign w:val="center"/>
          </w:tcPr>
          <w:p w14:paraId="5D90E8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重金属、持久性有机物污染物</w:t>
            </w:r>
          </w:p>
        </w:tc>
      </w:tr>
      <w:tr w14:paraId="453C3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8" w:type="dxa"/>
            <w:vMerge w:val="continue"/>
            <w:tcBorders>
              <w:tl2br w:val="nil"/>
              <w:tr2bl w:val="nil"/>
            </w:tcBorders>
            <w:noWrap w:val="0"/>
            <w:vAlign w:val="center"/>
          </w:tcPr>
          <w:p w14:paraId="309ED0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p>
        </w:tc>
        <w:tc>
          <w:tcPr>
            <w:tcW w:w="2890" w:type="dxa"/>
            <w:tcBorders>
              <w:tl2br w:val="nil"/>
              <w:tr2bl w:val="nil"/>
            </w:tcBorders>
            <w:noWrap/>
            <w:vAlign w:val="center"/>
          </w:tcPr>
          <w:p w14:paraId="5CDED2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强</w:t>
            </w:r>
          </w:p>
        </w:tc>
        <w:tc>
          <w:tcPr>
            <w:tcW w:w="2601" w:type="dxa"/>
            <w:tcBorders>
              <w:tl2br w:val="nil"/>
              <w:tr2bl w:val="nil"/>
            </w:tcBorders>
            <w:noWrap/>
            <w:vAlign w:val="center"/>
          </w:tcPr>
          <w:p w14:paraId="7FF8A5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易</w:t>
            </w:r>
          </w:p>
        </w:tc>
        <w:tc>
          <w:tcPr>
            <w:tcW w:w="1656" w:type="dxa"/>
            <w:vMerge w:val="continue"/>
            <w:tcBorders>
              <w:tl2br w:val="nil"/>
              <w:tr2bl w:val="nil"/>
            </w:tcBorders>
            <w:noWrap w:val="0"/>
            <w:vAlign w:val="center"/>
          </w:tcPr>
          <w:p w14:paraId="09B2D8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p>
        </w:tc>
      </w:tr>
      <w:tr w14:paraId="300BD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8" w:type="dxa"/>
            <w:tcBorders>
              <w:tl2br w:val="nil"/>
              <w:tr2bl w:val="nil"/>
            </w:tcBorders>
            <w:noWrap/>
            <w:vAlign w:val="center"/>
          </w:tcPr>
          <w:p w14:paraId="72F90A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简单防渗区</w:t>
            </w:r>
          </w:p>
        </w:tc>
        <w:tc>
          <w:tcPr>
            <w:tcW w:w="2890" w:type="dxa"/>
            <w:tcBorders>
              <w:tl2br w:val="nil"/>
              <w:tr2bl w:val="nil"/>
            </w:tcBorders>
            <w:noWrap/>
            <w:vAlign w:val="center"/>
          </w:tcPr>
          <w:p w14:paraId="276460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中-强</w:t>
            </w:r>
          </w:p>
        </w:tc>
        <w:tc>
          <w:tcPr>
            <w:tcW w:w="2601" w:type="dxa"/>
            <w:tcBorders>
              <w:tl2br w:val="nil"/>
              <w:tr2bl w:val="nil"/>
            </w:tcBorders>
            <w:noWrap/>
            <w:vAlign w:val="center"/>
          </w:tcPr>
          <w:p w14:paraId="23665B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易</w:t>
            </w:r>
          </w:p>
        </w:tc>
        <w:tc>
          <w:tcPr>
            <w:tcW w:w="1656" w:type="dxa"/>
            <w:tcBorders>
              <w:tl2br w:val="nil"/>
              <w:tr2bl w:val="nil"/>
            </w:tcBorders>
            <w:noWrap/>
            <w:vAlign w:val="center"/>
          </w:tcPr>
          <w:p w14:paraId="320E5E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其他类型</w:t>
            </w:r>
          </w:p>
        </w:tc>
      </w:tr>
    </w:tbl>
    <w:p w14:paraId="3A0369E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Cs/>
          <w:snapToGrid w:val="0"/>
          <w:color w:val="auto"/>
          <w:kern w:val="0"/>
          <w:sz w:val="21"/>
          <w:szCs w:val="21"/>
          <w:highlight w:val="none"/>
        </w:rPr>
      </w:pPr>
    </w:p>
    <w:p w14:paraId="1EF6F16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b/>
          <w:snapToGrid w:val="0"/>
          <w:color w:val="auto"/>
          <w:kern w:val="0"/>
          <w:sz w:val="24"/>
          <w:highlight w:val="none"/>
        </w:rPr>
      </w:pPr>
      <w:r>
        <w:rPr>
          <w:rFonts w:hint="default" w:ascii="Times New Roman" w:hAnsi="Times New Roman" w:eastAsia="宋体" w:cs="Times New Roman"/>
          <w:bCs/>
          <w:snapToGrid w:val="0"/>
          <w:color w:val="auto"/>
          <w:kern w:val="0"/>
          <w:sz w:val="21"/>
          <w:szCs w:val="21"/>
          <w:highlight w:val="none"/>
        </w:rPr>
        <w:t>表6.2-</w:t>
      </w:r>
      <w:r>
        <w:rPr>
          <w:rFonts w:hint="eastAsia" w:eastAsia="宋体" w:cs="Times New Roman"/>
          <w:bCs/>
          <w:snapToGrid w:val="0"/>
          <w:color w:val="auto"/>
          <w:kern w:val="0"/>
          <w:sz w:val="21"/>
          <w:szCs w:val="21"/>
          <w:highlight w:val="none"/>
          <w:lang w:val="en-US" w:eastAsia="zh-CN"/>
        </w:rPr>
        <w:t>8</w:t>
      </w:r>
      <w:r>
        <w:rPr>
          <w:rFonts w:hint="default" w:ascii="Times New Roman" w:hAnsi="Times New Roman" w:eastAsia="宋体" w:cs="Times New Roman"/>
          <w:bCs/>
          <w:snapToGrid w:val="0"/>
          <w:color w:val="auto"/>
          <w:kern w:val="0"/>
          <w:sz w:val="21"/>
          <w:szCs w:val="21"/>
          <w:highlight w:val="none"/>
        </w:rPr>
        <w:t xml:space="preserve"> </w:t>
      </w:r>
      <w:r>
        <w:rPr>
          <w:rFonts w:hint="eastAsia" w:ascii="Times New Roman" w:hAnsi="Times New Roman" w:eastAsia="宋体" w:cs="Times New Roman"/>
          <w:bCs/>
          <w:snapToGrid w:val="0"/>
          <w:color w:val="auto"/>
          <w:kern w:val="0"/>
          <w:sz w:val="21"/>
          <w:szCs w:val="21"/>
          <w:highlight w:val="none"/>
          <w:lang w:val="en-US" w:eastAsia="zh-CN"/>
        </w:rPr>
        <w:t xml:space="preserve">               </w:t>
      </w:r>
      <w:r>
        <w:rPr>
          <w:rFonts w:hint="default" w:ascii="Times New Roman" w:hAnsi="Times New Roman" w:cs="Times New Roman"/>
          <w:b/>
          <w:snapToGrid w:val="0"/>
          <w:color w:val="auto"/>
          <w:kern w:val="0"/>
          <w:sz w:val="24"/>
          <w:highlight w:val="none"/>
        </w:rPr>
        <w:t xml:space="preserve"> </w:t>
      </w:r>
      <w:r>
        <w:rPr>
          <w:rFonts w:hint="default" w:ascii="Times New Roman" w:hAnsi="Times New Roman" w:eastAsia="宋体" w:cs="Times New Roman"/>
          <w:b/>
          <w:snapToGrid w:val="0"/>
          <w:color w:val="auto"/>
          <w:kern w:val="0"/>
          <w:sz w:val="24"/>
          <w:highlight w:val="none"/>
          <w:lang w:eastAsia="zh-CN"/>
        </w:rPr>
        <w:t>本</w:t>
      </w:r>
      <w:r>
        <w:rPr>
          <w:rFonts w:hint="default" w:ascii="Times New Roman" w:hAnsi="Times New Roman" w:eastAsia="宋体" w:cs="Times New Roman"/>
          <w:b/>
          <w:snapToGrid w:val="0"/>
          <w:color w:val="auto"/>
          <w:kern w:val="0"/>
          <w:sz w:val="24"/>
          <w:highlight w:val="none"/>
        </w:rPr>
        <w:t>项目防渗分区依据及防渗要求</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307"/>
        <w:gridCol w:w="2712"/>
        <w:gridCol w:w="3601"/>
      </w:tblGrid>
      <w:tr w14:paraId="228C4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pct"/>
            <w:tcBorders>
              <w:tl2br w:val="nil"/>
              <w:tr2bl w:val="nil"/>
            </w:tcBorders>
            <w:noWrap w:val="0"/>
            <w:vAlign w:val="center"/>
          </w:tcPr>
          <w:p w14:paraId="52C9F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污染防治区</w:t>
            </w:r>
          </w:p>
        </w:tc>
        <w:tc>
          <w:tcPr>
            <w:tcW w:w="730" w:type="pct"/>
            <w:tcBorders>
              <w:tl2br w:val="nil"/>
              <w:tr2bl w:val="nil"/>
            </w:tcBorders>
            <w:noWrap w:val="0"/>
            <w:vAlign w:val="center"/>
          </w:tcPr>
          <w:p w14:paraId="043CC3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功能单元</w:t>
            </w:r>
          </w:p>
        </w:tc>
        <w:tc>
          <w:tcPr>
            <w:tcW w:w="1515" w:type="pct"/>
            <w:tcBorders>
              <w:tl2br w:val="nil"/>
              <w:tr2bl w:val="nil"/>
            </w:tcBorders>
            <w:noWrap w:val="0"/>
            <w:vAlign w:val="center"/>
          </w:tcPr>
          <w:p w14:paraId="6C31DF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防渗要求</w:t>
            </w:r>
          </w:p>
        </w:tc>
        <w:tc>
          <w:tcPr>
            <w:tcW w:w="2012" w:type="pct"/>
            <w:tcBorders>
              <w:tl2br w:val="nil"/>
              <w:tr2bl w:val="nil"/>
            </w:tcBorders>
            <w:noWrap w:val="0"/>
            <w:vAlign w:val="center"/>
          </w:tcPr>
          <w:p w14:paraId="57C1E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防渗方案</w:t>
            </w:r>
          </w:p>
        </w:tc>
      </w:tr>
      <w:tr w14:paraId="2F3FE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pct"/>
            <w:vMerge w:val="restart"/>
            <w:tcBorders>
              <w:tl2br w:val="nil"/>
              <w:tr2bl w:val="nil"/>
            </w:tcBorders>
            <w:noWrap w:val="0"/>
            <w:vAlign w:val="center"/>
          </w:tcPr>
          <w:p w14:paraId="70C682C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重点防渗区</w:t>
            </w:r>
          </w:p>
        </w:tc>
        <w:tc>
          <w:tcPr>
            <w:tcW w:w="730" w:type="pct"/>
            <w:tcBorders>
              <w:tl2br w:val="nil"/>
              <w:tr2bl w:val="nil"/>
            </w:tcBorders>
            <w:noWrap w:val="0"/>
            <w:vAlign w:val="center"/>
          </w:tcPr>
          <w:p w14:paraId="49FF57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z w:val="21"/>
                <w:szCs w:val="21"/>
                <w:highlight w:val="none"/>
              </w:rPr>
              <w:t>污水处理站</w:t>
            </w:r>
          </w:p>
        </w:tc>
        <w:tc>
          <w:tcPr>
            <w:tcW w:w="1515" w:type="pct"/>
            <w:vMerge w:val="restart"/>
            <w:tcBorders>
              <w:tl2br w:val="nil"/>
              <w:tr2bl w:val="nil"/>
            </w:tcBorders>
            <w:noWrap w:val="0"/>
            <w:vAlign w:val="center"/>
          </w:tcPr>
          <w:p w14:paraId="62A54591">
            <w:pPr>
              <w:keepNext w:val="0"/>
              <w:keepLines w:val="0"/>
              <w:pageBreakBefore w:val="0"/>
              <w:widowControl w:val="0"/>
              <w:kinsoku/>
              <w:wordWrap/>
              <w:overflowPunct/>
              <w:topLinePunct w:val="0"/>
              <w:autoSpaceDE/>
              <w:autoSpaceDN/>
              <w:bidi w:val="0"/>
              <w:adjustRightInd/>
              <w:snapToGrid/>
              <w:spacing w:line="240" w:lineRule="auto"/>
              <w:ind w:firstLine="416" w:firstLineChars="200"/>
              <w:jc w:val="left"/>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防渗层的性能不低于6.0m厚渗透系数为1.0×10</w:t>
            </w:r>
            <w:r>
              <w:rPr>
                <w:rFonts w:hint="default" w:ascii="Times New Roman" w:hAnsi="Times New Roman" w:eastAsia="宋体" w:cs="Times New Roman"/>
                <w:color w:val="auto"/>
                <w:spacing w:val="-1"/>
                <w:sz w:val="21"/>
                <w:szCs w:val="21"/>
                <w:highlight w:val="none"/>
                <w:vertAlign w:val="superscript"/>
              </w:rPr>
              <w:t>-7</w:t>
            </w:r>
            <w:r>
              <w:rPr>
                <w:rFonts w:hint="default" w:ascii="Times New Roman" w:hAnsi="Times New Roman" w:eastAsia="宋体" w:cs="Times New Roman"/>
                <w:color w:val="auto"/>
                <w:spacing w:val="-1"/>
                <w:sz w:val="21"/>
                <w:szCs w:val="21"/>
                <w:highlight w:val="none"/>
              </w:rPr>
              <w:t>cm/s的</w:t>
            </w:r>
            <w:r>
              <w:rPr>
                <w:rFonts w:hint="eastAsia" w:eastAsia="宋体" w:cs="Times New Roman"/>
                <w:color w:val="auto"/>
                <w:spacing w:val="-1"/>
                <w:sz w:val="21"/>
                <w:szCs w:val="21"/>
                <w:highlight w:val="none"/>
                <w:lang w:eastAsia="zh-CN"/>
              </w:rPr>
              <w:t>粘</w:t>
            </w:r>
            <w:r>
              <w:rPr>
                <w:rFonts w:hint="default" w:ascii="Times New Roman" w:hAnsi="Times New Roman" w:eastAsia="宋体" w:cs="Times New Roman"/>
                <w:color w:val="auto"/>
                <w:spacing w:val="-1"/>
                <w:sz w:val="21"/>
                <w:szCs w:val="21"/>
                <w:highlight w:val="none"/>
              </w:rPr>
              <w:t>土层</w:t>
            </w:r>
          </w:p>
        </w:tc>
        <w:tc>
          <w:tcPr>
            <w:tcW w:w="2012" w:type="pct"/>
            <w:tcBorders>
              <w:tl2br w:val="nil"/>
              <w:tr2bl w:val="nil"/>
            </w:tcBorders>
            <w:noWrap w:val="0"/>
            <w:vAlign w:val="center"/>
          </w:tcPr>
          <w:p w14:paraId="0437D2C6">
            <w:pPr>
              <w:keepNext w:val="0"/>
              <w:keepLines w:val="0"/>
              <w:pageBreakBefore w:val="0"/>
              <w:widowControl w:val="0"/>
              <w:kinsoku/>
              <w:wordWrap/>
              <w:overflowPunct/>
              <w:topLinePunct w:val="0"/>
              <w:autoSpaceDE/>
              <w:autoSpaceDN/>
              <w:bidi w:val="0"/>
              <w:adjustRightInd/>
              <w:snapToGrid/>
              <w:spacing w:line="240" w:lineRule="auto"/>
              <w:ind w:firstLine="416" w:firstLineChars="200"/>
              <w:jc w:val="left"/>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采用不低于C30强度等级的混凝土结构，抗渗等级不低于P8，渗透系数不大于1.0×10</w:t>
            </w:r>
            <w:r>
              <w:rPr>
                <w:rFonts w:hint="default" w:ascii="Times New Roman" w:hAnsi="Times New Roman" w:eastAsia="宋体" w:cs="Times New Roman"/>
                <w:color w:val="auto"/>
                <w:spacing w:val="-1"/>
                <w:sz w:val="21"/>
                <w:szCs w:val="21"/>
                <w:highlight w:val="none"/>
                <w:vertAlign w:val="superscript"/>
              </w:rPr>
              <w:t>-7</w:t>
            </w:r>
            <w:r>
              <w:rPr>
                <w:rFonts w:hint="default" w:ascii="Times New Roman" w:hAnsi="Times New Roman" w:eastAsia="宋体" w:cs="Times New Roman"/>
                <w:color w:val="auto"/>
                <w:spacing w:val="-1"/>
                <w:sz w:val="21"/>
                <w:szCs w:val="21"/>
                <w:highlight w:val="none"/>
              </w:rPr>
              <w:t>cm/s</w:t>
            </w:r>
          </w:p>
        </w:tc>
      </w:tr>
      <w:tr w14:paraId="73AAD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pct"/>
            <w:vMerge w:val="continue"/>
            <w:tcBorders>
              <w:tl2br w:val="nil"/>
              <w:tr2bl w:val="nil"/>
            </w:tcBorders>
            <w:noWrap w:val="0"/>
            <w:vAlign w:val="center"/>
          </w:tcPr>
          <w:p w14:paraId="0078696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pacing w:val="-1"/>
                <w:sz w:val="21"/>
                <w:szCs w:val="21"/>
                <w:highlight w:val="none"/>
              </w:rPr>
            </w:pPr>
          </w:p>
        </w:tc>
        <w:tc>
          <w:tcPr>
            <w:tcW w:w="730" w:type="pct"/>
            <w:tcBorders>
              <w:tl2br w:val="nil"/>
              <w:tr2bl w:val="nil"/>
            </w:tcBorders>
            <w:noWrap w:val="0"/>
            <w:vAlign w:val="center"/>
          </w:tcPr>
          <w:p w14:paraId="09BE52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危废贮存库</w:t>
            </w:r>
          </w:p>
        </w:tc>
        <w:tc>
          <w:tcPr>
            <w:tcW w:w="1515" w:type="pct"/>
            <w:vMerge w:val="continue"/>
            <w:tcBorders>
              <w:tl2br w:val="nil"/>
              <w:tr2bl w:val="nil"/>
            </w:tcBorders>
            <w:noWrap w:val="0"/>
            <w:vAlign w:val="center"/>
          </w:tcPr>
          <w:p w14:paraId="35D15F0B">
            <w:pPr>
              <w:keepNext w:val="0"/>
              <w:keepLines w:val="0"/>
              <w:pageBreakBefore w:val="0"/>
              <w:widowControl w:val="0"/>
              <w:kinsoku/>
              <w:wordWrap/>
              <w:overflowPunct/>
              <w:topLinePunct w:val="0"/>
              <w:autoSpaceDE/>
              <w:autoSpaceDN/>
              <w:bidi w:val="0"/>
              <w:adjustRightInd/>
              <w:snapToGrid/>
              <w:spacing w:line="240" w:lineRule="auto"/>
              <w:ind w:firstLine="416" w:firstLineChars="200"/>
              <w:jc w:val="left"/>
              <w:textAlignment w:val="auto"/>
              <w:rPr>
                <w:rFonts w:hint="default" w:ascii="Times New Roman" w:hAnsi="Times New Roman" w:eastAsia="宋体" w:cs="Times New Roman"/>
                <w:color w:val="auto"/>
                <w:spacing w:val="-1"/>
                <w:sz w:val="21"/>
                <w:szCs w:val="21"/>
                <w:highlight w:val="none"/>
              </w:rPr>
            </w:pPr>
          </w:p>
        </w:tc>
        <w:tc>
          <w:tcPr>
            <w:tcW w:w="2012" w:type="pct"/>
            <w:tcBorders>
              <w:tl2br w:val="nil"/>
              <w:tr2bl w:val="nil"/>
            </w:tcBorders>
            <w:noWrap w:val="0"/>
            <w:vAlign w:val="center"/>
          </w:tcPr>
          <w:p w14:paraId="401C03EF">
            <w:pPr>
              <w:keepNext w:val="0"/>
              <w:keepLines w:val="0"/>
              <w:pageBreakBefore w:val="0"/>
              <w:widowControl w:val="0"/>
              <w:kinsoku/>
              <w:wordWrap/>
              <w:overflowPunct/>
              <w:topLinePunct w:val="0"/>
              <w:autoSpaceDE/>
              <w:autoSpaceDN/>
              <w:bidi w:val="0"/>
              <w:adjustRightInd/>
              <w:snapToGrid/>
              <w:spacing w:line="240" w:lineRule="auto"/>
              <w:ind w:firstLine="416" w:firstLineChars="200"/>
              <w:jc w:val="left"/>
              <w:textAlignment w:val="auto"/>
              <w:rPr>
                <w:rFonts w:hint="eastAsia" w:ascii="Times New Roman" w:hAnsi="Times New Roman" w:eastAsia="宋体" w:cs="Times New Roman"/>
                <w:color w:val="auto"/>
                <w:spacing w:val="-1"/>
                <w:sz w:val="21"/>
                <w:szCs w:val="21"/>
                <w:highlight w:val="none"/>
                <w:lang w:eastAsia="zh-CN"/>
              </w:rPr>
            </w:pPr>
            <w:r>
              <w:rPr>
                <w:rFonts w:hint="eastAsia" w:eastAsia="宋体" w:cs="Times New Roman"/>
                <w:color w:val="auto"/>
                <w:spacing w:val="-1"/>
                <w:sz w:val="21"/>
                <w:szCs w:val="21"/>
                <w:highlight w:val="none"/>
                <w:lang w:val="en-US" w:eastAsia="zh-CN"/>
              </w:rPr>
              <w:t>地面铺设</w:t>
            </w:r>
            <w:r>
              <w:rPr>
                <w:rFonts w:hint="default" w:ascii="Times New Roman" w:hAnsi="Times New Roman" w:eastAsia="宋体" w:cs="Times New Roman"/>
                <w:color w:val="auto"/>
                <w:spacing w:val="-1"/>
                <w:sz w:val="21"/>
                <w:szCs w:val="21"/>
                <w:highlight w:val="none"/>
              </w:rPr>
              <w:t>2mm厚高密度聚乙烯膜等人工防渗材料</w:t>
            </w:r>
            <w:r>
              <w:rPr>
                <w:rFonts w:hint="eastAsia"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渗透系数不大于1.0×10</w:t>
            </w:r>
            <w:r>
              <w:rPr>
                <w:rFonts w:hint="default" w:ascii="Times New Roman" w:hAnsi="Times New Roman" w:eastAsia="宋体" w:cs="Times New Roman"/>
                <w:color w:val="auto"/>
                <w:spacing w:val="-1"/>
                <w:sz w:val="21"/>
                <w:szCs w:val="21"/>
                <w:highlight w:val="none"/>
                <w:vertAlign w:val="superscript"/>
              </w:rPr>
              <w:t>-7</w:t>
            </w:r>
            <w:r>
              <w:rPr>
                <w:rFonts w:hint="default" w:ascii="Times New Roman" w:hAnsi="Times New Roman" w:eastAsia="宋体" w:cs="Times New Roman"/>
                <w:color w:val="auto"/>
                <w:spacing w:val="-1"/>
                <w:sz w:val="21"/>
                <w:szCs w:val="21"/>
                <w:highlight w:val="none"/>
              </w:rPr>
              <w:t>cm/s</w:t>
            </w:r>
            <w:r>
              <w:rPr>
                <w:rFonts w:hint="eastAsia" w:ascii="Times New Roman" w:hAnsi="Times New Roman" w:eastAsia="宋体" w:cs="Times New Roman"/>
                <w:color w:val="auto"/>
                <w:spacing w:val="-1"/>
                <w:sz w:val="21"/>
                <w:szCs w:val="21"/>
                <w:highlight w:val="none"/>
                <w:lang w:eastAsia="zh-CN"/>
              </w:rPr>
              <w:t>。</w:t>
            </w:r>
          </w:p>
        </w:tc>
      </w:tr>
      <w:tr w14:paraId="6D49D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pct"/>
            <w:tcBorders>
              <w:tl2br w:val="nil"/>
              <w:tr2bl w:val="nil"/>
            </w:tcBorders>
            <w:noWrap w:val="0"/>
            <w:vAlign w:val="center"/>
          </w:tcPr>
          <w:p w14:paraId="70A9F12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一般防渗区</w:t>
            </w:r>
          </w:p>
        </w:tc>
        <w:tc>
          <w:tcPr>
            <w:tcW w:w="730" w:type="pct"/>
            <w:tcBorders>
              <w:tl2br w:val="nil"/>
              <w:tr2bl w:val="nil"/>
            </w:tcBorders>
            <w:noWrap w:val="0"/>
            <w:vAlign w:val="center"/>
          </w:tcPr>
          <w:p w14:paraId="1D921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屠宰加工车间、化粪池</w:t>
            </w:r>
          </w:p>
        </w:tc>
        <w:tc>
          <w:tcPr>
            <w:tcW w:w="1515" w:type="pct"/>
            <w:tcBorders>
              <w:tl2br w:val="nil"/>
              <w:tr2bl w:val="nil"/>
            </w:tcBorders>
            <w:noWrap w:val="0"/>
            <w:vAlign w:val="center"/>
          </w:tcPr>
          <w:p w14:paraId="2667FA2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z w:val="21"/>
                <w:szCs w:val="21"/>
                <w:highlight w:val="none"/>
              </w:rPr>
              <w:t>防渗性能应不低于1.5mm厚、渗透系数为1.0×10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cm/s的复合衬层</w:t>
            </w:r>
          </w:p>
        </w:tc>
        <w:tc>
          <w:tcPr>
            <w:tcW w:w="2012" w:type="pct"/>
            <w:tcBorders>
              <w:tl2br w:val="nil"/>
              <w:tr2bl w:val="nil"/>
            </w:tcBorders>
            <w:noWrap w:val="0"/>
            <w:vAlign w:val="center"/>
          </w:tcPr>
          <w:p w14:paraId="210F5BD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z w:val="21"/>
                <w:szCs w:val="21"/>
                <w:highlight w:val="none"/>
              </w:rPr>
              <w:t>水泥砂浆防渗，防渗层为至少1m厚</w:t>
            </w:r>
            <w:r>
              <w:rPr>
                <w:rFonts w:hint="eastAsia" w:eastAsia="宋体" w:cs="Times New Roman"/>
                <w:color w:val="auto"/>
                <w:sz w:val="21"/>
                <w:szCs w:val="21"/>
                <w:highlight w:val="none"/>
                <w:lang w:eastAsia="zh-CN"/>
              </w:rPr>
              <w:t>粘土</w:t>
            </w:r>
            <w:r>
              <w:rPr>
                <w:rFonts w:hint="default" w:ascii="Times New Roman" w:hAnsi="Times New Roman" w:eastAsia="宋体" w:cs="Times New Roman"/>
                <w:color w:val="auto"/>
                <w:sz w:val="21"/>
                <w:szCs w:val="21"/>
                <w:highlight w:val="none"/>
              </w:rPr>
              <w:t>层或2mm厚高密度聚乙烯，需满足等效</w:t>
            </w:r>
            <w:r>
              <w:rPr>
                <w:rFonts w:hint="eastAsia" w:eastAsia="宋体" w:cs="Times New Roman"/>
                <w:color w:val="auto"/>
                <w:sz w:val="21"/>
                <w:szCs w:val="21"/>
                <w:highlight w:val="none"/>
                <w:lang w:eastAsia="zh-CN"/>
              </w:rPr>
              <w:t>粘土</w:t>
            </w:r>
            <w:r>
              <w:rPr>
                <w:rFonts w:hint="default" w:ascii="Times New Roman" w:hAnsi="Times New Roman" w:eastAsia="宋体" w:cs="Times New Roman"/>
                <w:color w:val="auto"/>
                <w:sz w:val="21"/>
                <w:szCs w:val="21"/>
                <w:highlight w:val="none"/>
              </w:rPr>
              <w:t>防渗层Mb≥1.5m，满足渗透系数K≤1.0×10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p>
        </w:tc>
      </w:tr>
    </w:tbl>
    <w:p w14:paraId="2063B5DD">
      <w:pPr>
        <w:bidi w:val="0"/>
        <w:spacing w:line="360" w:lineRule="auto"/>
        <w:rPr>
          <w:rFonts w:hint="eastAsia"/>
          <w:color w:val="auto"/>
          <w:lang w:val="en-US" w:eastAsia="zh-CN"/>
        </w:rPr>
      </w:pPr>
      <w:r>
        <w:rPr>
          <w:rFonts w:hint="eastAsia"/>
          <w:color w:val="auto"/>
          <w:lang w:val="en-US" w:eastAsia="zh-CN"/>
        </w:rPr>
        <w:t>（4）地下水污染监控措施</w:t>
      </w:r>
    </w:p>
    <w:p w14:paraId="34BF9C05">
      <w:pPr>
        <w:bidi w:val="0"/>
        <w:spacing w:line="360" w:lineRule="auto"/>
        <w:rPr>
          <w:rFonts w:hint="default" w:ascii="Times New Roman" w:hAnsi="Times New Roman" w:cs="Times New Roman"/>
          <w:color w:val="auto"/>
          <w:lang w:val="en-US" w:eastAsia="zh-CN"/>
        </w:rPr>
      </w:pPr>
      <w:r>
        <w:rPr>
          <w:rFonts w:hint="eastAsia"/>
          <w:color w:val="auto"/>
          <w:lang w:val="en-US" w:eastAsia="zh-CN"/>
        </w:rPr>
        <w:t>根据《环境影响评价技术导则·地下水环境》（HJ610-2016）及《地下水环境监测技术规范》（HJ164-2020）等规定，项目建成后应对地下水环境进行长期动态监测。本次评价要求在厂区污水处理站附近设置1眼跟踪监测井</w:t>
      </w:r>
      <w:r>
        <w:rPr>
          <w:rFonts w:hint="default" w:ascii="Times New Roman" w:hAnsi="Times New Roman" w:cs="Times New Roman"/>
          <w:color w:val="auto"/>
          <w:lang w:val="en-US" w:eastAsia="zh-CN"/>
        </w:rPr>
        <w:t>（106°11′13.641″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36°0′17.439″），将地下水跟踪监测结果定期进行公布。</w:t>
      </w:r>
    </w:p>
    <w:p w14:paraId="0CCB26CC">
      <w:pPr>
        <w:bidi w:val="0"/>
        <w:spacing w:line="360" w:lineRule="auto"/>
        <w:rPr>
          <w:rFonts w:hint="eastAsia"/>
          <w:color w:val="auto"/>
          <w:lang w:val="en-US" w:eastAsia="zh-CN"/>
        </w:rPr>
      </w:pPr>
      <w:r>
        <w:rPr>
          <w:rFonts w:hint="eastAsia"/>
          <w:color w:val="auto"/>
          <w:lang w:val="en-US" w:eastAsia="zh-CN"/>
        </w:rPr>
        <w:t>通过采取上述措施，可有效控制厂区内的废水污染物下渗现象，避免污染地下水，因此项目对区域地下水环境影响较小。</w:t>
      </w:r>
    </w:p>
    <w:p w14:paraId="5E460CD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60" w:name="_Toc22609"/>
      <w:r>
        <w:rPr>
          <w:rFonts w:hint="default" w:ascii="Times New Roman" w:hAnsi="Times New Roman" w:eastAsia="黑体" w:cs="Times New Roman"/>
          <w:b/>
          <w:color w:val="auto"/>
          <w:sz w:val="28"/>
          <w:szCs w:val="28"/>
          <w:highlight w:val="none"/>
          <w:lang w:val="en-US" w:eastAsia="zh-CN"/>
        </w:rPr>
        <w:t>6.2.4噪声污染防治措施评述</w:t>
      </w:r>
      <w:bookmarkEnd w:id="560"/>
    </w:p>
    <w:p w14:paraId="57315640">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本项目噪声来源主要为屠宰车间各类机械噪声，噪声声级在70~90dB（A）。针对不同噪声源采用隔声、消声、合理布局等治理措施。</w:t>
      </w:r>
    </w:p>
    <w:p w14:paraId="51D3DD79">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（1）重视设备选型</w:t>
      </w:r>
    </w:p>
    <w:p w14:paraId="79634368">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最大程度地选用加工精度高，运行噪声低，配备减振、降噪的设施的生产设备。</w:t>
      </w:r>
    </w:p>
    <w:p w14:paraId="2B1E6782">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（2）重视总图布置</w:t>
      </w:r>
    </w:p>
    <w:p w14:paraId="3E6D081C">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将高噪声设备布置在厂房之内，可利用建筑物、构筑物形成噪声屏障，阻碍噪声传播。对噪声设备，在设计时应考虑建筑隔声效果。如对泵类设备等均安装在室内，采用厂房隔声布置，以减轻噪声对室外环境的影响。</w:t>
      </w:r>
    </w:p>
    <w:p w14:paraId="0F58E6E3">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（3）采取隔声、吸声措施</w:t>
      </w:r>
    </w:p>
    <w:p w14:paraId="2D654BFB">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在项目厂区道路两侧种植绿化带，厂内空地种植花草，以进一步削减噪声。</w:t>
      </w:r>
    </w:p>
    <w:p w14:paraId="3339E0F6">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（4）风机噪声控制</w:t>
      </w:r>
    </w:p>
    <w:p w14:paraId="5E134E1D">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可以安装消声器、加装隔声罩、内嵌式安装。</w:t>
      </w:r>
    </w:p>
    <w:p w14:paraId="6174C936">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风机在运转时产生的噪声主要有空气动力性噪声（即气流噪声）、机械噪声等，其中强度最高、影响最大的则是空气动力性噪声，尤其进出气口产生的噪声最严重。通过在进气口安装阻抗复合消声器和对进排气管道作阻尼减振措施，这样对整体设备可降噪15~20dB（A）以上，使风机声源值由90dB(A)降至70dB(A)。</w:t>
      </w:r>
    </w:p>
    <w:p w14:paraId="5A44CB12">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泵类噪声以空气压缩机产生的空气动力噪声最强，远远超过电磁噪声和机械噪声之和，电动机的噪声频带比较宽，以低中频为主。一般用内衬有吸声材料的电动机隔声罩和泵基减振垫，将电动机全部罩上的隔声设施，还有将泵置于地平面以下，以降低声源强度。</w:t>
      </w:r>
    </w:p>
    <w:p w14:paraId="02FBDF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（5）从管理角度，加强以下几个方面工作，以减少项目噪声排放对周边声环境的影响</w:t>
      </w:r>
    </w:p>
    <w:p w14:paraId="63636F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①提高工艺自动控制水平，减少工人直接接触高噪声设备时间。</w:t>
      </w:r>
    </w:p>
    <w:p w14:paraId="3F5C13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②建立设备定期维护、保养制度，防止设备故障形成的非正常生产噪声。</w:t>
      </w:r>
    </w:p>
    <w:p w14:paraId="1FAC11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③加强职工环保意识教育，提倡文明生产，防止人为噪声。</w:t>
      </w:r>
    </w:p>
    <w:p w14:paraId="75AD84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（6）流动声源管理：对于流动声源，单独控制声源技术难度甚大，可行的措施是强化行驶管理制度。要求驾驶员加强环保意识，减少鸣笛次数。同时加强厂区内道路维护保养，减少汽车</w:t>
      </w:r>
      <w:r>
        <w:rPr>
          <w:rFonts w:hint="eastAsia"/>
          <w:color w:val="auto"/>
          <w:lang w:val="en-US" w:eastAsia="zh-CN"/>
        </w:rPr>
        <w:t>摩擦</w:t>
      </w:r>
      <w:r>
        <w:rPr>
          <w:rFonts w:hint="eastAsia" w:ascii="Times New Roman" w:hAnsi="Times New Roman"/>
          <w:color w:val="auto"/>
          <w:lang w:val="en-US" w:eastAsia="zh-CN"/>
        </w:rPr>
        <w:t>噪声。</w:t>
      </w:r>
    </w:p>
    <w:p w14:paraId="640907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根据项目声环境影响评价预测结果，采取有效的减振降噪措施后，预测前述主要生产设备噪声源衰减至厂界外1m的噪声贡献值，均可以满足《工业企业厂界环境噪声排放标准》（GB12348-2008）3类排放限值要求。</w:t>
      </w:r>
    </w:p>
    <w:p w14:paraId="492372A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61" w:name="_Toc27457"/>
      <w:r>
        <w:rPr>
          <w:rFonts w:hint="eastAsia" w:ascii="Times New Roman" w:hAnsi="Times New Roman" w:eastAsia="黑体" w:cs="Times New Roman"/>
          <w:b/>
          <w:color w:val="auto"/>
          <w:sz w:val="28"/>
          <w:szCs w:val="28"/>
          <w:highlight w:val="none"/>
          <w:lang w:val="en-US" w:eastAsia="zh-CN"/>
        </w:rPr>
        <w:t>6</w:t>
      </w:r>
      <w:r>
        <w:rPr>
          <w:rFonts w:hint="default" w:ascii="Times New Roman" w:hAnsi="Times New Roman" w:eastAsia="黑体" w:cs="Times New Roman"/>
          <w:b/>
          <w:color w:val="auto"/>
          <w:sz w:val="28"/>
          <w:szCs w:val="28"/>
          <w:highlight w:val="none"/>
          <w:lang w:val="en-US" w:eastAsia="zh-CN"/>
        </w:rPr>
        <w:t>.2.5固体废物污染防治措施评述</w:t>
      </w:r>
      <w:bookmarkEnd w:id="561"/>
    </w:p>
    <w:p w14:paraId="3721A2EA">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6.2.5.1固体废物处置原则</w:t>
      </w:r>
    </w:p>
    <w:p w14:paraId="658723F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lang w:val="zh-CN" w:eastAsia="zh-CN"/>
        </w:rPr>
      </w:pPr>
      <w:r>
        <w:rPr>
          <w:rFonts w:hint="default" w:ascii="Times New Roman" w:hAnsi="Times New Roman"/>
          <w:color w:val="auto"/>
          <w:lang w:val="zh-CN" w:eastAsia="zh-CN"/>
        </w:rPr>
        <w:t>本项目产生的固体废物根据“减量化、资源化、无害化”的原则，在各装置（或单元）尽量减少其排放量，排出的废物首先考虑回收及综合利用，按照《中华人民共和国固体废物污染环境防治法</w:t>
      </w:r>
      <w:r>
        <w:rPr>
          <w:rFonts w:hint="eastAsia"/>
          <w:color w:val="auto"/>
          <w:lang w:val="zh-CN" w:eastAsia="zh-CN"/>
        </w:rPr>
        <w:t>》《</w:t>
      </w:r>
      <w:r>
        <w:rPr>
          <w:rFonts w:hint="default" w:ascii="Times New Roman" w:hAnsi="Times New Roman"/>
          <w:color w:val="auto"/>
          <w:lang w:val="zh-CN" w:eastAsia="zh-CN"/>
        </w:rPr>
        <w:t>屠宰及肉类加工业污染防治可行技术指南（HJ1285-2023）》中固体废物污染防治可行技术优先进行资源化利用，并选择合理的处理处置方式。</w:t>
      </w:r>
    </w:p>
    <w:p w14:paraId="6970B272">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default" w:ascii="Times New Roman" w:hAnsi="Times New Roman" w:eastAsia="黑体" w:cs="Times New Roman"/>
          <w:b/>
          <w:bCs w:val="0"/>
          <w:color w:val="auto"/>
          <w:sz w:val="24"/>
          <w:szCs w:val="24"/>
          <w:lang w:val="en-US" w:eastAsia="zh-CN"/>
        </w:rPr>
        <w:t>6.2.5.2固体废物处置情况</w:t>
      </w:r>
    </w:p>
    <w:p w14:paraId="28CAAD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lang w:val="en-US" w:eastAsia="zh-CN"/>
        </w:rPr>
      </w:pPr>
      <w:r>
        <w:rPr>
          <w:rFonts w:hint="default"/>
          <w:color w:val="auto"/>
          <w:lang w:val="en-US" w:eastAsia="zh-CN"/>
        </w:rPr>
        <w:t>本项目屠宰过程中产生的分割边角料、胃内容物暂存于内脏处理间粪便池内，</w:t>
      </w:r>
      <w:r>
        <w:rPr>
          <w:rFonts w:hint="eastAsia"/>
          <w:color w:val="auto"/>
          <w:lang w:val="en-US" w:eastAsia="zh-CN"/>
        </w:rPr>
        <w:t>由吸污车拉运至</w:t>
      </w:r>
      <w:r>
        <w:rPr>
          <w:rFonts w:hint="default"/>
          <w:color w:val="auto"/>
          <w:lang w:val="en-US" w:eastAsia="zh-CN"/>
        </w:rPr>
        <w:t>固原富田有机肥有限公司生产</w:t>
      </w:r>
      <w:r>
        <w:rPr>
          <w:rFonts w:hint="eastAsia"/>
          <w:color w:val="auto"/>
          <w:lang w:val="en-US" w:eastAsia="zh-CN"/>
        </w:rPr>
        <w:t>肥料，不在厂区储存；</w:t>
      </w:r>
      <w:r>
        <w:rPr>
          <w:rFonts w:hint="default"/>
          <w:color w:val="auto"/>
          <w:lang w:val="en-US" w:eastAsia="zh-CN"/>
        </w:rPr>
        <w:t>牛粪便（含牛尿）</w:t>
      </w:r>
      <w:r>
        <w:rPr>
          <w:rFonts w:hint="eastAsia"/>
          <w:color w:val="auto"/>
          <w:lang w:val="en-US" w:eastAsia="zh-CN"/>
        </w:rPr>
        <w:t>、</w:t>
      </w:r>
      <w:r>
        <w:rPr>
          <w:rFonts w:hint="default"/>
          <w:color w:val="auto"/>
          <w:lang w:val="en-US" w:eastAsia="zh-CN"/>
        </w:rPr>
        <w:t>羊粪便（含羊尿）运至固原富田有机肥有限公司生产</w:t>
      </w:r>
      <w:r>
        <w:rPr>
          <w:rFonts w:hint="eastAsia"/>
          <w:color w:val="auto"/>
          <w:lang w:val="en-US" w:eastAsia="zh-CN"/>
        </w:rPr>
        <w:t>肥料</w:t>
      </w:r>
      <w:r>
        <w:rPr>
          <w:rFonts w:hint="default"/>
          <w:color w:val="auto"/>
          <w:lang w:val="en-US" w:eastAsia="zh-CN"/>
        </w:rPr>
        <w:t>；病变内脏、不合格胴体、病死牛</w:t>
      </w:r>
      <w:r>
        <w:rPr>
          <w:rFonts w:hint="eastAsia"/>
          <w:color w:val="auto"/>
          <w:lang w:val="en-US" w:eastAsia="zh-CN"/>
        </w:rPr>
        <w:t>、病死羊集中收集后暂存于危废贮存库内的冰柜中，</w:t>
      </w:r>
      <w:r>
        <w:rPr>
          <w:rFonts w:hint="default"/>
          <w:color w:val="auto"/>
          <w:lang w:val="en-US" w:eastAsia="zh-CN"/>
        </w:rPr>
        <w:t>定期拉运至原州区动物疾病预防控制中心（动物卫生监督）</w:t>
      </w:r>
      <w:r>
        <w:rPr>
          <w:rFonts w:hint="eastAsia"/>
          <w:color w:val="auto"/>
          <w:lang w:val="en-US" w:eastAsia="zh-CN"/>
        </w:rPr>
        <w:t>指定场所进行</w:t>
      </w:r>
      <w:r>
        <w:rPr>
          <w:rFonts w:hint="default"/>
          <w:color w:val="auto"/>
          <w:lang w:val="en-US" w:eastAsia="zh-CN"/>
        </w:rPr>
        <w:t>无害化处置；生活垃圾收集后由环卫部门统一处置；污水处理站污泥</w:t>
      </w:r>
      <w:r>
        <w:rPr>
          <w:rFonts w:hint="eastAsia"/>
          <w:color w:val="auto"/>
          <w:lang w:val="en-US" w:eastAsia="zh-CN"/>
        </w:rPr>
        <w:t>脱水</w:t>
      </w:r>
      <w:r>
        <w:rPr>
          <w:rFonts w:hint="default"/>
          <w:color w:val="auto"/>
          <w:lang w:val="en-US" w:eastAsia="zh-CN"/>
        </w:rPr>
        <w:t>后拉运至固原富田有机肥有限公司生产</w:t>
      </w:r>
      <w:r>
        <w:rPr>
          <w:rFonts w:hint="eastAsia"/>
          <w:color w:val="auto"/>
          <w:lang w:val="en-US" w:eastAsia="zh-CN"/>
        </w:rPr>
        <w:t>肥料</w:t>
      </w:r>
      <w:r>
        <w:rPr>
          <w:rFonts w:hint="default"/>
          <w:color w:val="auto"/>
          <w:lang w:val="en-US" w:eastAsia="zh-CN"/>
        </w:rPr>
        <w:t>；废活性炭</w:t>
      </w:r>
      <w:r>
        <w:rPr>
          <w:rFonts w:hint="eastAsia"/>
          <w:color w:val="auto"/>
          <w:lang w:val="en-US" w:eastAsia="zh-CN"/>
        </w:rPr>
        <w:t>更换后交有资质单位处置，不在厂区内储存；</w:t>
      </w:r>
      <w:r>
        <w:rPr>
          <w:rFonts w:hint="default"/>
          <w:color w:val="auto"/>
          <w:lang w:val="en-US" w:eastAsia="zh-CN"/>
        </w:rPr>
        <w:t>废机油、废机油桶、检疫废物暂存于</w:t>
      </w:r>
      <w:r>
        <w:rPr>
          <w:rFonts w:hint="eastAsia"/>
          <w:color w:val="auto"/>
          <w:lang w:val="en-US" w:eastAsia="zh-CN"/>
        </w:rPr>
        <w:t>危废贮存库</w:t>
      </w:r>
      <w:r>
        <w:rPr>
          <w:rFonts w:hint="default"/>
          <w:color w:val="auto"/>
          <w:lang w:val="en-US" w:eastAsia="zh-CN"/>
        </w:rPr>
        <w:t>，</w:t>
      </w:r>
      <w:r>
        <w:rPr>
          <w:rFonts w:hint="eastAsia"/>
          <w:color w:val="auto"/>
          <w:lang w:val="en-US" w:eastAsia="zh-CN"/>
        </w:rPr>
        <w:t>定期</w:t>
      </w:r>
      <w:r>
        <w:rPr>
          <w:rFonts w:hint="default"/>
          <w:color w:val="auto"/>
          <w:lang w:val="en-US" w:eastAsia="zh-CN"/>
        </w:rPr>
        <w:t>交有资质的单位处置</w:t>
      </w:r>
      <w:r>
        <w:rPr>
          <w:rFonts w:hint="eastAsia" w:ascii="Times New Roman" w:hAnsi="Times New Roman"/>
          <w:color w:val="auto"/>
          <w:lang w:val="en-US" w:eastAsia="zh-CN"/>
        </w:rPr>
        <w:t>。</w:t>
      </w:r>
      <w:r>
        <w:rPr>
          <w:rFonts w:hint="eastAsia"/>
          <w:color w:val="auto"/>
          <w:lang w:val="en-US" w:eastAsia="zh-CN"/>
        </w:rPr>
        <w:t>项目产生的固体废物运输过程中采取全密闭措施。</w:t>
      </w:r>
    </w:p>
    <w:p w14:paraId="78579A6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综上所述，本项目固体废物均综合利用或无害化处理，不外排。</w:t>
      </w:r>
    </w:p>
    <w:p w14:paraId="4D7A090D">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bookmarkStart w:id="562" w:name="_Toc4870"/>
      <w:bookmarkStart w:id="563" w:name="_Toc9218"/>
      <w:r>
        <w:rPr>
          <w:rFonts w:hint="eastAsia" w:ascii="Times New Roman" w:hAnsi="Times New Roman" w:eastAsia="黑体" w:cs="Times New Roman"/>
          <w:b/>
          <w:bCs w:val="0"/>
          <w:color w:val="auto"/>
          <w:sz w:val="24"/>
          <w:szCs w:val="24"/>
          <w:lang w:val="en-US" w:eastAsia="zh-CN"/>
        </w:rPr>
        <w:t>6.2.5.3固体废物收集、暂存、运输的可行性分析</w:t>
      </w:r>
      <w:bookmarkEnd w:id="562"/>
      <w:bookmarkEnd w:id="563"/>
    </w:p>
    <w:p w14:paraId="46779264">
      <w:pPr>
        <w:bidi w:val="0"/>
        <w:spacing w:line="360" w:lineRule="auto"/>
        <w:rPr>
          <w:rFonts w:hint="eastAsia"/>
          <w:color w:val="auto"/>
          <w:lang w:val="en-US" w:eastAsia="zh-CN"/>
        </w:rPr>
      </w:pPr>
      <w:r>
        <w:rPr>
          <w:rFonts w:hint="eastAsia"/>
          <w:color w:val="auto"/>
          <w:lang w:val="en-US" w:eastAsia="zh-CN"/>
        </w:rPr>
        <w:t>根据《屠宰及肉类加工业污染防治可行技术指南（HJ1285-2023）》6.3固体废物污染治理技术的相关要求：</w:t>
      </w:r>
    </w:p>
    <w:p w14:paraId="62EE8DFD">
      <w:pPr>
        <w:numPr>
          <w:ilvl w:val="0"/>
          <w:numId w:val="4"/>
        </w:numPr>
        <w:bidi w:val="0"/>
        <w:spacing w:line="360" w:lineRule="auto"/>
        <w:rPr>
          <w:rFonts w:hint="eastAsia"/>
          <w:color w:val="auto"/>
          <w:lang w:val="en-US" w:eastAsia="zh-CN"/>
        </w:rPr>
      </w:pPr>
      <w:r>
        <w:rPr>
          <w:rFonts w:hint="eastAsia" w:ascii="Times New Roman" w:hAnsi="Times New Roman"/>
          <w:color w:val="auto"/>
          <w:lang w:val="en-US" w:eastAsia="zh-CN"/>
        </w:rPr>
        <w:t>固体废物应根据其废物属性，按照</w:t>
      </w:r>
      <w:r>
        <w:rPr>
          <w:rFonts w:hint="eastAsia"/>
          <w:color w:val="auto"/>
          <w:lang w:val="en-US" w:eastAsia="zh-CN"/>
        </w:rPr>
        <w:t>《</w:t>
      </w:r>
      <w:r>
        <w:rPr>
          <w:rFonts w:hint="eastAsia" w:ascii="Times New Roman" w:hAnsi="Times New Roman"/>
          <w:color w:val="auto"/>
          <w:lang w:val="en-US" w:eastAsia="zh-CN"/>
        </w:rPr>
        <w:t>危险废物贮存污染控制标准</w:t>
      </w:r>
      <w:r>
        <w:rPr>
          <w:rFonts w:hint="eastAsia"/>
          <w:color w:val="auto"/>
          <w:lang w:val="en-US" w:eastAsia="zh-CN"/>
        </w:rPr>
        <w:t>》</w:t>
      </w:r>
      <w:r>
        <w:rPr>
          <w:rFonts w:hint="eastAsia" w:ascii="Times New Roman" w:hAnsi="Times New Roman"/>
          <w:color w:val="auto"/>
          <w:lang w:val="en-US" w:eastAsia="zh-CN"/>
        </w:rPr>
        <w:t>（GB18597</w:t>
      </w:r>
      <w:r>
        <w:rPr>
          <w:rFonts w:hint="eastAsia"/>
          <w:color w:val="auto"/>
          <w:lang w:val="en-US" w:eastAsia="zh-CN"/>
        </w:rPr>
        <w:t>-</w:t>
      </w:r>
      <w:r>
        <w:rPr>
          <w:rFonts w:hint="eastAsia" w:ascii="Times New Roman" w:hAnsi="Times New Roman"/>
          <w:color w:val="auto"/>
          <w:lang w:val="en-US" w:eastAsia="zh-CN"/>
        </w:rPr>
        <w:t>2023</w:t>
      </w:r>
      <w:r>
        <w:rPr>
          <w:rFonts w:hint="eastAsia"/>
          <w:color w:val="auto"/>
          <w:lang w:val="en-US" w:eastAsia="zh-CN"/>
        </w:rPr>
        <w:t>）</w:t>
      </w:r>
      <w:r>
        <w:rPr>
          <w:rFonts w:hint="eastAsia" w:ascii="Times New Roman" w:hAnsi="Times New Roman"/>
          <w:color w:val="auto"/>
          <w:lang w:val="en-US" w:eastAsia="zh-CN"/>
        </w:rPr>
        <w:t>或</w:t>
      </w:r>
      <w:r>
        <w:rPr>
          <w:rFonts w:hint="eastAsia"/>
          <w:color w:val="auto"/>
          <w:lang w:val="en-US" w:eastAsia="zh-CN"/>
        </w:rPr>
        <w:t>《</w:t>
      </w:r>
      <w:r>
        <w:rPr>
          <w:rFonts w:hint="eastAsia" w:ascii="Times New Roman" w:hAnsi="Times New Roman"/>
          <w:color w:val="auto"/>
          <w:lang w:val="en-US" w:eastAsia="zh-CN"/>
        </w:rPr>
        <w:t>一般工业固体废物贮存和填埋污染控制标准</w:t>
      </w:r>
      <w:r>
        <w:rPr>
          <w:rFonts w:hint="eastAsia"/>
          <w:color w:val="auto"/>
          <w:lang w:val="en-US" w:eastAsia="zh-CN"/>
        </w:rPr>
        <w:t>》</w:t>
      </w:r>
      <w:r>
        <w:rPr>
          <w:rFonts w:hint="eastAsia" w:ascii="Times New Roman" w:hAnsi="Times New Roman"/>
          <w:color w:val="auto"/>
          <w:lang w:val="en-US" w:eastAsia="zh-CN"/>
        </w:rPr>
        <w:t>（GB18599-2020）的要求贮存</w:t>
      </w:r>
      <w:r>
        <w:rPr>
          <w:rFonts w:hint="eastAsia"/>
          <w:color w:val="auto"/>
          <w:lang w:val="en-US" w:eastAsia="zh-CN"/>
        </w:rPr>
        <w:t>；</w:t>
      </w:r>
    </w:p>
    <w:p w14:paraId="1C4A64BE">
      <w:pPr>
        <w:numPr>
          <w:ilvl w:val="0"/>
          <w:numId w:val="4"/>
        </w:num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一般工业固体废物宜优先资源化利用，不能资源化利用时应按照</w:t>
      </w:r>
      <w:r>
        <w:rPr>
          <w:rFonts w:hint="eastAsia"/>
          <w:color w:val="auto"/>
          <w:lang w:val="en-US" w:eastAsia="zh-CN"/>
        </w:rPr>
        <w:t>《</w:t>
      </w:r>
      <w:r>
        <w:rPr>
          <w:rFonts w:hint="eastAsia" w:ascii="Times New Roman" w:hAnsi="Times New Roman"/>
          <w:color w:val="auto"/>
          <w:lang w:val="en-US" w:eastAsia="zh-CN"/>
        </w:rPr>
        <w:t>一般工业固体废物贮存和填埋污染控制标准</w:t>
      </w:r>
      <w:r>
        <w:rPr>
          <w:rFonts w:hint="eastAsia"/>
          <w:color w:val="auto"/>
          <w:lang w:val="en-US" w:eastAsia="zh-CN"/>
        </w:rPr>
        <w:t>》</w:t>
      </w:r>
      <w:r>
        <w:rPr>
          <w:rFonts w:hint="eastAsia" w:ascii="Times New Roman" w:hAnsi="Times New Roman"/>
          <w:color w:val="auto"/>
          <w:lang w:val="en-US" w:eastAsia="zh-CN"/>
        </w:rPr>
        <w:t>（GB18599-2020）规定处置</w:t>
      </w:r>
      <w:r>
        <w:rPr>
          <w:rFonts w:hint="eastAsia"/>
          <w:color w:val="auto"/>
          <w:lang w:val="en-US" w:eastAsia="zh-CN"/>
        </w:rPr>
        <w:t>；</w:t>
      </w:r>
    </w:p>
    <w:p w14:paraId="53EC28CF">
      <w:pPr>
        <w:numPr>
          <w:ilvl w:val="0"/>
          <w:numId w:val="4"/>
        </w:num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危险废物应委托有资质的单位进行利用处置。产生、收集、贮存、运输、利用、处置过程应满足危险废物相关法律法规、标准规范的规定，并通过全国固体废物管理信息系统报送相关信息。危险废物转移过程应执行《危险废物转移管理办法》</w:t>
      </w:r>
      <w:r>
        <w:rPr>
          <w:rFonts w:hint="eastAsia"/>
          <w:color w:val="auto"/>
          <w:lang w:val="en-US" w:eastAsia="zh-CN"/>
        </w:rPr>
        <w:t>；</w:t>
      </w:r>
    </w:p>
    <w:p w14:paraId="1668B465">
      <w:pPr>
        <w:bidi w:val="0"/>
        <w:spacing w:line="360" w:lineRule="auto"/>
        <w:rPr>
          <w:rFonts w:hint="eastAsia" w:ascii="Times New Roman" w:hAnsi="Times New Roman"/>
          <w:color w:val="auto"/>
          <w:lang w:val="en-US" w:eastAsia="zh-CN"/>
        </w:rPr>
      </w:pPr>
      <w:r>
        <w:rPr>
          <w:rFonts w:hint="eastAsia"/>
          <w:color w:val="auto"/>
          <w:lang w:val="en-US" w:eastAsia="zh-CN"/>
        </w:rPr>
        <w:t>（4）</w:t>
      </w:r>
      <w:r>
        <w:rPr>
          <w:rFonts w:hint="eastAsia" w:ascii="Times New Roman" w:hAnsi="Times New Roman"/>
          <w:color w:val="auto"/>
          <w:lang w:val="en-US" w:eastAsia="zh-CN"/>
        </w:rPr>
        <w:t>污水处理后的污泥农用时，可参考GB4284的规定执行</w:t>
      </w:r>
      <w:r>
        <w:rPr>
          <w:rFonts w:hint="eastAsia"/>
          <w:color w:val="auto"/>
          <w:lang w:val="en-US" w:eastAsia="zh-CN"/>
        </w:rPr>
        <w:t>：</w:t>
      </w:r>
      <w:r>
        <w:rPr>
          <w:rFonts w:hint="eastAsia" w:ascii="Times New Roman" w:hAnsi="Times New Roman"/>
          <w:color w:val="auto"/>
          <w:lang w:val="en-US" w:eastAsia="zh-CN"/>
        </w:rPr>
        <w:t>用于园林、绿地、林业等绿化项目时，应符合GB/T23486要求</w:t>
      </w:r>
    </w:p>
    <w:p w14:paraId="345BC966">
      <w:pPr>
        <w:bidi w:val="0"/>
        <w:spacing w:line="360" w:lineRule="auto"/>
        <w:rPr>
          <w:rFonts w:hint="eastAsia"/>
          <w:color w:val="auto"/>
          <w:lang w:val="en-US" w:eastAsia="zh-CN"/>
        </w:rPr>
      </w:pPr>
      <w:r>
        <w:rPr>
          <w:rFonts w:hint="eastAsia"/>
          <w:color w:val="auto"/>
          <w:lang w:val="en-US" w:eastAsia="zh-CN"/>
        </w:rPr>
        <w:t>（5）</w:t>
      </w:r>
      <w:r>
        <w:rPr>
          <w:rFonts w:hint="eastAsia" w:ascii="Times New Roman" w:hAnsi="Times New Roman"/>
          <w:color w:val="auto"/>
          <w:lang w:val="en-US" w:eastAsia="zh-CN"/>
        </w:rPr>
        <w:t>屠宰过程中产生的膘类、下脚料可用于加工炼制食用油或工业用油</w:t>
      </w:r>
      <w:r>
        <w:rPr>
          <w:rFonts w:hint="eastAsia"/>
          <w:color w:val="auto"/>
          <w:lang w:val="en-US" w:eastAsia="zh-CN"/>
        </w:rPr>
        <w:t>；</w:t>
      </w:r>
    </w:p>
    <w:p w14:paraId="36C716A6">
      <w:pPr>
        <w:bidi w:val="0"/>
        <w:spacing w:line="360" w:lineRule="auto"/>
        <w:rPr>
          <w:rFonts w:hint="eastAsia" w:ascii="Times New Roman" w:hAnsi="Times New Roman"/>
          <w:color w:val="auto"/>
          <w:lang w:val="en-US" w:eastAsia="zh-CN"/>
        </w:rPr>
      </w:pPr>
      <w:r>
        <w:rPr>
          <w:rFonts w:hint="eastAsia"/>
          <w:color w:val="auto"/>
          <w:lang w:val="en-US" w:eastAsia="zh-CN"/>
        </w:rPr>
        <w:t>（6）</w:t>
      </w:r>
      <w:r>
        <w:rPr>
          <w:rFonts w:hint="eastAsia" w:ascii="Times New Roman" w:hAnsi="Times New Roman"/>
          <w:color w:val="auto"/>
          <w:lang w:val="en-US" w:eastAsia="zh-CN"/>
        </w:rPr>
        <w:t>屠宰过程中产生的碎肉、碎骨料，以及肉制品加工过程中产生的废肉料等可用于生产有机肥蛋白饲料和肉骨粉</w:t>
      </w:r>
      <w:r>
        <w:rPr>
          <w:rFonts w:hint="eastAsia"/>
          <w:color w:val="auto"/>
          <w:lang w:val="en-US" w:eastAsia="zh-CN"/>
        </w:rPr>
        <w:t>；</w:t>
      </w:r>
    </w:p>
    <w:p w14:paraId="06951D83">
      <w:pPr>
        <w:bidi w:val="0"/>
        <w:spacing w:line="360" w:lineRule="auto"/>
        <w:rPr>
          <w:rFonts w:hint="eastAsia" w:ascii="Times New Roman" w:hAnsi="Times New Roman"/>
          <w:color w:val="auto"/>
          <w:lang w:val="en-US" w:eastAsia="zh-CN"/>
        </w:rPr>
      </w:pPr>
      <w:r>
        <w:rPr>
          <w:rFonts w:hint="eastAsia"/>
          <w:color w:val="auto"/>
          <w:lang w:val="en-US" w:eastAsia="zh-CN"/>
        </w:rPr>
        <w:t>（7）</w:t>
      </w:r>
      <w:r>
        <w:rPr>
          <w:rFonts w:hint="eastAsia" w:ascii="Times New Roman" w:hAnsi="Times New Roman"/>
          <w:color w:val="auto"/>
          <w:lang w:val="en-US" w:eastAsia="zh-CN"/>
        </w:rPr>
        <w:t>待宰间及屠宰过程产生的粪便和肠胃内容物可用于生产</w:t>
      </w:r>
      <w:r>
        <w:rPr>
          <w:rFonts w:hint="eastAsia"/>
          <w:color w:val="auto"/>
          <w:lang w:val="en-US" w:eastAsia="zh-CN"/>
        </w:rPr>
        <w:t>肥料</w:t>
      </w:r>
      <w:r>
        <w:rPr>
          <w:rFonts w:hint="eastAsia" w:ascii="Times New Roman" w:hAnsi="Times New Roman"/>
          <w:color w:val="auto"/>
          <w:lang w:val="en-US" w:eastAsia="zh-CN"/>
        </w:rPr>
        <w:t>。6.3.2.4屠宰及肉类加工生产过程中产生的废纸、废塑料、废金属等一般固体废弃物，属于可回收物可由专门单位</w:t>
      </w:r>
      <w:r>
        <w:rPr>
          <w:rFonts w:hint="eastAsia"/>
          <w:color w:val="auto"/>
          <w:lang w:val="en-US" w:eastAsia="zh-CN"/>
        </w:rPr>
        <w:t>回收</w:t>
      </w:r>
      <w:r>
        <w:rPr>
          <w:rFonts w:hint="eastAsia" w:ascii="Times New Roman" w:hAnsi="Times New Roman"/>
          <w:color w:val="auto"/>
          <w:lang w:val="en-US" w:eastAsia="zh-CN"/>
        </w:rPr>
        <w:t>并进行再生利用</w:t>
      </w:r>
      <w:r>
        <w:rPr>
          <w:rFonts w:hint="eastAsia"/>
          <w:color w:val="auto"/>
          <w:lang w:val="en-US" w:eastAsia="zh-CN"/>
        </w:rPr>
        <w:t>；</w:t>
      </w:r>
    </w:p>
    <w:p w14:paraId="776B006A">
      <w:pPr>
        <w:bidi w:val="0"/>
        <w:spacing w:line="360" w:lineRule="auto"/>
        <w:rPr>
          <w:rFonts w:hint="eastAsia" w:ascii="Times New Roman" w:hAnsi="Times New Roman"/>
          <w:color w:val="auto"/>
          <w:lang w:val="en-US" w:eastAsia="zh-CN"/>
        </w:rPr>
      </w:pPr>
      <w:r>
        <w:rPr>
          <w:rFonts w:hint="eastAsia"/>
          <w:color w:val="auto"/>
          <w:lang w:val="en-US" w:eastAsia="zh-CN"/>
        </w:rPr>
        <w:t>（8）</w:t>
      </w:r>
      <w:r>
        <w:rPr>
          <w:rFonts w:hint="eastAsia" w:ascii="Times New Roman" w:hAnsi="Times New Roman"/>
          <w:color w:val="auto"/>
          <w:lang w:val="en-US" w:eastAsia="zh-CN"/>
        </w:rPr>
        <w:t>屠宰企业生产过程中，在宰前检疫和同步检疫中发现病害畜禽和病害畜禽产品依据《病死及病害动物无害化处理技术规范》处理。</w:t>
      </w:r>
    </w:p>
    <w:p w14:paraId="2836BC9E">
      <w:pPr>
        <w:bidi w:val="0"/>
        <w:spacing w:line="360" w:lineRule="auto"/>
        <w:rPr>
          <w:rFonts w:hint="eastAsia" w:ascii="Times New Roman" w:hAnsi="Times New Roman"/>
          <w:color w:val="auto"/>
          <w:lang w:val="en-US" w:eastAsia="zh-CN"/>
        </w:rPr>
      </w:pPr>
      <w:r>
        <w:rPr>
          <w:rFonts w:hint="default"/>
          <w:color w:val="auto"/>
          <w:lang w:val="en-US" w:eastAsia="zh-CN"/>
        </w:rPr>
        <w:t>本项目屠宰过程中产生的分割边角料、胃内容物</w:t>
      </w:r>
      <w:r>
        <w:rPr>
          <w:rFonts w:hint="eastAsia"/>
          <w:color w:val="auto"/>
          <w:lang w:val="en-US" w:eastAsia="zh-CN"/>
        </w:rPr>
        <w:t>暂存于内脏处理间粪便池内</w:t>
      </w:r>
      <w:r>
        <w:rPr>
          <w:rFonts w:hint="eastAsia" w:ascii="Times New Roman" w:hAnsi="Times New Roman" w:cs="Times New Roman"/>
          <w:color w:val="auto"/>
          <w:lang w:val="en-US" w:eastAsia="zh-CN"/>
        </w:rPr>
        <w:t>，</w:t>
      </w:r>
      <w:r>
        <w:rPr>
          <w:rFonts w:hint="eastAsia"/>
          <w:color w:val="auto"/>
          <w:lang w:val="en-US" w:eastAsia="zh-CN"/>
        </w:rPr>
        <w:t>由吸污车拉运至</w:t>
      </w:r>
      <w:r>
        <w:rPr>
          <w:rFonts w:hint="default"/>
          <w:color w:val="auto"/>
          <w:lang w:val="en-US" w:eastAsia="zh-CN"/>
        </w:rPr>
        <w:t>固原富田有机肥有限公司生产</w:t>
      </w:r>
      <w:r>
        <w:rPr>
          <w:rFonts w:hint="eastAsia"/>
          <w:color w:val="auto"/>
          <w:lang w:val="en-US" w:eastAsia="zh-CN"/>
        </w:rPr>
        <w:t>肥料，不在厂区储存；</w:t>
      </w:r>
      <w:r>
        <w:rPr>
          <w:rFonts w:hint="default"/>
          <w:color w:val="auto"/>
          <w:lang w:val="en-US" w:eastAsia="zh-CN"/>
        </w:rPr>
        <w:t>牛粪便（含牛尿）</w:t>
      </w:r>
      <w:r>
        <w:rPr>
          <w:rFonts w:hint="eastAsia"/>
          <w:color w:val="auto"/>
          <w:lang w:val="en-US" w:eastAsia="zh-CN"/>
        </w:rPr>
        <w:t>、</w:t>
      </w:r>
      <w:r>
        <w:rPr>
          <w:rFonts w:hint="default"/>
          <w:color w:val="auto"/>
          <w:lang w:val="en-US" w:eastAsia="zh-CN"/>
        </w:rPr>
        <w:t>羊粪便（含羊尿）运至固原富田有机肥有限公司生产</w:t>
      </w:r>
      <w:r>
        <w:rPr>
          <w:rFonts w:hint="eastAsia"/>
          <w:color w:val="auto"/>
          <w:lang w:val="en-US" w:eastAsia="zh-CN"/>
        </w:rPr>
        <w:t>肥料</w:t>
      </w:r>
      <w:r>
        <w:rPr>
          <w:rFonts w:hint="default"/>
          <w:color w:val="auto"/>
          <w:lang w:val="en-US" w:eastAsia="zh-CN"/>
        </w:rPr>
        <w:t>；病变内脏、不合格胴体、病死牛</w:t>
      </w:r>
      <w:r>
        <w:rPr>
          <w:rFonts w:hint="eastAsia"/>
          <w:color w:val="auto"/>
          <w:lang w:val="en-US" w:eastAsia="zh-CN"/>
        </w:rPr>
        <w:t>、病死羊集中收集后暂存于危废贮存库内的冰柜中，</w:t>
      </w:r>
      <w:r>
        <w:rPr>
          <w:rFonts w:hint="default"/>
          <w:color w:val="auto"/>
          <w:lang w:val="en-US" w:eastAsia="zh-CN"/>
        </w:rPr>
        <w:t>定期拉运至原州区动物疾病预防控制中心（动物卫生监督）</w:t>
      </w:r>
      <w:r>
        <w:rPr>
          <w:rFonts w:hint="eastAsia"/>
          <w:color w:val="auto"/>
          <w:lang w:val="en-US" w:eastAsia="zh-CN"/>
        </w:rPr>
        <w:t>指定场所进行</w:t>
      </w:r>
      <w:r>
        <w:rPr>
          <w:rFonts w:hint="default"/>
          <w:color w:val="auto"/>
          <w:lang w:val="en-US" w:eastAsia="zh-CN"/>
        </w:rPr>
        <w:t>无害化处置；生活垃圾收集后由环卫部门统一处置；污水处理站污泥</w:t>
      </w:r>
      <w:r>
        <w:rPr>
          <w:rFonts w:hint="eastAsia"/>
          <w:color w:val="auto"/>
          <w:lang w:val="en-US" w:eastAsia="zh-CN"/>
        </w:rPr>
        <w:t>脱水</w:t>
      </w:r>
      <w:r>
        <w:rPr>
          <w:rFonts w:hint="default"/>
          <w:color w:val="auto"/>
          <w:lang w:val="en-US" w:eastAsia="zh-CN"/>
        </w:rPr>
        <w:t>后拉运至固原富田有机肥有限公司生产</w:t>
      </w:r>
      <w:r>
        <w:rPr>
          <w:rFonts w:hint="eastAsia"/>
          <w:color w:val="auto"/>
          <w:lang w:val="en-US" w:eastAsia="zh-CN"/>
        </w:rPr>
        <w:t>肥料</w:t>
      </w:r>
      <w:r>
        <w:rPr>
          <w:rFonts w:hint="default"/>
          <w:color w:val="auto"/>
          <w:lang w:val="en-US" w:eastAsia="zh-CN"/>
        </w:rPr>
        <w:t>；废活性炭</w:t>
      </w:r>
      <w:r>
        <w:rPr>
          <w:rFonts w:hint="eastAsia"/>
          <w:color w:val="auto"/>
          <w:lang w:val="en-US" w:eastAsia="zh-CN"/>
        </w:rPr>
        <w:t>更换后交有资质单位处置，不在厂区内储存；</w:t>
      </w:r>
      <w:r>
        <w:rPr>
          <w:rFonts w:hint="default"/>
          <w:color w:val="auto"/>
          <w:lang w:val="en-US" w:eastAsia="zh-CN"/>
        </w:rPr>
        <w:t>废机油、废机油桶、检疫废物暂存于危废贮存库，</w:t>
      </w:r>
      <w:r>
        <w:rPr>
          <w:rFonts w:hint="eastAsia"/>
          <w:color w:val="auto"/>
          <w:lang w:val="en-US" w:eastAsia="zh-CN"/>
        </w:rPr>
        <w:t>定期</w:t>
      </w:r>
      <w:r>
        <w:rPr>
          <w:rFonts w:hint="default"/>
          <w:color w:val="auto"/>
          <w:lang w:val="en-US" w:eastAsia="zh-CN"/>
        </w:rPr>
        <w:t>交有资质的单位处置</w:t>
      </w:r>
      <w:r>
        <w:rPr>
          <w:rFonts w:hint="eastAsia"/>
          <w:color w:val="auto"/>
          <w:lang w:val="en-US" w:eastAsia="zh-CN"/>
        </w:rPr>
        <w:t>。</w:t>
      </w:r>
    </w:p>
    <w:p w14:paraId="2CC14F9F">
      <w:pPr>
        <w:bidi w:val="0"/>
        <w:spacing w:line="360" w:lineRule="auto"/>
        <w:rPr>
          <w:rFonts w:hint="eastAsia"/>
          <w:color w:val="auto"/>
          <w:lang w:val="en-US" w:eastAsia="zh-CN"/>
        </w:rPr>
      </w:pPr>
      <w:r>
        <w:rPr>
          <w:rFonts w:hint="eastAsia"/>
          <w:color w:val="auto"/>
          <w:lang w:val="en-US" w:eastAsia="zh-CN"/>
        </w:rPr>
        <w:t>综上所述，本项目固体废物处置符合《屠宰及肉类加工业污染防治可行技术指南（HJ1285-2023）》中的相关要求，处置措施可行。</w:t>
      </w:r>
    </w:p>
    <w:p w14:paraId="1917C977">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6.2.5.4</w:t>
      </w:r>
      <w:r>
        <w:rPr>
          <w:rFonts w:hint="default" w:ascii="Times New Roman" w:hAnsi="Times New Roman" w:eastAsia="黑体" w:cs="Times New Roman"/>
          <w:b/>
          <w:bCs w:val="0"/>
          <w:color w:val="auto"/>
          <w:sz w:val="24"/>
          <w:szCs w:val="24"/>
          <w:lang w:val="en-US" w:eastAsia="zh-CN"/>
        </w:rPr>
        <w:t>固废管理措施</w:t>
      </w:r>
    </w:p>
    <w:p w14:paraId="6DFF4F05">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（1）一般工业固体废物管理要求：</w:t>
      </w:r>
    </w:p>
    <w:p w14:paraId="64EE33E7">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按照《中华人民共和国固体废物污染环境防治法》（2020修订）要求进行管理，企业建成投产后，将如实记录工业固体废物的种类、数量、流向、贮存、利用、处置等信息，实现工业固体废物可追溯，可查询的目的，推动企业提升固体废物管理水平。具体管理要求：</w:t>
      </w:r>
    </w:p>
    <w:p w14:paraId="574F7963">
      <w:pPr>
        <w:bidi w:val="0"/>
        <w:spacing w:line="360" w:lineRule="auto"/>
        <w:rPr>
          <w:rFonts w:hint="eastAsia" w:ascii="Times New Roman" w:hAnsi="Times New Roman"/>
          <w:color w:val="auto"/>
          <w:lang w:val="en-US" w:eastAsia="zh-CN"/>
        </w:rPr>
      </w:pPr>
      <w:r>
        <w:rPr>
          <w:rFonts w:hint="default" w:ascii="Times New Roman" w:hAnsi="Times New Roman" w:cs="Times New Roman"/>
          <w:color w:val="auto"/>
          <w:lang w:val="en-US" w:eastAsia="zh-CN"/>
        </w:rPr>
        <w:t>①</w:t>
      </w:r>
      <w:r>
        <w:rPr>
          <w:rFonts w:hint="eastAsia" w:ascii="Times New Roman" w:hAnsi="Times New Roman"/>
          <w:color w:val="auto"/>
          <w:lang w:val="en-US" w:eastAsia="zh-CN"/>
        </w:rPr>
        <w:t>根据实际生产运营情况记录固体废物产生信息，包含一般固体废物的代码、名称、类别、产生环节、物理性状、主要成分、污染特性等，产生一次填写一次；</w:t>
      </w:r>
    </w:p>
    <w:p w14:paraId="35C49D2B">
      <w:pPr>
        <w:bidi w:val="0"/>
        <w:spacing w:line="360" w:lineRule="auto"/>
        <w:rPr>
          <w:rFonts w:hint="eastAsia" w:ascii="Times New Roman" w:hAnsi="Times New Roman"/>
          <w:color w:val="auto"/>
          <w:lang w:val="en-US" w:eastAsia="zh-CN"/>
        </w:rPr>
      </w:pPr>
      <w:r>
        <w:rPr>
          <w:rFonts w:hint="default" w:ascii="Times New Roman" w:hAnsi="Times New Roman" w:cs="Times New Roman"/>
          <w:color w:val="auto"/>
          <w:lang w:val="en-US" w:eastAsia="zh-CN"/>
        </w:rPr>
        <w:t>②</w:t>
      </w:r>
      <w:r>
        <w:rPr>
          <w:rFonts w:hint="eastAsia" w:ascii="Times New Roman" w:hAnsi="Times New Roman"/>
          <w:color w:val="auto"/>
          <w:lang w:val="en-US" w:eastAsia="zh-CN"/>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0EF62DE5">
      <w:pPr>
        <w:bidi w:val="0"/>
        <w:spacing w:line="360" w:lineRule="auto"/>
        <w:rPr>
          <w:rFonts w:hint="eastAsia" w:ascii="Times New Roman" w:hAnsi="Times New Roman"/>
          <w:color w:val="auto"/>
          <w:lang w:val="en-US" w:eastAsia="zh-CN"/>
        </w:rPr>
      </w:pPr>
      <w:r>
        <w:rPr>
          <w:rFonts w:hint="default" w:ascii="Times New Roman" w:hAnsi="Times New Roman" w:cs="Times New Roman"/>
          <w:color w:val="auto"/>
          <w:lang w:val="en-US" w:eastAsia="zh-CN"/>
        </w:rPr>
        <w:t>③</w:t>
      </w:r>
      <w:r>
        <w:rPr>
          <w:rFonts w:hint="eastAsia" w:ascii="Times New Roman" w:hAnsi="Times New Roman"/>
          <w:color w:val="auto"/>
          <w:lang w:val="en-US" w:eastAsia="zh-CN"/>
        </w:rPr>
        <w:t>每一批次固体废物的出厂及转移信息记录，每批次填写一次；</w:t>
      </w:r>
    </w:p>
    <w:p w14:paraId="44909445">
      <w:pPr>
        <w:bidi w:val="0"/>
        <w:spacing w:line="360" w:lineRule="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④</w:t>
      </w:r>
      <w:r>
        <w:rPr>
          <w:rFonts w:hint="eastAsia" w:ascii="Times New Roman" w:hAnsi="Times New Roman"/>
          <w:color w:val="auto"/>
          <w:lang w:val="en-US" w:eastAsia="zh-CN"/>
        </w:rPr>
        <w:t>其他固体废物管理情况按需进行填写。台账记录表格需真实、完整、规范，产废单位应当设立专人负责台账的管理与归档，一般工业固体废物管理台账保存期限不少于5年。具体</w:t>
      </w:r>
      <w:r>
        <w:rPr>
          <w:rFonts w:hint="eastAsia" w:ascii="Times New Roman" w:hAnsi="Times New Roman" w:cs="Times New Roman"/>
          <w:color w:val="auto"/>
          <w:lang w:val="en-US" w:eastAsia="zh-CN"/>
        </w:rPr>
        <w:t>台账管理要求按照《一般工业固体废物管理台账制定指南》执行。</w:t>
      </w:r>
    </w:p>
    <w:p w14:paraId="00C6F4E0">
      <w:pPr>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⑤</w:t>
      </w:r>
      <w:r>
        <w:rPr>
          <w:rFonts w:hint="eastAsia" w:ascii="Times New Roman" w:hAnsi="Times New Roman" w:cs="Times New Roman"/>
          <w:color w:val="auto"/>
          <w:lang w:val="en-US" w:eastAsia="zh-CN"/>
        </w:rPr>
        <w:t>一般固体废物运输时采取全密闭措施，防止运输过程中发生散落。</w:t>
      </w:r>
    </w:p>
    <w:p w14:paraId="68E28EFA">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（2）危险废物</w:t>
      </w:r>
      <w:r>
        <w:rPr>
          <w:rFonts w:hint="eastAsia"/>
          <w:color w:val="auto"/>
          <w:lang w:val="en-US" w:eastAsia="zh-CN"/>
        </w:rPr>
        <w:t>暂存间运行环境</w:t>
      </w:r>
      <w:r>
        <w:rPr>
          <w:rFonts w:hint="eastAsia" w:ascii="Times New Roman" w:hAnsi="Times New Roman"/>
          <w:color w:val="auto"/>
          <w:lang w:val="en-US" w:eastAsia="zh-CN"/>
        </w:rPr>
        <w:t>管理要求</w:t>
      </w:r>
    </w:p>
    <w:p w14:paraId="0BE4D614">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根据《危险废物贮存污染控制标准》（GB18597-2023）中的相关标准及要求，项目危废临时贮存应落实以下污染防治措施：</w:t>
      </w:r>
    </w:p>
    <w:p w14:paraId="4EEBD531">
      <w:pPr>
        <w:bidi w:val="0"/>
        <w:spacing w:line="360" w:lineRule="auto"/>
        <w:rPr>
          <w:rFonts w:hint="default" w:ascii="Times New Roman" w:hAnsi="Times New Roman"/>
          <w:color w:val="auto"/>
          <w:lang w:val="en-US" w:eastAsia="zh-CN"/>
        </w:rPr>
      </w:pPr>
      <w:r>
        <w:rPr>
          <w:rFonts w:hint="default" w:ascii="Times New Roman" w:hAnsi="Times New Roman" w:eastAsia="微软雅黑" w:cs="Times New Roman"/>
          <w:color w:val="auto"/>
          <w:lang w:val="en-US" w:eastAsia="zh-CN"/>
        </w:rPr>
        <w:t>①</w:t>
      </w:r>
      <w:r>
        <w:rPr>
          <w:rFonts w:hint="default" w:ascii="Times New Roman" w:hAnsi="Times New Roman"/>
          <w:color w:val="auto"/>
          <w:lang w:val="en-US" w:eastAsia="zh-CN"/>
        </w:rPr>
        <w:t>危险废物存入贮存设施前应对危险废物类别和特性与危险废物标签等危险废物识别标志的一致性进行核验，不一致的或类别、特性不明的不应存入。</w:t>
      </w:r>
    </w:p>
    <w:p w14:paraId="52EC615D">
      <w:pPr>
        <w:bidi w:val="0"/>
        <w:spacing w:line="360" w:lineRule="auto"/>
        <w:rPr>
          <w:rFonts w:hint="default" w:ascii="Times New Roman" w:hAnsi="Times New Roman"/>
          <w:color w:val="auto"/>
          <w:lang w:val="en-US" w:eastAsia="zh-CN"/>
        </w:rPr>
      </w:pPr>
      <w:r>
        <w:rPr>
          <w:rFonts w:hint="default" w:ascii="Times New Roman" w:hAnsi="Times New Roman" w:cs="Times New Roman"/>
          <w:color w:val="auto"/>
          <w:lang w:val="en-US" w:eastAsia="zh-CN"/>
        </w:rPr>
        <w:t>②</w:t>
      </w:r>
      <w:r>
        <w:rPr>
          <w:rFonts w:hint="default" w:ascii="Times New Roman" w:hAnsi="Times New Roman"/>
          <w:color w:val="auto"/>
          <w:lang w:val="en-US" w:eastAsia="zh-CN"/>
        </w:rPr>
        <w:t>应定期检查危险废物的贮存状况，及时清理贮存设施地面，更换破损泄漏的危险废物贮存容器和包装物，保证堆存危险废物的防雨、防风、防扬尘等设施功能完好。</w:t>
      </w:r>
    </w:p>
    <w:p w14:paraId="6C75ECDE">
      <w:pPr>
        <w:bidi w:val="0"/>
        <w:spacing w:line="360" w:lineRule="auto"/>
        <w:rPr>
          <w:rFonts w:hint="default" w:ascii="Times New Roman" w:hAnsi="Times New Roman"/>
          <w:color w:val="auto"/>
          <w:lang w:val="en-US" w:eastAsia="zh-CN"/>
        </w:rPr>
      </w:pPr>
      <w:r>
        <w:rPr>
          <w:rFonts w:hint="default" w:ascii="Times New Roman" w:hAnsi="Times New Roman" w:cs="Times New Roman"/>
          <w:color w:val="auto"/>
          <w:lang w:val="en-US" w:eastAsia="zh-CN"/>
        </w:rPr>
        <w:t>③</w:t>
      </w:r>
      <w:r>
        <w:rPr>
          <w:rFonts w:hint="default" w:ascii="Times New Roman" w:hAnsi="Times New Roman"/>
          <w:color w:val="auto"/>
          <w:lang w:val="en-US" w:eastAsia="zh-CN"/>
        </w:rPr>
        <w:t>作业设备及车辆等结束作业离开贮存设施时，应对其残留的危险废物进行清理，清理的废物或清洗废水应收集处理。</w:t>
      </w:r>
    </w:p>
    <w:p w14:paraId="64EB2725">
      <w:pPr>
        <w:bidi w:val="0"/>
        <w:spacing w:line="360" w:lineRule="auto"/>
        <w:rPr>
          <w:rFonts w:hint="default" w:ascii="Times New Roman" w:hAnsi="Times New Roman"/>
          <w:color w:val="auto"/>
          <w:lang w:val="en-US" w:eastAsia="zh-CN"/>
        </w:rPr>
      </w:pPr>
      <w:r>
        <w:rPr>
          <w:rFonts w:hint="default" w:ascii="Times New Roman" w:hAnsi="Times New Roman" w:cs="Times New Roman"/>
          <w:color w:val="auto"/>
          <w:lang w:val="en-US" w:eastAsia="zh-CN"/>
        </w:rPr>
        <w:t>④</w:t>
      </w:r>
      <w:r>
        <w:rPr>
          <w:rFonts w:hint="default" w:ascii="Times New Roman" w:hAnsi="Times New Roman"/>
          <w:color w:val="auto"/>
          <w:lang w:val="en-US" w:eastAsia="zh-CN"/>
        </w:rPr>
        <w:t>贮存设施运行期间，应按国家有关标准和规定建立危险废物管理台账并保存。</w:t>
      </w:r>
    </w:p>
    <w:p w14:paraId="5887CA1F">
      <w:pPr>
        <w:bidi w:val="0"/>
        <w:spacing w:line="360" w:lineRule="auto"/>
        <w:rPr>
          <w:rFonts w:hint="default" w:ascii="Times New Roman" w:hAnsi="Times New Roman"/>
          <w:color w:val="auto"/>
          <w:lang w:val="en-US" w:eastAsia="zh-CN"/>
        </w:rPr>
      </w:pPr>
      <w:r>
        <w:rPr>
          <w:rFonts w:hint="default" w:ascii="Times New Roman" w:hAnsi="Times New Roman" w:eastAsia="宋体" w:cs="Times New Roman"/>
          <w:color w:val="auto"/>
          <w:lang w:val="en-US" w:eastAsia="zh-CN"/>
        </w:rPr>
        <w:t>⑤</w:t>
      </w:r>
      <w:r>
        <w:rPr>
          <w:rFonts w:hint="default" w:ascii="Times New Roman" w:hAnsi="Times New Roman"/>
          <w:color w:val="auto"/>
          <w:lang w:val="en-US" w:eastAsia="zh-CN"/>
        </w:rPr>
        <w:t>贮存设施所有者或运营者应建立贮存设施环境管理制度、管理人员岗位职责制度、设施运行操作制度、人员岗位培训制度等。</w:t>
      </w:r>
    </w:p>
    <w:p w14:paraId="33D84C92">
      <w:pPr>
        <w:bidi w:val="0"/>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fldChar w:fldCharType="begin"/>
      </w:r>
      <w:r>
        <w:rPr>
          <w:rFonts w:hint="default" w:ascii="Times New Roman" w:hAnsi="Times New Roman"/>
          <w:color w:val="auto"/>
          <w:lang w:val="en-US" w:eastAsia="zh-CN"/>
        </w:rPr>
        <w:instrText xml:space="preserve"> = 6 \* GB3 \* MERGEFORMAT </w:instrText>
      </w:r>
      <w:r>
        <w:rPr>
          <w:rFonts w:hint="default" w:ascii="Times New Roman" w:hAnsi="Times New Roman"/>
          <w:color w:val="auto"/>
          <w:lang w:val="en-US" w:eastAsia="zh-CN"/>
        </w:rPr>
        <w:fldChar w:fldCharType="separate"/>
      </w:r>
      <w:r>
        <w:rPr>
          <w:color w:val="auto"/>
        </w:rPr>
        <w:t>⑥</w:t>
      </w:r>
      <w:r>
        <w:rPr>
          <w:rFonts w:hint="default" w:ascii="Times New Roman" w:hAnsi="Times New Roman"/>
          <w:color w:val="auto"/>
          <w:lang w:val="en-US" w:eastAsia="zh-CN"/>
        </w:rPr>
        <w:fldChar w:fldCharType="end"/>
      </w:r>
      <w:r>
        <w:rPr>
          <w:rFonts w:hint="default" w:ascii="Times New Roman" w:hAnsi="Times New Roman"/>
          <w:color w:val="auto"/>
          <w:lang w:val="en-US" w:eastAsia="zh-CN"/>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3AAD38B2">
      <w:pPr>
        <w:bidi w:val="0"/>
        <w:spacing w:line="360" w:lineRule="auto"/>
        <w:rPr>
          <w:rFonts w:hint="default" w:ascii="Times New Roman" w:hAnsi="Times New Roman"/>
          <w:color w:val="auto"/>
          <w:lang w:val="en-US" w:eastAsia="zh-CN"/>
        </w:rPr>
      </w:pPr>
      <w:r>
        <w:rPr>
          <w:rFonts w:hint="default" w:ascii="Times New Roman" w:hAnsi="Times New Roman"/>
          <w:color w:val="auto"/>
          <w:lang w:val="en-US" w:eastAsia="zh-CN"/>
        </w:rPr>
        <w:fldChar w:fldCharType="begin"/>
      </w:r>
      <w:r>
        <w:rPr>
          <w:rFonts w:hint="default" w:ascii="Times New Roman" w:hAnsi="Times New Roman"/>
          <w:color w:val="auto"/>
          <w:lang w:val="en-US" w:eastAsia="zh-CN"/>
        </w:rPr>
        <w:instrText xml:space="preserve"> = 7 \* GB3 \* MERGEFORMAT </w:instrText>
      </w:r>
      <w:r>
        <w:rPr>
          <w:rFonts w:hint="default" w:ascii="Times New Roman" w:hAnsi="Times New Roman"/>
          <w:color w:val="auto"/>
          <w:lang w:val="en-US" w:eastAsia="zh-CN"/>
        </w:rPr>
        <w:fldChar w:fldCharType="separate"/>
      </w:r>
      <w:r>
        <w:rPr>
          <w:color w:val="auto"/>
        </w:rPr>
        <w:t>⑦</w:t>
      </w:r>
      <w:r>
        <w:rPr>
          <w:rFonts w:hint="default" w:ascii="Times New Roman" w:hAnsi="Times New Roman"/>
          <w:color w:val="auto"/>
          <w:lang w:val="en-US" w:eastAsia="zh-CN"/>
        </w:rPr>
        <w:fldChar w:fldCharType="end"/>
      </w:r>
      <w:r>
        <w:rPr>
          <w:rFonts w:hint="default" w:ascii="Times New Roman" w:hAnsi="Times New Roman"/>
          <w:color w:val="auto"/>
          <w:lang w:val="en-US" w:eastAsia="zh-CN"/>
        </w:rPr>
        <w:t>贮存设施所有者或运营者应建立贮存设施全部档案，包括设计、施工、验收、运行、监测和环境应急等，应按国家有关档案管理的法律法规进行整理和归档。</w:t>
      </w:r>
    </w:p>
    <w:p w14:paraId="4EAAB579">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w:t>
      </w:r>
      <w:r>
        <w:rPr>
          <w:rFonts w:hint="eastAsia"/>
          <w:color w:val="auto"/>
          <w:lang w:val="en-US" w:eastAsia="zh-CN"/>
        </w:rPr>
        <w:t>3</w:t>
      </w:r>
      <w:r>
        <w:rPr>
          <w:rFonts w:hint="eastAsia" w:ascii="Times New Roman" w:hAnsi="Times New Roman"/>
          <w:color w:val="auto"/>
          <w:lang w:val="en-US" w:eastAsia="zh-CN"/>
        </w:rPr>
        <w:t>）危险废物管理台账制定要求</w:t>
      </w:r>
    </w:p>
    <w:p w14:paraId="48281D41">
      <w:pPr>
        <w:bidi w:val="0"/>
        <w:spacing w:line="360" w:lineRule="auto"/>
        <w:rPr>
          <w:rFonts w:hint="eastAsia" w:ascii="Times New Roman" w:hAnsi="Times New Roman"/>
          <w:color w:val="auto"/>
          <w:lang w:val="en-US" w:eastAsia="zh-CN"/>
        </w:rPr>
      </w:pPr>
      <w:r>
        <w:rPr>
          <w:rFonts w:hint="default" w:ascii="Times New Roman" w:hAnsi="Times New Roman" w:eastAsia="微软雅黑" w:cs="Times New Roman"/>
          <w:color w:val="auto"/>
          <w:lang w:val="en-US" w:eastAsia="zh-CN"/>
        </w:rPr>
        <w:t>①</w:t>
      </w:r>
      <w:r>
        <w:rPr>
          <w:rFonts w:hint="eastAsia" w:ascii="Times New Roman" w:hAnsi="Times New Roman"/>
          <w:color w:val="auto"/>
          <w:lang w:val="en-US" w:eastAsia="zh-CN"/>
        </w:rPr>
        <w:t>产生危险废物的单位应建立危险废物管理台账，落实危险废物管理台账记录的责任人，明确工作职责，并对危险废物管理台账的真实性、准确性和完整性负法律责任。</w:t>
      </w:r>
    </w:p>
    <w:p w14:paraId="3AA5154F">
      <w:pPr>
        <w:bidi w:val="0"/>
        <w:spacing w:line="360" w:lineRule="auto"/>
        <w:rPr>
          <w:rFonts w:hint="eastAsia" w:ascii="Times New Roman" w:hAnsi="Times New Roman"/>
          <w:color w:val="auto"/>
          <w:lang w:val="en-US" w:eastAsia="zh-CN"/>
        </w:rPr>
      </w:pPr>
      <w:r>
        <w:rPr>
          <w:rFonts w:hint="default" w:ascii="Times New Roman" w:hAnsi="Times New Roman" w:cs="Times New Roman"/>
          <w:color w:val="auto"/>
          <w:lang w:val="en-US" w:eastAsia="zh-CN"/>
        </w:rPr>
        <w:t>②</w:t>
      </w:r>
      <w:r>
        <w:rPr>
          <w:rFonts w:hint="eastAsia" w:ascii="Times New Roman" w:hAnsi="Times New Roman"/>
          <w:color w:val="auto"/>
          <w:lang w:val="en-US" w:eastAsia="zh-CN"/>
        </w:rPr>
        <w:t>产生危险废物的单位应根据危险废物产生、贮存、利用、处置等环节的动态流向，如实建立各环节的危险废物管理台账。</w:t>
      </w:r>
    </w:p>
    <w:p w14:paraId="6C12007F">
      <w:pPr>
        <w:bidi w:val="0"/>
        <w:spacing w:line="360" w:lineRule="auto"/>
        <w:rPr>
          <w:rFonts w:hint="eastAsia" w:ascii="Times New Roman" w:hAnsi="Times New Roman"/>
          <w:color w:val="auto"/>
          <w:lang w:val="en-US" w:eastAsia="zh-CN"/>
        </w:rPr>
      </w:pPr>
      <w:r>
        <w:rPr>
          <w:rFonts w:hint="default" w:ascii="Times New Roman" w:hAnsi="Times New Roman" w:cs="Times New Roman"/>
          <w:color w:val="auto"/>
          <w:lang w:val="en-US" w:eastAsia="zh-CN"/>
        </w:rPr>
        <w:t>③</w:t>
      </w:r>
      <w:r>
        <w:rPr>
          <w:rFonts w:hint="eastAsia" w:ascii="Times New Roman" w:hAnsi="Times New Roman"/>
          <w:color w:val="auto"/>
          <w:lang w:val="en-US" w:eastAsia="zh-CN"/>
        </w:rPr>
        <w:t>危险废物管理台账分为电子管理台账和纸质管理台账两种形式。产生危险废物的单位可通过国家危险废物信息管理系统、企业自建信息管理系统或第三方平台等方式记录电子管理台账。具体管理台账参照《危险废物管理计划和管理台账制定技术导则》（HJ1259-2022）。</w:t>
      </w:r>
    </w:p>
    <w:p w14:paraId="0EB0F9F5">
      <w:pPr>
        <w:bidi w:val="0"/>
        <w:spacing w:line="360" w:lineRule="auto"/>
        <w:rPr>
          <w:rFonts w:hint="default" w:ascii="Times New Roman" w:hAnsi="Times New Roman"/>
          <w:color w:val="auto"/>
          <w:lang w:val="en-US" w:eastAsia="zh-CN"/>
        </w:rPr>
      </w:pPr>
      <w:r>
        <w:rPr>
          <w:rFonts w:hint="eastAsia" w:ascii="Times New Roman" w:hAnsi="Times New Roman"/>
          <w:color w:val="auto"/>
          <w:lang w:val="en-US" w:eastAsia="zh-CN"/>
        </w:rPr>
        <w:t>（</w:t>
      </w:r>
      <w:r>
        <w:rPr>
          <w:rFonts w:hint="eastAsia"/>
          <w:color w:val="auto"/>
          <w:lang w:val="en-US" w:eastAsia="zh-CN"/>
        </w:rPr>
        <w:t>4</w:t>
      </w:r>
      <w:r>
        <w:rPr>
          <w:rFonts w:hint="eastAsia" w:ascii="Times New Roman" w:hAnsi="Times New Roman"/>
          <w:color w:val="auto"/>
          <w:lang w:val="en-US" w:eastAsia="zh-CN"/>
        </w:rPr>
        <w:t>）危险废物转移、运输要求</w:t>
      </w:r>
    </w:p>
    <w:p w14:paraId="4A281655">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根据《危险废物转移管理办法》（2021年11月30日生态环境部、公安部、交通运输部令第23号公布 自2022年1月1日起施行）：</w:t>
      </w:r>
    </w:p>
    <w:p w14:paraId="55FF59A7">
      <w:pPr>
        <w:bidi w:val="0"/>
        <w:spacing w:line="360" w:lineRule="auto"/>
        <w:rPr>
          <w:rFonts w:hint="eastAsia" w:ascii="Times New Roman" w:hAnsi="Times New Roman"/>
          <w:color w:val="auto"/>
          <w:lang w:val="en-US" w:eastAsia="zh-CN"/>
        </w:rPr>
      </w:pPr>
      <w:r>
        <w:rPr>
          <w:rFonts w:hint="default" w:ascii="Times New Roman" w:hAnsi="Times New Roman" w:eastAsia="微软雅黑" w:cs="Times New Roman"/>
          <w:color w:val="auto"/>
          <w:lang w:val="en-US" w:eastAsia="zh-CN"/>
        </w:rPr>
        <w:t>①</w:t>
      </w:r>
      <w:r>
        <w:rPr>
          <w:rFonts w:hint="eastAsia" w:ascii="Times New Roman" w:hAnsi="Times New Roman"/>
          <w:color w:val="auto"/>
          <w:lang w:val="en-US" w:eastAsia="zh-CN"/>
        </w:rPr>
        <w:t>危险废物转移应当遵循就近原则；</w:t>
      </w:r>
    </w:p>
    <w:p w14:paraId="18EB13FD">
      <w:pPr>
        <w:bidi w:val="0"/>
        <w:spacing w:line="360" w:lineRule="auto"/>
        <w:rPr>
          <w:rFonts w:hint="eastAsia" w:ascii="Times New Roman" w:hAnsi="Times New Roman"/>
          <w:color w:val="auto"/>
          <w:lang w:val="en-US" w:eastAsia="zh-CN"/>
        </w:rPr>
      </w:pPr>
      <w:r>
        <w:rPr>
          <w:rFonts w:hint="default" w:ascii="Times New Roman" w:hAnsi="Times New Roman" w:cs="Times New Roman"/>
          <w:color w:val="auto"/>
          <w:lang w:val="en-US" w:eastAsia="zh-CN"/>
        </w:rPr>
        <w:t>②</w:t>
      </w:r>
      <w:r>
        <w:rPr>
          <w:rFonts w:hint="eastAsia" w:ascii="Times New Roman" w:hAnsi="Times New Roman"/>
          <w:color w:val="auto"/>
          <w:lang w:val="en-US" w:eastAsia="zh-CN"/>
        </w:rPr>
        <w:t>转移危险废物的，应当通过国家危险废物信息管理系统（以下简称信息系统）填写、运行危险废物电子转移联单，并依照国家有关规定公开危险废物转移相关污染环境防治信息；</w:t>
      </w:r>
    </w:p>
    <w:p w14:paraId="16CB0E29">
      <w:pPr>
        <w:bidi w:val="0"/>
        <w:spacing w:line="360" w:lineRule="auto"/>
        <w:rPr>
          <w:rFonts w:hint="eastAsia" w:ascii="Times New Roman" w:hAnsi="Times New Roman"/>
          <w:color w:val="auto"/>
          <w:lang w:val="en-US" w:eastAsia="zh-CN"/>
        </w:rPr>
      </w:pPr>
      <w:r>
        <w:rPr>
          <w:rFonts w:hint="default" w:ascii="Times New Roman" w:hAnsi="Times New Roman" w:cs="Times New Roman"/>
          <w:color w:val="auto"/>
          <w:lang w:val="en-US" w:eastAsia="zh-CN"/>
        </w:rPr>
        <w:t>③</w:t>
      </w:r>
      <w:r>
        <w:rPr>
          <w:rFonts w:hint="eastAsia" w:ascii="Times New Roman" w:hAnsi="Times New Roman"/>
          <w:color w:val="auto"/>
          <w:lang w:val="en-US" w:eastAsia="zh-CN"/>
        </w:rPr>
        <w:t>危险废物托运人（以下简称托运人）应当按照国家危险货物相关标准确定危险废物对应危险货物的类别、项别、编号等，并委托具备相应危险货物运输资质的单位承运危险废物，依法签订运输合同。</w:t>
      </w:r>
    </w:p>
    <w:p w14:paraId="5E9D1FD1">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采用包装方式运输危险废物的，应当妥善包装，并按照国家有关标准在外包装上设置相应的识别标志。</w:t>
      </w:r>
    </w:p>
    <w:p w14:paraId="1A1D5270">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装载危险废物时，托运人应当核实承运人、运输工具及收运人员是否具有相应经营范围的有效危险货物运输许可证件，以及待转移的危险废物识别标志中的相关信息与危险废物转移联单是否相符；不相符的，应当不予装载。装载采用包装方式运输的危险废物的，应当确保将包装完好的危险废物交付承运人。</w:t>
      </w:r>
    </w:p>
    <w:p w14:paraId="7C14A5C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564" w:name="_Toc9955"/>
      <w:bookmarkStart w:id="565" w:name="_Toc21586"/>
      <w:bookmarkStart w:id="566" w:name="_Toc28573"/>
      <w:r>
        <w:rPr>
          <w:rFonts w:hint="eastAsia" w:ascii="Times New Roman" w:hAnsi="Times New Roman" w:eastAsia="黑体" w:cs="Times New Roman"/>
          <w:b/>
          <w:color w:val="auto"/>
          <w:sz w:val="28"/>
          <w:szCs w:val="28"/>
          <w:highlight w:val="none"/>
          <w:lang w:val="en-US" w:eastAsia="zh-CN"/>
        </w:rPr>
        <w:t>6.3</w:t>
      </w:r>
      <w:r>
        <w:rPr>
          <w:rFonts w:hint="default" w:ascii="Times New Roman" w:hAnsi="Times New Roman" w:eastAsia="黑体" w:cs="Times New Roman"/>
          <w:b/>
          <w:color w:val="auto"/>
          <w:sz w:val="28"/>
          <w:szCs w:val="28"/>
          <w:highlight w:val="none"/>
          <w:lang w:val="en-US" w:eastAsia="zh-CN"/>
        </w:rPr>
        <w:t>项目投资及环保投资</w:t>
      </w:r>
      <w:bookmarkEnd w:id="564"/>
      <w:bookmarkEnd w:id="565"/>
      <w:bookmarkEnd w:id="566"/>
    </w:p>
    <w:p w14:paraId="14C103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highlight w:val="none"/>
          <w:lang w:val="zh-CN"/>
        </w:rPr>
      </w:pPr>
      <w:r>
        <w:rPr>
          <w:rFonts w:hint="default" w:ascii="Times New Roman" w:hAnsi="Times New Roman" w:eastAsia="仿宋_GB2312" w:cs="Times New Roman"/>
          <w:color w:val="auto"/>
          <w:sz w:val="24"/>
          <w:highlight w:val="none"/>
          <w:lang w:val="zh-CN"/>
        </w:rPr>
        <w:t>项目总投资为</w:t>
      </w:r>
      <w:r>
        <w:rPr>
          <w:rFonts w:hint="default" w:ascii="Times New Roman" w:hAnsi="Times New Roman" w:eastAsia="仿宋_GB2312" w:cs="Times New Roman"/>
          <w:color w:val="auto"/>
          <w:sz w:val="24"/>
          <w:highlight w:val="none"/>
          <w:lang w:val="zh-CN" w:eastAsia="zh-CN"/>
        </w:rPr>
        <w:t>2500</w:t>
      </w:r>
      <w:r>
        <w:rPr>
          <w:rFonts w:hint="default" w:ascii="Times New Roman" w:hAnsi="Times New Roman" w:eastAsia="仿宋_GB2312" w:cs="Times New Roman"/>
          <w:color w:val="auto"/>
          <w:sz w:val="24"/>
          <w:highlight w:val="none"/>
          <w:lang w:val="zh-CN"/>
        </w:rPr>
        <w:t>万元，其中环保投</w:t>
      </w:r>
      <w:r>
        <w:rPr>
          <w:rFonts w:hint="eastAsia" w:cs="Times New Roman"/>
          <w:color w:val="auto"/>
          <w:sz w:val="24"/>
          <w:highlight w:val="none"/>
          <w:lang w:val="en-US" w:eastAsia="zh-CN"/>
        </w:rPr>
        <w:t>资214</w:t>
      </w:r>
      <w:r>
        <w:rPr>
          <w:rFonts w:hint="default" w:ascii="Times New Roman" w:hAnsi="Times New Roman" w:eastAsia="仿宋_GB2312" w:cs="Times New Roman"/>
          <w:color w:val="auto"/>
          <w:sz w:val="24"/>
          <w:highlight w:val="none"/>
          <w:lang w:val="zh-CN"/>
        </w:rPr>
        <w:t>万元，占总投资的</w:t>
      </w:r>
      <w:r>
        <w:rPr>
          <w:rFonts w:hint="eastAsia" w:cs="Times New Roman"/>
          <w:color w:val="auto"/>
          <w:sz w:val="24"/>
          <w:highlight w:val="none"/>
          <w:lang w:val="en-US" w:eastAsia="zh-CN"/>
        </w:rPr>
        <w:t>8.56</w:t>
      </w:r>
      <w:r>
        <w:rPr>
          <w:rFonts w:hint="default" w:ascii="Times New Roman" w:hAnsi="Times New Roman" w:eastAsia="仿宋_GB2312" w:cs="Times New Roman"/>
          <w:color w:val="auto"/>
          <w:sz w:val="24"/>
          <w:highlight w:val="none"/>
          <w:lang w:val="zh-CN"/>
        </w:rPr>
        <w:t>%。环保投资分项包括：施工期污染防治措施，运营期废气、噪声、固废、废水防治措施等费用，具体环保投资分项见表</w:t>
      </w:r>
      <w:r>
        <w:rPr>
          <w:rFonts w:hint="eastAsia" w:ascii="Times New Roman" w:hAnsi="Times New Roman" w:cs="Times New Roman"/>
          <w:color w:val="auto"/>
          <w:sz w:val="24"/>
          <w:highlight w:val="none"/>
          <w:lang w:val="en-US" w:eastAsia="zh-CN"/>
        </w:rPr>
        <w:t>6.3-1</w:t>
      </w:r>
      <w:r>
        <w:rPr>
          <w:rFonts w:hint="default" w:ascii="Times New Roman" w:hAnsi="Times New Roman" w:eastAsia="仿宋_GB2312" w:cs="Times New Roman"/>
          <w:color w:val="auto"/>
          <w:sz w:val="24"/>
          <w:highlight w:val="none"/>
          <w:lang w:val="zh-CN"/>
        </w:rPr>
        <w:t>。</w:t>
      </w:r>
    </w:p>
    <w:p w14:paraId="3F3D012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1"/>
          <w:szCs w:val="21"/>
          <w:highlight w:val="none"/>
        </w:rPr>
        <w:t>表</w:t>
      </w:r>
      <w:r>
        <w:rPr>
          <w:rFonts w:hint="eastAsia" w:ascii="Times New Roman" w:hAnsi="Times New Roman" w:eastAsia="宋体" w:cs="Times New Roman"/>
          <w:color w:val="auto"/>
          <w:sz w:val="21"/>
          <w:szCs w:val="21"/>
          <w:highlight w:val="none"/>
          <w:lang w:val="en-US" w:eastAsia="zh-CN"/>
        </w:rPr>
        <w:t>6.3-1</w:t>
      </w:r>
      <w:r>
        <w:rPr>
          <w:rFonts w:hint="default" w:ascii="Times New Roman" w:hAnsi="Times New Roman" w:eastAsia="宋体" w:cs="Times New Roman"/>
          <w:color w:val="auto"/>
          <w:szCs w:val="18"/>
          <w:highlight w:val="none"/>
          <w:lang w:val="en-US" w:eastAsia="zh-CN"/>
        </w:rPr>
        <w:t xml:space="preserve">        </w:t>
      </w:r>
      <w:r>
        <w:rPr>
          <w:rFonts w:hint="eastAsia" w:ascii="Times New Roman" w:hAnsi="Times New Roman" w:eastAsia="宋体" w:cs="Times New Roman"/>
          <w:color w:val="auto"/>
          <w:szCs w:val="18"/>
          <w:highlight w:val="none"/>
          <w:lang w:val="en-US" w:eastAsia="zh-CN"/>
        </w:rPr>
        <w:t xml:space="preserve"> </w:t>
      </w:r>
      <w:r>
        <w:rPr>
          <w:rFonts w:hint="default" w:ascii="Times New Roman" w:hAnsi="Times New Roman" w:eastAsia="宋体" w:cs="Times New Roman"/>
          <w:color w:val="auto"/>
          <w:szCs w:val="18"/>
          <w:highlight w:val="none"/>
          <w:lang w:val="en-US" w:eastAsia="zh-CN"/>
        </w:rPr>
        <w:t xml:space="preserve">    </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b/>
          <w:color w:val="auto"/>
          <w:sz w:val="24"/>
          <w:highlight w:val="none"/>
        </w:rPr>
        <w:t>本项目环境保护投资估算表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7" w:type="dxa"/>
          <w:left w:w="17" w:type="dxa"/>
          <w:bottom w:w="17" w:type="dxa"/>
          <w:right w:w="17" w:type="dxa"/>
        </w:tblCellMar>
      </w:tblPr>
      <w:tblGrid>
        <w:gridCol w:w="562"/>
        <w:gridCol w:w="5"/>
        <w:gridCol w:w="495"/>
        <w:gridCol w:w="573"/>
        <w:gridCol w:w="728"/>
        <w:gridCol w:w="5091"/>
        <w:gridCol w:w="1312"/>
      </w:tblGrid>
      <w:tr w14:paraId="1A041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1" w:type="pct"/>
            <w:tcBorders>
              <w:tl2br w:val="nil"/>
              <w:tr2bl w:val="nil"/>
            </w:tcBorders>
            <w:noWrap w:val="0"/>
            <w:vAlign w:val="center"/>
          </w:tcPr>
          <w:p w14:paraId="533CFEBD">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026" w:type="pct"/>
            <w:gridSpan w:val="4"/>
            <w:tcBorders>
              <w:tl2br w:val="nil"/>
              <w:tr2bl w:val="nil"/>
            </w:tcBorders>
            <w:noWrap w:val="0"/>
            <w:vAlign w:val="center"/>
          </w:tcPr>
          <w:p w14:paraId="43DF8F0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 别</w:t>
            </w:r>
          </w:p>
        </w:tc>
        <w:tc>
          <w:tcPr>
            <w:tcW w:w="2903" w:type="pct"/>
            <w:tcBorders>
              <w:tl2br w:val="nil"/>
              <w:tr2bl w:val="nil"/>
            </w:tcBorders>
            <w:noWrap w:val="0"/>
            <w:vAlign w:val="center"/>
          </w:tcPr>
          <w:p w14:paraId="51D0116B">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napToGrid w:val="0"/>
                <w:color w:val="auto"/>
                <w:sz w:val="21"/>
                <w:szCs w:val="21"/>
                <w:highlight w:val="none"/>
              </w:rPr>
              <w:t>环保措施</w:t>
            </w:r>
          </w:p>
        </w:tc>
        <w:tc>
          <w:tcPr>
            <w:tcW w:w="748" w:type="pct"/>
            <w:tcBorders>
              <w:tl2br w:val="nil"/>
              <w:tr2bl w:val="nil"/>
            </w:tcBorders>
            <w:noWrap w:val="0"/>
            <w:vAlign w:val="center"/>
          </w:tcPr>
          <w:p w14:paraId="1AB03277">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投资（万元）</w:t>
            </w:r>
          </w:p>
        </w:tc>
      </w:tr>
      <w:tr w14:paraId="07A37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1" w:type="pct"/>
            <w:vMerge w:val="restart"/>
            <w:tcBorders>
              <w:tl2br w:val="nil"/>
              <w:tr2bl w:val="nil"/>
            </w:tcBorders>
            <w:noWrap w:val="0"/>
            <w:vAlign w:val="center"/>
          </w:tcPr>
          <w:p w14:paraId="02107EF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026" w:type="pct"/>
            <w:gridSpan w:val="4"/>
            <w:vMerge w:val="restart"/>
            <w:tcBorders>
              <w:tl2br w:val="nil"/>
              <w:tr2bl w:val="nil"/>
            </w:tcBorders>
            <w:noWrap w:val="0"/>
            <w:vAlign w:val="center"/>
          </w:tcPr>
          <w:p w14:paraId="65C8AE7F">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施工期污染防治措施</w:t>
            </w:r>
          </w:p>
        </w:tc>
        <w:tc>
          <w:tcPr>
            <w:tcW w:w="2903" w:type="pct"/>
            <w:tcBorders>
              <w:tl2br w:val="nil"/>
              <w:tr2bl w:val="nil"/>
            </w:tcBorders>
            <w:noWrap w:val="0"/>
            <w:vAlign w:val="center"/>
          </w:tcPr>
          <w:p w14:paraId="15D2AEAA">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施工场地设置不低于2.5m的遮挡板</w:t>
            </w:r>
          </w:p>
          <w:p w14:paraId="7FBDE170">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施工材料及废渣的遮盖</w:t>
            </w:r>
          </w:p>
        </w:tc>
        <w:tc>
          <w:tcPr>
            <w:tcW w:w="748" w:type="pct"/>
            <w:vMerge w:val="restart"/>
            <w:tcBorders>
              <w:tl2br w:val="nil"/>
              <w:tr2bl w:val="nil"/>
            </w:tcBorders>
            <w:noWrap w:val="0"/>
            <w:vAlign w:val="center"/>
          </w:tcPr>
          <w:p w14:paraId="2F22BDC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r>
      <w:tr w14:paraId="62044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1" w:type="pct"/>
            <w:vMerge w:val="continue"/>
            <w:tcBorders>
              <w:tl2br w:val="nil"/>
              <w:tr2bl w:val="nil"/>
            </w:tcBorders>
            <w:noWrap w:val="0"/>
            <w:vAlign w:val="center"/>
          </w:tcPr>
          <w:p w14:paraId="11DAE56A">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1026" w:type="pct"/>
            <w:gridSpan w:val="4"/>
            <w:vMerge w:val="continue"/>
            <w:tcBorders>
              <w:tl2br w:val="nil"/>
              <w:tr2bl w:val="nil"/>
            </w:tcBorders>
            <w:noWrap w:val="0"/>
            <w:vAlign w:val="center"/>
          </w:tcPr>
          <w:p w14:paraId="4BAB54D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2903" w:type="pct"/>
            <w:tcBorders>
              <w:tl2br w:val="nil"/>
              <w:tr2bl w:val="nil"/>
            </w:tcBorders>
            <w:noWrap w:val="0"/>
            <w:vAlign w:val="center"/>
          </w:tcPr>
          <w:p w14:paraId="63CD8D8B">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设置车辆冲洗平台、沉淀池</w:t>
            </w:r>
          </w:p>
        </w:tc>
        <w:tc>
          <w:tcPr>
            <w:tcW w:w="748" w:type="pct"/>
            <w:vMerge w:val="continue"/>
            <w:tcBorders>
              <w:tl2br w:val="nil"/>
              <w:tr2bl w:val="nil"/>
            </w:tcBorders>
            <w:noWrap w:val="0"/>
            <w:vAlign w:val="center"/>
          </w:tcPr>
          <w:p w14:paraId="4E89B56B">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119C6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1" w:type="pct"/>
            <w:vMerge w:val="continue"/>
            <w:tcBorders>
              <w:tl2br w:val="nil"/>
              <w:tr2bl w:val="nil"/>
            </w:tcBorders>
            <w:noWrap w:val="0"/>
            <w:vAlign w:val="center"/>
          </w:tcPr>
          <w:p w14:paraId="1E50531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1026" w:type="pct"/>
            <w:gridSpan w:val="4"/>
            <w:vMerge w:val="continue"/>
            <w:tcBorders>
              <w:tl2br w:val="nil"/>
              <w:tr2bl w:val="nil"/>
            </w:tcBorders>
            <w:noWrap w:val="0"/>
            <w:vAlign w:val="center"/>
          </w:tcPr>
          <w:p w14:paraId="3C313EB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2903" w:type="pct"/>
            <w:tcBorders>
              <w:tl2br w:val="nil"/>
              <w:tr2bl w:val="nil"/>
            </w:tcBorders>
            <w:noWrap w:val="0"/>
            <w:vAlign w:val="center"/>
          </w:tcPr>
          <w:p w14:paraId="5D25CBE2">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固废处理处置、设备消声降噪</w:t>
            </w:r>
          </w:p>
        </w:tc>
        <w:tc>
          <w:tcPr>
            <w:tcW w:w="748" w:type="pct"/>
            <w:vMerge w:val="continue"/>
            <w:tcBorders>
              <w:tl2br w:val="nil"/>
              <w:tr2bl w:val="nil"/>
            </w:tcBorders>
            <w:noWrap w:val="0"/>
            <w:vAlign w:val="center"/>
          </w:tcPr>
          <w:p w14:paraId="63CDEDEF">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587F4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1" w:type="pct"/>
            <w:vMerge w:val="restart"/>
            <w:tcBorders>
              <w:tl2br w:val="nil"/>
              <w:tr2bl w:val="nil"/>
            </w:tcBorders>
            <w:noWrap w:val="0"/>
            <w:vAlign w:val="center"/>
          </w:tcPr>
          <w:p w14:paraId="17781B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85" w:type="pct"/>
            <w:gridSpan w:val="2"/>
            <w:vMerge w:val="restart"/>
            <w:tcBorders>
              <w:tl2br w:val="nil"/>
              <w:tr2bl w:val="nil"/>
            </w:tcBorders>
            <w:noWrap w:val="0"/>
            <w:vAlign w:val="center"/>
          </w:tcPr>
          <w:p w14:paraId="56E6D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w:t>
            </w:r>
          </w:p>
          <w:p w14:paraId="3BA740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w:t>
            </w:r>
          </w:p>
          <w:p w14:paraId="1B60A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期</w:t>
            </w:r>
          </w:p>
        </w:tc>
        <w:tc>
          <w:tcPr>
            <w:tcW w:w="327" w:type="pct"/>
            <w:vMerge w:val="restart"/>
            <w:tcBorders>
              <w:tl2br w:val="nil"/>
              <w:tr2bl w:val="nil"/>
            </w:tcBorders>
            <w:noWrap w:val="0"/>
            <w:vAlign w:val="center"/>
          </w:tcPr>
          <w:p w14:paraId="53DFDC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废气治理措施</w:t>
            </w:r>
          </w:p>
        </w:tc>
        <w:tc>
          <w:tcPr>
            <w:tcW w:w="414" w:type="pct"/>
            <w:vMerge w:val="restart"/>
            <w:tcBorders>
              <w:tl2br w:val="nil"/>
              <w:tr2bl w:val="nil"/>
            </w:tcBorders>
            <w:noWrap w:val="0"/>
            <w:vAlign w:val="center"/>
          </w:tcPr>
          <w:p w14:paraId="38A890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snapToGrid w:val="0"/>
                <w:color w:val="auto"/>
                <w:kern w:val="0"/>
                <w:sz w:val="21"/>
                <w:szCs w:val="21"/>
                <w:highlight w:val="none"/>
                <w:lang w:val="en-US" w:eastAsia="zh-CN"/>
              </w:rPr>
              <w:t>屠宰加工车间</w:t>
            </w:r>
          </w:p>
        </w:tc>
        <w:tc>
          <w:tcPr>
            <w:tcW w:w="2903" w:type="pct"/>
            <w:tcBorders>
              <w:tl2br w:val="nil"/>
              <w:tr2bl w:val="nil"/>
            </w:tcBorders>
            <w:noWrap w:val="0"/>
            <w:vAlign w:val="center"/>
          </w:tcPr>
          <w:p w14:paraId="725C8093">
            <w:pPr>
              <w:pStyle w:val="1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待宰圈产生的臭气经车间负压收集（收集效率90%），风机设计风量为14000m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w:t>
            </w: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引入二级活性炭吸附装置（处理效率80%）处理后经20m高排气筒（DA001）排放</w:t>
            </w:r>
            <w:r>
              <w:rPr>
                <w:rFonts w:hint="eastAsia" w:eastAsia="宋体" w:cs="Times New Roman"/>
                <w:snapToGrid w:val="0"/>
                <w:color w:val="auto"/>
                <w:kern w:val="0"/>
                <w:sz w:val="21"/>
                <w:szCs w:val="21"/>
                <w:highlight w:val="none"/>
                <w:lang w:eastAsia="zh-CN"/>
              </w:rPr>
              <w:t>。</w:t>
            </w:r>
          </w:p>
        </w:tc>
        <w:tc>
          <w:tcPr>
            <w:tcW w:w="748" w:type="pct"/>
            <w:tcBorders>
              <w:tl2br w:val="nil"/>
              <w:tr2bl w:val="nil"/>
            </w:tcBorders>
            <w:noWrap w:val="0"/>
            <w:vAlign w:val="center"/>
          </w:tcPr>
          <w:p w14:paraId="419F39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36F44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1" w:type="pct"/>
            <w:vMerge w:val="continue"/>
            <w:tcBorders>
              <w:tl2br w:val="nil"/>
              <w:tr2bl w:val="nil"/>
            </w:tcBorders>
            <w:noWrap w:val="0"/>
            <w:vAlign w:val="center"/>
          </w:tcPr>
          <w:p w14:paraId="4C8FC7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5" w:type="pct"/>
            <w:gridSpan w:val="2"/>
            <w:vMerge w:val="continue"/>
            <w:tcBorders>
              <w:tl2br w:val="nil"/>
              <w:tr2bl w:val="nil"/>
            </w:tcBorders>
            <w:noWrap w:val="0"/>
            <w:vAlign w:val="center"/>
          </w:tcPr>
          <w:p w14:paraId="4F5C8B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327" w:type="pct"/>
            <w:vMerge w:val="continue"/>
            <w:tcBorders>
              <w:tl2br w:val="nil"/>
              <w:tr2bl w:val="nil"/>
            </w:tcBorders>
            <w:noWrap w:val="0"/>
            <w:vAlign w:val="center"/>
          </w:tcPr>
          <w:p w14:paraId="5918C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noWrap w:val="0"/>
            <w:vAlign w:val="center"/>
          </w:tcPr>
          <w:p w14:paraId="7C4685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2903" w:type="pct"/>
            <w:tcBorders>
              <w:tl2br w:val="nil"/>
              <w:tr2bl w:val="nil"/>
            </w:tcBorders>
            <w:noWrap w:val="0"/>
            <w:vAlign w:val="center"/>
          </w:tcPr>
          <w:p w14:paraId="70F701CC">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snapToGrid w:val="0"/>
                <w:color w:val="auto"/>
                <w:kern w:val="0"/>
                <w:sz w:val="21"/>
                <w:szCs w:val="21"/>
                <w:highlight w:val="none"/>
                <w:lang w:val="en-US" w:eastAsia="zh-CN"/>
              </w:rPr>
              <w:t>屠宰加工车间设置机械通风系统，每小时通风换气不少于4次，定期喷洒除臭剂、消毒。</w:t>
            </w:r>
          </w:p>
        </w:tc>
        <w:tc>
          <w:tcPr>
            <w:tcW w:w="748" w:type="pct"/>
            <w:tcBorders>
              <w:tl2br w:val="nil"/>
              <w:tr2bl w:val="nil"/>
            </w:tcBorders>
            <w:noWrap w:val="0"/>
            <w:vAlign w:val="center"/>
          </w:tcPr>
          <w:p w14:paraId="3127A5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.0</w:t>
            </w:r>
          </w:p>
        </w:tc>
      </w:tr>
      <w:tr w14:paraId="10767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21318A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w:t>
            </w:r>
          </w:p>
        </w:tc>
        <w:tc>
          <w:tcPr>
            <w:tcW w:w="282" w:type="pct"/>
            <w:vMerge w:val="restart"/>
            <w:tcBorders>
              <w:tl2br w:val="nil"/>
              <w:tr2bl w:val="nil"/>
            </w:tcBorders>
            <w:noWrap w:val="0"/>
            <w:vAlign w:val="center"/>
          </w:tcPr>
          <w:p w14:paraId="55609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w:t>
            </w:r>
          </w:p>
          <w:p w14:paraId="37C55C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w:t>
            </w:r>
          </w:p>
          <w:p w14:paraId="02AF21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期</w:t>
            </w:r>
          </w:p>
        </w:tc>
        <w:tc>
          <w:tcPr>
            <w:tcW w:w="327" w:type="pct"/>
            <w:tcBorders>
              <w:tl2br w:val="nil"/>
              <w:tr2bl w:val="nil"/>
            </w:tcBorders>
            <w:noWrap w:val="0"/>
            <w:vAlign w:val="center"/>
          </w:tcPr>
          <w:p w14:paraId="0976E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废气治理措施</w:t>
            </w:r>
          </w:p>
        </w:tc>
        <w:tc>
          <w:tcPr>
            <w:tcW w:w="414" w:type="pct"/>
            <w:tcBorders>
              <w:tl2br w:val="nil"/>
              <w:tr2bl w:val="nil"/>
            </w:tcBorders>
            <w:shd w:val="clear" w:color="auto" w:fill="auto"/>
            <w:noWrap w:val="0"/>
            <w:vAlign w:val="center"/>
          </w:tcPr>
          <w:p w14:paraId="49564D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snapToGrid w:val="0"/>
                <w:color w:val="auto"/>
                <w:kern w:val="0"/>
                <w:sz w:val="21"/>
                <w:szCs w:val="21"/>
                <w:highlight w:val="none"/>
                <w:lang w:val="en-US" w:eastAsia="zh-CN"/>
              </w:rPr>
              <w:t>污水处理站</w:t>
            </w:r>
          </w:p>
        </w:tc>
        <w:tc>
          <w:tcPr>
            <w:tcW w:w="2903" w:type="pct"/>
            <w:tcBorders>
              <w:tl2br w:val="nil"/>
              <w:tr2bl w:val="nil"/>
            </w:tcBorders>
            <w:shd w:val="clear" w:color="auto" w:fill="auto"/>
            <w:noWrap w:val="0"/>
            <w:vAlign w:val="center"/>
          </w:tcPr>
          <w:p w14:paraId="5BDAB434">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建设</w:t>
            </w:r>
            <w:r>
              <w:rPr>
                <w:rFonts w:hint="eastAsia" w:eastAsia="宋体" w:cs="Times New Roman"/>
                <w:snapToGrid w:val="0"/>
                <w:color w:val="auto"/>
                <w:kern w:val="0"/>
                <w:sz w:val="21"/>
                <w:szCs w:val="21"/>
                <w:highlight w:val="none"/>
                <w:lang w:val="en-US" w:eastAsia="zh-CN"/>
              </w:rPr>
              <w:t>1座地下式</w:t>
            </w:r>
            <w:r>
              <w:rPr>
                <w:rFonts w:hint="default" w:ascii="Times New Roman" w:hAnsi="Times New Roman" w:eastAsia="宋体" w:cs="Times New Roman"/>
                <w:snapToGrid w:val="0"/>
                <w:color w:val="auto"/>
                <w:kern w:val="0"/>
                <w:sz w:val="21"/>
                <w:szCs w:val="21"/>
                <w:highlight w:val="none"/>
              </w:rPr>
              <w:t>污水处理站，对污水处理站各池体采取加盖全封闭，污水处理站产生的恶臭气体经“集气设备+二级活性炭吸附装置（风量1000m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/h）”处理后由1根20m高排气筒（DA002）排放</w:t>
            </w:r>
            <w:r>
              <w:rPr>
                <w:rFonts w:hint="eastAsia" w:eastAsia="宋体" w:cs="Times New Roman"/>
                <w:snapToGrid w:val="0"/>
                <w:color w:val="auto"/>
                <w:kern w:val="0"/>
                <w:sz w:val="21"/>
                <w:szCs w:val="21"/>
                <w:highlight w:val="none"/>
                <w:lang w:eastAsia="zh-CN"/>
              </w:rPr>
              <w:t>。</w:t>
            </w:r>
          </w:p>
        </w:tc>
        <w:tc>
          <w:tcPr>
            <w:tcW w:w="748" w:type="pct"/>
            <w:tcBorders>
              <w:tl2br w:val="nil"/>
              <w:tr2bl w:val="nil"/>
            </w:tcBorders>
            <w:shd w:val="clear" w:color="auto" w:fill="auto"/>
            <w:noWrap w:val="0"/>
            <w:vAlign w:val="center"/>
          </w:tcPr>
          <w:p w14:paraId="4A971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.0</w:t>
            </w:r>
          </w:p>
        </w:tc>
      </w:tr>
      <w:tr w14:paraId="4F179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660A47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82" w:type="pct"/>
            <w:vMerge w:val="continue"/>
            <w:tcBorders>
              <w:tl2br w:val="nil"/>
              <w:tr2bl w:val="nil"/>
            </w:tcBorders>
            <w:noWrap w:val="0"/>
            <w:vAlign w:val="center"/>
          </w:tcPr>
          <w:p w14:paraId="0158AE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327" w:type="pct"/>
            <w:vMerge w:val="restart"/>
            <w:tcBorders>
              <w:tl2br w:val="nil"/>
              <w:tr2bl w:val="nil"/>
            </w:tcBorders>
            <w:noWrap w:val="0"/>
            <w:vAlign w:val="center"/>
          </w:tcPr>
          <w:p w14:paraId="4D1B1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废水治理措施</w:t>
            </w:r>
          </w:p>
        </w:tc>
        <w:tc>
          <w:tcPr>
            <w:tcW w:w="414" w:type="pct"/>
            <w:vMerge w:val="restart"/>
            <w:tcBorders>
              <w:tl2br w:val="nil"/>
              <w:tr2bl w:val="nil"/>
            </w:tcBorders>
            <w:noWrap w:val="0"/>
            <w:vAlign w:val="center"/>
          </w:tcPr>
          <w:p w14:paraId="47BB0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w:t>
            </w:r>
          </w:p>
        </w:tc>
        <w:tc>
          <w:tcPr>
            <w:tcW w:w="2903" w:type="pct"/>
            <w:tcBorders>
              <w:tl2br w:val="nil"/>
              <w:tr2bl w:val="nil"/>
            </w:tcBorders>
            <w:noWrap w:val="0"/>
            <w:vAlign w:val="center"/>
          </w:tcPr>
          <w:p w14:paraId="3FD4410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w:t>
            </w:r>
            <w:r>
              <w:rPr>
                <w:rFonts w:hint="eastAsia" w:ascii="Times New Roman" w:hAnsi="Times New Roman" w:eastAsia="宋体" w:cs="Times New Roman"/>
                <w:color w:val="auto"/>
                <w:sz w:val="21"/>
                <w:szCs w:val="21"/>
                <w:highlight w:val="none"/>
                <w:lang w:val="en-US" w:eastAsia="zh-CN"/>
              </w:rPr>
              <w:t>256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lang w:val="en-US" w:eastAsia="zh-CN"/>
              </w:rPr>
              <w:t>消防水池</w:t>
            </w:r>
          </w:p>
        </w:tc>
        <w:tc>
          <w:tcPr>
            <w:tcW w:w="748" w:type="pct"/>
            <w:tcBorders>
              <w:tl2br w:val="nil"/>
              <w:tr2bl w:val="nil"/>
            </w:tcBorders>
            <w:noWrap w:val="0"/>
            <w:vAlign w:val="center"/>
          </w:tcPr>
          <w:p w14:paraId="3CEABC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r>
      <w:tr w14:paraId="1A47C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6DC156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82" w:type="pct"/>
            <w:vMerge w:val="continue"/>
            <w:tcBorders>
              <w:tl2br w:val="nil"/>
              <w:tr2bl w:val="nil"/>
            </w:tcBorders>
            <w:noWrap w:val="0"/>
            <w:vAlign w:val="center"/>
          </w:tcPr>
          <w:p w14:paraId="01CC3C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327" w:type="pct"/>
            <w:vMerge w:val="continue"/>
            <w:tcBorders>
              <w:tl2br w:val="nil"/>
              <w:tr2bl w:val="nil"/>
            </w:tcBorders>
            <w:noWrap w:val="0"/>
            <w:vAlign w:val="center"/>
          </w:tcPr>
          <w:p w14:paraId="17F2BA0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noWrap w:val="0"/>
            <w:vAlign w:val="center"/>
          </w:tcPr>
          <w:p w14:paraId="2E9A42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903" w:type="pct"/>
            <w:tcBorders>
              <w:tl2br w:val="nil"/>
              <w:tr2bl w:val="nil"/>
            </w:tcBorders>
            <w:noWrap w:val="0"/>
            <w:vAlign w:val="center"/>
          </w:tcPr>
          <w:p w14:paraId="613266C0">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厂区建设1座</w:t>
            </w:r>
            <w:r>
              <w:rPr>
                <w:rFonts w:hint="eastAsia"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/d污水处理站</w:t>
            </w:r>
          </w:p>
        </w:tc>
        <w:tc>
          <w:tcPr>
            <w:tcW w:w="748" w:type="pct"/>
            <w:tcBorders>
              <w:tl2br w:val="nil"/>
              <w:tr2bl w:val="nil"/>
            </w:tcBorders>
            <w:noWrap w:val="0"/>
            <w:vAlign w:val="center"/>
          </w:tcPr>
          <w:p w14:paraId="5CDA41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r>
      <w:tr w14:paraId="689B8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124FB9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w:t>
            </w:r>
          </w:p>
        </w:tc>
        <w:tc>
          <w:tcPr>
            <w:tcW w:w="282" w:type="pct"/>
            <w:vMerge w:val="continue"/>
            <w:tcBorders>
              <w:tl2br w:val="nil"/>
              <w:tr2bl w:val="nil"/>
            </w:tcBorders>
            <w:noWrap w:val="0"/>
            <w:vAlign w:val="center"/>
          </w:tcPr>
          <w:p w14:paraId="0CF7C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327" w:type="pct"/>
            <w:vMerge w:val="continue"/>
            <w:tcBorders>
              <w:tl2br w:val="nil"/>
              <w:tr2bl w:val="nil"/>
            </w:tcBorders>
            <w:noWrap w:val="0"/>
            <w:vAlign w:val="center"/>
          </w:tcPr>
          <w:p w14:paraId="1635255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noWrap w:val="0"/>
            <w:vAlign w:val="center"/>
          </w:tcPr>
          <w:p w14:paraId="75BA7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903" w:type="pct"/>
            <w:tcBorders>
              <w:tl2br w:val="nil"/>
              <w:tr2bl w:val="nil"/>
            </w:tcBorders>
            <w:noWrap w:val="0"/>
            <w:vAlign w:val="center"/>
          </w:tcPr>
          <w:p w14:paraId="72B3974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在线监测设备1套</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监测因子：</w:t>
            </w:r>
            <w:r>
              <w:rPr>
                <w:rFonts w:hint="default" w:ascii="Times New Roman" w:hAnsi="Times New Roman" w:eastAsia="宋体" w:cs="Times New Roman"/>
                <w:color w:val="auto"/>
                <w:sz w:val="21"/>
                <w:szCs w:val="21"/>
                <w:highlight w:val="none"/>
                <w:lang w:eastAsia="zh-CN"/>
              </w:rPr>
              <w:t>流量</w:t>
            </w:r>
            <w:r>
              <w:rPr>
                <w:rFonts w:hint="default" w:ascii="Times New Roman" w:hAnsi="Times New Roman" w:eastAsia="宋体" w:cs="Times New Roman"/>
                <w:color w:val="auto"/>
                <w:sz w:val="21"/>
                <w:szCs w:val="21"/>
                <w:highlight w:val="none"/>
              </w:rPr>
              <w:t>、pH、COD、NH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eastAsia"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TP、TN</w:t>
            </w:r>
            <w:r>
              <w:rPr>
                <w:rFonts w:hint="eastAsia" w:ascii="Times New Roman" w:hAnsi="Times New Roman" w:eastAsia="宋体" w:cs="Times New Roman"/>
                <w:color w:val="auto"/>
                <w:sz w:val="21"/>
                <w:szCs w:val="21"/>
                <w:highlight w:val="none"/>
                <w:lang w:eastAsia="zh-CN"/>
              </w:rPr>
              <w:t>）</w:t>
            </w:r>
          </w:p>
        </w:tc>
        <w:tc>
          <w:tcPr>
            <w:tcW w:w="748" w:type="pct"/>
            <w:tcBorders>
              <w:tl2br w:val="nil"/>
              <w:tr2bl w:val="nil"/>
            </w:tcBorders>
            <w:noWrap w:val="0"/>
            <w:vAlign w:val="center"/>
          </w:tcPr>
          <w:p w14:paraId="25228A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10.0</w:t>
            </w:r>
          </w:p>
        </w:tc>
      </w:tr>
      <w:tr w14:paraId="09A96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26E6D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82" w:type="pct"/>
            <w:vMerge w:val="continue"/>
            <w:tcBorders>
              <w:tl2br w:val="nil"/>
              <w:tr2bl w:val="nil"/>
            </w:tcBorders>
            <w:noWrap w:val="0"/>
            <w:vAlign w:val="center"/>
          </w:tcPr>
          <w:p w14:paraId="482735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327" w:type="pct"/>
            <w:vMerge w:val="continue"/>
            <w:tcBorders>
              <w:tl2br w:val="nil"/>
              <w:tr2bl w:val="nil"/>
            </w:tcBorders>
            <w:noWrap w:val="0"/>
            <w:vAlign w:val="center"/>
          </w:tcPr>
          <w:p w14:paraId="72821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tcBorders>
              <w:tl2br w:val="nil"/>
              <w:tr2bl w:val="nil"/>
            </w:tcBorders>
            <w:noWrap w:val="0"/>
            <w:vAlign w:val="center"/>
          </w:tcPr>
          <w:p w14:paraId="13A09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办公生活区</w:t>
            </w:r>
          </w:p>
        </w:tc>
        <w:tc>
          <w:tcPr>
            <w:tcW w:w="2903" w:type="pct"/>
            <w:tcBorders>
              <w:tl2br w:val="nil"/>
              <w:tr2bl w:val="nil"/>
            </w:tcBorders>
            <w:noWrap w:val="0"/>
            <w:vAlign w:val="center"/>
          </w:tcPr>
          <w:p w14:paraId="086A3AC0">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1座</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化粪池</w:t>
            </w:r>
          </w:p>
        </w:tc>
        <w:tc>
          <w:tcPr>
            <w:tcW w:w="748" w:type="pct"/>
            <w:tcBorders>
              <w:tl2br w:val="nil"/>
              <w:tr2bl w:val="nil"/>
            </w:tcBorders>
            <w:noWrap w:val="0"/>
            <w:vAlign w:val="center"/>
          </w:tcPr>
          <w:p w14:paraId="17F62B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.0</w:t>
            </w:r>
          </w:p>
        </w:tc>
      </w:tr>
      <w:tr w14:paraId="06FF8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01BB7F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82" w:type="pct"/>
            <w:vMerge w:val="continue"/>
            <w:tcBorders>
              <w:tl2br w:val="nil"/>
              <w:tr2bl w:val="nil"/>
            </w:tcBorders>
            <w:noWrap w:val="0"/>
            <w:vAlign w:val="center"/>
          </w:tcPr>
          <w:p w14:paraId="299E0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41" w:type="pct"/>
            <w:gridSpan w:val="2"/>
            <w:tcBorders>
              <w:tl2br w:val="nil"/>
              <w:tr2bl w:val="nil"/>
            </w:tcBorders>
            <w:noWrap w:val="0"/>
            <w:vAlign w:val="center"/>
          </w:tcPr>
          <w:p w14:paraId="7FDF5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w:t>
            </w:r>
          </w:p>
        </w:tc>
        <w:tc>
          <w:tcPr>
            <w:tcW w:w="2903" w:type="pct"/>
            <w:tcBorders>
              <w:tl2br w:val="nil"/>
              <w:tr2bl w:val="nil"/>
            </w:tcBorders>
            <w:noWrap w:val="0"/>
            <w:vAlign w:val="center"/>
          </w:tcPr>
          <w:p w14:paraId="6D9023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高噪声设备设置在厂房内，设备设置消声减振基础垫、消声器等</w:t>
            </w:r>
          </w:p>
        </w:tc>
        <w:tc>
          <w:tcPr>
            <w:tcW w:w="748" w:type="pct"/>
            <w:tcBorders>
              <w:tl2br w:val="nil"/>
              <w:tr2bl w:val="nil"/>
            </w:tcBorders>
            <w:noWrap w:val="0"/>
            <w:vAlign w:val="center"/>
          </w:tcPr>
          <w:p w14:paraId="3C386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r>
      <w:tr w14:paraId="1AF32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79563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82" w:type="pct"/>
            <w:vMerge w:val="continue"/>
            <w:tcBorders>
              <w:tl2br w:val="nil"/>
              <w:tr2bl w:val="nil"/>
            </w:tcBorders>
            <w:noWrap w:val="0"/>
            <w:vAlign w:val="center"/>
          </w:tcPr>
          <w:p w14:paraId="62DBD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41" w:type="pct"/>
            <w:gridSpan w:val="2"/>
            <w:vMerge w:val="restart"/>
            <w:tcBorders>
              <w:tl2br w:val="nil"/>
              <w:tr2bl w:val="nil"/>
            </w:tcBorders>
            <w:noWrap w:val="0"/>
            <w:vAlign w:val="center"/>
          </w:tcPr>
          <w:p w14:paraId="47DD0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2903" w:type="pct"/>
            <w:tcBorders>
              <w:tl2br w:val="nil"/>
              <w:tr2bl w:val="nil"/>
            </w:tcBorders>
            <w:noWrap w:val="0"/>
            <w:vAlign w:val="center"/>
          </w:tcPr>
          <w:p w14:paraId="2910FBB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eastAsia" w:eastAsia="宋体" w:cs="Times New Roman"/>
                <w:snapToGrid w:val="0"/>
                <w:color w:val="auto"/>
                <w:kern w:val="0"/>
                <w:sz w:val="21"/>
                <w:szCs w:val="21"/>
                <w:highlight w:val="none"/>
                <w:lang w:val="en-US" w:eastAsia="zh-CN"/>
              </w:rPr>
              <w:t>生活垃圾集中收集后交由环卫部门统一处置。</w:t>
            </w:r>
          </w:p>
        </w:tc>
        <w:tc>
          <w:tcPr>
            <w:tcW w:w="748" w:type="pct"/>
            <w:tcBorders>
              <w:tl2br w:val="nil"/>
              <w:tr2bl w:val="nil"/>
            </w:tcBorders>
            <w:noWrap w:val="0"/>
            <w:vAlign w:val="center"/>
          </w:tcPr>
          <w:p w14:paraId="694371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1A07D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5A901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w:t>
            </w:r>
          </w:p>
        </w:tc>
        <w:tc>
          <w:tcPr>
            <w:tcW w:w="282" w:type="pct"/>
            <w:vMerge w:val="continue"/>
            <w:tcBorders>
              <w:tl2br w:val="nil"/>
              <w:tr2bl w:val="nil"/>
            </w:tcBorders>
            <w:noWrap w:val="0"/>
            <w:vAlign w:val="center"/>
          </w:tcPr>
          <w:p w14:paraId="0AE059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41" w:type="pct"/>
            <w:gridSpan w:val="2"/>
            <w:vMerge w:val="continue"/>
            <w:tcBorders>
              <w:tl2br w:val="nil"/>
              <w:tr2bl w:val="nil"/>
            </w:tcBorders>
            <w:noWrap w:val="0"/>
            <w:vAlign w:val="center"/>
          </w:tcPr>
          <w:p w14:paraId="32CC16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903" w:type="pct"/>
            <w:tcBorders>
              <w:tl2br w:val="nil"/>
              <w:tr2bl w:val="nil"/>
            </w:tcBorders>
            <w:noWrap w:val="0"/>
            <w:vAlign w:val="center"/>
          </w:tcPr>
          <w:p w14:paraId="57D7DE5F">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eastAsia" w:eastAsia="宋体" w:cs="Times New Roman"/>
                <w:snapToGrid w:val="0"/>
                <w:color w:val="auto"/>
                <w:kern w:val="0"/>
                <w:sz w:val="21"/>
                <w:szCs w:val="21"/>
                <w:highlight w:val="none"/>
                <w:lang w:val="en-US" w:eastAsia="zh-CN"/>
              </w:rPr>
              <w:t>废活性炭、废机油、废机油桶更换后交有资质单位集中处置。</w:t>
            </w:r>
          </w:p>
        </w:tc>
        <w:tc>
          <w:tcPr>
            <w:tcW w:w="748" w:type="pct"/>
            <w:tcBorders>
              <w:tl2br w:val="nil"/>
              <w:tr2bl w:val="nil"/>
            </w:tcBorders>
            <w:noWrap w:val="0"/>
            <w:vAlign w:val="center"/>
          </w:tcPr>
          <w:p w14:paraId="60E5E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w:t>
            </w:r>
          </w:p>
        </w:tc>
      </w:tr>
      <w:tr w14:paraId="333A5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719E0D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11</w:t>
            </w:r>
          </w:p>
        </w:tc>
        <w:tc>
          <w:tcPr>
            <w:tcW w:w="282" w:type="pct"/>
            <w:vMerge w:val="continue"/>
            <w:tcBorders>
              <w:tl2br w:val="nil"/>
              <w:tr2bl w:val="nil"/>
            </w:tcBorders>
            <w:noWrap w:val="0"/>
            <w:vAlign w:val="center"/>
          </w:tcPr>
          <w:p w14:paraId="52F6D3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41" w:type="pct"/>
            <w:gridSpan w:val="2"/>
            <w:vMerge w:val="continue"/>
            <w:tcBorders>
              <w:tl2br w:val="nil"/>
              <w:tr2bl w:val="nil"/>
            </w:tcBorders>
            <w:noWrap w:val="0"/>
            <w:vAlign w:val="center"/>
          </w:tcPr>
          <w:p w14:paraId="0B7898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903" w:type="pct"/>
            <w:tcBorders>
              <w:tl2br w:val="nil"/>
              <w:tr2bl w:val="nil"/>
            </w:tcBorders>
            <w:noWrap w:val="0"/>
            <w:vAlign w:val="center"/>
          </w:tcPr>
          <w:p w14:paraId="53529F3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病变</w:t>
            </w:r>
            <w:r>
              <w:rPr>
                <w:rFonts w:hint="default" w:ascii="Times New Roman" w:hAnsi="Times New Roman" w:eastAsia="宋体" w:cs="Times New Roman"/>
                <w:color w:val="auto"/>
                <w:sz w:val="21"/>
                <w:szCs w:val="21"/>
                <w:highlight w:val="none"/>
              </w:rPr>
              <w:t>内脏</w:t>
            </w:r>
            <w:r>
              <w:rPr>
                <w:rFonts w:hint="eastAsia" w:eastAsia="宋体" w:cs="Times New Roman"/>
                <w:color w:val="auto"/>
                <w:sz w:val="21"/>
                <w:szCs w:val="21"/>
                <w:highlight w:val="none"/>
                <w:lang w:eastAsia="zh-CN"/>
              </w:rPr>
              <w:t>、不合格胴体、</w:t>
            </w:r>
            <w:r>
              <w:rPr>
                <w:rFonts w:hint="eastAsia" w:eastAsia="宋体" w:cs="Times New Roman"/>
                <w:color w:val="auto"/>
                <w:sz w:val="21"/>
                <w:szCs w:val="21"/>
                <w:highlight w:val="none"/>
                <w:lang w:val="en-US" w:eastAsia="zh-CN"/>
              </w:rPr>
              <w:t>病死牛羊集中收集后暂存于危废贮存库内的冰柜中，定期拉运至原州区动物疾病预防控制中心（动物卫生监督）指定场所进行无害化处置。</w:t>
            </w:r>
          </w:p>
        </w:tc>
        <w:tc>
          <w:tcPr>
            <w:tcW w:w="748" w:type="pct"/>
            <w:tcBorders>
              <w:tl2br w:val="nil"/>
              <w:tr2bl w:val="nil"/>
            </w:tcBorders>
            <w:noWrap w:val="0"/>
            <w:vAlign w:val="center"/>
          </w:tcPr>
          <w:p w14:paraId="1F117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w:t>
            </w:r>
          </w:p>
        </w:tc>
      </w:tr>
      <w:tr w14:paraId="46DD4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4D02E3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w:t>
            </w:r>
          </w:p>
        </w:tc>
        <w:tc>
          <w:tcPr>
            <w:tcW w:w="282" w:type="pct"/>
            <w:tcBorders>
              <w:tl2br w:val="nil"/>
              <w:tr2bl w:val="nil"/>
            </w:tcBorders>
            <w:noWrap w:val="0"/>
            <w:vAlign w:val="center"/>
          </w:tcPr>
          <w:p w14:paraId="71A08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w:t>
            </w:r>
          </w:p>
          <w:p w14:paraId="1334ED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w:t>
            </w:r>
          </w:p>
          <w:p w14:paraId="64A01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期</w:t>
            </w:r>
          </w:p>
        </w:tc>
        <w:tc>
          <w:tcPr>
            <w:tcW w:w="741" w:type="pct"/>
            <w:gridSpan w:val="2"/>
            <w:tcBorders>
              <w:tl2br w:val="nil"/>
              <w:tr2bl w:val="nil"/>
            </w:tcBorders>
            <w:noWrap w:val="0"/>
            <w:vAlign w:val="center"/>
          </w:tcPr>
          <w:p w14:paraId="385835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防渗</w:t>
            </w:r>
          </w:p>
        </w:tc>
        <w:tc>
          <w:tcPr>
            <w:tcW w:w="2903" w:type="pct"/>
            <w:tcBorders>
              <w:tl2br w:val="nil"/>
              <w:tr2bl w:val="nil"/>
            </w:tcBorders>
            <w:noWrap w:val="0"/>
            <w:vAlign w:val="center"/>
          </w:tcPr>
          <w:p w14:paraId="20A0B32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重点防渗区：</w:t>
            </w:r>
            <w:r>
              <w:rPr>
                <w:rFonts w:hint="default" w:ascii="Times New Roman" w:hAnsi="Times New Roman" w:eastAsia="宋体" w:cs="Times New Roman"/>
                <w:color w:val="auto"/>
                <w:sz w:val="21"/>
                <w:szCs w:val="21"/>
                <w:highlight w:val="none"/>
                <w:lang w:val="en-US" w:eastAsia="zh-CN"/>
              </w:rPr>
              <w:t>危废贮存库</w:t>
            </w:r>
            <w:r>
              <w:rPr>
                <w:rFonts w:hint="eastAsia" w:eastAsia="宋体" w:cs="Times New Roman"/>
                <w:color w:val="auto"/>
                <w:spacing w:val="-1"/>
                <w:sz w:val="21"/>
                <w:szCs w:val="21"/>
                <w:highlight w:val="none"/>
                <w:lang w:val="en-US" w:eastAsia="zh-CN"/>
              </w:rPr>
              <w:t>地面铺设</w:t>
            </w:r>
            <w:r>
              <w:rPr>
                <w:rFonts w:hint="default" w:ascii="Times New Roman" w:hAnsi="Times New Roman" w:eastAsia="宋体" w:cs="Times New Roman"/>
                <w:color w:val="auto"/>
                <w:spacing w:val="-1"/>
                <w:sz w:val="21"/>
                <w:szCs w:val="21"/>
                <w:highlight w:val="none"/>
              </w:rPr>
              <w:t>2mm厚高密度聚乙烯膜等人工防渗材料</w:t>
            </w:r>
            <w:r>
              <w:rPr>
                <w:rFonts w:hint="eastAsia"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渗透系数不大于1.0×10</w:t>
            </w:r>
            <w:r>
              <w:rPr>
                <w:rFonts w:hint="default" w:ascii="Times New Roman" w:hAnsi="Times New Roman" w:eastAsia="宋体" w:cs="Times New Roman"/>
                <w:color w:val="auto"/>
                <w:spacing w:val="-1"/>
                <w:sz w:val="21"/>
                <w:szCs w:val="21"/>
                <w:highlight w:val="none"/>
                <w:vertAlign w:val="superscript"/>
              </w:rPr>
              <w:t>-7</w:t>
            </w:r>
            <w:r>
              <w:rPr>
                <w:rFonts w:hint="default" w:ascii="Times New Roman" w:hAnsi="Times New Roman" w:eastAsia="宋体" w:cs="Times New Roman"/>
                <w:color w:val="auto"/>
                <w:spacing w:val="-1"/>
                <w:sz w:val="21"/>
                <w:szCs w:val="21"/>
                <w:highlight w:val="none"/>
              </w:rPr>
              <w:t>cm/s</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z w:val="21"/>
                <w:szCs w:val="21"/>
                <w:highlight w:val="none"/>
              </w:rPr>
              <w:t>污水处理站</w:t>
            </w:r>
            <w:r>
              <w:rPr>
                <w:rFonts w:hint="default" w:ascii="Times New Roman" w:hAnsi="Times New Roman" w:eastAsia="宋体" w:cs="Times New Roman"/>
                <w:color w:val="auto"/>
                <w:spacing w:val="-1"/>
                <w:sz w:val="21"/>
                <w:szCs w:val="21"/>
                <w:highlight w:val="none"/>
              </w:rPr>
              <w:t>采用不低于C30强度等级的混凝土结构，抗渗等级不低于P8，渗透系数不大于1.0×10</w:t>
            </w:r>
            <w:r>
              <w:rPr>
                <w:rFonts w:hint="default" w:ascii="Times New Roman" w:hAnsi="Times New Roman" w:eastAsia="宋体" w:cs="Times New Roman"/>
                <w:color w:val="auto"/>
                <w:spacing w:val="-1"/>
                <w:sz w:val="21"/>
                <w:szCs w:val="21"/>
                <w:highlight w:val="none"/>
                <w:vertAlign w:val="superscript"/>
              </w:rPr>
              <w:t>-7</w:t>
            </w:r>
            <w:r>
              <w:rPr>
                <w:rFonts w:hint="default" w:ascii="Times New Roman" w:hAnsi="Times New Roman" w:eastAsia="宋体" w:cs="Times New Roman"/>
                <w:color w:val="auto"/>
                <w:spacing w:val="-1"/>
                <w:sz w:val="21"/>
                <w:szCs w:val="21"/>
                <w:highlight w:val="none"/>
              </w:rPr>
              <w:t>cm/s</w:t>
            </w:r>
            <w:r>
              <w:rPr>
                <w:rFonts w:hint="default" w:ascii="Times New Roman" w:hAnsi="Times New Roman" w:eastAsia="宋体" w:cs="Times New Roman"/>
                <w:color w:val="auto"/>
                <w:sz w:val="21"/>
                <w:szCs w:val="21"/>
                <w:highlight w:val="none"/>
              </w:rPr>
              <w:t>；</w:t>
            </w:r>
          </w:p>
          <w:p w14:paraId="57D09E1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rPr>
              <w:t>一般防渗区：屠宰</w:t>
            </w:r>
            <w:r>
              <w:rPr>
                <w:rFonts w:hint="eastAsia" w:ascii="Times New Roman" w:hAnsi="Times New Roman" w:eastAsia="宋体" w:cs="Times New Roman"/>
                <w:color w:val="auto"/>
                <w:sz w:val="21"/>
                <w:szCs w:val="21"/>
                <w:highlight w:val="none"/>
                <w:lang w:val="en-US" w:eastAsia="zh-CN"/>
              </w:rPr>
              <w:t>加工车间</w:t>
            </w:r>
            <w:r>
              <w:rPr>
                <w:rFonts w:hint="eastAsia" w:eastAsia="宋体" w:cs="Times New Roman"/>
                <w:color w:val="auto"/>
                <w:sz w:val="21"/>
                <w:szCs w:val="21"/>
                <w:highlight w:val="none"/>
                <w:lang w:val="en-US" w:eastAsia="zh-CN"/>
              </w:rPr>
              <w:t>及化粪池</w:t>
            </w:r>
            <w:r>
              <w:rPr>
                <w:rFonts w:hint="default" w:ascii="Times New Roman" w:hAnsi="Times New Roman" w:eastAsia="宋体" w:cs="Times New Roman"/>
                <w:color w:val="auto"/>
                <w:sz w:val="21"/>
                <w:szCs w:val="21"/>
                <w:highlight w:val="none"/>
              </w:rPr>
              <w:t>地面采取硬化防渗处理，采用水泥砂浆防渗，防渗层为至少1m厚</w:t>
            </w:r>
            <w:r>
              <w:rPr>
                <w:rFonts w:hint="eastAsia" w:eastAsia="宋体" w:cs="Times New Roman"/>
                <w:color w:val="auto"/>
                <w:sz w:val="21"/>
                <w:szCs w:val="21"/>
                <w:highlight w:val="none"/>
                <w:lang w:eastAsia="zh-CN"/>
              </w:rPr>
              <w:t>粘土</w:t>
            </w:r>
            <w:r>
              <w:rPr>
                <w:rFonts w:hint="default" w:ascii="Times New Roman" w:hAnsi="Times New Roman" w:eastAsia="宋体" w:cs="Times New Roman"/>
                <w:color w:val="auto"/>
                <w:sz w:val="21"/>
                <w:szCs w:val="21"/>
                <w:highlight w:val="none"/>
              </w:rPr>
              <w:t>层或2mm厚高密度聚乙烯，需满足等效</w:t>
            </w:r>
            <w:r>
              <w:rPr>
                <w:rFonts w:hint="eastAsia" w:eastAsia="宋体" w:cs="Times New Roman"/>
                <w:color w:val="auto"/>
                <w:sz w:val="21"/>
                <w:szCs w:val="21"/>
                <w:highlight w:val="none"/>
                <w:lang w:eastAsia="zh-CN"/>
              </w:rPr>
              <w:t>粘</w:t>
            </w:r>
            <w:r>
              <w:rPr>
                <w:rFonts w:hint="default" w:ascii="Times New Roman" w:hAnsi="Times New Roman" w:eastAsia="宋体" w:cs="Times New Roman"/>
                <w:color w:val="auto"/>
                <w:sz w:val="21"/>
                <w:szCs w:val="21"/>
                <w:highlight w:val="none"/>
              </w:rPr>
              <w:t>土防渗层Mb≥1.5m，满足渗透系数K≤1.0×10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r>
              <w:rPr>
                <w:rFonts w:hint="eastAsia" w:eastAsia="宋体" w:cs="Times New Roman"/>
                <w:color w:val="auto"/>
                <w:sz w:val="21"/>
                <w:szCs w:val="21"/>
                <w:highlight w:val="none"/>
                <w:lang w:eastAsia="zh-CN"/>
              </w:rPr>
              <w:t>。</w:t>
            </w:r>
          </w:p>
        </w:tc>
        <w:tc>
          <w:tcPr>
            <w:tcW w:w="748" w:type="pct"/>
            <w:tcBorders>
              <w:tl2br w:val="nil"/>
              <w:tr2bl w:val="nil"/>
            </w:tcBorders>
            <w:noWrap w:val="0"/>
            <w:vAlign w:val="center"/>
          </w:tcPr>
          <w:p w14:paraId="04E0D2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5</w:t>
            </w:r>
          </w:p>
        </w:tc>
      </w:tr>
      <w:tr w14:paraId="72CD6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324" w:type="pct"/>
            <w:gridSpan w:val="2"/>
            <w:tcBorders>
              <w:tl2br w:val="nil"/>
              <w:tr2bl w:val="nil"/>
            </w:tcBorders>
            <w:noWrap w:val="0"/>
            <w:vAlign w:val="center"/>
          </w:tcPr>
          <w:p w14:paraId="41315F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eastAsia" w:eastAsia="宋体" w:cs="Times New Roman"/>
                <w:color w:val="auto"/>
                <w:sz w:val="21"/>
                <w:szCs w:val="21"/>
                <w:highlight w:val="none"/>
                <w:lang w:val="en-US" w:eastAsia="zh-CN"/>
              </w:rPr>
              <w:t>3</w:t>
            </w:r>
          </w:p>
        </w:tc>
        <w:tc>
          <w:tcPr>
            <w:tcW w:w="1023" w:type="pct"/>
            <w:gridSpan w:val="3"/>
            <w:tcBorders>
              <w:tl2br w:val="nil"/>
              <w:tr2bl w:val="nil"/>
            </w:tcBorders>
            <w:noWrap w:val="0"/>
            <w:vAlign w:val="center"/>
          </w:tcPr>
          <w:p w14:paraId="1A8449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绿化</w:t>
            </w:r>
          </w:p>
        </w:tc>
        <w:tc>
          <w:tcPr>
            <w:tcW w:w="2903" w:type="pct"/>
            <w:tcBorders>
              <w:tl2br w:val="nil"/>
              <w:tr2bl w:val="nil"/>
            </w:tcBorders>
            <w:noWrap w:val="0"/>
            <w:vAlign w:val="center"/>
          </w:tcPr>
          <w:p w14:paraId="0746D9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aps/>
                <w:color w:val="auto"/>
                <w:kern w:val="0"/>
                <w:sz w:val="21"/>
                <w:szCs w:val="21"/>
                <w:highlight w:val="none"/>
              </w:rPr>
              <w:t>绿化面积</w:t>
            </w:r>
            <w:r>
              <w:rPr>
                <w:rFonts w:hint="eastAsia" w:ascii="Times New Roman" w:hAnsi="Times New Roman" w:eastAsia="宋体" w:cs="Times New Roman"/>
                <w:color w:val="auto"/>
                <w:sz w:val="21"/>
                <w:szCs w:val="21"/>
                <w:highlight w:val="none"/>
                <w:lang w:val="en-US" w:eastAsia="zh-CN"/>
              </w:rPr>
              <w:t>700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，绿化率</w:t>
            </w:r>
            <w:r>
              <w:rPr>
                <w:rFonts w:hint="eastAsia" w:ascii="Times New Roman" w:hAnsi="Times New Roman" w:eastAsia="宋体" w:cs="Times New Roman"/>
                <w:color w:val="auto"/>
                <w:sz w:val="21"/>
                <w:szCs w:val="21"/>
                <w:highlight w:val="none"/>
                <w:lang w:val="en-US" w:eastAsia="zh-CN"/>
              </w:rPr>
              <w:t>10.43</w:t>
            </w:r>
            <w:r>
              <w:rPr>
                <w:rFonts w:hint="default" w:ascii="Times New Roman" w:hAnsi="Times New Roman" w:eastAsia="宋体" w:cs="Times New Roman"/>
                <w:color w:val="auto"/>
                <w:sz w:val="21"/>
                <w:szCs w:val="21"/>
                <w:highlight w:val="none"/>
              </w:rPr>
              <w:t>%</w:t>
            </w:r>
          </w:p>
        </w:tc>
        <w:tc>
          <w:tcPr>
            <w:tcW w:w="748" w:type="pct"/>
            <w:tcBorders>
              <w:tl2br w:val="nil"/>
              <w:tr2bl w:val="nil"/>
            </w:tcBorders>
            <w:noWrap w:val="0"/>
            <w:vAlign w:val="center"/>
          </w:tcPr>
          <w:p w14:paraId="1D8D0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14:paraId="3D8C1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7" w:type="dxa"/>
            <w:bottom w:w="17" w:type="dxa"/>
            <w:right w:w="17" w:type="dxa"/>
          </w:tblCellMar>
        </w:tblPrEx>
        <w:trPr>
          <w:cantSplit/>
          <w:trHeight w:val="23" w:hRule="atLeast"/>
          <w:jc w:val="center"/>
        </w:trPr>
        <w:tc>
          <w:tcPr>
            <w:tcW w:w="1348" w:type="pct"/>
            <w:gridSpan w:val="5"/>
            <w:tcBorders>
              <w:tl2br w:val="nil"/>
              <w:tr2bl w:val="nil"/>
            </w:tcBorders>
            <w:noWrap w:val="0"/>
            <w:vAlign w:val="center"/>
          </w:tcPr>
          <w:p w14:paraId="25AA2B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合计</w:t>
            </w:r>
          </w:p>
        </w:tc>
        <w:tc>
          <w:tcPr>
            <w:tcW w:w="2903" w:type="pct"/>
            <w:tcBorders>
              <w:tl2br w:val="nil"/>
              <w:tr2bl w:val="nil"/>
            </w:tcBorders>
            <w:noWrap w:val="0"/>
            <w:vAlign w:val="center"/>
          </w:tcPr>
          <w:p w14:paraId="1EFA1962">
            <w:pPr>
              <w:keepNext w:val="0"/>
              <w:keepLines w:val="0"/>
              <w:pageBreakBefore w:val="0"/>
              <w:widowControl w:val="0"/>
              <w:kinsoku/>
              <w:wordWrap/>
              <w:overflowPunct/>
              <w:topLinePunct w:val="0"/>
              <w:autoSpaceDE/>
              <w:autoSpaceDN/>
              <w:bidi w:val="0"/>
              <w:adjustRightInd/>
              <w:snapToGrid/>
              <w:spacing w:line="240" w:lineRule="auto"/>
              <w:ind w:right="120" w:firstLine="0" w:firstLineChars="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color w:val="auto"/>
                <w:sz w:val="21"/>
                <w:szCs w:val="21"/>
                <w:highlight w:val="none"/>
              </w:rPr>
              <w:t>/</w:t>
            </w:r>
          </w:p>
        </w:tc>
        <w:tc>
          <w:tcPr>
            <w:tcW w:w="748" w:type="pct"/>
            <w:tcBorders>
              <w:tl2br w:val="nil"/>
              <w:tr2bl w:val="nil"/>
            </w:tcBorders>
            <w:noWrap w:val="0"/>
            <w:vAlign w:val="center"/>
          </w:tcPr>
          <w:p w14:paraId="3BE4A6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214</w:t>
            </w:r>
          </w:p>
        </w:tc>
      </w:tr>
    </w:tbl>
    <w:p w14:paraId="546E35B2">
      <w:pP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br w:type="page"/>
      </w:r>
    </w:p>
    <w:p w14:paraId="5C8F878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0" w:firstLineChars="0"/>
        <w:jc w:val="left"/>
        <w:textAlignment w:val="auto"/>
        <w:outlineLvl w:val="0"/>
        <w:rPr>
          <w:rFonts w:hint="eastAsia" w:ascii="Times New Roman" w:hAnsi="Times New Roman" w:eastAsia="黑体"/>
          <w:b/>
          <w:bCs/>
          <w:color w:val="auto"/>
          <w:sz w:val="28"/>
          <w:szCs w:val="28"/>
          <w:lang w:val="en-US" w:eastAsia="zh-CN"/>
        </w:rPr>
      </w:pPr>
      <w:bookmarkStart w:id="567" w:name="_Toc19290"/>
      <w:bookmarkStart w:id="568" w:name="_Toc14957"/>
      <w:bookmarkStart w:id="569" w:name="_Toc6138"/>
      <w:r>
        <w:rPr>
          <w:rFonts w:hint="eastAsia" w:ascii="Times New Roman" w:hAnsi="Times New Roman" w:eastAsia="黑体" w:cs="Times New Roman"/>
          <w:b/>
          <w:bCs/>
          <w:color w:val="auto"/>
          <w:kern w:val="0"/>
          <w:sz w:val="28"/>
          <w:szCs w:val="28"/>
          <w:highlight w:val="none"/>
          <w:lang w:val="en-US" w:eastAsia="zh-CN" w:bidi="ar-SA"/>
        </w:rPr>
        <w:t>7环境影响经济损益分析</w:t>
      </w:r>
      <w:bookmarkEnd w:id="567"/>
      <w:bookmarkEnd w:id="568"/>
      <w:bookmarkEnd w:id="569"/>
    </w:p>
    <w:p w14:paraId="60B43B4C">
      <w:pPr>
        <w:bidi w:val="0"/>
        <w:rPr>
          <w:rFonts w:hint="eastAsia" w:ascii="Times New Roman" w:hAnsi="Times New Roman"/>
          <w:color w:val="auto"/>
          <w:lang w:val="en-US" w:eastAsia="zh-CN"/>
        </w:rPr>
      </w:pPr>
      <w:r>
        <w:rPr>
          <w:rFonts w:hint="eastAsia" w:ascii="Times New Roman" w:hAnsi="Times New Roman"/>
          <w:color w:val="auto"/>
          <w:lang w:val="en-US" w:eastAsia="zh-CN"/>
        </w:rPr>
        <w:t>环境经济损益分析主要是评价建设项目实施后，对环境造成的损失费用和采取各种环保治理措施所能收到的环保效果及其带来的经济和社会效益，衡量建设项目的环保投资在经济上的合理水平。一个项目的开发建设，除对国民经济的发展起着促进作用外，同时，也在一定程度上影响着项目地区环境的变化。社会影响、经济影响、环境影响是一个系统的三要素，最终以提高人类的生活质量为目的。它们之间</w:t>
      </w:r>
      <w:r>
        <w:rPr>
          <w:rFonts w:hint="eastAsia"/>
          <w:color w:val="auto"/>
          <w:lang w:val="en-US" w:eastAsia="zh-CN"/>
        </w:rPr>
        <w:t>既</w:t>
      </w:r>
      <w:r>
        <w:rPr>
          <w:rFonts w:hint="eastAsia" w:ascii="Times New Roman" w:hAnsi="Times New Roman"/>
          <w:color w:val="auto"/>
          <w:lang w:val="en-US" w:eastAsia="zh-CN"/>
        </w:rPr>
        <w:t>互相促进，又互相制约，必须通过全面规划、综合平衡、正确地把全局利益和局部利益、长远利益和近期利益结合起来，对环境保护和经济发展进行协调，实现社会效益、经济效益、环境效益的三统一。通过对项目的经济、社会和环境效益分析，为项目决策者更好地考虑环境、经济和社会效益的统一提供依据。</w:t>
      </w:r>
    </w:p>
    <w:p w14:paraId="2FECF1C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570" w:name="_Toc16027"/>
      <w:bookmarkStart w:id="571" w:name="_Toc5663"/>
      <w:bookmarkStart w:id="572" w:name="_Toc1427"/>
      <w:bookmarkStart w:id="573" w:name="_Toc30039"/>
      <w:bookmarkStart w:id="574" w:name="_Toc5254"/>
      <w:bookmarkStart w:id="575" w:name="_Toc17461"/>
      <w:r>
        <w:rPr>
          <w:rFonts w:hint="default" w:ascii="Times New Roman" w:hAnsi="Times New Roman" w:eastAsia="黑体" w:cs="Times New Roman"/>
          <w:b/>
          <w:color w:val="auto"/>
          <w:sz w:val="28"/>
          <w:szCs w:val="28"/>
          <w:highlight w:val="none"/>
          <w:lang w:val="en-US" w:eastAsia="zh-CN"/>
        </w:rPr>
        <w:t>7.1环境保护措施投资</w:t>
      </w:r>
      <w:bookmarkEnd w:id="570"/>
      <w:bookmarkEnd w:id="571"/>
      <w:bookmarkEnd w:id="572"/>
      <w:bookmarkEnd w:id="573"/>
      <w:bookmarkEnd w:id="574"/>
      <w:bookmarkEnd w:id="575"/>
    </w:p>
    <w:p w14:paraId="7E35F70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76" w:name="_Toc27174"/>
      <w:r>
        <w:rPr>
          <w:rFonts w:hint="default" w:ascii="Times New Roman" w:hAnsi="Times New Roman" w:eastAsia="黑体" w:cs="Times New Roman"/>
          <w:b/>
          <w:color w:val="auto"/>
          <w:sz w:val="28"/>
          <w:szCs w:val="28"/>
          <w:highlight w:val="none"/>
          <w:lang w:val="en-US" w:eastAsia="zh-CN"/>
        </w:rPr>
        <w:t>7.1.1施工期环境保护投资费用</w:t>
      </w:r>
      <w:bookmarkEnd w:id="576"/>
    </w:p>
    <w:p w14:paraId="7CE053F8">
      <w:pPr>
        <w:bidi w:val="0"/>
        <w:rPr>
          <w:rFonts w:hint="eastAsia" w:ascii="Times New Roman" w:hAnsi="Times New Roman"/>
          <w:color w:val="auto"/>
          <w:lang w:val="en-US" w:eastAsia="zh-CN"/>
        </w:rPr>
      </w:pPr>
      <w:r>
        <w:rPr>
          <w:rFonts w:hint="eastAsia" w:ascii="Times New Roman" w:hAnsi="Times New Roman"/>
          <w:color w:val="auto"/>
          <w:lang w:val="en-US" w:eastAsia="zh-CN"/>
        </w:rPr>
        <w:t>本项目施工期产生的环境影响主要为污水、扬尘、噪声和建筑废物。期间用于环境保护的费用包括用于采取措施减轻环境影响程度，以及建筑废物的清理费用。</w:t>
      </w:r>
    </w:p>
    <w:p w14:paraId="6D1CE7A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77" w:name="_Toc20044"/>
      <w:r>
        <w:rPr>
          <w:rFonts w:hint="default" w:ascii="Times New Roman" w:hAnsi="Times New Roman" w:eastAsia="黑体" w:cs="Times New Roman"/>
          <w:b/>
          <w:color w:val="auto"/>
          <w:sz w:val="28"/>
          <w:szCs w:val="28"/>
          <w:highlight w:val="none"/>
          <w:lang w:val="en-US" w:eastAsia="zh-CN"/>
        </w:rPr>
        <w:t>7.1.2营运期环境保护投资费用</w:t>
      </w:r>
      <w:bookmarkEnd w:id="577"/>
    </w:p>
    <w:p w14:paraId="58064ED3">
      <w:pPr>
        <w:bidi w:val="0"/>
        <w:rPr>
          <w:rFonts w:hint="eastAsia" w:ascii="Times New Roman" w:hAnsi="Times New Roman"/>
          <w:color w:val="auto"/>
          <w:lang w:val="en-US" w:eastAsia="zh-CN"/>
        </w:rPr>
      </w:pPr>
      <w:r>
        <w:rPr>
          <w:rFonts w:hint="eastAsia" w:ascii="Times New Roman" w:hAnsi="Times New Roman"/>
          <w:color w:val="auto"/>
          <w:lang w:val="en-US" w:eastAsia="zh-CN"/>
        </w:rPr>
        <w:t>（1）环境保护设施建设费用</w:t>
      </w:r>
    </w:p>
    <w:p w14:paraId="366C039C">
      <w:pPr>
        <w:bidi w:val="0"/>
        <w:rPr>
          <w:rFonts w:hint="eastAsia" w:ascii="Times New Roman" w:hAnsi="Times New Roman"/>
          <w:color w:val="auto"/>
          <w:lang w:val="en-US" w:eastAsia="zh-CN"/>
        </w:rPr>
      </w:pPr>
      <w:r>
        <w:rPr>
          <w:rFonts w:hint="eastAsia" w:ascii="Times New Roman" w:hAnsi="Times New Roman"/>
          <w:color w:val="auto"/>
          <w:lang w:val="en-US" w:eastAsia="zh-CN"/>
        </w:rPr>
        <w:t>本项目运营期产生的环境污染物主要为生活和生产过程产生的废水、工艺废气、噪声和固体废物。本项目的环境保护设施费用合计约</w:t>
      </w:r>
      <w:r>
        <w:rPr>
          <w:rFonts w:hint="eastAsia"/>
          <w:color w:val="auto"/>
          <w:lang w:val="en-US" w:eastAsia="zh-CN"/>
        </w:rPr>
        <w:t>214</w:t>
      </w:r>
      <w:r>
        <w:rPr>
          <w:rFonts w:hint="eastAsia" w:ascii="Times New Roman" w:hAnsi="Times New Roman"/>
          <w:color w:val="auto"/>
          <w:lang w:val="en-US" w:eastAsia="zh-CN"/>
        </w:rPr>
        <w:t>万元人民币，由此可知项目的环保设施投资额约占项目投资总额2500万元的</w:t>
      </w:r>
      <w:r>
        <w:rPr>
          <w:rFonts w:hint="eastAsia"/>
          <w:color w:val="auto"/>
          <w:lang w:val="en-US" w:eastAsia="zh-CN"/>
        </w:rPr>
        <w:t>8.56</w:t>
      </w:r>
      <w:r>
        <w:rPr>
          <w:rFonts w:hint="eastAsia" w:ascii="Times New Roman" w:hAnsi="Times New Roman"/>
          <w:color w:val="auto"/>
          <w:lang w:val="en-US" w:eastAsia="zh-CN"/>
        </w:rPr>
        <w:t>%，其环保设施投资额度是基本合理的。</w:t>
      </w:r>
    </w:p>
    <w:p w14:paraId="7966DD73">
      <w:pPr>
        <w:bidi w:val="0"/>
        <w:rPr>
          <w:rFonts w:hint="eastAsia" w:ascii="Times New Roman" w:hAnsi="Times New Roman"/>
          <w:color w:val="auto"/>
          <w:lang w:val="en-US" w:eastAsia="zh-CN"/>
        </w:rPr>
      </w:pPr>
      <w:r>
        <w:rPr>
          <w:rFonts w:hint="eastAsia" w:ascii="Times New Roman" w:hAnsi="Times New Roman"/>
          <w:color w:val="auto"/>
          <w:lang w:val="en-US" w:eastAsia="zh-CN"/>
        </w:rPr>
        <w:t>（2）环境保护设施运转费用</w:t>
      </w:r>
    </w:p>
    <w:p w14:paraId="65C9ED2E">
      <w:pPr>
        <w:bidi w:val="0"/>
        <w:rPr>
          <w:rFonts w:hint="eastAsia" w:ascii="Times New Roman" w:hAnsi="Times New Roman"/>
          <w:color w:val="auto"/>
          <w:lang w:val="en-US" w:eastAsia="zh-CN"/>
        </w:rPr>
      </w:pPr>
      <w:r>
        <w:rPr>
          <w:rFonts w:hint="eastAsia" w:ascii="Times New Roman" w:hAnsi="Times New Roman"/>
          <w:color w:val="auto"/>
          <w:lang w:val="en-US" w:eastAsia="zh-CN"/>
        </w:rPr>
        <w:t>本项目运营后环境保护设施的运转费用主要为废水及废气处理设施的运转费、折旧费、排污费</w:t>
      </w:r>
      <w:r>
        <w:rPr>
          <w:rFonts w:hint="eastAsia"/>
          <w:color w:val="auto"/>
          <w:lang w:val="en-US" w:eastAsia="zh-CN"/>
        </w:rPr>
        <w:t>、固体废物拉运处置费及</w:t>
      </w:r>
      <w:r>
        <w:rPr>
          <w:rFonts w:hint="eastAsia" w:ascii="Times New Roman" w:hAnsi="Times New Roman"/>
          <w:color w:val="auto"/>
          <w:lang w:val="en-US" w:eastAsia="zh-CN"/>
        </w:rPr>
        <w:t>环境保护监测等管理费（包括工资和业务费）。根据国内同类项目的环保费用开支情况，结合本项目的实际情况，初步估算本工程建成投产后每年的环境保护运转费用开支约为</w:t>
      </w:r>
      <w:r>
        <w:rPr>
          <w:rFonts w:hint="eastAsia"/>
          <w:color w:val="auto"/>
          <w:lang w:val="en-US" w:eastAsia="zh-CN"/>
        </w:rPr>
        <w:t>2</w:t>
      </w:r>
      <w:r>
        <w:rPr>
          <w:rFonts w:hint="eastAsia" w:ascii="Times New Roman" w:hAnsi="Times New Roman"/>
          <w:color w:val="auto"/>
          <w:lang w:val="en-US" w:eastAsia="zh-CN"/>
        </w:rPr>
        <w:t>0万元。</w:t>
      </w:r>
    </w:p>
    <w:p w14:paraId="64ADD9D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578" w:name="_Toc18486"/>
      <w:bookmarkStart w:id="579" w:name="_Toc9442"/>
      <w:bookmarkStart w:id="580" w:name="_Toc31528"/>
      <w:bookmarkStart w:id="581" w:name="_Toc950"/>
      <w:bookmarkStart w:id="582" w:name="_Toc18807"/>
      <w:bookmarkStart w:id="583" w:name="_Toc17681"/>
      <w:r>
        <w:rPr>
          <w:rFonts w:hint="eastAsia" w:ascii="Times New Roman" w:hAnsi="Times New Roman" w:eastAsia="黑体" w:cs="Times New Roman"/>
          <w:b/>
          <w:color w:val="auto"/>
          <w:sz w:val="28"/>
          <w:szCs w:val="28"/>
          <w:highlight w:val="none"/>
          <w:lang w:val="en-US" w:eastAsia="zh-CN"/>
        </w:rPr>
        <w:t>7.2环境经济损失</w:t>
      </w:r>
      <w:bookmarkEnd w:id="578"/>
      <w:bookmarkEnd w:id="579"/>
      <w:bookmarkEnd w:id="580"/>
      <w:bookmarkEnd w:id="581"/>
      <w:bookmarkEnd w:id="582"/>
      <w:bookmarkEnd w:id="583"/>
    </w:p>
    <w:p w14:paraId="2FDC3A3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84" w:name="_Toc7436"/>
      <w:r>
        <w:rPr>
          <w:rFonts w:hint="default" w:ascii="Times New Roman" w:hAnsi="Times New Roman" w:eastAsia="黑体" w:cs="Times New Roman"/>
          <w:b/>
          <w:color w:val="auto"/>
          <w:sz w:val="28"/>
          <w:szCs w:val="28"/>
          <w:highlight w:val="none"/>
          <w:lang w:val="en-US" w:eastAsia="zh-CN"/>
        </w:rPr>
        <w:t>7.2.1资源损失</w:t>
      </w:r>
      <w:bookmarkEnd w:id="584"/>
    </w:p>
    <w:p w14:paraId="38B94E26">
      <w:pPr>
        <w:bidi w:val="0"/>
        <w:rPr>
          <w:rFonts w:hint="eastAsia" w:ascii="Times New Roman" w:hAnsi="Times New Roman"/>
          <w:color w:val="auto"/>
          <w:lang w:val="en-US" w:eastAsia="zh-CN"/>
        </w:rPr>
      </w:pPr>
      <w:r>
        <w:rPr>
          <w:rFonts w:hint="eastAsia" w:ascii="Times New Roman" w:hAnsi="Times New Roman"/>
          <w:color w:val="auto"/>
          <w:lang w:val="en-US" w:eastAsia="zh-CN"/>
        </w:rPr>
        <w:t>本项目的资源损失主要是能源的消耗损失，具体见表7.2-1。</w:t>
      </w:r>
    </w:p>
    <w:p w14:paraId="24EB006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outlineLvl w:val="9"/>
        <w:rPr>
          <w:rFonts w:hint="eastAsia" w:ascii="Times New Roman" w:hAnsi="Times New Roman" w:eastAsia="宋体"/>
          <w:b w:val="0"/>
          <w:bCs/>
          <w:color w:val="auto"/>
          <w:sz w:val="28"/>
          <w:szCs w:val="28"/>
          <w:lang w:val="en-US" w:eastAsia="zh-CN"/>
        </w:rPr>
      </w:pPr>
      <w:r>
        <w:rPr>
          <w:rFonts w:ascii="Times New Roman" w:hAnsi="Times New Roman" w:eastAsia="宋体"/>
          <w:b w:val="0"/>
          <w:bCs/>
          <w:color w:val="auto"/>
          <w:sz w:val="21"/>
          <w:szCs w:val="21"/>
        </w:rPr>
        <w:t>表</w:t>
      </w:r>
      <w:r>
        <w:rPr>
          <w:rFonts w:hint="eastAsia" w:ascii="Times New Roman" w:hAnsi="Times New Roman" w:eastAsia="宋体"/>
          <w:b w:val="0"/>
          <w:bCs/>
          <w:color w:val="auto"/>
          <w:sz w:val="21"/>
          <w:szCs w:val="21"/>
          <w:lang w:val="en-US" w:eastAsia="zh-CN"/>
        </w:rPr>
        <w:t>7.2-1</w:t>
      </w:r>
      <w:r>
        <w:rPr>
          <w:rFonts w:ascii="Times New Roman" w:hAnsi="Times New Roman" w:eastAsia="宋体"/>
          <w:b/>
          <w:color w:val="auto"/>
          <w:sz w:val="24"/>
        </w:rPr>
        <w:t xml:space="preserve">  </w:t>
      </w:r>
      <w:r>
        <w:rPr>
          <w:rFonts w:hint="eastAsia" w:ascii="Times New Roman" w:hAnsi="Times New Roman" w:eastAsia="宋体"/>
          <w:b/>
          <w:color w:val="auto"/>
          <w:sz w:val="24"/>
        </w:rPr>
        <w:t xml:space="preserve">               </w:t>
      </w:r>
      <w:r>
        <w:rPr>
          <w:rFonts w:hint="eastAsia" w:ascii="Times New Roman" w:hAnsi="Times New Roman" w:eastAsia="宋体"/>
          <w:b/>
          <w:color w:val="auto"/>
          <w:sz w:val="24"/>
          <w:lang w:val="en-US" w:eastAsia="zh-CN"/>
        </w:rPr>
        <w:t xml:space="preserve"> </w:t>
      </w:r>
      <w:r>
        <w:rPr>
          <w:rFonts w:ascii="Times New Roman" w:hAnsi="Times New Roman" w:eastAsia="宋体"/>
          <w:b/>
          <w:color w:val="auto"/>
          <w:sz w:val="24"/>
        </w:rPr>
        <w:t>工程主要能耗计算表</w:t>
      </w:r>
    </w:p>
    <w:tbl>
      <w:tblPr>
        <w:tblStyle w:val="27"/>
        <w:tblW w:w="49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1487"/>
        <w:gridCol w:w="1993"/>
        <w:gridCol w:w="3471"/>
      </w:tblGrid>
      <w:tr w14:paraId="78DAD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0" w:type="dxa"/>
            <w:tcBorders>
              <w:tl2br w:val="nil"/>
              <w:tr2bl w:val="nil"/>
            </w:tcBorders>
            <w:noWrap w:val="0"/>
            <w:vAlign w:val="center"/>
          </w:tcPr>
          <w:p w14:paraId="40F98B83">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505" w:type="dxa"/>
            <w:tcBorders>
              <w:tl2br w:val="nil"/>
              <w:tr2bl w:val="nil"/>
            </w:tcBorders>
            <w:noWrap w:val="0"/>
            <w:vAlign w:val="center"/>
          </w:tcPr>
          <w:p w14:paraId="5D10AF64">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017" w:type="dxa"/>
            <w:tcBorders>
              <w:tl2br w:val="nil"/>
              <w:tr2bl w:val="nil"/>
            </w:tcBorders>
            <w:noWrap w:val="0"/>
            <w:vAlign w:val="center"/>
          </w:tcPr>
          <w:p w14:paraId="17C1CAAC">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w:t>
            </w:r>
          </w:p>
        </w:tc>
        <w:tc>
          <w:tcPr>
            <w:tcW w:w="3516" w:type="dxa"/>
            <w:tcBorders>
              <w:tl2br w:val="nil"/>
              <w:tr2bl w:val="nil"/>
            </w:tcBorders>
            <w:noWrap w:val="0"/>
            <w:vAlign w:val="center"/>
          </w:tcPr>
          <w:p w14:paraId="491B57E2">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金额</w:t>
            </w:r>
            <w:r>
              <w:rPr>
                <w:rFonts w:hint="eastAsia"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万元/年</w:t>
            </w:r>
            <w:r>
              <w:rPr>
                <w:rFonts w:hint="eastAsia" w:eastAsia="宋体" w:cs="Times New Roman"/>
                <w:b/>
                <w:bCs/>
                <w:color w:val="auto"/>
                <w:sz w:val="21"/>
                <w:szCs w:val="21"/>
                <w:lang w:eastAsia="zh-CN"/>
              </w:rPr>
              <w:t>）</w:t>
            </w:r>
          </w:p>
        </w:tc>
      </w:tr>
      <w:tr w14:paraId="440E9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0" w:type="dxa"/>
            <w:tcBorders>
              <w:tl2br w:val="nil"/>
              <w:tr2bl w:val="nil"/>
            </w:tcBorders>
            <w:noWrap w:val="0"/>
            <w:vAlign w:val="center"/>
          </w:tcPr>
          <w:p w14:paraId="5C9D0BA6">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505" w:type="dxa"/>
            <w:tcBorders>
              <w:tl2br w:val="nil"/>
              <w:tr2bl w:val="nil"/>
            </w:tcBorders>
            <w:noWrap w:val="0"/>
            <w:vAlign w:val="center"/>
          </w:tcPr>
          <w:p w14:paraId="429F8430">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新鲜水</w:t>
            </w:r>
          </w:p>
        </w:tc>
        <w:tc>
          <w:tcPr>
            <w:tcW w:w="2017" w:type="dxa"/>
            <w:tcBorders>
              <w:tl2br w:val="nil"/>
              <w:tr2bl w:val="nil"/>
            </w:tcBorders>
            <w:noWrap w:val="0"/>
            <w:vAlign w:val="center"/>
          </w:tcPr>
          <w:p w14:paraId="3FBD83C0">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22873.2m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/a</w:t>
            </w:r>
          </w:p>
        </w:tc>
        <w:tc>
          <w:tcPr>
            <w:tcW w:w="3516" w:type="dxa"/>
            <w:tcBorders>
              <w:tl2br w:val="nil"/>
              <w:tr2bl w:val="nil"/>
            </w:tcBorders>
            <w:noWrap w:val="0"/>
            <w:vAlign w:val="center"/>
          </w:tcPr>
          <w:p w14:paraId="668D0B38">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13.49</w:t>
            </w:r>
          </w:p>
        </w:tc>
      </w:tr>
      <w:tr w14:paraId="51C7F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0" w:type="dxa"/>
            <w:tcBorders>
              <w:tl2br w:val="nil"/>
              <w:tr2bl w:val="nil"/>
            </w:tcBorders>
            <w:noWrap w:val="0"/>
            <w:vAlign w:val="center"/>
          </w:tcPr>
          <w:p w14:paraId="240B488C">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505" w:type="dxa"/>
            <w:tcBorders>
              <w:tl2br w:val="nil"/>
              <w:tr2bl w:val="nil"/>
            </w:tcBorders>
            <w:noWrap w:val="0"/>
            <w:vAlign w:val="center"/>
          </w:tcPr>
          <w:p w14:paraId="74E6C964">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电</w:t>
            </w:r>
          </w:p>
        </w:tc>
        <w:tc>
          <w:tcPr>
            <w:tcW w:w="2017" w:type="dxa"/>
            <w:tcBorders>
              <w:tl2br w:val="nil"/>
              <w:tr2bl w:val="nil"/>
            </w:tcBorders>
            <w:noWrap w:val="0"/>
            <w:vAlign w:val="center"/>
          </w:tcPr>
          <w:p w14:paraId="7F7F097B">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210.5万</w:t>
            </w:r>
            <w:r>
              <w:rPr>
                <w:rFonts w:hint="default" w:ascii="Times New Roman" w:hAnsi="Times New Roman" w:eastAsia="宋体" w:cs="Times New Roman"/>
                <w:b w:val="0"/>
                <w:bCs w:val="0"/>
                <w:color w:val="auto"/>
                <w:sz w:val="21"/>
                <w:szCs w:val="21"/>
              </w:rPr>
              <w:t>kWh</w:t>
            </w:r>
          </w:p>
        </w:tc>
        <w:tc>
          <w:tcPr>
            <w:tcW w:w="3516" w:type="dxa"/>
            <w:tcBorders>
              <w:tl2br w:val="nil"/>
              <w:tr2bl w:val="nil"/>
            </w:tcBorders>
            <w:noWrap w:val="0"/>
            <w:vAlign w:val="center"/>
          </w:tcPr>
          <w:p w14:paraId="452C4F8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283.34</w:t>
            </w:r>
          </w:p>
        </w:tc>
      </w:tr>
      <w:tr w14:paraId="05CA5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62" w:type="dxa"/>
            <w:gridSpan w:val="3"/>
            <w:tcBorders>
              <w:tl2br w:val="nil"/>
              <w:tr2bl w:val="nil"/>
            </w:tcBorders>
            <w:noWrap w:val="0"/>
            <w:vAlign w:val="center"/>
          </w:tcPr>
          <w:p w14:paraId="1566DEC6">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合  计</w:t>
            </w:r>
          </w:p>
        </w:tc>
        <w:tc>
          <w:tcPr>
            <w:tcW w:w="3516" w:type="dxa"/>
            <w:tcBorders>
              <w:tl2br w:val="nil"/>
              <w:tr2bl w:val="nil"/>
            </w:tcBorders>
            <w:noWrap w:val="0"/>
            <w:vAlign w:val="center"/>
          </w:tcPr>
          <w:p w14:paraId="256C20F1">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296.83</w:t>
            </w:r>
          </w:p>
        </w:tc>
      </w:tr>
    </w:tbl>
    <w:p w14:paraId="1EB608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本项目用水由</w:t>
      </w:r>
      <w:r>
        <w:rPr>
          <w:rFonts w:hint="eastAsia" w:ascii="Times New Roman" w:hAnsi="Times New Roman"/>
          <w:color w:val="auto"/>
        </w:rPr>
        <w:t>固原经济开发区</w:t>
      </w:r>
      <w:r>
        <w:rPr>
          <w:rFonts w:hint="eastAsia" w:ascii="Times New Roman" w:hAnsi="Times New Roman"/>
          <w:color w:val="auto"/>
          <w:lang w:val="en-US" w:eastAsia="zh-CN"/>
        </w:rPr>
        <w:t>供水管网统一供给，用电由</w:t>
      </w:r>
      <w:r>
        <w:rPr>
          <w:rFonts w:hint="eastAsia" w:ascii="Times New Roman" w:hAnsi="Times New Roman"/>
          <w:color w:val="auto"/>
        </w:rPr>
        <w:t>固原经济开发区</w:t>
      </w:r>
      <w:r>
        <w:rPr>
          <w:rFonts w:hint="eastAsia" w:ascii="Times New Roman" w:hAnsi="Times New Roman"/>
          <w:color w:val="auto"/>
          <w:lang w:val="en-US" w:eastAsia="zh-CN"/>
        </w:rPr>
        <w:t>电网统一供应，资源消耗量相对较小，占区域资源量也较小，整体对周围环境影响不大。</w:t>
      </w:r>
    </w:p>
    <w:p w14:paraId="17220DF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黑体" w:cs="Times New Roman"/>
          <w:b/>
          <w:color w:val="auto"/>
          <w:sz w:val="28"/>
          <w:szCs w:val="28"/>
          <w:highlight w:val="none"/>
          <w:lang w:val="en-US" w:eastAsia="zh-CN"/>
        </w:rPr>
      </w:pPr>
      <w:bookmarkStart w:id="585" w:name="_Toc24382"/>
      <w:r>
        <w:rPr>
          <w:rFonts w:hint="eastAsia" w:ascii="Times New Roman" w:hAnsi="Times New Roman" w:eastAsia="黑体" w:cs="Times New Roman"/>
          <w:b/>
          <w:color w:val="auto"/>
          <w:sz w:val="28"/>
          <w:szCs w:val="28"/>
          <w:highlight w:val="none"/>
          <w:lang w:val="en-US" w:eastAsia="zh-CN"/>
        </w:rPr>
        <w:t>7.2.2环境影响损失</w:t>
      </w:r>
      <w:bookmarkEnd w:id="585"/>
    </w:p>
    <w:p w14:paraId="14B31B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（1）施工期环境影响损失</w:t>
      </w:r>
    </w:p>
    <w:p w14:paraId="6540A6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在采取严格的措施进行环境保护后，本项目施工期的环境影响损失不大。</w:t>
      </w:r>
    </w:p>
    <w:p w14:paraId="40A572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（2）正常运营环境影响损失</w:t>
      </w:r>
    </w:p>
    <w:p w14:paraId="3D9B12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正常运营过程中，本项目产生的主要污染物分别经过相应的治理设施处理后达标排放。</w:t>
      </w:r>
    </w:p>
    <w:p w14:paraId="4E07D8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color w:val="auto"/>
          <w:lang w:val="en-US" w:eastAsia="zh-CN"/>
        </w:rPr>
        <w:t>本项目待宰圈产生的臭气经车间负压收集（收集效率90%），风机设计风量为14000m</w:t>
      </w:r>
      <w:r>
        <w:rPr>
          <w:rFonts w:hint="eastAsia"/>
          <w:color w:val="auto"/>
          <w:vertAlign w:val="superscript"/>
          <w:lang w:val="en-US" w:eastAsia="zh-CN"/>
        </w:rPr>
        <w:t>3</w:t>
      </w:r>
      <w:r>
        <w:rPr>
          <w:rFonts w:hint="eastAsia"/>
          <w:color w:val="auto"/>
          <w:lang w:val="en-US" w:eastAsia="zh-CN"/>
        </w:rPr>
        <w:t>/h，引入二级活性炭吸附装置（处理效率80%）处理后经20m高排气筒（DA001）排放；</w:t>
      </w:r>
      <w:r>
        <w:rPr>
          <w:rFonts w:hint="default" w:ascii="Times New Roman" w:hAnsi="Times New Roman" w:eastAsia="仿宋_GB2312" w:cs="Times New Roman"/>
          <w:snapToGrid/>
          <w:color w:val="auto"/>
          <w:kern w:val="2"/>
          <w:sz w:val="24"/>
          <w:szCs w:val="24"/>
          <w:highlight w:val="none"/>
          <w:lang w:val="en-US" w:eastAsia="zh-CN" w:bidi="ar-SA"/>
        </w:rPr>
        <w:t>建设</w:t>
      </w:r>
      <w:r>
        <w:rPr>
          <w:rFonts w:hint="eastAsia" w:cs="Times New Roman"/>
          <w:snapToGrid/>
          <w:color w:val="auto"/>
          <w:kern w:val="2"/>
          <w:sz w:val="24"/>
          <w:szCs w:val="24"/>
          <w:highlight w:val="none"/>
          <w:lang w:val="en-US" w:eastAsia="zh-CN" w:bidi="ar-SA"/>
        </w:rPr>
        <w:t>地下式</w:t>
      </w:r>
      <w:r>
        <w:rPr>
          <w:rFonts w:hint="default" w:ascii="Times New Roman" w:hAnsi="Times New Roman" w:eastAsia="仿宋_GB2312" w:cs="Times New Roman"/>
          <w:snapToGrid/>
          <w:color w:val="auto"/>
          <w:kern w:val="2"/>
          <w:sz w:val="24"/>
          <w:szCs w:val="24"/>
          <w:highlight w:val="none"/>
          <w:lang w:val="en-US" w:eastAsia="zh-CN" w:bidi="ar-SA"/>
        </w:rPr>
        <w:t>污水处理站，</w:t>
      </w:r>
      <w:r>
        <w:rPr>
          <w:rFonts w:hint="eastAsia" w:ascii="Times New Roman" w:hAnsi="Times New Roman" w:cs="Times New Roman"/>
          <w:snapToGrid/>
          <w:color w:val="auto"/>
          <w:kern w:val="2"/>
          <w:sz w:val="24"/>
          <w:szCs w:val="24"/>
          <w:highlight w:val="none"/>
          <w:lang w:val="en-US" w:eastAsia="zh-CN" w:bidi="ar-SA"/>
        </w:rPr>
        <w:t>并</w:t>
      </w:r>
      <w:r>
        <w:rPr>
          <w:rFonts w:hint="default" w:ascii="Times New Roman" w:hAnsi="Times New Roman" w:eastAsia="仿宋_GB2312" w:cs="Times New Roman"/>
          <w:snapToGrid/>
          <w:color w:val="auto"/>
          <w:kern w:val="2"/>
          <w:sz w:val="24"/>
          <w:szCs w:val="24"/>
          <w:highlight w:val="none"/>
          <w:lang w:val="en-US" w:eastAsia="zh-CN" w:bidi="ar-SA"/>
        </w:rPr>
        <w:t>对污水处理</w:t>
      </w:r>
      <w:r>
        <w:rPr>
          <w:rFonts w:hint="eastAsia" w:cs="Times New Roman"/>
          <w:snapToGrid/>
          <w:color w:val="auto"/>
          <w:kern w:val="2"/>
          <w:sz w:val="24"/>
          <w:szCs w:val="24"/>
          <w:highlight w:val="none"/>
          <w:lang w:val="en-US" w:eastAsia="zh-CN" w:bidi="ar-SA"/>
        </w:rPr>
        <w:t>站各池体</w:t>
      </w:r>
      <w:r>
        <w:rPr>
          <w:rFonts w:hint="default" w:ascii="Times New Roman" w:hAnsi="Times New Roman" w:eastAsia="仿宋_GB2312" w:cs="Times New Roman"/>
          <w:snapToGrid/>
          <w:color w:val="auto"/>
          <w:kern w:val="2"/>
          <w:sz w:val="24"/>
          <w:szCs w:val="24"/>
          <w:highlight w:val="none"/>
          <w:lang w:val="en-US" w:eastAsia="zh-CN" w:bidi="ar-SA"/>
        </w:rPr>
        <w:t>加盖封闭，产生的恶臭</w:t>
      </w:r>
      <w:r>
        <w:rPr>
          <w:rFonts w:hint="eastAsia" w:ascii="Times New Roman" w:hAnsi="Times New Roman" w:cs="Times New Roman"/>
          <w:snapToGrid/>
          <w:color w:val="auto"/>
          <w:kern w:val="2"/>
          <w:sz w:val="24"/>
          <w:szCs w:val="24"/>
          <w:highlight w:val="none"/>
          <w:lang w:val="en-US" w:eastAsia="zh-CN" w:bidi="ar-SA"/>
        </w:rPr>
        <w:t>气体</w:t>
      </w:r>
      <w:r>
        <w:rPr>
          <w:rFonts w:hint="default" w:ascii="Times New Roman" w:hAnsi="Times New Roman" w:eastAsia="仿宋_GB2312" w:cs="Times New Roman"/>
          <w:snapToGrid/>
          <w:color w:val="auto"/>
          <w:kern w:val="2"/>
          <w:sz w:val="24"/>
          <w:szCs w:val="24"/>
          <w:highlight w:val="none"/>
          <w:lang w:val="en-US" w:eastAsia="zh-CN" w:bidi="ar-SA"/>
        </w:rPr>
        <w:t>经“集气设备+</w:t>
      </w:r>
      <w:r>
        <w:rPr>
          <w:rFonts w:hint="eastAsia" w:ascii="Times New Roman" w:hAnsi="Times New Roman" w:cs="Times New Roman"/>
          <w:snapToGrid/>
          <w:color w:val="auto"/>
          <w:kern w:val="2"/>
          <w:sz w:val="24"/>
          <w:szCs w:val="24"/>
          <w:highlight w:val="none"/>
          <w:lang w:val="en-US" w:eastAsia="zh-CN" w:bidi="ar-SA"/>
        </w:rPr>
        <w:t>二级活性炭吸附装置</w:t>
      </w:r>
      <w:r>
        <w:rPr>
          <w:rFonts w:hint="default" w:ascii="Times New Roman" w:hAnsi="Times New Roman" w:eastAsia="仿宋_GB2312" w:cs="Times New Roman"/>
          <w:snapToGrid/>
          <w:color w:val="auto"/>
          <w:kern w:val="2"/>
          <w:sz w:val="24"/>
          <w:szCs w:val="24"/>
          <w:highlight w:val="none"/>
          <w:lang w:val="en-US" w:eastAsia="zh-CN" w:bidi="ar-SA"/>
        </w:rPr>
        <w:t>（风量</w:t>
      </w:r>
      <w:r>
        <w:rPr>
          <w:rFonts w:hint="eastAsia" w:ascii="Times New Roman" w:hAnsi="Times New Roman" w:cs="Times New Roman"/>
          <w:snapToGrid/>
          <w:color w:val="auto"/>
          <w:kern w:val="2"/>
          <w:sz w:val="24"/>
          <w:szCs w:val="24"/>
          <w:highlight w:val="none"/>
          <w:lang w:val="en-US" w:eastAsia="zh-CN" w:bidi="ar-SA"/>
        </w:rPr>
        <w:t>1</w:t>
      </w:r>
      <w:r>
        <w:rPr>
          <w:rFonts w:hint="default" w:ascii="Times New Roman" w:hAnsi="Times New Roman" w:eastAsia="仿宋_GB2312" w:cs="Times New Roman"/>
          <w:snapToGrid/>
          <w:color w:val="auto"/>
          <w:kern w:val="2"/>
          <w:sz w:val="24"/>
          <w:szCs w:val="24"/>
          <w:highlight w:val="none"/>
          <w:lang w:val="en-US" w:eastAsia="zh-CN" w:bidi="ar-SA"/>
        </w:rPr>
        <w:t>000m</w:t>
      </w:r>
      <w:r>
        <w:rPr>
          <w:rFonts w:hint="default" w:ascii="Times New Roman" w:hAnsi="Times New Roman" w:eastAsia="仿宋_GB2312" w:cs="Times New Roman"/>
          <w:snapToGrid/>
          <w:color w:val="auto"/>
          <w:kern w:val="2"/>
          <w:sz w:val="24"/>
          <w:szCs w:val="24"/>
          <w:highlight w:val="none"/>
          <w:vertAlign w:val="superscript"/>
          <w:lang w:val="en-US" w:eastAsia="zh-CN" w:bidi="ar-SA"/>
        </w:rPr>
        <w:t>3</w:t>
      </w:r>
      <w:r>
        <w:rPr>
          <w:rFonts w:hint="default" w:ascii="Times New Roman" w:hAnsi="Times New Roman" w:eastAsia="仿宋_GB2312" w:cs="Times New Roman"/>
          <w:snapToGrid/>
          <w:color w:val="auto"/>
          <w:kern w:val="2"/>
          <w:sz w:val="24"/>
          <w:szCs w:val="24"/>
          <w:highlight w:val="none"/>
          <w:lang w:val="en-US" w:eastAsia="zh-CN" w:bidi="ar-SA"/>
        </w:rPr>
        <w:t>/h）”</w:t>
      </w:r>
      <w:r>
        <w:rPr>
          <w:rFonts w:hint="eastAsia" w:ascii="Times New Roman" w:hAnsi="Times New Roman" w:cs="Times New Roman"/>
          <w:snapToGrid/>
          <w:color w:val="auto"/>
          <w:kern w:val="2"/>
          <w:sz w:val="24"/>
          <w:szCs w:val="24"/>
          <w:highlight w:val="none"/>
          <w:lang w:val="en-US" w:eastAsia="zh-CN" w:bidi="ar-SA"/>
        </w:rPr>
        <w:t>处理后由</w:t>
      </w:r>
      <w:r>
        <w:rPr>
          <w:rFonts w:hint="default" w:ascii="Times New Roman" w:hAnsi="Times New Roman" w:eastAsia="仿宋_GB2312" w:cs="Times New Roman"/>
          <w:snapToGrid/>
          <w:color w:val="auto"/>
          <w:kern w:val="2"/>
          <w:sz w:val="24"/>
          <w:szCs w:val="24"/>
          <w:highlight w:val="none"/>
          <w:lang w:val="en-US" w:eastAsia="zh-CN" w:bidi="ar-SA"/>
        </w:rPr>
        <w:t>1</w:t>
      </w:r>
      <w:r>
        <w:rPr>
          <w:rFonts w:hint="eastAsia" w:ascii="Times New Roman" w:hAnsi="Times New Roman" w:cs="Times New Roman"/>
          <w:snapToGrid/>
          <w:color w:val="auto"/>
          <w:kern w:val="2"/>
          <w:sz w:val="24"/>
          <w:szCs w:val="24"/>
          <w:highlight w:val="none"/>
          <w:lang w:val="en-US" w:eastAsia="zh-CN" w:bidi="ar-SA"/>
        </w:rPr>
        <w:t>根</w:t>
      </w:r>
      <w:r>
        <w:rPr>
          <w:rFonts w:hint="eastAsia" w:cs="Times New Roman"/>
          <w:snapToGrid/>
          <w:color w:val="auto"/>
          <w:kern w:val="2"/>
          <w:sz w:val="24"/>
          <w:szCs w:val="24"/>
          <w:highlight w:val="none"/>
          <w:lang w:val="en-US" w:eastAsia="zh-CN" w:bidi="ar-SA"/>
        </w:rPr>
        <w:t>20</w:t>
      </w:r>
      <w:r>
        <w:rPr>
          <w:rFonts w:hint="default" w:ascii="Times New Roman" w:hAnsi="Times New Roman" w:eastAsia="仿宋_GB2312" w:cs="Times New Roman"/>
          <w:snapToGrid/>
          <w:color w:val="auto"/>
          <w:kern w:val="2"/>
          <w:sz w:val="24"/>
          <w:szCs w:val="24"/>
          <w:highlight w:val="none"/>
          <w:lang w:val="en-US" w:eastAsia="zh-CN" w:bidi="ar-SA"/>
        </w:rPr>
        <w:t>m高排气筒</w:t>
      </w:r>
      <w:r>
        <w:rPr>
          <w:rFonts w:hint="eastAsia" w:ascii="Times New Roman" w:hAnsi="Times New Roman" w:cs="Times New Roman"/>
          <w:snapToGrid/>
          <w:color w:val="auto"/>
          <w:kern w:val="2"/>
          <w:sz w:val="24"/>
          <w:szCs w:val="24"/>
          <w:highlight w:val="none"/>
          <w:lang w:val="en-US" w:eastAsia="zh-CN" w:bidi="ar-SA"/>
        </w:rPr>
        <w:t>（DA002）</w:t>
      </w:r>
      <w:r>
        <w:rPr>
          <w:rFonts w:hint="default" w:ascii="Times New Roman" w:hAnsi="Times New Roman" w:eastAsia="仿宋_GB2312" w:cs="Times New Roman"/>
          <w:snapToGrid/>
          <w:color w:val="auto"/>
          <w:kern w:val="2"/>
          <w:sz w:val="24"/>
          <w:szCs w:val="24"/>
          <w:highlight w:val="none"/>
          <w:lang w:val="en-US" w:eastAsia="zh-CN" w:bidi="ar-SA"/>
        </w:rPr>
        <w:t>排放</w:t>
      </w:r>
      <w:r>
        <w:rPr>
          <w:rFonts w:hint="eastAsia" w:cs="Times New Roman"/>
          <w:snapToGrid/>
          <w:color w:val="auto"/>
          <w:kern w:val="2"/>
          <w:sz w:val="24"/>
          <w:szCs w:val="24"/>
          <w:highlight w:val="none"/>
          <w:lang w:val="en-US" w:eastAsia="zh-CN" w:bidi="ar-SA"/>
        </w:rPr>
        <w:t>；</w:t>
      </w:r>
      <w:r>
        <w:rPr>
          <w:rFonts w:hint="eastAsia"/>
          <w:color w:val="auto"/>
          <w:lang w:val="en-US" w:eastAsia="zh-CN"/>
        </w:rPr>
        <w:t>屠宰加工车间设置机械通风系统，每小时通风换气不少于4次，定期喷洒除臭剂、消毒。</w:t>
      </w:r>
      <w:r>
        <w:rPr>
          <w:rFonts w:hint="eastAsia" w:ascii="Times New Roman" w:hAnsi="Times New Roman" w:cs="Times New Roman"/>
          <w:snapToGrid/>
          <w:color w:val="auto"/>
          <w:kern w:val="2"/>
          <w:sz w:val="24"/>
          <w:szCs w:val="24"/>
          <w:highlight w:val="none"/>
          <w:lang w:val="en-US" w:eastAsia="zh-CN" w:bidi="ar-SA"/>
        </w:rPr>
        <w:t>排放浓度均满足《恶臭污染物排放标准》（GB14554-93）相关要求，可达标排放。</w:t>
      </w:r>
    </w:p>
    <w:p w14:paraId="535F87F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olor w:val="auto"/>
          <w:lang w:val="en-US" w:eastAsia="zh-CN"/>
        </w:rPr>
      </w:pPr>
      <w:r>
        <w:rPr>
          <w:rFonts w:hint="eastAsia"/>
          <w:color w:val="000000" w:themeColor="text1"/>
          <w:lang w:val="en-US" w:eastAsia="zh-CN"/>
          <w14:textFill>
            <w14:solidFill>
              <w14:schemeClr w14:val="tx1"/>
            </w14:solidFill>
          </w14:textFill>
        </w:rPr>
        <w:t>项目产生的屠宰废水及车辆冲洗废水排入厂区污水处理站处理，达到《屠宰及肉类加工工业水污染物排放标准》（GB13457-2025）表1间接排放标准；生活污水经化粪池收集，均达到</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eastAsia"/>
          <w:color w:val="000000" w:themeColor="text1"/>
          <w:lang w:val="en-US" w:eastAsia="zh-CN"/>
          <w14:textFill>
            <w14:solidFill>
              <w14:schemeClr w14:val="tx1"/>
            </w14:solidFill>
          </w14:textFill>
        </w:rPr>
        <w:t>后一起排至城区污水处理厂处理。</w:t>
      </w:r>
    </w:p>
    <w:p w14:paraId="6F8264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lang w:val="en-US" w:eastAsia="zh-CN"/>
        </w:rPr>
      </w:pPr>
      <w:r>
        <w:rPr>
          <w:rFonts w:hint="eastAsia" w:ascii="Times New Roman" w:hAnsi="Times New Roman"/>
          <w:color w:val="auto"/>
          <w:lang w:val="en-US" w:eastAsia="zh-CN"/>
        </w:rPr>
        <w:t>本项目噪声来源主要为屠宰车间各类机械噪声，各个机械设备均置于厂房内，并采取基础减振等措施后，满足《工业企业厂界环境噪声排放标准》（GB12348-2008）3类标准要求。</w:t>
      </w:r>
    </w:p>
    <w:p w14:paraId="3997648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lang w:val="en-US" w:eastAsia="zh-CN"/>
        </w:rPr>
      </w:pPr>
      <w:r>
        <w:rPr>
          <w:rFonts w:hint="default"/>
          <w:color w:val="auto"/>
          <w:lang w:val="en-US" w:eastAsia="zh-CN"/>
        </w:rPr>
        <w:t>本项目屠宰过程中产生的分割边角料、胃内容物</w:t>
      </w:r>
      <w:r>
        <w:rPr>
          <w:rFonts w:hint="eastAsia"/>
          <w:color w:val="auto"/>
          <w:lang w:val="en-US" w:eastAsia="zh-CN"/>
        </w:rPr>
        <w:t>暂存于内脏处理间粪便池内</w:t>
      </w:r>
      <w:r>
        <w:rPr>
          <w:rFonts w:hint="eastAsia" w:ascii="Times New Roman" w:hAnsi="Times New Roman" w:cs="Times New Roman"/>
          <w:color w:val="auto"/>
          <w:lang w:val="en-US" w:eastAsia="zh-CN"/>
        </w:rPr>
        <w:t>，</w:t>
      </w:r>
      <w:r>
        <w:rPr>
          <w:rFonts w:hint="eastAsia"/>
          <w:color w:val="auto"/>
          <w:lang w:val="en-US" w:eastAsia="zh-CN"/>
        </w:rPr>
        <w:t>由吸污车拉运至</w:t>
      </w:r>
      <w:r>
        <w:rPr>
          <w:rFonts w:hint="default"/>
          <w:color w:val="auto"/>
          <w:lang w:val="en-US" w:eastAsia="zh-CN"/>
        </w:rPr>
        <w:t>固原富田有机肥有限公司生产</w:t>
      </w:r>
      <w:r>
        <w:rPr>
          <w:rFonts w:hint="eastAsia"/>
          <w:color w:val="auto"/>
          <w:lang w:val="en-US" w:eastAsia="zh-CN"/>
        </w:rPr>
        <w:t>肥料，不在厂区储存；</w:t>
      </w:r>
      <w:r>
        <w:rPr>
          <w:rFonts w:hint="default"/>
          <w:color w:val="auto"/>
          <w:lang w:val="en-US" w:eastAsia="zh-CN"/>
        </w:rPr>
        <w:t>牛粪便（含牛尿）</w:t>
      </w:r>
      <w:r>
        <w:rPr>
          <w:rFonts w:hint="eastAsia"/>
          <w:color w:val="auto"/>
          <w:lang w:val="en-US" w:eastAsia="zh-CN"/>
        </w:rPr>
        <w:t>、</w:t>
      </w:r>
      <w:r>
        <w:rPr>
          <w:rFonts w:hint="default"/>
          <w:color w:val="auto"/>
          <w:lang w:val="en-US" w:eastAsia="zh-CN"/>
        </w:rPr>
        <w:t>羊粪便（含羊尿）运至固原富田有机肥有限公司生产</w:t>
      </w:r>
      <w:r>
        <w:rPr>
          <w:rFonts w:hint="eastAsia"/>
          <w:color w:val="auto"/>
          <w:lang w:val="en-US" w:eastAsia="zh-CN"/>
        </w:rPr>
        <w:t>肥料</w:t>
      </w:r>
      <w:r>
        <w:rPr>
          <w:rFonts w:hint="default"/>
          <w:color w:val="auto"/>
          <w:lang w:val="en-US" w:eastAsia="zh-CN"/>
        </w:rPr>
        <w:t>；病变内脏、不合格胴体、病死牛</w:t>
      </w:r>
      <w:r>
        <w:rPr>
          <w:rFonts w:hint="eastAsia"/>
          <w:color w:val="auto"/>
          <w:lang w:val="en-US" w:eastAsia="zh-CN"/>
        </w:rPr>
        <w:t>、病死羊集中收集后暂存于危废贮存库内的冰柜中，</w:t>
      </w:r>
      <w:r>
        <w:rPr>
          <w:rFonts w:hint="default"/>
          <w:color w:val="auto"/>
          <w:lang w:val="en-US" w:eastAsia="zh-CN"/>
        </w:rPr>
        <w:t>定期拉运至原州区动物疾病预防控制中心（动物卫生监督）</w:t>
      </w:r>
      <w:r>
        <w:rPr>
          <w:rFonts w:hint="eastAsia"/>
          <w:color w:val="auto"/>
          <w:lang w:val="en-US" w:eastAsia="zh-CN"/>
        </w:rPr>
        <w:t>指定场所进行</w:t>
      </w:r>
      <w:r>
        <w:rPr>
          <w:rFonts w:hint="default"/>
          <w:color w:val="auto"/>
          <w:lang w:val="en-US" w:eastAsia="zh-CN"/>
        </w:rPr>
        <w:t>无害化处置；生活垃圾收集后由环卫部门统一处置；污水处理站污泥</w:t>
      </w:r>
      <w:r>
        <w:rPr>
          <w:rFonts w:hint="eastAsia"/>
          <w:color w:val="auto"/>
          <w:lang w:val="en-US" w:eastAsia="zh-CN"/>
        </w:rPr>
        <w:t>脱水</w:t>
      </w:r>
      <w:r>
        <w:rPr>
          <w:rFonts w:hint="default"/>
          <w:color w:val="auto"/>
          <w:lang w:val="en-US" w:eastAsia="zh-CN"/>
        </w:rPr>
        <w:t>后拉运至固原富田有机肥有限公司生产</w:t>
      </w:r>
      <w:r>
        <w:rPr>
          <w:rFonts w:hint="eastAsia"/>
          <w:color w:val="auto"/>
          <w:lang w:val="en-US" w:eastAsia="zh-CN"/>
        </w:rPr>
        <w:t>肥料</w:t>
      </w:r>
      <w:r>
        <w:rPr>
          <w:rFonts w:hint="default"/>
          <w:color w:val="auto"/>
          <w:lang w:val="en-US" w:eastAsia="zh-CN"/>
        </w:rPr>
        <w:t>；废活性炭</w:t>
      </w:r>
      <w:r>
        <w:rPr>
          <w:rFonts w:hint="eastAsia"/>
          <w:color w:val="auto"/>
          <w:lang w:val="en-US" w:eastAsia="zh-CN"/>
        </w:rPr>
        <w:t>更换后交有资质单位处置，不在厂区内储存；</w:t>
      </w:r>
      <w:r>
        <w:rPr>
          <w:rFonts w:hint="default"/>
          <w:color w:val="auto"/>
          <w:lang w:val="en-US" w:eastAsia="zh-CN"/>
        </w:rPr>
        <w:t>废机油、废机油桶、检疫废物暂存于危废贮存库，</w:t>
      </w:r>
      <w:r>
        <w:rPr>
          <w:rFonts w:hint="eastAsia"/>
          <w:color w:val="auto"/>
          <w:lang w:val="en-US" w:eastAsia="zh-CN"/>
        </w:rPr>
        <w:t>定期</w:t>
      </w:r>
      <w:r>
        <w:rPr>
          <w:rFonts w:hint="default"/>
          <w:color w:val="auto"/>
          <w:lang w:val="en-US" w:eastAsia="zh-CN"/>
        </w:rPr>
        <w:t>交有资质的单位处置</w:t>
      </w:r>
      <w:r>
        <w:rPr>
          <w:rFonts w:hint="default" w:ascii="Times New Roman" w:hAnsi="Times New Roman"/>
          <w:color w:val="auto"/>
          <w:lang w:val="en-US" w:eastAsia="zh-CN"/>
        </w:rPr>
        <w:t>。</w:t>
      </w:r>
    </w:p>
    <w:p w14:paraId="2D52AB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如对环境保护设施进行完善的管理，保证设施正常运行，使污染物达标排放，则对周围环境影响不大。达标排放的污染物不超出周围环境的自净能力，基本不造成经济损失。</w:t>
      </w:r>
    </w:p>
    <w:p w14:paraId="3C256E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（3）事故性环境影响损失</w:t>
      </w:r>
    </w:p>
    <w:p w14:paraId="5A93E9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项目运营过程如发生突发事故，使产生污染物的量或种类超出本项目环境保护设施的处理范围，导致污染物直接排放时，则将对周围环境造成影响，产生较大的环境经济损失。</w:t>
      </w:r>
    </w:p>
    <w:p w14:paraId="271AF1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事故性环境影响经济损失主要包括受污染环境的治理费用以及由于环境受污染导致的生态破坏和其它影响等。</w:t>
      </w:r>
    </w:p>
    <w:p w14:paraId="7F28645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586" w:name="_Toc29402"/>
      <w:bookmarkStart w:id="587" w:name="_Toc12762"/>
      <w:bookmarkStart w:id="588" w:name="_Toc30902"/>
      <w:bookmarkStart w:id="589" w:name="_Toc11783"/>
      <w:bookmarkStart w:id="590" w:name="_Toc15003"/>
      <w:bookmarkStart w:id="591" w:name="_Toc32073"/>
      <w:r>
        <w:rPr>
          <w:rFonts w:hint="eastAsia" w:ascii="Times New Roman" w:hAnsi="Times New Roman" w:eastAsia="黑体" w:cs="Times New Roman"/>
          <w:b/>
          <w:color w:val="auto"/>
          <w:sz w:val="28"/>
          <w:szCs w:val="28"/>
          <w:highlight w:val="none"/>
          <w:lang w:val="en-US" w:eastAsia="zh-CN"/>
        </w:rPr>
        <w:t>7.3社会效益</w:t>
      </w:r>
      <w:bookmarkEnd w:id="586"/>
      <w:bookmarkEnd w:id="587"/>
      <w:bookmarkEnd w:id="588"/>
      <w:bookmarkEnd w:id="589"/>
      <w:bookmarkEnd w:id="590"/>
      <w:bookmarkEnd w:id="591"/>
    </w:p>
    <w:p w14:paraId="746577B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92" w:name="_Toc25336"/>
      <w:r>
        <w:rPr>
          <w:rFonts w:hint="default" w:ascii="Times New Roman" w:hAnsi="Times New Roman" w:eastAsia="黑体" w:cs="Times New Roman"/>
          <w:b/>
          <w:color w:val="auto"/>
          <w:sz w:val="28"/>
          <w:szCs w:val="28"/>
          <w:highlight w:val="none"/>
          <w:lang w:val="en-US" w:eastAsia="zh-CN"/>
        </w:rPr>
        <w:t>7.3.1社会效益分析</w:t>
      </w:r>
      <w:bookmarkEnd w:id="592"/>
    </w:p>
    <w:p w14:paraId="7064F4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1）项目建成后，农民可通过订单销售牛羊，以降低直接面对市场的风险。按照普通产品出栏，预计每头牛可增收500元，每只羊可增收50元。项目区每年可带动当地农民增收1250万元。若通过企业品牌创建形成国内知名品牌，并成功进入高端消费市场，将使产品价值增值100%以上，同时带动初级产品增值20%以上，农民每年可增收250万元以上。</w:t>
      </w:r>
    </w:p>
    <w:p w14:paraId="609F9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（2）项目建成后，增加就业机会，可以带动相关产业链的发展，如饲料、养殖、运输、包装、销售等，从而创造更多的就业机会。项目可新增产业工人</w:t>
      </w:r>
      <w:r>
        <w:rPr>
          <w:rFonts w:hint="eastAsia"/>
          <w:color w:val="auto"/>
          <w:lang w:val="en-US" w:eastAsia="zh-CN"/>
        </w:rPr>
        <w:t>26</w:t>
      </w:r>
      <w:r>
        <w:rPr>
          <w:rFonts w:hint="eastAsia" w:ascii="Times New Roman" w:hAnsi="Times New Roman"/>
          <w:color w:val="auto"/>
          <w:lang w:val="en-US" w:eastAsia="zh-CN"/>
        </w:rPr>
        <w:t>人，除少数部分从企业内部调配外，多数将从当地进行招聘，可有效解决项目所在地剩余劳动力就地就近转移。</w:t>
      </w:r>
    </w:p>
    <w:p w14:paraId="101892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3）项目建成后，以牛羊肉精深加工产业为中心，建立“公司+专业合作经济组织+养殖户”的形式组织及订单养殖收购机制，原料收购直接辐射到全市五县区县各乡镇及周边县区。可有效推动地区畜牧业产业结构调整，加快当地养殖业、服务业等产业发展，并通过企业规模化、工业化生产和辐射带动作用，做大做强当地食品工业、饲料工业，培育新的经济增长点。</w:t>
      </w:r>
    </w:p>
    <w:p w14:paraId="38D9C0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项目优化三废处理，减少三废排放，最大限度地提高环境保护水平；进一步降低企业生产成本，提高企业综合竞争力，在解决环境问题的同时增加了财政收入。</w:t>
      </w:r>
    </w:p>
    <w:p w14:paraId="7EA6C1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综上分析，项目社会效益十分突出。</w:t>
      </w:r>
    </w:p>
    <w:p w14:paraId="6355A3F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593" w:name="_Toc26984"/>
      <w:r>
        <w:rPr>
          <w:rFonts w:hint="default" w:ascii="Times New Roman" w:hAnsi="Times New Roman" w:eastAsia="黑体" w:cs="Times New Roman"/>
          <w:b/>
          <w:color w:val="auto"/>
          <w:sz w:val="28"/>
          <w:szCs w:val="28"/>
          <w:highlight w:val="none"/>
          <w:lang w:val="en-US" w:eastAsia="zh-CN"/>
        </w:rPr>
        <w:t>7.3.2经济效益</w:t>
      </w:r>
      <w:bookmarkEnd w:id="593"/>
    </w:p>
    <w:p w14:paraId="6EC334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项目总投资2500万元，建成运营后，预计年销售收入30000万元，公司实现净利润1700万元，上缴各类税金567万元，可创造就业岗位26个</w:t>
      </w:r>
      <w:r>
        <w:rPr>
          <w:rFonts w:hint="eastAsia"/>
          <w:color w:val="auto"/>
          <w:lang w:val="en-US" w:eastAsia="zh-CN"/>
        </w:rPr>
        <w:t>，</w:t>
      </w:r>
      <w:r>
        <w:rPr>
          <w:rFonts w:hint="eastAsia" w:ascii="Times New Roman" w:hAnsi="Times New Roman"/>
          <w:color w:val="auto"/>
          <w:lang w:val="en-US" w:eastAsia="zh-CN"/>
        </w:rPr>
        <w:t>投资回报周期</w:t>
      </w:r>
      <w:r>
        <w:rPr>
          <w:rFonts w:hint="eastAsia"/>
          <w:color w:val="auto"/>
          <w:lang w:val="en-US" w:eastAsia="zh-CN"/>
        </w:rPr>
        <w:t>1.5</w:t>
      </w:r>
      <w:r>
        <w:rPr>
          <w:rFonts w:hint="eastAsia" w:ascii="Times New Roman" w:hAnsi="Times New Roman"/>
          <w:color w:val="auto"/>
          <w:lang w:val="en-US" w:eastAsia="zh-CN"/>
        </w:rPr>
        <w:t>年。</w:t>
      </w:r>
      <w:r>
        <w:rPr>
          <w:rFonts w:hint="default" w:ascii="Times New Roman" w:hAnsi="Times New Roman" w:eastAsia="仿宋_GB2312" w:cs="Times New Roman"/>
          <w:color w:val="auto"/>
          <w:sz w:val="24"/>
        </w:rPr>
        <w:t>从以上经济指标可以看出，本项目具有显著的经济效益和一定的抗风险能力，从经济效益角度讲是可行的。</w:t>
      </w:r>
    </w:p>
    <w:p w14:paraId="3A9991F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594" w:name="_Toc24253"/>
      <w:bookmarkStart w:id="595" w:name="_Toc2767"/>
      <w:bookmarkStart w:id="596" w:name="_Toc4136"/>
      <w:bookmarkStart w:id="597" w:name="_Toc4813"/>
      <w:bookmarkStart w:id="598" w:name="_Toc18588"/>
      <w:bookmarkStart w:id="599" w:name="_Toc3713"/>
      <w:r>
        <w:rPr>
          <w:rFonts w:hint="default" w:ascii="Times New Roman" w:hAnsi="Times New Roman" w:eastAsia="黑体" w:cs="Times New Roman"/>
          <w:b/>
          <w:color w:val="auto"/>
          <w:sz w:val="28"/>
          <w:szCs w:val="28"/>
          <w:highlight w:val="none"/>
          <w:lang w:val="en-US" w:eastAsia="zh-CN"/>
        </w:rPr>
        <w:t>7.4</w:t>
      </w:r>
      <w:bookmarkEnd w:id="594"/>
      <w:bookmarkEnd w:id="595"/>
      <w:r>
        <w:rPr>
          <w:rFonts w:hint="default" w:ascii="Times New Roman" w:hAnsi="Times New Roman" w:eastAsia="黑体" w:cs="Times New Roman"/>
          <w:b/>
          <w:color w:val="auto"/>
          <w:sz w:val="28"/>
          <w:szCs w:val="28"/>
          <w:highlight w:val="none"/>
          <w:lang w:val="en-US" w:eastAsia="zh-CN"/>
        </w:rPr>
        <w:t>环境经济效益综合评述</w:t>
      </w:r>
      <w:bookmarkEnd w:id="596"/>
      <w:bookmarkEnd w:id="597"/>
      <w:bookmarkEnd w:id="598"/>
      <w:bookmarkEnd w:id="599"/>
    </w:p>
    <w:p w14:paraId="28DA13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（1）本项目建成后，不仅增加了地方的财政收入，而且还能为企业积累大量资金，经济效益较好。</w:t>
      </w:r>
    </w:p>
    <w:p w14:paraId="5E05A0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（2）拟建项目完成后，促进了当地的经济发展并通过一系列的环境保护和生态恢复措施缓解了对区域的环境污染，增加了当地农民的经济收入，提高了公众的生活质量，维持了社会稳定，社会效益较好。</w:t>
      </w:r>
    </w:p>
    <w:p w14:paraId="667035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（3）本项目在严格落实环评提出的各项污染防治措施后，能够保证达标排放，对环境影响轻微。</w:t>
      </w:r>
    </w:p>
    <w:p w14:paraId="524BB7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r>
        <w:rPr>
          <w:rFonts w:hint="eastAsia" w:ascii="Times New Roman" w:hAnsi="Times New Roman"/>
          <w:color w:val="auto"/>
          <w:lang w:val="en-US" w:eastAsia="zh-CN"/>
        </w:rPr>
        <w:t>通过对本项目在经济效益、环境效益和社会效益三方面的分析，可以看出，本项目的建设能够达到“三效益”的和谐统一发展，项目是可行的。</w:t>
      </w:r>
    </w:p>
    <w:p w14:paraId="084F5EB3">
      <w:pP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br w:type="page"/>
      </w:r>
    </w:p>
    <w:p w14:paraId="4D8FB77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0" w:firstLineChars="0"/>
        <w:jc w:val="left"/>
        <w:textAlignment w:val="auto"/>
        <w:outlineLvl w:val="0"/>
        <w:rPr>
          <w:rFonts w:hint="default" w:ascii="Times New Roman" w:hAnsi="Times New Roman" w:eastAsia="黑体" w:cs="Times New Roman"/>
          <w:b/>
          <w:bCs/>
          <w:color w:val="auto"/>
          <w:szCs w:val="28"/>
          <w:highlight w:val="none"/>
        </w:rPr>
      </w:pPr>
      <w:bookmarkStart w:id="600" w:name="_Toc5339"/>
      <w:bookmarkStart w:id="601" w:name="_Toc9198"/>
      <w:bookmarkStart w:id="602" w:name="_Toc11752"/>
      <w:bookmarkStart w:id="603" w:name="_Toc28264"/>
      <w:bookmarkStart w:id="604" w:name="_Toc29147"/>
      <w:bookmarkStart w:id="605" w:name="_Toc5880"/>
      <w:r>
        <w:rPr>
          <w:rFonts w:hint="default" w:ascii="Times New Roman" w:hAnsi="Times New Roman" w:eastAsia="黑体" w:cs="Times New Roman"/>
          <w:b/>
          <w:bCs/>
          <w:color w:val="auto"/>
          <w:kern w:val="0"/>
          <w:sz w:val="28"/>
          <w:szCs w:val="28"/>
          <w:highlight w:val="none"/>
          <w:lang w:val="en-US" w:eastAsia="zh-CN" w:bidi="ar-SA"/>
        </w:rPr>
        <w:t>8环境管理与监测计划</w:t>
      </w:r>
      <w:bookmarkEnd w:id="600"/>
      <w:bookmarkEnd w:id="601"/>
      <w:bookmarkEnd w:id="602"/>
      <w:bookmarkEnd w:id="603"/>
      <w:bookmarkEnd w:id="604"/>
      <w:bookmarkEnd w:id="605"/>
    </w:p>
    <w:p w14:paraId="5F140634">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健全有效的环境管理与监控计划是搞好环境保护工作的基础。环境管理的目的是应用环境科学的理论和实践，对损害或破坏环境质量的人及其活动施加影响，以协调发展与环境保护之间的关系。因此，为确保本项目在建设期、运营期各阶段执行并遵守有关环保法规，建设单位需对环境管理工作予以重视，以确保各项治理措施正常有效地运行。</w:t>
      </w:r>
    </w:p>
    <w:p w14:paraId="144A407C">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项目环境保护管理与监控计划用于指导从项目设计、施工到运行阶段的环境保护工作，同时进行系统的环境监测，了解工程影响区域生态与环境系统变化规律，全面地反映环境质量现状及工程设施运转后环境情况，以验证和复核环境影响评价结果，预测其发展趋势，掌握污染源动态，及时发现潜在的不利影响，以便及时采取有效的减免措施。</w:t>
      </w:r>
    </w:p>
    <w:p w14:paraId="1E2608E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606" w:name="_Toc17822"/>
      <w:bookmarkStart w:id="607" w:name="_Toc31032"/>
      <w:bookmarkStart w:id="608" w:name="_Toc2179"/>
      <w:bookmarkStart w:id="609" w:name="_Toc29596"/>
      <w:bookmarkStart w:id="610" w:name="_Toc6165"/>
      <w:bookmarkStart w:id="611" w:name="_Toc26568"/>
      <w:bookmarkStart w:id="612" w:name="_Toc31763"/>
      <w:bookmarkStart w:id="613" w:name="_Toc4293"/>
      <w:bookmarkStart w:id="614" w:name="_Toc18166"/>
      <w:r>
        <w:rPr>
          <w:rFonts w:hint="default" w:ascii="Times New Roman" w:hAnsi="Times New Roman" w:eastAsia="黑体" w:cs="Times New Roman"/>
          <w:b/>
          <w:color w:val="auto"/>
          <w:sz w:val="28"/>
          <w:szCs w:val="28"/>
          <w:highlight w:val="none"/>
          <w:lang w:val="en-US" w:eastAsia="zh-CN"/>
        </w:rPr>
        <w:t>8.1环境管理</w:t>
      </w:r>
      <w:bookmarkEnd w:id="606"/>
      <w:bookmarkEnd w:id="607"/>
      <w:bookmarkEnd w:id="608"/>
      <w:bookmarkEnd w:id="609"/>
      <w:bookmarkEnd w:id="610"/>
      <w:bookmarkEnd w:id="611"/>
      <w:bookmarkEnd w:id="612"/>
      <w:bookmarkEnd w:id="613"/>
      <w:bookmarkEnd w:id="614"/>
    </w:p>
    <w:p w14:paraId="37735333">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项目进入运营期后，要将环境管理纳入厂区管理的体系中。环境管理机构的设置，目的是贯彻执行中华人民共和国环境保护法的有关法律、法规，全面落实《国务院关于环境保护若干问题的决定》的有关规定，对项目“三废”排放实行监控，确保建设项目经济、环境和社会效益协调发展；协调地方环保部门工作，为企业的生产管理和环境管理提供保证，针对拟建项目的具体情况，为加强严格管理，企业应设置环境管理机构，并尽相应的职责。通过严格的环境管理，才能严格执行环评中提出的各项环保措施，真正达到保护环境的目的。</w:t>
      </w:r>
    </w:p>
    <w:p w14:paraId="393E836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color w:val="auto"/>
          <w:sz w:val="28"/>
          <w:szCs w:val="28"/>
          <w:highlight w:val="none"/>
          <w:lang w:val="en-US" w:eastAsia="zh-CN"/>
        </w:rPr>
      </w:pPr>
      <w:bookmarkStart w:id="615" w:name="_Toc6160"/>
      <w:r>
        <w:rPr>
          <w:rFonts w:hint="default" w:ascii="Times New Roman" w:hAnsi="Times New Roman" w:eastAsia="黑体" w:cs="Times New Roman"/>
          <w:b/>
          <w:color w:val="auto"/>
          <w:sz w:val="28"/>
          <w:szCs w:val="28"/>
          <w:highlight w:val="none"/>
          <w:lang w:val="en-US" w:eastAsia="zh-CN"/>
        </w:rPr>
        <w:t>8.1.1总体指导原则</w:t>
      </w:r>
      <w:bookmarkEnd w:id="615"/>
    </w:p>
    <w:p w14:paraId="2571F0E1">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环境管理的总体指导原则包括如下几点：</w:t>
      </w:r>
    </w:p>
    <w:p w14:paraId="7B443B57">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1）项目的设计应得到充分论证，使项目实施后尽可能地避免或减少在工程建设和运行中对环境带来的不利影响。当这种影响不可避免时，应采取技术经济可行的工程措施加以减缓，并与主体工程施工同时实行。</w:t>
      </w:r>
    </w:p>
    <w:p w14:paraId="44033852">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（2）项目的不利影响的防治，应由一系列的具体的措施和环境管理计划组成，这些措施和计划用来消除、抵消或减少施工和运行期间的不利于环境的影响。</w:t>
      </w:r>
    </w:p>
    <w:p w14:paraId="44D4975A">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（3）环境保护措施应包括施工期和运行后的保护措施，并对常规情况和突发情况分别提出不同的保护措施和挽回不利影响的方法。</w:t>
      </w:r>
    </w:p>
    <w:p w14:paraId="02C6CD57">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（4）环境管理计划应制定出机构上的安排以及执行各种防治措施的职责、实施进度、监测内容和报告程序以及资金投入和来源等内容。</w:t>
      </w:r>
    </w:p>
    <w:p w14:paraId="071E6FA4">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rPr>
      </w:pPr>
      <w:bookmarkStart w:id="616" w:name="_Toc5982"/>
      <w:r>
        <w:rPr>
          <w:rFonts w:hint="default" w:ascii="Times New Roman" w:hAnsi="Times New Roman" w:eastAsia="黑体" w:cs="Times New Roman"/>
          <w:b/>
          <w:bCs/>
          <w:color w:val="auto"/>
          <w:kern w:val="2"/>
          <w:sz w:val="28"/>
          <w:szCs w:val="32"/>
          <w:highlight w:val="none"/>
        </w:rPr>
        <w:t>8.1.2环境管理体系</w:t>
      </w:r>
      <w:bookmarkEnd w:id="616"/>
    </w:p>
    <w:p w14:paraId="34EDC9EF">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环境管理体系应作为企业管理体系中的一部分，并与之协调统一。项目实施后将成为独立的法人单位，并实行以“一人主管，分工负责；职能部门，各负其责；落实基层，监督考核”为原则，以企业领导为核心，相关职能部门为基础的全员责任制的环境管理体系。使环境管理贯穿于企业管理的整个过程，并落实到企业的各个层次，分解到生产的各个环节，把企业管理与环境管理紧密地结合起来，不但要建立完善的企业管理体系和</w:t>
      </w:r>
      <w:r>
        <w:rPr>
          <w:rFonts w:hint="eastAsia"/>
          <w:color w:val="auto"/>
          <w:lang w:val="en-US" w:eastAsia="zh-CN"/>
        </w:rPr>
        <w:t>各种</w:t>
      </w:r>
      <w:r>
        <w:rPr>
          <w:rFonts w:hint="eastAsia" w:ascii="Times New Roman" w:hAnsi="Times New Roman"/>
          <w:color w:val="auto"/>
          <w:lang w:val="en-US" w:eastAsia="zh-CN"/>
        </w:rPr>
        <w:t>规章制度，也要建立完善的环境管理体系和</w:t>
      </w:r>
      <w:r>
        <w:rPr>
          <w:rFonts w:hint="eastAsia"/>
          <w:color w:val="auto"/>
          <w:lang w:val="en-US" w:eastAsia="zh-CN"/>
        </w:rPr>
        <w:t>各种</w:t>
      </w:r>
      <w:r>
        <w:rPr>
          <w:rFonts w:hint="eastAsia" w:ascii="Times New Roman" w:hAnsi="Times New Roman"/>
          <w:color w:val="auto"/>
          <w:lang w:val="en-US" w:eastAsia="zh-CN"/>
        </w:rPr>
        <w:t>规章制度，使企业的环境管理工作真正落到实处。</w:t>
      </w:r>
    </w:p>
    <w:p w14:paraId="5ED2C326">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rPr>
      </w:pPr>
      <w:bookmarkStart w:id="617" w:name="_Toc16424"/>
      <w:r>
        <w:rPr>
          <w:rFonts w:hint="default" w:ascii="Times New Roman" w:hAnsi="Times New Roman" w:eastAsia="黑体" w:cs="Times New Roman"/>
          <w:b/>
          <w:bCs/>
          <w:color w:val="auto"/>
          <w:kern w:val="2"/>
          <w:sz w:val="28"/>
          <w:szCs w:val="32"/>
          <w:highlight w:val="none"/>
        </w:rPr>
        <w:t>8.1.3环境管理机构设置</w:t>
      </w:r>
      <w:bookmarkEnd w:id="617"/>
    </w:p>
    <w:p w14:paraId="1E05BBBE">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项目设独立的安全环保部门，设专职环境保护管理人员，全面负责企业的环境保护管理工作，安全环保部下设监测室，承担日常环境监测工作任务。同时，安全环保部内部建立计算机辅助管理系统，使之更好地利用经济、技术、行政和教育手段，对损害环境质量的生产活动加以限制，协调好企业经济发展与环境保护的关系，使经济效益、社会效益与环境效益相协调统一。根据本项目的实际情况，施工期环境管理机构拟在工程指挥部中设环保领导小组负责环境保护事宜，环保管理机构人员可为兼职，由相关专业人员组成，人员2-3名，其中至少一名建设单位环保部门人员参与，负责协调和处理工程施工项目的环境保护问题。工程投入运营后，环境管理机构由建设单位相应的环保部门负责，下设环境管理小组，负责环保措施的实施、环保设施运行以及日常环境管理监控工作，并受项目主管单位及生态环境主管部门的监督和指导。</w:t>
      </w:r>
    </w:p>
    <w:p w14:paraId="17D87CFD">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rPr>
      </w:pPr>
      <w:bookmarkStart w:id="618" w:name="_Toc9308"/>
      <w:r>
        <w:rPr>
          <w:rFonts w:hint="default" w:ascii="Times New Roman" w:hAnsi="Times New Roman" w:eastAsia="黑体" w:cs="Times New Roman"/>
          <w:b/>
          <w:bCs/>
          <w:color w:val="auto"/>
          <w:kern w:val="2"/>
          <w:sz w:val="28"/>
          <w:szCs w:val="32"/>
          <w:highlight w:val="none"/>
        </w:rPr>
        <w:t>8.1.4环境管理机构职责</w:t>
      </w:r>
      <w:bookmarkEnd w:id="618"/>
    </w:p>
    <w:p w14:paraId="492FDBD1">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环境保护管理机构的基本任务是负责组织、落实、监督本项目的环保工作。其主要职责如下：</w:t>
      </w:r>
    </w:p>
    <w:p w14:paraId="2E83B602">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（1）贯彻、宣传国家、省及地方的各项环保方针、政策和法律法规，根据厂区的实际情况，编制环境保护规划和实施细则，并组织实施和监督实行；</w:t>
      </w:r>
    </w:p>
    <w:p w14:paraId="18D9E67A">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（2）制定本厂区的环保管理制度、环保技术经济政策、环境保护发展规划和年度实施计划；</w:t>
      </w:r>
    </w:p>
    <w:p w14:paraId="5ECC0FD8">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（3）监督检查本项目执行“三同时”规定的情况；</w:t>
      </w:r>
    </w:p>
    <w:p w14:paraId="7D5496F5">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（4）定期进行环保设备检查、维修和保养工作，确保环保设施长期、稳定、达标运转；</w:t>
      </w:r>
    </w:p>
    <w:p w14:paraId="3897892A">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（5）负责厂区环保设施的日常运行管理工作，制定事故防范措施，一旦发生事故，组织污染源调查及控制工作，并及时总结经验教训；</w:t>
      </w:r>
    </w:p>
    <w:p w14:paraId="49F49643">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（6）负责对厂区环保人员和居民进行环境保护教育，不断增强居民的环境意识和环保人员的业务素质；</w:t>
      </w:r>
    </w:p>
    <w:p w14:paraId="2EFC2293">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（7）负责向当地环保主管部门上报有关环保材料，贯彻环保主管部门下达的有关厂区环保工作的任务和要求；</w:t>
      </w:r>
    </w:p>
    <w:p w14:paraId="0B982BCF">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8）组织宣传教育，与企业内部有关部门共同大力普及企业职工的环境法规及环境科学知识，增强职工的环境保护意识。宣传清洁生产理念，协同生产技术部门对生产设施进行技术改造，尽可能将污染控制在生产过程中。</w:t>
      </w:r>
    </w:p>
    <w:p w14:paraId="1C9FDE6A">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rPr>
      </w:pPr>
      <w:bookmarkStart w:id="619" w:name="_Toc9211"/>
      <w:r>
        <w:rPr>
          <w:rFonts w:hint="default" w:ascii="Times New Roman" w:hAnsi="Times New Roman" w:eastAsia="黑体" w:cs="Times New Roman"/>
          <w:b/>
          <w:bCs/>
          <w:color w:val="auto"/>
          <w:kern w:val="2"/>
          <w:sz w:val="28"/>
          <w:szCs w:val="32"/>
          <w:highlight w:val="none"/>
        </w:rPr>
        <w:t>8.1.5环境管理制度</w:t>
      </w:r>
      <w:bookmarkEnd w:id="619"/>
    </w:p>
    <w:p w14:paraId="562997C7">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建设单位应制定一系列规章制度以促进环境保护工作，使环境保护工作规范化和程序化，并通过经济杠杆来保证环境保护管理制度的认真执行。根据需要，建议制定的环境保护工作条例有：</w:t>
      </w:r>
    </w:p>
    <w:p w14:paraId="5FA773B4">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（1）环境保护职责管理条例；</w:t>
      </w:r>
    </w:p>
    <w:p w14:paraId="09BF5F56">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（2）废水、废气、固体废物排放管理制度；</w:t>
      </w:r>
    </w:p>
    <w:p w14:paraId="5F6214C9">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（3）处理装置日常运行管理制度；</w:t>
      </w:r>
    </w:p>
    <w:p w14:paraId="34E178E9">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（4）排污情况报告制度；</w:t>
      </w:r>
    </w:p>
    <w:p w14:paraId="6072B4AA">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（5）污染事故处理制度；</w:t>
      </w:r>
    </w:p>
    <w:p w14:paraId="495A5B3F">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（6）环保教育制度。</w:t>
      </w:r>
    </w:p>
    <w:p w14:paraId="2C6D567D">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（7）建议建设单位环保部门根据实际情况和上级主管部门以及</w:t>
      </w:r>
      <w:r>
        <w:rPr>
          <w:rFonts w:hint="eastAsia"/>
          <w:color w:val="auto"/>
          <w:lang w:val="en-US" w:eastAsia="zh-CN"/>
        </w:rPr>
        <w:t>生态环境部</w:t>
      </w:r>
      <w:r>
        <w:rPr>
          <w:rFonts w:hint="eastAsia" w:ascii="Times New Roman" w:hAnsi="Times New Roman"/>
          <w:color w:val="auto"/>
          <w:lang w:val="en-US" w:eastAsia="zh-CN"/>
        </w:rPr>
        <w:t>门的要求分别针对性地制订和完善上述环境管理制度，并严格执行。</w:t>
      </w:r>
    </w:p>
    <w:p w14:paraId="555DDBB1">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rPr>
      </w:pPr>
      <w:bookmarkStart w:id="620" w:name="_Toc2201"/>
      <w:r>
        <w:rPr>
          <w:rFonts w:hint="default" w:ascii="Times New Roman" w:hAnsi="Times New Roman" w:eastAsia="黑体" w:cs="Times New Roman"/>
          <w:b/>
          <w:bCs/>
          <w:color w:val="auto"/>
          <w:kern w:val="2"/>
          <w:sz w:val="28"/>
          <w:szCs w:val="32"/>
          <w:highlight w:val="none"/>
        </w:rPr>
        <w:t>8.1.6环境管理目标</w:t>
      </w:r>
      <w:bookmarkEnd w:id="620"/>
    </w:p>
    <w:p w14:paraId="39ACD564">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环境管理的主要目标是：控制污染物排放量，避免污染物对环境的危害。为了控制污染物的排放，应把环境管理渗透到整个厂区的管理中，将环境管理融合在一起，以减少厂区</w:t>
      </w:r>
      <w:r>
        <w:rPr>
          <w:rFonts w:hint="eastAsia"/>
          <w:color w:val="auto"/>
          <w:lang w:val="en-US" w:eastAsia="zh-CN"/>
        </w:rPr>
        <w:t>各个环节</w:t>
      </w:r>
      <w:r>
        <w:rPr>
          <w:rFonts w:hint="eastAsia" w:ascii="Times New Roman" w:hAnsi="Times New Roman"/>
          <w:color w:val="auto"/>
          <w:lang w:val="en-US" w:eastAsia="zh-CN"/>
        </w:rPr>
        <w:t>排出的污染物。</w:t>
      </w:r>
    </w:p>
    <w:p w14:paraId="4749AE12">
      <w:pPr>
        <w:bidi w:val="0"/>
        <w:spacing w:line="360" w:lineRule="auto"/>
        <w:rPr>
          <w:rFonts w:hint="eastAsia" w:ascii="Times New Roman" w:hAnsi="Times New Roman"/>
          <w:color w:val="auto"/>
          <w:lang w:val="en-US" w:eastAsia="zh-CN"/>
        </w:rPr>
      </w:pPr>
      <w:r>
        <w:rPr>
          <w:rFonts w:hint="eastAsia" w:ascii="Times New Roman" w:hAnsi="Times New Roman"/>
          <w:color w:val="auto"/>
          <w:lang w:val="en-US" w:eastAsia="zh-CN"/>
        </w:rPr>
        <w:t>本次环境影响评价针对项目特点、环境问题和主要污染物，分别提出了有效的污染防治措施，项目实施期间应认真落实，监督管理环保设施的运行情况，定期监测各污染物的排放浓度。</w:t>
      </w:r>
    </w:p>
    <w:p w14:paraId="52A01F58">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rPr>
      </w:pPr>
      <w:bookmarkStart w:id="621" w:name="_Toc14270"/>
      <w:r>
        <w:rPr>
          <w:rFonts w:hint="default" w:ascii="Times New Roman" w:hAnsi="Times New Roman" w:eastAsia="黑体" w:cs="Times New Roman"/>
          <w:b/>
          <w:bCs/>
          <w:color w:val="auto"/>
          <w:kern w:val="2"/>
          <w:sz w:val="28"/>
          <w:szCs w:val="32"/>
          <w:highlight w:val="none"/>
        </w:rPr>
        <w:t>8.1.7环境管理计划</w:t>
      </w:r>
      <w:bookmarkEnd w:id="621"/>
    </w:p>
    <w:p w14:paraId="30E68C71">
      <w:pPr>
        <w:bidi w:val="0"/>
        <w:spacing w:line="360" w:lineRule="auto"/>
        <w:rPr>
          <w:rFonts w:hint="eastAsia" w:ascii="Times New Roman" w:hAnsi="Times New Roman"/>
          <w:color w:val="auto"/>
          <w:lang w:val="en-US" w:eastAsia="zh-CN"/>
        </w:rPr>
      </w:pPr>
      <w:r>
        <w:rPr>
          <w:rFonts w:hint="default" w:ascii="Times New Roman" w:hAnsi="Times New Roman" w:eastAsia="仿宋_GB2312" w:cs="Times New Roman"/>
          <w:color w:val="auto"/>
          <w:sz w:val="24"/>
          <w:highlight w:val="none"/>
        </w:rPr>
        <w:t>本项目不同工作阶段的环境管理计划见表8.1-1。</w:t>
      </w:r>
    </w:p>
    <w:p w14:paraId="3272F775">
      <w:pPr>
        <w:bidi w:val="0"/>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highlight w:val="none"/>
        </w:rPr>
        <w:t>表8.1-1</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 xml:space="preserve"> 本项目各阶段环境管理主要内容</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28" w:type="dxa"/>
          <w:bottom w:w="0" w:type="dxa"/>
          <w:right w:w="28" w:type="dxa"/>
        </w:tblCellMar>
      </w:tblPr>
      <w:tblGrid>
        <w:gridCol w:w="705"/>
        <w:gridCol w:w="8083"/>
      </w:tblGrid>
      <w:tr w14:paraId="682079D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340" w:hRule="atLeast"/>
          <w:jc w:val="center"/>
        </w:trPr>
        <w:tc>
          <w:tcPr>
            <w:tcW w:w="705" w:type="dxa"/>
            <w:tcBorders>
              <w:tl2br w:val="nil"/>
              <w:tr2bl w:val="nil"/>
            </w:tcBorders>
            <w:noWrap w:val="0"/>
            <w:vAlign w:val="center"/>
          </w:tcPr>
          <w:p w14:paraId="61A95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阶段</w:t>
            </w:r>
          </w:p>
        </w:tc>
        <w:tc>
          <w:tcPr>
            <w:tcW w:w="8083" w:type="dxa"/>
            <w:tcBorders>
              <w:tl2br w:val="nil"/>
              <w:tr2bl w:val="nil"/>
            </w:tcBorders>
            <w:noWrap w:val="0"/>
            <w:vAlign w:val="center"/>
          </w:tcPr>
          <w:p w14:paraId="0CFC25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环境管理工作主要内容</w:t>
            </w:r>
          </w:p>
        </w:tc>
      </w:tr>
      <w:tr w14:paraId="2CEA548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340" w:hRule="atLeast"/>
          <w:jc w:val="center"/>
        </w:trPr>
        <w:tc>
          <w:tcPr>
            <w:tcW w:w="705" w:type="dxa"/>
            <w:tcBorders>
              <w:tl2br w:val="nil"/>
              <w:tr2bl w:val="nil"/>
            </w:tcBorders>
            <w:noWrap w:val="0"/>
            <w:vAlign w:val="center"/>
          </w:tcPr>
          <w:p w14:paraId="53DB99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管理</w:t>
            </w:r>
          </w:p>
          <w:p w14:paraId="0FB06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机构</w:t>
            </w:r>
          </w:p>
          <w:p w14:paraId="7D43B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职能</w:t>
            </w:r>
          </w:p>
        </w:tc>
        <w:tc>
          <w:tcPr>
            <w:tcW w:w="8083" w:type="dxa"/>
            <w:tcBorders>
              <w:tl2br w:val="nil"/>
              <w:tr2bl w:val="nil"/>
            </w:tcBorders>
            <w:noWrap w:val="0"/>
            <w:vAlign w:val="center"/>
          </w:tcPr>
          <w:p w14:paraId="3E6339D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14:paraId="72A8931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340" w:hRule="atLeast"/>
          <w:jc w:val="center"/>
        </w:trPr>
        <w:tc>
          <w:tcPr>
            <w:tcW w:w="705" w:type="dxa"/>
            <w:tcBorders>
              <w:tl2br w:val="nil"/>
              <w:tr2bl w:val="nil"/>
            </w:tcBorders>
            <w:noWrap w:val="0"/>
            <w:vAlign w:val="center"/>
          </w:tcPr>
          <w:p w14:paraId="64968F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项目建设前期</w:t>
            </w:r>
          </w:p>
        </w:tc>
        <w:tc>
          <w:tcPr>
            <w:tcW w:w="8083" w:type="dxa"/>
            <w:tcBorders>
              <w:tl2br w:val="nil"/>
              <w:tr2bl w:val="nil"/>
            </w:tcBorders>
            <w:noWrap w:val="0"/>
            <w:vAlign w:val="center"/>
          </w:tcPr>
          <w:p w14:paraId="528CD48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1.与项目可行性研究同期，委托环评单位进行项目的环境影响评价工作；</w:t>
            </w:r>
          </w:p>
          <w:p w14:paraId="392E39F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2.积极配合可研及环评单位所需进行现场调研；</w:t>
            </w:r>
          </w:p>
          <w:p w14:paraId="7616A72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3.针对项目的具体情况，建立企业内部必要的环境管理与监测制度。</w:t>
            </w:r>
          </w:p>
        </w:tc>
      </w:tr>
      <w:tr w14:paraId="77ED271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340" w:hRule="atLeast"/>
          <w:jc w:val="center"/>
        </w:trPr>
        <w:tc>
          <w:tcPr>
            <w:tcW w:w="705" w:type="dxa"/>
            <w:tcBorders>
              <w:tl2br w:val="nil"/>
              <w:tr2bl w:val="nil"/>
            </w:tcBorders>
            <w:noWrap w:val="0"/>
            <w:vAlign w:val="center"/>
          </w:tcPr>
          <w:p w14:paraId="4DA6EF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w:t>
            </w:r>
          </w:p>
          <w:p w14:paraId="4D144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阶段</w:t>
            </w:r>
          </w:p>
        </w:tc>
        <w:tc>
          <w:tcPr>
            <w:tcW w:w="8083" w:type="dxa"/>
            <w:tcBorders>
              <w:tl2br w:val="nil"/>
              <w:tr2bl w:val="nil"/>
            </w:tcBorders>
            <w:noWrap w:val="0"/>
            <w:vAlign w:val="center"/>
          </w:tcPr>
          <w:p w14:paraId="5906A9A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1.委托设计单位对项目的环保工程进行设计，与主体工程同步进行；</w:t>
            </w:r>
          </w:p>
          <w:p w14:paraId="127DEE3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2.协助设计单位弄清楚现阶段的环境问题；</w:t>
            </w:r>
          </w:p>
          <w:p w14:paraId="22E37C1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3.优化布局、设备选型及工艺，从设计上减少可能带来的环境污染及生态影响；</w:t>
            </w:r>
          </w:p>
          <w:p w14:paraId="360E3FF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4.在设计中落实环境影响报告书提出的环保对策措施。</w:t>
            </w:r>
          </w:p>
        </w:tc>
      </w:tr>
      <w:tr w14:paraId="2ECDFBC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340" w:hRule="atLeast"/>
          <w:jc w:val="center"/>
        </w:trPr>
        <w:tc>
          <w:tcPr>
            <w:tcW w:w="705" w:type="dxa"/>
            <w:tcBorders>
              <w:tl2br w:val="nil"/>
              <w:tr2bl w:val="nil"/>
            </w:tcBorders>
            <w:noWrap w:val="0"/>
            <w:vAlign w:val="center"/>
          </w:tcPr>
          <w:p w14:paraId="05569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w:t>
            </w:r>
          </w:p>
          <w:p w14:paraId="7C74D9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阶段</w:t>
            </w:r>
          </w:p>
        </w:tc>
        <w:tc>
          <w:tcPr>
            <w:tcW w:w="8083" w:type="dxa"/>
            <w:tcBorders>
              <w:tl2br w:val="nil"/>
              <w:tr2bl w:val="nil"/>
            </w:tcBorders>
            <w:noWrap w:val="0"/>
            <w:vAlign w:val="center"/>
          </w:tcPr>
          <w:p w14:paraId="4875696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1.严格执行“三同时”制度；</w:t>
            </w:r>
          </w:p>
          <w:p w14:paraId="22A65D4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2.按照环评报告中提出的要求，制定出建设项目施工环保措施实施计划表，并与当地环保部门</w:t>
            </w:r>
            <w:r>
              <w:rPr>
                <w:rFonts w:hint="eastAsia" w:eastAsia="宋体" w:cs="Times New Roman"/>
                <w:color w:val="auto"/>
                <w:sz w:val="21"/>
                <w:szCs w:val="21"/>
                <w:highlight w:val="none"/>
                <w:lang w:eastAsia="zh-CN"/>
              </w:rPr>
              <w:t>签订</w:t>
            </w:r>
            <w:r>
              <w:rPr>
                <w:rFonts w:hint="default" w:ascii="Times New Roman" w:hAnsi="Times New Roman" w:eastAsia="宋体" w:cs="Times New Roman"/>
                <w:color w:val="auto"/>
                <w:sz w:val="21"/>
                <w:szCs w:val="21"/>
                <w:highlight w:val="none"/>
              </w:rPr>
              <w:t>落实计划内的目标责任书；</w:t>
            </w:r>
          </w:p>
          <w:p w14:paraId="136627D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3.认真监督主体工程与环保设施的同步建设；建立环保设施施工进度档案，确保环保工作的正常实施运行；</w:t>
            </w:r>
          </w:p>
          <w:p w14:paraId="63BA539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4.施工噪声与振动要符合《中华人民共和国环境噪声污染防治法》有关规定；</w:t>
            </w:r>
          </w:p>
          <w:p w14:paraId="60DE7A7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5.制定施工期环境监理制度，监督环保工程的实施情况，施工阶段的环保工程进展情况和环保投资落实情况定期（每季度）向</w:t>
            </w:r>
            <w:r>
              <w:rPr>
                <w:rFonts w:hint="eastAsia" w:eastAsia="宋体" w:cs="Times New Roman"/>
                <w:color w:val="auto"/>
                <w:sz w:val="21"/>
                <w:szCs w:val="21"/>
                <w:highlight w:val="none"/>
                <w:lang w:val="en-US" w:eastAsia="zh-CN"/>
              </w:rPr>
              <w:t>生态环境</w:t>
            </w:r>
            <w:r>
              <w:rPr>
                <w:rFonts w:hint="default" w:ascii="Times New Roman" w:hAnsi="Times New Roman" w:eastAsia="宋体" w:cs="Times New Roman"/>
                <w:color w:val="auto"/>
                <w:sz w:val="21"/>
                <w:szCs w:val="21"/>
                <w:highlight w:val="none"/>
              </w:rPr>
              <w:t>部门汇报一次。</w:t>
            </w:r>
          </w:p>
        </w:tc>
      </w:tr>
      <w:tr w14:paraId="1508438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340" w:hRule="atLeast"/>
          <w:jc w:val="center"/>
        </w:trPr>
        <w:tc>
          <w:tcPr>
            <w:tcW w:w="705" w:type="dxa"/>
            <w:vMerge w:val="restart"/>
            <w:tcBorders>
              <w:tl2br w:val="nil"/>
              <w:tr2bl w:val="nil"/>
            </w:tcBorders>
            <w:noWrap w:val="0"/>
            <w:vAlign w:val="center"/>
          </w:tcPr>
          <w:p w14:paraId="374639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w:t>
            </w:r>
          </w:p>
          <w:p w14:paraId="17D7F0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运行期</w:t>
            </w:r>
          </w:p>
        </w:tc>
        <w:tc>
          <w:tcPr>
            <w:tcW w:w="8083" w:type="dxa"/>
            <w:tcBorders>
              <w:tl2br w:val="nil"/>
              <w:tr2bl w:val="nil"/>
            </w:tcBorders>
            <w:noWrap w:val="0"/>
            <w:vAlign w:val="center"/>
          </w:tcPr>
          <w:p w14:paraId="7447572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根据环境保护部部令第48号《排污许可管理办法》（试行）第一章总则第三条规定，纳入固定污染源排污许可分类管理名录的企业事业单位和其他生产经营者应当按照规定的时限申请并取得排污许可证。结合</w:t>
            </w:r>
            <w:r>
              <w:rPr>
                <w:rFonts w:hint="default" w:ascii="Times New Roman" w:hAnsi="Times New Roman" w:eastAsia="宋体" w:cs="Times New Roman"/>
                <w:bCs/>
                <w:color w:val="auto"/>
                <w:sz w:val="21"/>
                <w:szCs w:val="21"/>
                <w:highlight w:val="none"/>
              </w:rPr>
              <w:t>《排污许可证申请与核发技术规范农副食品加工工业屠宰及肉类加工工业》（HJ860.3-2018），运营期环境管理要求如下：</w:t>
            </w:r>
          </w:p>
        </w:tc>
      </w:tr>
      <w:tr w14:paraId="3D5E337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340" w:hRule="atLeast"/>
          <w:jc w:val="center"/>
        </w:trPr>
        <w:tc>
          <w:tcPr>
            <w:tcW w:w="705" w:type="dxa"/>
            <w:vMerge w:val="continue"/>
            <w:tcBorders>
              <w:tl2br w:val="nil"/>
              <w:tr2bl w:val="nil"/>
            </w:tcBorders>
            <w:noWrap w:val="0"/>
            <w:vAlign w:val="center"/>
          </w:tcPr>
          <w:p w14:paraId="5469A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083" w:type="dxa"/>
            <w:tcBorders>
              <w:tl2br w:val="nil"/>
              <w:tr2bl w:val="nil"/>
            </w:tcBorders>
            <w:noWrap w:val="0"/>
            <w:vAlign w:val="center"/>
          </w:tcPr>
          <w:p w14:paraId="61058DF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1.严格执行各项生产及环境管理制度，保证生产的正常进行；建立废气、固体废物产生和处置</w:t>
            </w:r>
            <w:r>
              <w:rPr>
                <w:rFonts w:hint="eastAsia" w:eastAsia="宋体" w:cs="Times New Roman"/>
                <w:color w:val="auto"/>
                <w:sz w:val="21"/>
                <w:szCs w:val="21"/>
                <w:highlight w:val="none"/>
                <w:lang w:eastAsia="zh-CN"/>
              </w:rPr>
              <w:t>台账</w:t>
            </w:r>
            <w:r>
              <w:rPr>
                <w:rFonts w:hint="default" w:ascii="Times New Roman" w:hAnsi="Times New Roman" w:eastAsia="宋体" w:cs="Times New Roman"/>
                <w:color w:val="auto"/>
                <w:sz w:val="21"/>
                <w:szCs w:val="21"/>
                <w:highlight w:val="none"/>
              </w:rPr>
              <w:t>，统计种类、产生量、处理方式、去向，存档备查；</w:t>
            </w:r>
          </w:p>
          <w:p w14:paraId="11E5708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2.设立环保设施运行卡，对环保设施定期进行检查、维护，做到勤查、勤记、勤养护，按照监测计划定期组织进行厂内的污染源监测，对不达标环保设施寻找原因，及时处理；</w:t>
            </w:r>
          </w:p>
          <w:p w14:paraId="7E91910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3.加强技术培训，组织企业内部之间技术交流，提高业务水平和企业内部职工素质水平；</w:t>
            </w:r>
          </w:p>
          <w:p w14:paraId="67BF70B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4.重视群众监督作用，</w:t>
            </w:r>
            <w:r>
              <w:rPr>
                <w:rFonts w:hint="eastAsia" w:ascii="Times New Roman" w:hAnsi="Times New Roman" w:eastAsia="宋体" w:cs="Times New Roman"/>
                <w:color w:val="auto"/>
                <w:sz w:val="21"/>
                <w:szCs w:val="21"/>
                <w:highlight w:val="none"/>
                <w:lang w:eastAsia="zh-CN"/>
              </w:rPr>
              <w:t>增强</w:t>
            </w:r>
            <w:r>
              <w:rPr>
                <w:rFonts w:hint="default" w:ascii="Times New Roman" w:hAnsi="Times New Roman" w:eastAsia="宋体" w:cs="Times New Roman"/>
                <w:color w:val="auto"/>
                <w:sz w:val="21"/>
                <w:szCs w:val="21"/>
                <w:highlight w:val="none"/>
              </w:rPr>
              <w:t>企业职工环境意识，鼓励职工及外部人员对生产状况提出意见，并通过积极吸收宝贵意见，提高企业环境管理水平；</w:t>
            </w:r>
          </w:p>
          <w:p w14:paraId="6EFA9A1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5.不断完善环境风险</w:t>
            </w:r>
            <w:r>
              <w:rPr>
                <w:rFonts w:hint="eastAsia" w:eastAsia="宋体" w:cs="Times New Roman"/>
                <w:color w:val="auto"/>
                <w:sz w:val="21"/>
                <w:szCs w:val="21"/>
                <w:highlight w:val="none"/>
                <w:lang w:eastAsia="zh-CN"/>
              </w:rPr>
              <w:t>应急</w:t>
            </w:r>
            <w:r>
              <w:rPr>
                <w:rFonts w:hint="default" w:ascii="Times New Roman" w:hAnsi="Times New Roman" w:eastAsia="宋体" w:cs="Times New Roman"/>
                <w:color w:val="auto"/>
                <w:sz w:val="21"/>
                <w:szCs w:val="21"/>
                <w:highlight w:val="none"/>
              </w:rPr>
              <w:t>预案，定期进行演练；</w:t>
            </w:r>
          </w:p>
          <w:p w14:paraId="7B6532F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6.积极配合环保部门的检查、验收。</w:t>
            </w:r>
          </w:p>
        </w:tc>
      </w:tr>
    </w:tbl>
    <w:p w14:paraId="4702C1D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622" w:name="_Toc15267"/>
      <w:bookmarkStart w:id="623" w:name="_Toc7594"/>
      <w:bookmarkStart w:id="624" w:name="_Toc17322"/>
      <w:bookmarkStart w:id="625" w:name="_Toc32556"/>
      <w:bookmarkStart w:id="626" w:name="_Toc20346"/>
      <w:bookmarkStart w:id="627" w:name="_Toc19473"/>
      <w:bookmarkStart w:id="628" w:name="_Toc15619"/>
      <w:bookmarkStart w:id="629" w:name="_Toc28303"/>
      <w:bookmarkStart w:id="630" w:name="_Toc7064"/>
      <w:r>
        <w:rPr>
          <w:rFonts w:hint="default" w:ascii="Times New Roman" w:hAnsi="Times New Roman" w:eastAsia="黑体" w:cs="Times New Roman"/>
          <w:b/>
          <w:color w:val="auto"/>
          <w:sz w:val="28"/>
          <w:szCs w:val="28"/>
          <w:highlight w:val="none"/>
          <w:lang w:val="en-US" w:eastAsia="zh-CN"/>
        </w:rPr>
        <w:t>8.2监测计划</w:t>
      </w:r>
      <w:bookmarkEnd w:id="622"/>
      <w:bookmarkEnd w:id="623"/>
      <w:bookmarkEnd w:id="624"/>
      <w:bookmarkEnd w:id="625"/>
      <w:bookmarkEnd w:id="626"/>
      <w:bookmarkEnd w:id="627"/>
      <w:bookmarkEnd w:id="628"/>
      <w:bookmarkEnd w:id="629"/>
      <w:bookmarkEnd w:id="630"/>
    </w:p>
    <w:p w14:paraId="4AEFCDA5">
      <w:pPr>
        <w:pStyle w:val="2"/>
        <w:widowControl w:val="0"/>
        <w:adjustRightInd/>
        <w:snapToGrid/>
        <w:ind w:firstLine="0" w:firstLineChars="0"/>
        <w:outlineLvl w:val="2"/>
        <w:rPr>
          <w:rFonts w:hint="default" w:ascii="Times New Roman" w:hAnsi="Times New Roman" w:eastAsia="黑体" w:cs="Times New Roman"/>
          <w:b/>
          <w:bCs/>
          <w:color w:val="auto"/>
          <w:kern w:val="2"/>
          <w:sz w:val="28"/>
          <w:szCs w:val="32"/>
          <w:highlight w:val="none"/>
        </w:rPr>
      </w:pPr>
      <w:bookmarkStart w:id="631" w:name="_Toc14342"/>
      <w:r>
        <w:rPr>
          <w:rFonts w:hint="default" w:ascii="Times New Roman" w:hAnsi="Times New Roman" w:eastAsia="黑体" w:cs="Times New Roman"/>
          <w:b/>
          <w:bCs/>
          <w:color w:val="auto"/>
          <w:kern w:val="2"/>
          <w:sz w:val="28"/>
          <w:szCs w:val="32"/>
          <w:highlight w:val="none"/>
        </w:rPr>
        <w:t>8.2.1监测计划内容</w:t>
      </w:r>
      <w:bookmarkEnd w:id="631"/>
    </w:p>
    <w:p w14:paraId="3DDD5185">
      <w:pPr>
        <w:bidi w:val="0"/>
        <w:rPr>
          <w:rFonts w:hint="eastAsia" w:ascii="Times New Roman" w:hAnsi="Times New Roman"/>
          <w:color w:val="auto"/>
          <w:lang w:val="en-US" w:eastAsia="zh-CN"/>
        </w:rPr>
      </w:pPr>
      <w:r>
        <w:rPr>
          <w:rFonts w:hint="eastAsia" w:ascii="Times New Roman" w:hAnsi="Times New Roman"/>
          <w:color w:val="auto"/>
          <w:lang w:val="en-US" w:eastAsia="zh-CN"/>
        </w:rPr>
        <w:t>根据《排污单位自行监测技术指南 总则》（HJ819-2017）</w:t>
      </w:r>
      <w:r>
        <w:rPr>
          <w:rFonts w:hint="eastAsia"/>
          <w:color w:val="auto"/>
          <w:lang w:val="en-US" w:eastAsia="zh-CN"/>
        </w:rPr>
        <w:t>、</w:t>
      </w:r>
      <w:r>
        <w:rPr>
          <w:rFonts w:hint="eastAsia" w:ascii="Times New Roman" w:hAnsi="Times New Roman"/>
          <w:color w:val="auto"/>
          <w:lang w:val="en-US" w:eastAsia="zh-CN"/>
        </w:rPr>
        <w:t>《排污许可证申请与核发技术规范 农副食品加工工业 屠宰及肉类加工工业》（HJ860.3-2018）</w:t>
      </w:r>
      <w:r>
        <w:rPr>
          <w:rFonts w:hint="eastAsia"/>
          <w:color w:val="auto"/>
          <w:lang w:val="en-US" w:eastAsia="zh-CN"/>
        </w:rPr>
        <w:t>及《地下水环境监测技术规范》（HJ164-2020）</w:t>
      </w:r>
      <w:r>
        <w:rPr>
          <w:rFonts w:hint="eastAsia" w:ascii="Times New Roman" w:hAnsi="Times New Roman"/>
          <w:color w:val="auto"/>
          <w:lang w:val="en-US" w:eastAsia="zh-CN"/>
        </w:rPr>
        <w:t>，营运期环境监测计划详见表8.2-2。</w:t>
      </w:r>
    </w:p>
    <w:p w14:paraId="4A223A83">
      <w:pPr>
        <w:bidi w:val="0"/>
        <w:spacing w:line="240" w:lineRule="auto"/>
        <w:rPr>
          <w:rFonts w:hint="eastAsia" w:ascii="Times New Roman" w:hAnsi="Times New Roman"/>
          <w:color w:val="auto"/>
          <w:lang w:val="en-US" w:eastAsia="zh-CN"/>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8.2</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w:t>
      </w:r>
      <w:r>
        <w:rPr>
          <w:rFonts w:hint="default" w:ascii="Times New Roman" w:hAnsi="Times New Roman" w:cs="Times New Roman"/>
          <w:b/>
          <w:bCs/>
          <w:color w:val="auto"/>
          <w:sz w:val="24"/>
          <w:highlight w:val="none"/>
        </w:rPr>
        <w:t xml:space="preserve">  </w:t>
      </w:r>
      <w:r>
        <w:rPr>
          <w:rFonts w:hint="eastAsia"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本项目运营期环境监测计划一览表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537"/>
        <w:gridCol w:w="2603"/>
        <w:gridCol w:w="1826"/>
        <w:gridCol w:w="2294"/>
      </w:tblGrid>
      <w:tr w14:paraId="51C5D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14:paraId="17729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因素</w:t>
            </w:r>
          </w:p>
        </w:tc>
        <w:tc>
          <w:tcPr>
            <w:tcW w:w="1506" w:type="dxa"/>
            <w:tcBorders>
              <w:tl2br w:val="nil"/>
              <w:tr2bl w:val="nil"/>
            </w:tcBorders>
            <w:noWrap w:val="0"/>
            <w:vAlign w:val="center"/>
          </w:tcPr>
          <w:p w14:paraId="626E8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监测位置</w:t>
            </w:r>
          </w:p>
        </w:tc>
        <w:tc>
          <w:tcPr>
            <w:tcW w:w="2550" w:type="dxa"/>
            <w:tcBorders>
              <w:tl2br w:val="nil"/>
              <w:tr2bl w:val="nil"/>
            </w:tcBorders>
            <w:noWrap w:val="0"/>
            <w:vAlign w:val="center"/>
          </w:tcPr>
          <w:p w14:paraId="0B629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tc>
        <w:tc>
          <w:tcPr>
            <w:tcW w:w="1789" w:type="dxa"/>
            <w:tcBorders>
              <w:tl2br w:val="nil"/>
              <w:tr2bl w:val="nil"/>
            </w:tcBorders>
            <w:noWrap w:val="0"/>
            <w:vAlign w:val="center"/>
          </w:tcPr>
          <w:p w14:paraId="4C6FEC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w:t>
            </w:r>
          </w:p>
        </w:tc>
        <w:tc>
          <w:tcPr>
            <w:tcW w:w="2246" w:type="dxa"/>
            <w:tcBorders>
              <w:tl2br w:val="nil"/>
              <w:tr2bl w:val="nil"/>
            </w:tcBorders>
            <w:noWrap w:val="0"/>
            <w:vAlign w:val="center"/>
          </w:tcPr>
          <w:p w14:paraId="1D0905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频次</w:t>
            </w:r>
          </w:p>
        </w:tc>
      </w:tr>
      <w:tr w14:paraId="7BB86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14:paraId="7E63D9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1506" w:type="dxa"/>
            <w:tcBorders>
              <w:tl2br w:val="nil"/>
              <w:tr2bl w:val="nil"/>
            </w:tcBorders>
            <w:noWrap w:val="0"/>
            <w:vAlign w:val="center"/>
          </w:tcPr>
          <w:p w14:paraId="2DFD8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污水处理站排气筒</w:t>
            </w:r>
          </w:p>
        </w:tc>
        <w:tc>
          <w:tcPr>
            <w:tcW w:w="2550" w:type="dxa"/>
            <w:tcBorders>
              <w:tl2br w:val="nil"/>
              <w:tr2bl w:val="nil"/>
            </w:tcBorders>
            <w:noWrap w:val="0"/>
            <w:vAlign w:val="center"/>
          </w:tcPr>
          <w:p w14:paraId="3C47F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S、臭气浓度</w:t>
            </w:r>
          </w:p>
        </w:tc>
        <w:tc>
          <w:tcPr>
            <w:tcW w:w="1789" w:type="dxa"/>
            <w:tcBorders>
              <w:tl2br w:val="nil"/>
              <w:tr2bl w:val="nil"/>
            </w:tcBorders>
            <w:noWrap w:val="0"/>
            <w:vAlign w:val="center"/>
          </w:tcPr>
          <w:p w14:paraId="6BE10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排气筒出口</w:t>
            </w:r>
          </w:p>
        </w:tc>
        <w:tc>
          <w:tcPr>
            <w:tcW w:w="2246" w:type="dxa"/>
            <w:tcBorders>
              <w:tl2br w:val="nil"/>
              <w:tr2bl w:val="nil"/>
            </w:tcBorders>
            <w:noWrap w:val="0"/>
            <w:vAlign w:val="center"/>
          </w:tcPr>
          <w:p w14:paraId="156DA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次</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半年</w:t>
            </w:r>
          </w:p>
        </w:tc>
      </w:tr>
      <w:tr w14:paraId="3F243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14:paraId="339E0D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c>
          <w:tcPr>
            <w:tcW w:w="1506" w:type="dxa"/>
            <w:tcBorders>
              <w:tl2br w:val="nil"/>
              <w:tr2bl w:val="nil"/>
            </w:tcBorders>
            <w:noWrap w:val="0"/>
            <w:vAlign w:val="center"/>
          </w:tcPr>
          <w:p w14:paraId="35293E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屠宰加工车间</w:t>
            </w:r>
          </w:p>
        </w:tc>
        <w:tc>
          <w:tcPr>
            <w:tcW w:w="2550" w:type="dxa"/>
            <w:tcBorders>
              <w:tl2br w:val="nil"/>
              <w:tr2bl w:val="nil"/>
            </w:tcBorders>
            <w:noWrap w:val="0"/>
            <w:vAlign w:val="center"/>
          </w:tcPr>
          <w:p w14:paraId="1758D7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S、臭气浓度</w:t>
            </w:r>
          </w:p>
        </w:tc>
        <w:tc>
          <w:tcPr>
            <w:tcW w:w="1789" w:type="dxa"/>
            <w:tcBorders>
              <w:tl2br w:val="nil"/>
              <w:tr2bl w:val="nil"/>
            </w:tcBorders>
            <w:noWrap w:val="0"/>
            <w:vAlign w:val="center"/>
          </w:tcPr>
          <w:p w14:paraId="49A95A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排气筒出口</w:t>
            </w:r>
          </w:p>
        </w:tc>
        <w:tc>
          <w:tcPr>
            <w:tcW w:w="2246" w:type="dxa"/>
            <w:tcBorders>
              <w:tl2br w:val="nil"/>
              <w:tr2bl w:val="nil"/>
            </w:tcBorders>
            <w:noWrap w:val="0"/>
            <w:vAlign w:val="center"/>
          </w:tcPr>
          <w:p w14:paraId="051B4C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次</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半年</w:t>
            </w:r>
          </w:p>
        </w:tc>
      </w:tr>
      <w:tr w14:paraId="50622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14:paraId="25EDB5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1506" w:type="dxa"/>
            <w:tcBorders>
              <w:tl2br w:val="nil"/>
              <w:tr2bl w:val="nil"/>
            </w:tcBorders>
            <w:noWrap w:val="0"/>
            <w:vAlign w:val="center"/>
          </w:tcPr>
          <w:p w14:paraId="44038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厂界无组织</w:t>
            </w:r>
          </w:p>
        </w:tc>
        <w:tc>
          <w:tcPr>
            <w:tcW w:w="2550" w:type="dxa"/>
            <w:tcBorders>
              <w:tl2br w:val="nil"/>
              <w:tr2bl w:val="nil"/>
            </w:tcBorders>
            <w:noWrap w:val="0"/>
            <w:vAlign w:val="center"/>
          </w:tcPr>
          <w:p w14:paraId="6B5506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S、臭气浓度</w:t>
            </w:r>
          </w:p>
        </w:tc>
        <w:tc>
          <w:tcPr>
            <w:tcW w:w="1789" w:type="dxa"/>
            <w:tcBorders>
              <w:tl2br w:val="nil"/>
              <w:tr2bl w:val="nil"/>
            </w:tcBorders>
            <w:noWrap w:val="0"/>
            <w:vAlign w:val="center"/>
          </w:tcPr>
          <w:p w14:paraId="5BAF6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厂界</w:t>
            </w:r>
          </w:p>
        </w:tc>
        <w:tc>
          <w:tcPr>
            <w:tcW w:w="2246" w:type="dxa"/>
            <w:tcBorders>
              <w:tl2br w:val="nil"/>
              <w:tr2bl w:val="nil"/>
            </w:tcBorders>
            <w:noWrap w:val="0"/>
            <w:vAlign w:val="center"/>
          </w:tcPr>
          <w:p w14:paraId="335DC7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val="en-US" w:eastAsia="zh-CN"/>
              </w:rPr>
              <w:t>/半年</w:t>
            </w:r>
          </w:p>
        </w:tc>
      </w:tr>
      <w:tr w14:paraId="30C67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14:paraId="782F0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506" w:type="dxa"/>
            <w:vMerge w:val="restart"/>
            <w:tcBorders>
              <w:tl2br w:val="nil"/>
              <w:tr2bl w:val="nil"/>
            </w:tcBorders>
            <w:noWrap w:val="0"/>
            <w:vAlign w:val="center"/>
          </w:tcPr>
          <w:p w14:paraId="2961C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废水总排放口</w:t>
            </w:r>
          </w:p>
        </w:tc>
        <w:tc>
          <w:tcPr>
            <w:tcW w:w="2550" w:type="dxa"/>
            <w:tcBorders>
              <w:tl2br w:val="nil"/>
              <w:tr2bl w:val="nil"/>
            </w:tcBorders>
            <w:noWrap w:val="0"/>
            <w:vAlign w:val="center"/>
          </w:tcPr>
          <w:p w14:paraId="7C0305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流量</w:t>
            </w:r>
            <w:r>
              <w:rPr>
                <w:rFonts w:hint="default" w:ascii="Times New Roman" w:hAnsi="Times New Roman" w:eastAsia="宋体" w:cs="Times New Roman"/>
                <w:color w:val="auto"/>
                <w:sz w:val="21"/>
                <w:szCs w:val="21"/>
                <w:highlight w:val="none"/>
              </w:rPr>
              <w:t>、pH、COD、NH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TP、TN、</w:t>
            </w:r>
          </w:p>
        </w:tc>
        <w:tc>
          <w:tcPr>
            <w:tcW w:w="1789" w:type="dxa"/>
            <w:tcBorders>
              <w:tl2br w:val="nil"/>
              <w:tr2bl w:val="nil"/>
            </w:tcBorders>
            <w:noWrap w:val="0"/>
            <w:vAlign w:val="center"/>
          </w:tcPr>
          <w:p w14:paraId="59DD86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总排口</w:t>
            </w:r>
          </w:p>
        </w:tc>
        <w:tc>
          <w:tcPr>
            <w:tcW w:w="2246" w:type="dxa"/>
            <w:tcBorders>
              <w:tl2br w:val="nil"/>
              <w:tr2bl w:val="nil"/>
            </w:tcBorders>
            <w:noWrap w:val="0"/>
            <w:vAlign w:val="center"/>
          </w:tcPr>
          <w:p w14:paraId="59091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自动</w:t>
            </w:r>
          </w:p>
        </w:tc>
      </w:tr>
      <w:tr w14:paraId="1C7A9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14:paraId="0836A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1506" w:type="dxa"/>
            <w:vMerge w:val="continue"/>
            <w:tcBorders>
              <w:tl2br w:val="nil"/>
              <w:tr2bl w:val="nil"/>
            </w:tcBorders>
            <w:noWrap w:val="0"/>
            <w:vAlign w:val="center"/>
          </w:tcPr>
          <w:p w14:paraId="70774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c>
          <w:tcPr>
            <w:tcW w:w="2550" w:type="dxa"/>
            <w:tcBorders>
              <w:tl2br w:val="nil"/>
              <w:tr2bl w:val="nil"/>
            </w:tcBorders>
            <w:noWrap w:val="0"/>
            <w:vAlign w:val="center"/>
          </w:tcPr>
          <w:p w14:paraId="10F8F0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eastAsia="zh-CN"/>
              </w:rPr>
              <w:t>、动植物油、大肠菌群数</w:t>
            </w:r>
          </w:p>
        </w:tc>
        <w:tc>
          <w:tcPr>
            <w:tcW w:w="1789" w:type="dxa"/>
            <w:tcBorders>
              <w:tl2br w:val="nil"/>
              <w:tr2bl w:val="nil"/>
            </w:tcBorders>
            <w:noWrap w:val="0"/>
            <w:vAlign w:val="center"/>
          </w:tcPr>
          <w:p w14:paraId="1A649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总排口</w:t>
            </w:r>
          </w:p>
        </w:tc>
        <w:tc>
          <w:tcPr>
            <w:tcW w:w="2246" w:type="dxa"/>
            <w:tcBorders>
              <w:tl2br w:val="nil"/>
              <w:tr2bl w:val="nil"/>
            </w:tcBorders>
            <w:noWrap w:val="0"/>
            <w:vAlign w:val="center"/>
          </w:tcPr>
          <w:p w14:paraId="47CD9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eastAsia="zh-CN"/>
              </w:rPr>
              <w:t>季度</w:t>
            </w:r>
          </w:p>
        </w:tc>
      </w:tr>
      <w:tr w14:paraId="69A3F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14:paraId="098FF7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506" w:type="dxa"/>
            <w:tcBorders>
              <w:tl2br w:val="nil"/>
              <w:tr2bl w:val="nil"/>
            </w:tcBorders>
            <w:noWrap w:val="0"/>
            <w:vAlign w:val="center"/>
          </w:tcPr>
          <w:p w14:paraId="5504F8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厂界外1m处</w:t>
            </w:r>
          </w:p>
        </w:tc>
        <w:tc>
          <w:tcPr>
            <w:tcW w:w="2550" w:type="dxa"/>
            <w:tcBorders>
              <w:tl2br w:val="nil"/>
              <w:tr2bl w:val="nil"/>
            </w:tcBorders>
            <w:noWrap w:val="0"/>
            <w:vAlign w:val="center"/>
          </w:tcPr>
          <w:p w14:paraId="6D8A6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LAeq</w:t>
            </w:r>
          </w:p>
        </w:tc>
        <w:tc>
          <w:tcPr>
            <w:tcW w:w="1789" w:type="dxa"/>
            <w:tcBorders>
              <w:tl2br w:val="nil"/>
              <w:tr2bl w:val="nil"/>
            </w:tcBorders>
            <w:noWrap w:val="0"/>
            <w:vAlign w:val="center"/>
          </w:tcPr>
          <w:p w14:paraId="5E45DD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厂界四周围墙外1m处</w:t>
            </w:r>
          </w:p>
        </w:tc>
        <w:tc>
          <w:tcPr>
            <w:tcW w:w="2246" w:type="dxa"/>
            <w:tcBorders>
              <w:tl2br w:val="nil"/>
              <w:tr2bl w:val="nil"/>
            </w:tcBorders>
            <w:noWrap w:val="0"/>
            <w:vAlign w:val="center"/>
          </w:tcPr>
          <w:p w14:paraId="224732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eastAsia="zh-CN"/>
              </w:rPr>
              <w:t>季度</w:t>
            </w:r>
            <w:r>
              <w:rPr>
                <w:rFonts w:hint="default" w:ascii="Times New Roman" w:hAnsi="Times New Roman" w:eastAsia="宋体" w:cs="Times New Roman"/>
                <w:color w:val="auto"/>
                <w:sz w:val="21"/>
                <w:szCs w:val="21"/>
                <w:highlight w:val="none"/>
              </w:rPr>
              <w:t>，昼夜监测</w:t>
            </w:r>
          </w:p>
        </w:tc>
      </w:tr>
      <w:tr w14:paraId="2F3F1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14:paraId="25B4E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p w14:paraId="7EDDF0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w:t>
            </w:r>
          </w:p>
        </w:tc>
        <w:tc>
          <w:tcPr>
            <w:tcW w:w="1506" w:type="dxa"/>
            <w:tcBorders>
              <w:tl2br w:val="nil"/>
              <w:tr2bl w:val="nil"/>
            </w:tcBorders>
            <w:noWrap w:val="0"/>
            <w:vAlign w:val="center"/>
          </w:tcPr>
          <w:p w14:paraId="295BEA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全厂各类固体废物产生点</w:t>
            </w:r>
          </w:p>
        </w:tc>
        <w:tc>
          <w:tcPr>
            <w:tcW w:w="2550" w:type="dxa"/>
            <w:tcBorders>
              <w:tl2br w:val="nil"/>
              <w:tr2bl w:val="nil"/>
            </w:tcBorders>
            <w:noWrap w:val="0"/>
            <w:vAlign w:val="center"/>
          </w:tcPr>
          <w:p w14:paraId="38F2B5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统计种类、产生量</w:t>
            </w:r>
          </w:p>
        </w:tc>
        <w:tc>
          <w:tcPr>
            <w:tcW w:w="1789" w:type="dxa"/>
            <w:tcBorders>
              <w:tl2br w:val="nil"/>
              <w:tr2bl w:val="nil"/>
            </w:tcBorders>
            <w:noWrap w:val="0"/>
            <w:vAlign w:val="center"/>
          </w:tcPr>
          <w:p w14:paraId="1F1361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处理方式、去向</w:t>
            </w:r>
          </w:p>
        </w:tc>
        <w:tc>
          <w:tcPr>
            <w:tcW w:w="2246" w:type="dxa"/>
            <w:tcBorders>
              <w:tl2br w:val="nil"/>
              <w:tr2bl w:val="nil"/>
            </w:tcBorders>
            <w:noWrap w:val="0"/>
            <w:vAlign w:val="center"/>
          </w:tcPr>
          <w:p w14:paraId="7C80E4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发生一次、统计一次</w:t>
            </w:r>
          </w:p>
        </w:tc>
      </w:tr>
      <w:tr w14:paraId="4886A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14:paraId="6F76D7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地下水</w:t>
            </w:r>
          </w:p>
        </w:tc>
        <w:tc>
          <w:tcPr>
            <w:tcW w:w="1506" w:type="dxa"/>
            <w:tcBorders>
              <w:tl2br w:val="nil"/>
              <w:tr2bl w:val="nil"/>
            </w:tcBorders>
            <w:noWrap w:val="0"/>
            <w:vAlign w:val="center"/>
          </w:tcPr>
          <w:p w14:paraId="601C0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厂区布设1口地下水跟踪监测井</w:t>
            </w:r>
          </w:p>
        </w:tc>
        <w:tc>
          <w:tcPr>
            <w:tcW w:w="2550" w:type="dxa"/>
            <w:tcBorders>
              <w:tl2br w:val="nil"/>
              <w:tr2bl w:val="nil"/>
            </w:tcBorders>
            <w:noWrap w:val="0"/>
            <w:vAlign w:val="center"/>
          </w:tcPr>
          <w:p w14:paraId="1EEA7E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pH、氨氮、石油类、氟化物、硝酸盐、汞、镉、六价铬、砷、铅、氯化物及总大肠菌群</w:t>
            </w:r>
          </w:p>
        </w:tc>
        <w:tc>
          <w:tcPr>
            <w:tcW w:w="1789" w:type="dxa"/>
            <w:tcBorders>
              <w:tl2br w:val="nil"/>
              <w:tr2bl w:val="nil"/>
            </w:tcBorders>
            <w:noWrap w:val="0"/>
            <w:vAlign w:val="center"/>
          </w:tcPr>
          <w:p w14:paraId="6EE043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106°11′13.641″</w:t>
            </w:r>
          </w:p>
          <w:p w14:paraId="17260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36°0′17.439″</w:t>
            </w:r>
          </w:p>
        </w:tc>
        <w:tc>
          <w:tcPr>
            <w:tcW w:w="2246" w:type="dxa"/>
            <w:tcBorders>
              <w:tl2br w:val="nil"/>
              <w:tr2bl w:val="nil"/>
            </w:tcBorders>
            <w:noWrap w:val="0"/>
            <w:vAlign w:val="center"/>
          </w:tcPr>
          <w:p w14:paraId="53B5CB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次/年</w:t>
            </w:r>
            <w:r>
              <w:rPr>
                <w:rFonts w:hint="eastAsia" w:eastAsia="宋体" w:cs="Times New Roman"/>
                <w:color w:val="auto"/>
                <w:sz w:val="21"/>
                <w:szCs w:val="21"/>
                <w:highlight w:val="none"/>
                <w:lang w:eastAsia="zh-CN"/>
              </w:rPr>
              <w:t>，发现有地下水污染现象时需增加采样频次</w:t>
            </w:r>
          </w:p>
        </w:tc>
      </w:tr>
    </w:tbl>
    <w:p w14:paraId="498B9D20">
      <w:pPr>
        <w:pStyle w:val="2"/>
        <w:widowControl w:val="0"/>
        <w:adjustRightInd/>
        <w:snapToGrid/>
        <w:ind w:firstLine="0" w:firstLineChars="0"/>
        <w:outlineLvl w:val="2"/>
        <w:rPr>
          <w:rFonts w:hint="default" w:ascii="Times New Roman" w:hAnsi="Times New Roman" w:eastAsia="黑体" w:cs="Times New Roman"/>
          <w:b/>
          <w:bCs/>
          <w:color w:val="auto"/>
          <w:kern w:val="2"/>
          <w:sz w:val="28"/>
          <w:szCs w:val="32"/>
          <w:highlight w:val="none"/>
          <w:lang w:val="en-US" w:eastAsia="zh-CN"/>
        </w:rPr>
      </w:pPr>
      <w:r>
        <w:rPr>
          <w:rFonts w:hint="default" w:ascii="Times New Roman" w:hAnsi="Times New Roman" w:eastAsia="黑体" w:cs="Times New Roman"/>
          <w:b/>
          <w:bCs/>
          <w:color w:val="auto"/>
          <w:kern w:val="2"/>
          <w:sz w:val="28"/>
          <w:szCs w:val="32"/>
          <w:highlight w:val="none"/>
          <w:lang w:val="en-US" w:eastAsia="zh-CN"/>
        </w:rPr>
        <w:t>8.2.2监测方法选取</w:t>
      </w:r>
    </w:p>
    <w:p w14:paraId="30D243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本项目委托有资质的环境监测单位对本项目施工期及运行期“三废”和噪声情况进行监测。废气监测按照《空气和废气监测分析方法（第四版）》中的有关规定执行。废水监测方法按照《水和废水监测分析方法（第四版）》中的规定进行。</w:t>
      </w:r>
    </w:p>
    <w:p w14:paraId="05BAFB8F">
      <w:pPr>
        <w:bidi w:val="0"/>
        <w:rPr>
          <w:rFonts w:hint="eastAsia" w:ascii="Times New Roman" w:hAnsi="Times New Roman"/>
          <w:b/>
          <w:bCs/>
          <w:color w:val="auto"/>
          <w:lang w:val="en-US" w:eastAsia="zh-CN"/>
        </w:rPr>
      </w:pPr>
      <w:r>
        <w:rPr>
          <w:rFonts w:ascii="Times New Roman" w:hAnsi="Times New Roman" w:eastAsia="仿宋_GB2312" w:cs="Times New Roman"/>
          <w:color w:val="auto"/>
          <w:sz w:val="24"/>
        </w:rPr>
        <w:t>为保证监测数据的效度和信度，应当</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w:t>
      </w:r>
      <w:r>
        <w:rPr>
          <w:rFonts w:ascii="Times New Roman" w:hAnsi="Times New Roman" w:eastAsia="仿宋_GB2312" w:cs="Times New Roman"/>
          <w:color w:val="auto"/>
          <w:sz w:val="24"/>
        </w:rPr>
        <w:t>定期对环境监测人员进行培训</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w:t>
      </w:r>
      <w:r>
        <w:rPr>
          <w:rFonts w:hint="eastAsia" w:ascii="Times New Roman" w:hAnsi="Times New Roman" w:cs="Times New Roman"/>
          <w:color w:val="auto"/>
          <w:sz w:val="24"/>
          <w:lang w:eastAsia="zh-CN"/>
        </w:rPr>
        <w:t>）</w:t>
      </w:r>
      <w:r>
        <w:rPr>
          <w:rFonts w:ascii="Times New Roman" w:hAnsi="Times New Roman" w:eastAsia="仿宋_GB2312" w:cs="Times New Roman"/>
          <w:color w:val="auto"/>
          <w:sz w:val="24"/>
        </w:rPr>
        <w:t>监测人员须持证上岗</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lang w:eastAsia="zh-CN"/>
        </w:rPr>
        <w:t>）</w:t>
      </w:r>
      <w:r>
        <w:rPr>
          <w:rFonts w:ascii="Times New Roman" w:hAnsi="Times New Roman" w:eastAsia="仿宋_GB2312" w:cs="Times New Roman"/>
          <w:color w:val="auto"/>
          <w:sz w:val="24"/>
        </w:rPr>
        <w:t>监测仪器定期检测，使用取得检测合格证的仪器。</w:t>
      </w:r>
    </w:p>
    <w:p w14:paraId="1E1D535C">
      <w:pPr>
        <w:pStyle w:val="2"/>
        <w:widowControl w:val="0"/>
        <w:adjustRightInd/>
        <w:snapToGrid/>
        <w:ind w:firstLine="0" w:firstLineChars="0"/>
        <w:outlineLvl w:val="2"/>
        <w:rPr>
          <w:rFonts w:hint="default" w:ascii="Times New Roman" w:hAnsi="Times New Roman" w:eastAsia="黑体" w:cs="Times New Roman"/>
          <w:b/>
          <w:bCs/>
          <w:color w:val="auto"/>
          <w:kern w:val="2"/>
          <w:sz w:val="28"/>
          <w:szCs w:val="32"/>
          <w:highlight w:val="none"/>
        </w:rPr>
      </w:pPr>
      <w:bookmarkStart w:id="632" w:name="_Toc17157"/>
      <w:r>
        <w:rPr>
          <w:rFonts w:hint="default" w:ascii="Times New Roman" w:hAnsi="Times New Roman" w:eastAsia="黑体" w:cs="Times New Roman"/>
          <w:b/>
          <w:bCs/>
          <w:color w:val="auto"/>
          <w:kern w:val="2"/>
          <w:sz w:val="28"/>
          <w:szCs w:val="32"/>
          <w:highlight w:val="none"/>
        </w:rPr>
        <w:t>8.2.3监测数据管理</w:t>
      </w:r>
      <w:bookmarkEnd w:id="632"/>
    </w:p>
    <w:p w14:paraId="3A681317">
      <w:pPr>
        <w:bidi w:val="0"/>
        <w:rPr>
          <w:rFonts w:hint="eastAsia" w:ascii="Times New Roman" w:hAnsi="Times New Roman"/>
          <w:color w:val="auto"/>
          <w:lang w:val="en-US" w:eastAsia="zh-CN"/>
        </w:rPr>
      </w:pPr>
      <w:r>
        <w:rPr>
          <w:rFonts w:hint="eastAsia" w:ascii="Times New Roman" w:hAnsi="Times New Roman"/>
          <w:color w:val="auto"/>
          <w:lang w:val="en-US" w:eastAsia="zh-CN"/>
        </w:rPr>
        <w:t>对于上述监测结果应该按照项目有关规定及时建立档案，并抄送有关环保主管部门，对于常规监测部分应进行公开，此外，如果发现了污染和破坏问题要及时进行处理、调查并上报有关部门。</w:t>
      </w:r>
    </w:p>
    <w:p w14:paraId="32F186B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633" w:name="_Toc27759"/>
      <w:bookmarkStart w:id="634" w:name="_Toc25739"/>
      <w:bookmarkStart w:id="635" w:name="_Toc30243"/>
      <w:bookmarkStart w:id="636" w:name="_Toc10568"/>
      <w:bookmarkStart w:id="637" w:name="_Toc30317"/>
      <w:bookmarkStart w:id="638" w:name="_Toc11305"/>
      <w:bookmarkStart w:id="639" w:name="_Toc2736"/>
      <w:bookmarkStart w:id="640" w:name="_Toc10759"/>
      <w:bookmarkStart w:id="641" w:name="_Toc26241"/>
      <w:bookmarkStart w:id="642" w:name="_Toc5613"/>
      <w:r>
        <w:rPr>
          <w:rFonts w:hint="default" w:ascii="Times New Roman" w:hAnsi="Times New Roman" w:eastAsia="黑体" w:cs="Times New Roman"/>
          <w:b/>
          <w:color w:val="auto"/>
          <w:sz w:val="28"/>
          <w:szCs w:val="28"/>
          <w:highlight w:val="none"/>
          <w:lang w:val="en-US" w:eastAsia="zh-CN"/>
        </w:rPr>
        <w:t>8.3</w:t>
      </w:r>
      <w:bookmarkStart w:id="643" w:name="_Toc487210919"/>
      <w:r>
        <w:rPr>
          <w:rFonts w:hint="default" w:ascii="Times New Roman" w:hAnsi="Times New Roman" w:eastAsia="黑体" w:cs="Times New Roman"/>
          <w:b/>
          <w:color w:val="auto"/>
          <w:sz w:val="28"/>
          <w:szCs w:val="28"/>
          <w:highlight w:val="none"/>
          <w:lang w:val="en-US" w:eastAsia="zh-CN"/>
        </w:rPr>
        <w:t>总量控制</w:t>
      </w:r>
      <w:bookmarkEnd w:id="633"/>
      <w:bookmarkEnd w:id="634"/>
      <w:bookmarkEnd w:id="635"/>
      <w:bookmarkEnd w:id="636"/>
      <w:bookmarkEnd w:id="637"/>
      <w:bookmarkEnd w:id="638"/>
      <w:bookmarkEnd w:id="639"/>
      <w:bookmarkEnd w:id="640"/>
      <w:bookmarkEnd w:id="641"/>
      <w:bookmarkEnd w:id="642"/>
      <w:bookmarkEnd w:id="643"/>
    </w:p>
    <w:p w14:paraId="3DB468C0">
      <w:pPr>
        <w:pStyle w:val="2"/>
        <w:widowControl w:val="0"/>
        <w:adjustRightInd/>
        <w:snapToGrid/>
        <w:ind w:firstLine="0" w:firstLineChars="0"/>
        <w:outlineLvl w:val="2"/>
        <w:rPr>
          <w:rFonts w:hint="default"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8.3.1污染物总量控制指标</w:t>
      </w:r>
    </w:p>
    <w:p w14:paraId="5C1627C9">
      <w:pPr>
        <w:bidi w:val="0"/>
        <w:rPr>
          <w:rFonts w:hint="eastAsia"/>
          <w:color w:val="auto"/>
          <w:lang w:val="en-US" w:eastAsia="zh-CN"/>
        </w:rPr>
      </w:pPr>
      <w:r>
        <w:rPr>
          <w:rFonts w:hint="eastAsia"/>
          <w:color w:val="auto"/>
          <w:lang w:val="en-US" w:eastAsia="zh-CN"/>
        </w:rPr>
        <w:t>根据《宁夏回族自治区“十四五”主要污染物减排综合工作方案》“十四五”期间对NO</w:t>
      </w:r>
      <w:r>
        <w:rPr>
          <w:rFonts w:hint="eastAsia"/>
          <w:color w:val="auto"/>
          <w:vertAlign w:val="subscript"/>
          <w:lang w:val="en-US" w:eastAsia="zh-CN"/>
        </w:rPr>
        <w:t>X</w:t>
      </w:r>
      <w:r>
        <w:rPr>
          <w:rFonts w:hint="eastAsia"/>
          <w:color w:val="auto"/>
          <w:lang w:val="en-US" w:eastAsia="zh-CN"/>
        </w:rPr>
        <w:t>、VOC</w:t>
      </w:r>
      <w:r>
        <w:rPr>
          <w:rFonts w:hint="eastAsia"/>
          <w:color w:val="auto"/>
          <w:vertAlign w:val="subscript"/>
          <w:lang w:val="en-US" w:eastAsia="zh-CN"/>
        </w:rPr>
        <w:t>S</w:t>
      </w:r>
      <w:r>
        <w:rPr>
          <w:rFonts w:hint="eastAsia"/>
          <w:color w:val="auto"/>
          <w:lang w:val="en-US" w:eastAsia="zh-CN"/>
        </w:rPr>
        <w:t>、COD和NH</w:t>
      </w:r>
      <w:r>
        <w:rPr>
          <w:rFonts w:hint="eastAsia"/>
          <w:color w:val="auto"/>
          <w:vertAlign w:val="subscript"/>
          <w:lang w:val="en-US" w:eastAsia="zh-CN"/>
        </w:rPr>
        <w:t>3</w:t>
      </w:r>
      <w:r>
        <w:rPr>
          <w:rFonts w:hint="eastAsia"/>
          <w:color w:val="auto"/>
          <w:lang w:val="en-US" w:eastAsia="zh-CN"/>
        </w:rPr>
        <w:t>-N四项主要污染物实施排放总量控制。按照生态环境部办公厅《关于印发&lt;“十四五”及2021年宁夏回族自治区生态环境有关指标计划&gt;的函》（环办综合函〔2021〕453号）要求，到2025年，全区NO</w:t>
      </w:r>
      <w:r>
        <w:rPr>
          <w:rFonts w:hint="eastAsia"/>
          <w:color w:val="auto"/>
          <w:vertAlign w:val="subscript"/>
          <w:lang w:val="en-US" w:eastAsia="zh-CN"/>
        </w:rPr>
        <w:t>X</w:t>
      </w:r>
      <w:r>
        <w:rPr>
          <w:rFonts w:hint="eastAsia"/>
          <w:color w:val="auto"/>
          <w:lang w:val="en-US" w:eastAsia="zh-CN"/>
        </w:rPr>
        <w:t>、VOC</w:t>
      </w:r>
      <w:r>
        <w:rPr>
          <w:rFonts w:hint="eastAsia"/>
          <w:color w:val="auto"/>
          <w:vertAlign w:val="subscript"/>
          <w:lang w:val="en-US" w:eastAsia="zh-CN"/>
        </w:rPr>
        <w:t>S</w:t>
      </w:r>
      <w:r>
        <w:rPr>
          <w:rFonts w:hint="eastAsia"/>
          <w:color w:val="auto"/>
          <w:lang w:val="en-US" w:eastAsia="zh-CN"/>
        </w:rPr>
        <w:t>、COD和NH</w:t>
      </w:r>
      <w:r>
        <w:rPr>
          <w:rFonts w:hint="eastAsia"/>
          <w:color w:val="auto"/>
          <w:vertAlign w:val="subscript"/>
          <w:lang w:val="en-US" w:eastAsia="zh-CN"/>
        </w:rPr>
        <w:t>3</w:t>
      </w:r>
      <w:r>
        <w:rPr>
          <w:rFonts w:hint="eastAsia"/>
          <w:color w:val="auto"/>
          <w:lang w:val="en-US" w:eastAsia="zh-CN"/>
        </w:rPr>
        <w:t>-N四项主要污染物重点工程减排量分别为6000t、300t、12200t和4100t。</w:t>
      </w:r>
    </w:p>
    <w:p w14:paraId="6105095A">
      <w:pPr>
        <w:bidi w:val="0"/>
        <w:rPr>
          <w:rFonts w:hint="eastAsia"/>
          <w:color w:val="auto"/>
          <w:lang w:val="en-US" w:eastAsia="zh-CN"/>
        </w:rPr>
      </w:pPr>
      <w:r>
        <w:rPr>
          <w:rFonts w:hint="eastAsia"/>
          <w:color w:val="auto"/>
          <w:lang w:val="en-US" w:eastAsia="zh-CN"/>
        </w:rPr>
        <w:t>根据《宁夏回族自治区排污权有偿使用和交易管理暂行办法》第四条：排污权有偿使用和交易在自治区各市、县（区）和宁东能源化工基地同步开展适用于自治区行政区域内按照排污许可规定实施重点管理、简化管理和登记管理的排污单位，以及按照区域环境管理要求实施主要污染物总量控制的排污单位。先行对氮氧化物（NO</w:t>
      </w:r>
      <w:r>
        <w:rPr>
          <w:rFonts w:hint="eastAsia"/>
          <w:color w:val="auto"/>
          <w:vertAlign w:val="subscript"/>
          <w:lang w:val="en-US" w:eastAsia="zh-CN"/>
        </w:rPr>
        <w:t>X</w:t>
      </w:r>
      <w:r>
        <w:rPr>
          <w:rFonts w:hint="eastAsia"/>
          <w:color w:val="auto"/>
          <w:lang w:val="en-US" w:eastAsia="zh-CN"/>
        </w:rPr>
        <w:t>）、二氧化硫（SO</w:t>
      </w:r>
      <w:r>
        <w:rPr>
          <w:rFonts w:hint="eastAsia"/>
          <w:color w:val="auto"/>
          <w:vertAlign w:val="subscript"/>
          <w:lang w:val="en-US" w:eastAsia="zh-CN"/>
        </w:rPr>
        <w:t>2</w:t>
      </w:r>
      <w:r>
        <w:rPr>
          <w:rFonts w:hint="eastAsia"/>
          <w:color w:val="auto"/>
          <w:lang w:val="en-US" w:eastAsia="zh-CN"/>
        </w:rPr>
        <w:t>）和化学需氧量（COD）、氨氮（NH</w:t>
      </w:r>
      <w:r>
        <w:rPr>
          <w:rFonts w:hint="eastAsia"/>
          <w:color w:val="auto"/>
          <w:vertAlign w:val="subscript"/>
          <w:lang w:val="en-US" w:eastAsia="zh-CN"/>
        </w:rPr>
        <w:t>3</w:t>
      </w:r>
      <w:r>
        <w:rPr>
          <w:rFonts w:hint="eastAsia"/>
          <w:color w:val="auto"/>
          <w:lang w:val="en-US" w:eastAsia="zh-CN"/>
        </w:rPr>
        <w:t>-N）四项指标开展交易，随后将挥发性有机物（VOC</w:t>
      </w:r>
      <w:r>
        <w:rPr>
          <w:rFonts w:hint="eastAsia"/>
          <w:color w:val="auto"/>
          <w:vertAlign w:val="subscript"/>
          <w:lang w:val="en-US" w:eastAsia="zh-CN"/>
        </w:rPr>
        <w:t>S</w:t>
      </w:r>
      <w:r>
        <w:rPr>
          <w:rFonts w:hint="eastAsia"/>
          <w:color w:val="auto"/>
          <w:lang w:val="en-US" w:eastAsia="zh-CN"/>
        </w:rPr>
        <w:t>），以及影响全区环境质量改善的其他特征污染物逐步纳入交易范围。</w:t>
      </w:r>
    </w:p>
    <w:p w14:paraId="4B977D11">
      <w:pPr>
        <w:bidi w:val="0"/>
        <w:rPr>
          <w:rFonts w:hint="default"/>
          <w:color w:val="auto"/>
          <w:lang w:val="en-US" w:eastAsia="zh-CN"/>
        </w:rPr>
      </w:pPr>
      <w:r>
        <w:rPr>
          <w:rFonts w:hint="eastAsia"/>
          <w:color w:val="auto"/>
          <w:lang w:val="en-US" w:eastAsia="zh-CN"/>
        </w:rPr>
        <w:t>根据工程分析，本项目涉及总量控制指标的污染物排放量中COD为8.65t/a，NH</w:t>
      </w:r>
      <w:r>
        <w:rPr>
          <w:rFonts w:hint="eastAsia"/>
          <w:color w:val="auto"/>
          <w:vertAlign w:val="subscript"/>
          <w:lang w:val="en-US" w:eastAsia="zh-CN"/>
        </w:rPr>
        <w:t>3</w:t>
      </w:r>
      <w:r>
        <w:rPr>
          <w:rFonts w:hint="eastAsia"/>
          <w:color w:val="auto"/>
          <w:lang w:val="en-US" w:eastAsia="zh-CN"/>
        </w:rPr>
        <w:t>-N为0.77t/a。</w:t>
      </w:r>
    </w:p>
    <w:p w14:paraId="7C12C36E">
      <w:pPr>
        <w:pStyle w:val="2"/>
        <w:widowControl w:val="0"/>
        <w:adjustRightInd/>
        <w:snapToGrid/>
        <w:ind w:firstLine="0" w:firstLineChars="0"/>
        <w:outlineLvl w:val="2"/>
        <w:rPr>
          <w:rFonts w:hint="default"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8.3.2污染物排污权交易指标</w:t>
      </w:r>
    </w:p>
    <w:p w14:paraId="29B30190">
      <w:pPr>
        <w:bidi w:val="0"/>
        <w:rPr>
          <w:rFonts w:hint="eastAsia"/>
          <w:color w:val="auto"/>
          <w:lang w:val="en-US" w:eastAsia="zh-CN"/>
        </w:rPr>
      </w:pPr>
      <w:r>
        <w:rPr>
          <w:rFonts w:hint="eastAsia"/>
          <w:color w:val="auto"/>
          <w:lang w:val="en-US" w:eastAsia="zh-CN"/>
        </w:rPr>
        <w:t>根据宁环办发〔2021〕41号《关于开展主要污染物排污权确权等工作的通知》，新增排污权指标核定按照行业排污许可技术规范进行。废水排入集中式水污染治理单位的，水污染物排放浓度限值按集中式水污染治理单位的排放标准确定。绩效排水量根据排放标准中的单位产品基准排水量和环境影响评价批复的产能规模计算。</w:t>
      </w:r>
    </w:p>
    <w:p w14:paraId="71A7E545">
      <w:pPr>
        <w:rPr>
          <w:rFonts w:hint="eastAsia"/>
          <w:color w:val="auto"/>
          <w:lang w:val="en-US" w:eastAsia="zh-CN"/>
        </w:rPr>
      </w:pPr>
      <w:r>
        <w:rPr>
          <w:rFonts w:hint="eastAsia"/>
          <w:color w:val="auto"/>
          <w:lang w:val="en-US" w:eastAsia="zh-CN"/>
        </w:rPr>
        <w:t>本项目依据《排污许可证申请与核发技术规范 农副食品加工工业—屠宰及肉类加工工业》（HJ860.3-2018）中规定的排污单位水污染物年许可排放量计算公式，进行排污权交易量的核定：</w:t>
      </w:r>
    </w:p>
    <w:p w14:paraId="20A4666D">
      <w:pPr>
        <w:bidi w:val="0"/>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1790065" cy="476250"/>
            <wp:effectExtent l="0" t="0" r="635" b="0"/>
            <wp:docPr id="42" name="图片 42" descr="36a350283045bb628cf0f5f0b666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6a350283045bb628cf0f5f0b666b67"/>
                    <pic:cNvPicPr>
                      <a:picLocks noChangeAspect="1"/>
                    </pic:cNvPicPr>
                  </pic:nvPicPr>
                  <pic:blipFill>
                    <a:blip r:embed="rId121"/>
                    <a:stretch>
                      <a:fillRect/>
                    </a:stretch>
                  </pic:blipFill>
                  <pic:spPr>
                    <a:xfrm>
                      <a:off x="0" y="0"/>
                      <a:ext cx="1790065" cy="476250"/>
                    </a:xfrm>
                    <a:prstGeom prst="rect">
                      <a:avLst/>
                    </a:prstGeom>
                  </pic:spPr>
                </pic:pic>
              </a:graphicData>
            </a:graphic>
          </wp:inline>
        </w:drawing>
      </w:r>
    </w:p>
    <w:p w14:paraId="55EA67CB">
      <w:pPr>
        <w:bidi w:val="0"/>
        <w:rPr>
          <w:rFonts w:hint="eastAsia"/>
          <w:color w:val="auto"/>
          <w:lang w:val="en-US" w:eastAsia="zh-CN"/>
        </w:rPr>
      </w:pPr>
      <w:r>
        <w:rPr>
          <w:rFonts w:hint="eastAsia"/>
          <w:color w:val="auto"/>
          <w:lang w:val="en-US" w:eastAsia="zh-CN"/>
        </w:rPr>
        <w:t>式中：D</w:t>
      </w:r>
      <w:r>
        <w:rPr>
          <w:rFonts w:hint="eastAsia"/>
          <w:color w:val="auto"/>
          <w:vertAlign w:val="subscript"/>
          <w:lang w:val="en-US" w:eastAsia="zh-CN"/>
        </w:rPr>
        <w:t>j</w:t>
      </w:r>
      <w:r>
        <w:rPr>
          <w:rFonts w:hint="eastAsia"/>
          <w:color w:val="auto"/>
          <w:lang w:val="en-US" w:eastAsia="zh-CN"/>
        </w:rPr>
        <w:t>--排污单位废水中第j项水污染物的年许可排放量，t/a；</w:t>
      </w:r>
    </w:p>
    <w:p w14:paraId="0CC1784E">
      <w:pPr>
        <w:bidi w:val="0"/>
        <w:ind w:firstLine="1200" w:firstLineChars="500"/>
        <w:rPr>
          <w:rFonts w:hint="default"/>
          <w:color w:val="auto"/>
          <w:lang w:val="en-US" w:eastAsia="zh-CN"/>
        </w:rPr>
      </w:pPr>
      <w:r>
        <w:rPr>
          <w:rFonts w:hint="eastAsia"/>
          <w:color w:val="auto"/>
          <w:lang w:val="en-US" w:eastAsia="zh-CN"/>
        </w:rPr>
        <w:t>C</w:t>
      </w:r>
      <w:r>
        <w:rPr>
          <w:rFonts w:hint="eastAsia"/>
          <w:color w:val="auto"/>
          <w:vertAlign w:val="subscript"/>
          <w:lang w:val="en-US" w:eastAsia="zh-CN"/>
        </w:rPr>
        <w:t>j</w:t>
      </w:r>
      <w:r>
        <w:rPr>
          <w:rFonts w:hint="eastAsia"/>
          <w:color w:val="auto"/>
          <w:lang w:val="en-US" w:eastAsia="zh-CN"/>
        </w:rPr>
        <w:t>--排污单位废水中第j项水污染物的许可排放浓度限值，mg/L；</w:t>
      </w:r>
    </w:p>
    <w:p w14:paraId="2053D688">
      <w:pPr>
        <w:bidi w:val="0"/>
        <w:ind w:firstLine="1200" w:firstLineChars="500"/>
        <w:rPr>
          <w:rFonts w:hint="default"/>
          <w:color w:val="auto"/>
          <w:lang w:val="en-US" w:eastAsia="zh-CN"/>
        </w:rPr>
      </w:pPr>
      <w:r>
        <w:rPr>
          <w:rFonts w:hint="eastAsia"/>
          <w:color w:val="auto"/>
          <w:lang w:val="en-US" w:eastAsia="zh-CN"/>
        </w:rPr>
        <w:t>S</w:t>
      </w:r>
      <w:r>
        <w:rPr>
          <w:rFonts w:hint="eastAsia"/>
          <w:color w:val="auto"/>
          <w:vertAlign w:val="subscript"/>
          <w:lang w:val="en-US" w:eastAsia="zh-CN"/>
        </w:rPr>
        <w:t>i</w:t>
      </w:r>
      <w:r>
        <w:rPr>
          <w:rFonts w:hint="eastAsia"/>
          <w:color w:val="auto"/>
          <w:lang w:val="en-US" w:eastAsia="zh-CN"/>
        </w:rPr>
        <w:t>--排污单位第i个加工类别，t/a；</w:t>
      </w:r>
    </w:p>
    <w:p w14:paraId="45B35B0C">
      <w:pPr>
        <w:bidi w:val="0"/>
        <w:ind w:firstLine="1200" w:firstLineChars="500"/>
        <w:rPr>
          <w:rFonts w:hint="default"/>
          <w:color w:val="auto"/>
          <w:lang w:val="en-US" w:eastAsia="zh-CN"/>
        </w:rPr>
      </w:pPr>
      <w:r>
        <w:rPr>
          <w:rFonts w:hint="eastAsia"/>
          <w:color w:val="auto"/>
          <w:lang w:val="en-US" w:eastAsia="zh-CN"/>
        </w:rPr>
        <w:t>Q</w:t>
      </w:r>
      <w:r>
        <w:rPr>
          <w:rFonts w:hint="eastAsia"/>
          <w:color w:val="auto"/>
          <w:vertAlign w:val="subscript"/>
          <w:lang w:val="en-US" w:eastAsia="zh-CN"/>
        </w:rPr>
        <w:t>i</w:t>
      </w:r>
      <w:r>
        <w:rPr>
          <w:rFonts w:hint="eastAsia"/>
          <w:color w:val="auto"/>
          <w:lang w:val="en-US" w:eastAsia="zh-CN"/>
        </w:rPr>
        <w:t>--第i个产品基准排水量，m</w:t>
      </w:r>
      <w:r>
        <w:rPr>
          <w:rFonts w:hint="eastAsia"/>
          <w:color w:val="auto"/>
          <w:vertAlign w:val="superscript"/>
          <w:lang w:val="en-US" w:eastAsia="zh-CN"/>
        </w:rPr>
        <w:t>3</w:t>
      </w:r>
      <w:r>
        <w:rPr>
          <w:rFonts w:hint="eastAsia"/>
          <w:color w:val="auto"/>
          <w:lang w:val="en-US" w:eastAsia="zh-CN"/>
        </w:rPr>
        <w:t>/t；</w:t>
      </w:r>
    </w:p>
    <w:p w14:paraId="3EBB530C">
      <w:pPr>
        <w:bidi w:val="0"/>
        <w:ind w:firstLine="1200" w:firstLineChars="500"/>
        <w:rPr>
          <w:rFonts w:hint="eastAsia"/>
          <w:color w:val="auto"/>
          <w:lang w:val="en-US" w:eastAsia="zh-CN"/>
        </w:rPr>
      </w:pPr>
      <w:r>
        <w:rPr>
          <w:rFonts w:hint="eastAsia"/>
          <w:color w:val="auto"/>
          <w:lang w:val="en-US" w:eastAsia="zh-CN"/>
        </w:rPr>
        <w:t>n--排污单位加工类别数量，无量纲。</w:t>
      </w:r>
    </w:p>
    <w:p w14:paraId="3CC8B6BC">
      <w:pPr>
        <w:bidi w:val="0"/>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表8.3-1</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lang w:val="en-US" w:eastAsia="zh-CN"/>
        </w:rPr>
        <w:t>排污单位污染物</w:t>
      </w:r>
      <w:r>
        <w:rPr>
          <w:rFonts w:hint="eastAsia" w:ascii="Times New Roman" w:hAnsi="Times New Roman" w:eastAsia="宋体" w:cs="Times New Roman"/>
          <w:b/>
          <w:bCs/>
          <w:color w:val="auto"/>
          <w:lang w:val="en-US" w:eastAsia="zh-CN"/>
        </w:rPr>
        <w:t>排污权交易量</w:t>
      </w:r>
      <w:r>
        <w:rPr>
          <w:rFonts w:hint="default" w:ascii="Times New Roman" w:hAnsi="Times New Roman" w:eastAsia="宋体" w:cs="Times New Roman"/>
          <w:b/>
          <w:bCs/>
          <w:color w:val="auto"/>
          <w:lang w:val="en-US" w:eastAsia="zh-CN"/>
        </w:rPr>
        <w:t>计算参数一览表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317"/>
        <w:gridCol w:w="1308"/>
        <w:gridCol w:w="5374"/>
      </w:tblGrid>
      <w:tr w14:paraId="552F5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49" w:type="dxa"/>
            <w:vMerge w:val="restart"/>
            <w:tcBorders>
              <w:tl2br w:val="nil"/>
              <w:tr2bl w:val="nil"/>
            </w:tcBorders>
            <w:vAlign w:val="center"/>
          </w:tcPr>
          <w:p w14:paraId="40AC7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2625" w:type="dxa"/>
            <w:gridSpan w:val="2"/>
            <w:tcBorders>
              <w:tl2br w:val="nil"/>
              <w:tr2bl w:val="nil"/>
            </w:tcBorders>
            <w:vAlign w:val="center"/>
          </w:tcPr>
          <w:p w14:paraId="4F5F01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取值</w:t>
            </w:r>
          </w:p>
        </w:tc>
        <w:tc>
          <w:tcPr>
            <w:tcW w:w="5374" w:type="dxa"/>
            <w:vMerge w:val="restart"/>
            <w:tcBorders>
              <w:tl2br w:val="nil"/>
              <w:tr2bl w:val="nil"/>
            </w:tcBorders>
            <w:vAlign w:val="center"/>
          </w:tcPr>
          <w:p w14:paraId="41A06E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取值依据</w:t>
            </w:r>
          </w:p>
        </w:tc>
      </w:tr>
      <w:tr w14:paraId="5EE75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49" w:type="dxa"/>
            <w:vMerge w:val="continue"/>
            <w:tcBorders>
              <w:tl2br w:val="nil"/>
              <w:tr2bl w:val="nil"/>
            </w:tcBorders>
            <w:vAlign w:val="center"/>
          </w:tcPr>
          <w:p w14:paraId="73A24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317" w:type="dxa"/>
            <w:tcBorders>
              <w:tl2br w:val="nil"/>
              <w:tr2bl w:val="nil"/>
            </w:tcBorders>
            <w:vAlign w:val="center"/>
          </w:tcPr>
          <w:p w14:paraId="5F8AD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COD</w:t>
            </w:r>
          </w:p>
        </w:tc>
        <w:tc>
          <w:tcPr>
            <w:tcW w:w="1308" w:type="dxa"/>
            <w:tcBorders>
              <w:tl2br w:val="nil"/>
              <w:tr2bl w:val="nil"/>
            </w:tcBorders>
            <w:vAlign w:val="center"/>
          </w:tcPr>
          <w:p w14:paraId="0B11E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NH</w:t>
            </w:r>
            <w:r>
              <w:rPr>
                <w:rFonts w:hint="default" w:ascii="Times New Roman" w:hAnsi="Times New Roman" w:eastAsia="宋体" w:cs="Times New Roman"/>
                <w:b/>
                <w:bCs/>
                <w:color w:val="auto"/>
                <w:sz w:val="21"/>
                <w:szCs w:val="21"/>
                <w:vertAlign w:val="subscript"/>
                <w:lang w:val="en-US" w:eastAsia="zh-CN"/>
              </w:rPr>
              <w:t>3</w:t>
            </w:r>
            <w:r>
              <w:rPr>
                <w:rFonts w:hint="default" w:ascii="Times New Roman" w:hAnsi="Times New Roman" w:eastAsia="宋体" w:cs="Times New Roman"/>
                <w:b/>
                <w:bCs/>
                <w:color w:val="auto"/>
                <w:sz w:val="21"/>
                <w:szCs w:val="21"/>
                <w:vertAlign w:val="baseline"/>
                <w:lang w:val="en-US" w:eastAsia="zh-CN"/>
              </w:rPr>
              <w:t>-N</w:t>
            </w:r>
          </w:p>
        </w:tc>
        <w:tc>
          <w:tcPr>
            <w:tcW w:w="5374" w:type="dxa"/>
            <w:vMerge w:val="continue"/>
            <w:tcBorders>
              <w:tl2br w:val="nil"/>
              <w:tr2bl w:val="nil"/>
            </w:tcBorders>
            <w:vAlign w:val="center"/>
          </w:tcPr>
          <w:p w14:paraId="2FDCD1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14:paraId="62BCB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9" w:type="dxa"/>
            <w:tcBorders>
              <w:tl2br w:val="nil"/>
              <w:tr2bl w:val="nil"/>
            </w:tcBorders>
            <w:shd w:val="clear" w:color="auto" w:fill="auto"/>
            <w:vAlign w:val="center"/>
          </w:tcPr>
          <w:p w14:paraId="55365A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j</w:t>
            </w:r>
          </w:p>
        </w:tc>
        <w:tc>
          <w:tcPr>
            <w:tcW w:w="1317" w:type="dxa"/>
            <w:tcBorders>
              <w:tl2br w:val="nil"/>
              <w:tr2bl w:val="nil"/>
            </w:tcBorders>
            <w:vAlign w:val="center"/>
          </w:tcPr>
          <w:p w14:paraId="31E76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50mg/L</w:t>
            </w:r>
          </w:p>
        </w:tc>
        <w:tc>
          <w:tcPr>
            <w:tcW w:w="1308" w:type="dxa"/>
            <w:tcBorders>
              <w:tl2br w:val="nil"/>
              <w:tr2bl w:val="nil"/>
            </w:tcBorders>
            <w:vAlign w:val="center"/>
          </w:tcPr>
          <w:p w14:paraId="55DB5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8mg/L</w:t>
            </w:r>
          </w:p>
        </w:tc>
        <w:tc>
          <w:tcPr>
            <w:tcW w:w="5374" w:type="dxa"/>
            <w:tcBorders>
              <w:tl2br w:val="nil"/>
              <w:tr2bl w:val="nil"/>
            </w:tcBorders>
            <w:vAlign w:val="center"/>
          </w:tcPr>
          <w:p w14:paraId="6EB88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本项目废水排至</w:t>
            </w:r>
            <w:r>
              <w:rPr>
                <w:rFonts w:hint="default" w:ascii="Times New Roman" w:hAnsi="Times New Roman" w:eastAsia="宋体" w:cs="Times New Roman"/>
                <w:color w:val="auto"/>
                <w:sz w:val="21"/>
                <w:szCs w:val="21"/>
                <w:lang w:val="en-US" w:eastAsia="zh-CN"/>
              </w:rPr>
              <w:t>城区污水处理厂，城区污水处理厂尾水水质</w:t>
            </w:r>
            <w:r>
              <w:rPr>
                <w:rFonts w:hint="eastAsia" w:ascii="Times New Roman" w:hAnsi="Times New Roman" w:eastAsia="宋体" w:cs="Times New Roman"/>
                <w:color w:val="auto"/>
                <w:sz w:val="21"/>
                <w:szCs w:val="21"/>
                <w:lang w:val="en-US" w:eastAsia="zh-CN"/>
              </w:rPr>
              <w:t>执行</w:t>
            </w:r>
            <w:r>
              <w:rPr>
                <w:rFonts w:hint="default" w:ascii="Times New Roman" w:hAnsi="Times New Roman" w:eastAsia="宋体" w:cs="Times New Roman"/>
                <w:color w:val="auto"/>
                <w:sz w:val="21"/>
                <w:szCs w:val="21"/>
                <w:lang w:val="en-US" w:eastAsia="zh-CN"/>
              </w:rPr>
              <w:t>《城镇污水处理厂污染物排放标准》（GB18918-2002）一级A标准。</w:t>
            </w:r>
          </w:p>
        </w:tc>
      </w:tr>
      <w:tr w14:paraId="45082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tcBorders>
              <w:tl2br w:val="nil"/>
              <w:tr2bl w:val="nil"/>
            </w:tcBorders>
            <w:shd w:val="clear" w:color="auto" w:fill="auto"/>
            <w:vAlign w:val="center"/>
          </w:tcPr>
          <w:p w14:paraId="63DC2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S</w:t>
            </w:r>
            <w:r>
              <w:rPr>
                <w:rFonts w:hint="default" w:ascii="Times New Roman" w:hAnsi="Times New Roman" w:eastAsia="宋体" w:cs="Times New Roman"/>
                <w:color w:val="auto"/>
                <w:sz w:val="21"/>
                <w:szCs w:val="21"/>
                <w:vertAlign w:val="subscript"/>
                <w:lang w:val="en-US" w:eastAsia="zh-CN"/>
              </w:rPr>
              <w:t>i</w:t>
            </w:r>
          </w:p>
        </w:tc>
        <w:tc>
          <w:tcPr>
            <w:tcW w:w="2625" w:type="dxa"/>
            <w:gridSpan w:val="2"/>
            <w:tcBorders>
              <w:tl2br w:val="nil"/>
              <w:tr2bl w:val="nil"/>
            </w:tcBorders>
            <w:vAlign w:val="center"/>
          </w:tcPr>
          <w:p w14:paraId="18AE50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年屠宰牛10000头、羊150000只</w:t>
            </w:r>
          </w:p>
        </w:tc>
        <w:tc>
          <w:tcPr>
            <w:tcW w:w="5374" w:type="dxa"/>
            <w:tcBorders>
              <w:tl2br w:val="nil"/>
              <w:tr2bl w:val="nil"/>
            </w:tcBorders>
            <w:vAlign w:val="center"/>
          </w:tcPr>
          <w:p w14:paraId="4DD257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本项目为牛羊屠宰加工项目，年屠宰牛</w:t>
            </w:r>
            <w:r>
              <w:rPr>
                <w:rFonts w:hint="eastAsia" w:ascii="Times New Roman" w:hAnsi="Times New Roman" w:eastAsia="宋体" w:cs="Times New Roman"/>
                <w:color w:val="auto"/>
                <w:sz w:val="21"/>
                <w:szCs w:val="21"/>
                <w:vertAlign w:val="baseline"/>
                <w:lang w:val="en-US" w:eastAsia="zh-CN"/>
              </w:rPr>
              <w:t>10000头、</w:t>
            </w:r>
            <w:r>
              <w:rPr>
                <w:rFonts w:hint="default" w:ascii="Times New Roman" w:hAnsi="Times New Roman" w:eastAsia="宋体" w:cs="Times New Roman"/>
                <w:color w:val="auto"/>
                <w:sz w:val="21"/>
                <w:szCs w:val="21"/>
                <w:vertAlign w:val="baseline"/>
                <w:lang w:val="en-US" w:eastAsia="zh-CN"/>
              </w:rPr>
              <w:t>羊</w:t>
            </w:r>
            <w:r>
              <w:rPr>
                <w:rFonts w:hint="eastAsia" w:ascii="Times New Roman" w:hAnsi="Times New Roman" w:eastAsia="宋体" w:cs="Times New Roman"/>
                <w:color w:val="auto"/>
                <w:sz w:val="21"/>
                <w:szCs w:val="21"/>
                <w:vertAlign w:val="baseline"/>
                <w:lang w:val="en-US" w:eastAsia="zh-CN"/>
              </w:rPr>
              <w:t>150000只</w:t>
            </w:r>
            <w:r>
              <w:rPr>
                <w:rFonts w:hint="default" w:ascii="Times New Roman" w:hAnsi="Times New Roman" w:eastAsia="宋体" w:cs="Times New Roman"/>
                <w:color w:val="auto"/>
                <w:sz w:val="21"/>
                <w:szCs w:val="21"/>
                <w:vertAlign w:val="baseline"/>
                <w:lang w:val="en-US" w:eastAsia="zh-CN"/>
              </w:rPr>
              <w:t>。</w:t>
            </w:r>
          </w:p>
        </w:tc>
      </w:tr>
      <w:tr w14:paraId="2B7CB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9" w:type="dxa"/>
            <w:vMerge w:val="restart"/>
            <w:tcBorders>
              <w:tl2br w:val="nil"/>
              <w:tr2bl w:val="nil"/>
            </w:tcBorders>
            <w:shd w:val="clear" w:color="auto" w:fill="auto"/>
            <w:vAlign w:val="center"/>
          </w:tcPr>
          <w:p w14:paraId="3AF3C3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lang w:val="en-US" w:eastAsia="zh-CN"/>
              </w:rPr>
              <w:t>i</w:t>
            </w:r>
          </w:p>
        </w:tc>
        <w:tc>
          <w:tcPr>
            <w:tcW w:w="2625" w:type="dxa"/>
            <w:gridSpan w:val="2"/>
            <w:tcBorders>
              <w:tl2br w:val="nil"/>
              <w:tr2bl w:val="nil"/>
            </w:tcBorders>
            <w:vAlign w:val="center"/>
          </w:tcPr>
          <w:p w14:paraId="160515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牛：2.5m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/头</w:t>
            </w:r>
          </w:p>
          <w:p w14:paraId="4A8625DF">
            <w:pPr>
              <w:pStyle w:val="34"/>
              <w:ind w:firstLine="630" w:firstLineChars="300"/>
              <w:jc w:val="both"/>
              <w:rPr>
                <w:rFonts w:hint="default"/>
                <w:lang w:val="en-US" w:eastAsia="zh-CN"/>
              </w:rPr>
            </w:pPr>
            <w:r>
              <w:rPr>
                <w:rFonts w:hint="eastAsia" w:ascii="Times New Roman" w:hAnsi="Times New Roman" w:eastAsia="宋体" w:cs="Times New Roman"/>
                <w:color w:val="auto"/>
                <w:sz w:val="21"/>
                <w:szCs w:val="21"/>
                <w:lang w:val="en-US" w:eastAsia="zh-CN"/>
              </w:rPr>
              <w:t>羊：</w:t>
            </w:r>
            <w:r>
              <w:rPr>
                <w:rFonts w:hint="eastAsia" w:ascii="Times New Roman" w:hAnsi="Times New Roman" w:cs="Times New Roman"/>
                <w:color w:val="auto"/>
                <w:sz w:val="24"/>
                <w:highlight w:val="none"/>
                <w:lang w:val="en-US" w:eastAsia="zh-CN"/>
              </w:rPr>
              <w:t>0.3</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/头</w:t>
            </w:r>
          </w:p>
        </w:tc>
        <w:tc>
          <w:tcPr>
            <w:tcW w:w="5374" w:type="dxa"/>
            <w:tcBorders>
              <w:tl2br w:val="nil"/>
              <w:tr2bl w:val="nil"/>
            </w:tcBorders>
            <w:vAlign w:val="center"/>
          </w:tcPr>
          <w:p w14:paraId="4A57D7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《屠宰及肉类加工工业水污染物排放标准》（GB13457-2025）表2单位产品基准排水量，</w:t>
            </w:r>
            <w:r>
              <w:rPr>
                <w:rFonts w:hint="eastAsia" w:ascii="Times New Roman" w:hAnsi="Times New Roman" w:eastAsia="宋体" w:cs="Times New Roman"/>
                <w:color w:val="auto"/>
                <w:sz w:val="21"/>
                <w:szCs w:val="21"/>
                <w:lang w:val="en-US" w:eastAsia="zh-CN"/>
              </w:rPr>
              <w:t>牛：2.5m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/头、羊：</w:t>
            </w:r>
            <w:r>
              <w:rPr>
                <w:rFonts w:hint="eastAsia" w:ascii="Times New Roman" w:hAnsi="Times New Roman" w:cs="Times New Roman"/>
                <w:color w:val="auto"/>
                <w:sz w:val="21"/>
                <w:szCs w:val="21"/>
                <w:highlight w:val="none"/>
                <w:lang w:val="en-US" w:eastAsia="zh-CN"/>
              </w:rPr>
              <w:t>0.3</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/头。</w:t>
            </w:r>
          </w:p>
        </w:tc>
      </w:tr>
      <w:tr w14:paraId="74529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9" w:type="dxa"/>
            <w:vMerge w:val="continue"/>
            <w:tcBorders>
              <w:tl2br w:val="nil"/>
              <w:tr2bl w:val="nil"/>
            </w:tcBorders>
            <w:shd w:val="clear" w:color="auto" w:fill="auto"/>
            <w:vAlign w:val="center"/>
          </w:tcPr>
          <w:p w14:paraId="0E07D5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625" w:type="dxa"/>
            <w:gridSpan w:val="2"/>
            <w:tcBorders>
              <w:tl2br w:val="nil"/>
              <w:tr2bl w:val="nil"/>
            </w:tcBorders>
            <w:vAlign w:val="center"/>
          </w:tcPr>
          <w:p w14:paraId="78D59A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牛：0.45m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/头</w:t>
            </w:r>
          </w:p>
          <w:p w14:paraId="6ECFE3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highlight w:val="none"/>
                <w:lang w:val="en-US" w:eastAsia="zh-CN"/>
              </w:rPr>
              <w:t>羊</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0.09m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/头</w:t>
            </w:r>
          </w:p>
        </w:tc>
        <w:tc>
          <w:tcPr>
            <w:tcW w:w="5374" w:type="dxa"/>
            <w:tcBorders>
              <w:tl2br w:val="nil"/>
              <w:tr2bl w:val="nil"/>
            </w:tcBorders>
            <w:vAlign w:val="center"/>
          </w:tcPr>
          <w:p w14:paraId="4F44A7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本项目年屠宰牛</w:t>
            </w:r>
            <w:r>
              <w:rPr>
                <w:rFonts w:hint="eastAsia" w:ascii="Times New Roman" w:hAnsi="Times New Roman" w:eastAsia="宋体" w:cs="Times New Roman"/>
                <w:color w:val="auto"/>
                <w:sz w:val="21"/>
                <w:szCs w:val="21"/>
                <w:vertAlign w:val="baseline"/>
                <w:lang w:val="en-US" w:eastAsia="zh-CN"/>
              </w:rPr>
              <w:t>10000头，牛屠宰废水产生量为4500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/a。年屠宰羊150000只，羊屠宰废水产生量为13500m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/a。计算得</w:t>
            </w:r>
            <w:r>
              <w:rPr>
                <w:rFonts w:hint="default" w:ascii="Times New Roman" w:hAnsi="Times New Roman" w:cs="Times New Roman" w:eastAsiaTheme="minorEastAsia"/>
                <w:color w:val="auto"/>
                <w:sz w:val="21"/>
                <w:szCs w:val="21"/>
                <w:highlight w:val="none"/>
                <w:lang w:val="en-US" w:eastAsia="zh-CN"/>
              </w:rPr>
              <w:t>牛</w:t>
            </w:r>
            <w:r>
              <w:rPr>
                <w:rFonts w:hint="eastAsia" w:ascii="Times New Roman" w:hAnsi="Times New Roman" w:cs="Times New Roman" w:eastAsiaTheme="minorEastAsia"/>
                <w:color w:val="auto"/>
                <w:sz w:val="21"/>
                <w:szCs w:val="21"/>
                <w:highlight w:val="none"/>
                <w:lang w:val="en-US" w:eastAsia="zh-CN"/>
              </w:rPr>
              <w:t>排水量为</w:t>
            </w:r>
            <w:r>
              <w:rPr>
                <w:rFonts w:hint="default" w:ascii="Times New Roman" w:hAnsi="Times New Roman" w:cs="Times New Roman" w:eastAsiaTheme="minorEastAsia"/>
                <w:color w:val="auto"/>
                <w:sz w:val="21"/>
                <w:szCs w:val="21"/>
                <w:highlight w:val="none"/>
                <w:lang w:val="en-US" w:eastAsia="zh-CN"/>
              </w:rPr>
              <w:t>0.45m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/头</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羊0.09m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/头</w:t>
            </w:r>
            <w:r>
              <w:rPr>
                <w:rFonts w:hint="eastAsia" w:ascii="Times New Roman" w:hAnsi="Times New Roman" w:cs="Times New Roman" w:eastAsiaTheme="minorEastAsia"/>
                <w:color w:val="auto"/>
                <w:sz w:val="21"/>
                <w:szCs w:val="21"/>
                <w:highlight w:val="none"/>
                <w:lang w:val="en-US" w:eastAsia="zh-CN"/>
              </w:rPr>
              <w:t>。</w:t>
            </w:r>
          </w:p>
        </w:tc>
      </w:tr>
    </w:tbl>
    <w:p w14:paraId="151C16BB">
      <w:pPr>
        <w:bidi w:val="0"/>
        <w:rPr>
          <w:rFonts w:hint="default"/>
          <w:color w:val="auto"/>
          <w:lang w:val="en-US" w:eastAsia="zh-CN"/>
        </w:rPr>
      </w:pPr>
      <w:r>
        <w:rPr>
          <w:rFonts w:hint="eastAsia"/>
          <w:color w:val="auto"/>
          <w:lang w:val="en-US" w:eastAsia="zh-CN"/>
        </w:rPr>
        <w:t>根据上式计算结果如下：</w:t>
      </w:r>
    </w:p>
    <w:p w14:paraId="684454E6">
      <w:pPr>
        <w:bidi w:val="0"/>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表8.3-</w:t>
      </w:r>
      <w:r>
        <w:rPr>
          <w:rFonts w:hint="eastAsia" w:eastAsia="宋体" w:cs="Times New Roman"/>
          <w:color w:val="auto"/>
          <w:sz w:val="21"/>
          <w:szCs w:val="21"/>
          <w:lang w:val="en-US" w:eastAsia="zh-CN"/>
        </w:rPr>
        <w:t>2</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lang w:val="en-US" w:eastAsia="zh-CN"/>
        </w:rPr>
        <w:t>排污单位污染物</w:t>
      </w:r>
      <w:r>
        <w:rPr>
          <w:rFonts w:hint="eastAsia" w:ascii="Times New Roman" w:hAnsi="Times New Roman" w:eastAsia="宋体" w:cs="Times New Roman"/>
          <w:b/>
          <w:bCs/>
          <w:color w:val="auto"/>
          <w:lang w:val="en-US" w:eastAsia="zh-CN"/>
        </w:rPr>
        <w:t>排污权交易量</w:t>
      </w:r>
      <w:r>
        <w:rPr>
          <w:rFonts w:hint="default" w:ascii="Times New Roman" w:hAnsi="Times New Roman" w:eastAsia="宋体" w:cs="Times New Roman"/>
          <w:b/>
          <w:bCs/>
          <w:color w:val="auto"/>
          <w:lang w:val="en-US" w:eastAsia="zh-CN"/>
        </w:rPr>
        <w:t>计算</w:t>
      </w:r>
      <w:r>
        <w:rPr>
          <w:rFonts w:hint="eastAsia" w:eastAsia="宋体" w:cs="Times New Roman"/>
          <w:b/>
          <w:bCs/>
          <w:color w:val="auto"/>
          <w:lang w:val="en-US" w:eastAsia="zh-CN"/>
        </w:rPr>
        <w:t>结果</w:t>
      </w:r>
      <w:r>
        <w:rPr>
          <w:rFonts w:hint="default" w:ascii="Times New Roman" w:hAnsi="Times New Roman" w:eastAsia="宋体" w:cs="Times New Roman"/>
          <w:b/>
          <w:bCs/>
          <w:color w:val="auto"/>
          <w:lang w:val="en-US" w:eastAsia="zh-CN"/>
        </w:rPr>
        <w:t>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185"/>
        <w:gridCol w:w="2400"/>
        <w:gridCol w:w="2593"/>
      </w:tblGrid>
      <w:tr w14:paraId="2EE20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770" w:type="dxa"/>
            <w:vMerge w:val="restart"/>
            <w:tcBorders>
              <w:tl2br w:val="nil"/>
              <w:tr2bl w:val="nil"/>
            </w:tcBorders>
            <w:vAlign w:val="center"/>
          </w:tcPr>
          <w:p w14:paraId="3964C5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项目</w:t>
            </w:r>
          </w:p>
        </w:tc>
        <w:tc>
          <w:tcPr>
            <w:tcW w:w="2185" w:type="dxa"/>
            <w:vMerge w:val="restart"/>
            <w:tcBorders>
              <w:tl2br w:val="nil"/>
              <w:tr2bl w:val="nil"/>
            </w:tcBorders>
            <w:vAlign w:val="center"/>
          </w:tcPr>
          <w:p w14:paraId="76D90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类别</w:t>
            </w:r>
          </w:p>
        </w:tc>
        <w:tc>
          <w:tcPr>
            <w:tcW w:w="4993" w:type="dxa"/>
            <w:gridSpan w:val="2"/>
            <w:tcBorders>
              <w:tl2br w:val="nil"/>
              <w:tr2bl w:val="nil"/>
            </w:tcBorders>
            <w:vAlign w:val="center"/>
          </w:tcPr>
          <w:p w14:paraId="3A9BF3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排污权交易量</w:t>
            </w:r>
          </w:p>
        </w:tc>
      </w:tr>
      <w:tr w14:paraId="10E24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770" w:type="dxa"/>
            <w:vMerge w:val="continue"/>
            <w:tcBorders>
              <w:tl2br w:val="nil"/>
              <w:tr2bl w:val="nil"/>
            </w:tcBorders>
            <w:vAlign w:val="center"/>
          </w:tcPr>
          <w:p w14:paraId="33ABBD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185" w:type="dxa"/>
            <w:vMerge w:val="continue"/>
            <w:tcBorders>
              <w:tl2br w:val="nil"/>
              <w:tr2bl w:val="nil"/>
            </w:tcBorders>
            <w:vAlign w:val="center"/>
          </w:tcPr>
          <w:p w14:paraId="0638E8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400" w:type="dxa"/>
            <w:tcBorders>
              <w:tl2br w:val="nil"/>
              <w:tr2bl w:val="nil"/>
            </w:tcBorders>
            <w:vAlign w:val="center"/>
          </w:tcPr>
          <w:p w14:paraId="388FD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COD</w:t>
            </w:r>
          </w:p>
        </w:tc>
        <w:tc>
          <w:tcPr>
            <w:tcW w:w="2593" w:type="dxa"/>
            <w:tcBorders>
              <w:tl2br w:val="nil"/>
              <w:tr2bl w:val="nil"/>
            </w:tcBorders>
            <w:vAlign w:val="center"/>
          </w:tcPr>
          <w:p w14:paraId="730BC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NH</w:t>
            </w:r>
            <w:r>
              <w:rPr>
                <w:rFonts w:hint="default" w:ascii="Times New Roman" w:hAnsi="Times New Roman" w:eastAsia="宋体" w:cs="Times New Roman"/>
                <w:b/>
                <w:bCs/>
                <w:color w:val="auto"/>
                <w:sz w:val="21"/>
                <w:szCs w:val="21"/>
                <w:vertAlign w:val="subscript"/>
                <w:lang w:val="en-US" w:eastAsia="zh-CN"/>
              </w:rPr>
              <w:t>3</w:t>
            </w:r>
            <w:r>
              <w:rPr>
                <w:rFonts w:hint="default" w:ascii="Times New Roman" w:hAnsi="Times New Roman" w:eastAsia="宋体" w:cs="Times New Roman"/>
                <w:b/>
                <w:bCs/>
                <w:color w:val="auto"/>
                <w:sz w:val="21"/>
                <w:szCs w:val="21"/>
                <w:vertAlign w:val="baseline"/>
                <w:lang w:val="en-US" w:eastAsia="zh-CN"/>
              </w:rPr>
              <w:t>-N</w:t>
            </w:r>
          </w:p>
        </w:tc>
      </w:tr>
      <w:tr w14:paraId="53FA7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770" w:type="dxa"/>
            <w:vMerge w:val="restart"/>
            <w:tcBorders>
              <w:tl2br w:val="nil"/>
              <w:tr2bl w:val="nil"/>
            </w:tcBorders>
            <w:vAlign w:val="center"/>
          </w:tcPr>
          <w:p w14:paraId="7B04B2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D</w:t>
            </w:r>
            <w:r>
              <w:rPr>
                <w:rFonts w:hint="eastAsia"/>
                <w:color w:val="auto"/>
                <w:sz w:val="21"/>
                <w:szCs w:val="21"/>
                <w:vertAlign w:val="subscript"/>
                <w:lang w:val="en-US" w:eastAsia="zh-CN"/>
              </w:rPr>
              <w:t>j</w:t>
            </w:r>
          </w:p>
        </w:tc>
        <w:tc>
          <w:tcPr>
            <w:tcW w:w="2185" w:type="dxa"/>
            <w:tcBorders>
              <w:tl2br w:val="nil"/>
              <w:tr2bl w:val="nil"/>
            </w:tcBorders>
            <w:vAlign w:val="center"/>
          </w:tcPr>
          <w:p w14:paraId="034FD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行业规范计算量</w:t>
            </w:r>
          </w:p>
        </w:tc>
        <w:tc>
          <w:tcPr>
            <w:tcW w:w="2400" w:type="dxa"/>
            <w:tcBorders>
              <w:tl2br w:val="nil"/>
              <w:tr2bl w:val="nil"/>
            </w:tcBorders>
            <w:vAlign w:val="center"/>
          </w:tcPr>
          <w:p w14:paraId="394BD7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3.5t/a</w:t>
            </w:r>
          </w:p>
        </w:tc>
        <w:tc>
          <w:tcPr>
            <w:tcW w:w="2593" w:type="dxa"/>
            <w:tcBorders>
              <w:tl2br w:val="nil"/>
              <w:tr2bl w:val="nil"/>
            </w:tcBorders>
            <w:vAlign w:val="center"/>
          </w:tcPr>
          <w:p w14:paraId="3EAA0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0.56t/a</w:t>
            </w:r>
          </w:p>
        </w:tc>
      </w:tr>
      <w:tr w14:paraId="40204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70" w:type="dxa"/>
            <w:vMerge w:val="continue"/>
            <w:tcBorders>
              <w:tl2br w:val="nil"/>
              <w:tr2bl w:val="nil"/>
            </w:tcBorders>
            <w:vAlign w:val="center"/>
          </w:tcPr>
          <w:p w14:paraId="6D787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185" w:type="dxa"/>
            <w:tcBorders>
              <w:tl2br w:val="nil"/>
              <w:tr2bl w:val="nil"/>
            </w:tcBorders>
            <w:vAlign w:val="center"/>
          </w:tcPr>
          <w:p w14:paraId="329A6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环评计算量</w:t>
            </w:r>
          </w:p>
        </w:tc>
        <w:tc>
          <w:tcPr>
            <w:tcW w:w="2400" w:type="dxa"/>
            <w:tcBorders>
              <w:tl2br w:val="nil"/>
              <w:tr2bl w:val="nil"/>
            </w:tcBorders>
            <w:vAlign w:val="center"/>
          </w:tcPr>
          <w:p w14:paraId="7B2BC5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0.9t/a</w:t>
            </w:r>
          </w:p>
        </w:tc>
        <w:tc>
          <w:tcPr>
            <w:tcW w:w="2593" w:type="dxa"/>
            <w:tcBorders>
              <w:tl2br w:val="nil"/>
              <w:tr2bl w:val="nil"/>
            </w:tcBorders>
            <w:vAlign w:val="center"/>
          </w:tcPr>
          <w:p w14:paraId="05A076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0.144t/a</w:t>
            </w:r>
          </w:p>
        </w:tc>
      </w:tr>
    </w:tbl>
    <w:p w14:paraId="3CF7D84E">
      <w:pPr>
        <w:bidi w:val="0"/>
        <w:rPr>
          <w:rFonts w:hint="eastAsia"/>
          <w:color w:val="auto"/>
          <w:lang w:val="en-US" w:eastAsia="zh-CN"/>
        </w:rPr>
      </w:pPr>
      <w:r>
        <w:rPr>
          <w:rFonts w:hint="eastAsia"/>
          <w:color w:val="auto"/>
          <w:lang w:val="en-US" w:eastAsia="zh-CN"/>
        </w:rPr>
        <w:t>根据宁环办发〔2021〕41号《关于开展主要污染物排污权确权等工作的通知》中从严核定的要求，本项目COD排污权交易量为0.9t/a，NH</w:t>
      </w:r>
      <w:r>
        <w:rPr>
          <w:rFonts w:hint="eastAsia"/>
          <w:color w:val="auto"/>
          <w:vertAlign w:val="subscript"/>
          <w:lang w:val="en-US" w:eastAsia="zh-CN"/>
        </w:rPr>
        <w:t>3</w:t>
      </w:r>
      <w:r>
        <w:rPr>
          <w:rFonts w:hint="eastAsia"/>
          <w:color w:val="auto"/>
          <w:lang w:val="en-US" w:eastAsia="zh-CN"/>
        </w:rPr>
        <w:t>-N排污权交易量为0.144t/a。</w:t>
      </w:r>
    </w:p>
    <w:p w14:paraId="11D6C50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644" w:name="_Toc9029"/>
      <w:bookmarkStart w:id="645" w:name="_Toc8246"/>
      <w:bookmarkStart w:id="646" w:name="_Toc2637"/>
      <w:bookmarkStart w:id="647" w:name="_Toc21416"/>
      <w:bookmarkStart w:id="648" w:name="_Toc8687"/>
      <w:bookmarkStart w:id="649" w:name="_Toc14444"/>
      <w:bookmarkStart w:id="650" w:name="_Toc31965"/>
      <w:bookmarkStart w:id="651" w:name="_Toc5312"/>
      <w:bookmarkStart w:id="652" w:name="_Toc17518"/>
      <w:r>
        <w:rPr>
          <w:rFonts w:hint="default" w:ascii="Times New Roman" w:hAnsi="Times New Roman" w:eastAsia="黑体" w:cs="Times New Roman"/>
          <w:b/>
          <w:color w:val="auto"/>
          <w:sz w:val="28"/>
          <w:szCs w:val="28"/>
          <w:highlight w:val="none"/>
          <w:lang w:val="en-US" w:eastAsia="zh-CN"/>
        </w:rPr>
        <w:t>8.4排污口规范化管理</w:t>
      </w:r>
      <w:bookmarkEnd w:id="644"/>
      <w:bookmarkEnd w:id="645"/>
      <w:bookmarkEnd w:id="646"/>
      <w:bookmarkEnd w:id="647"/>
      <w:bookmarkEnd w:id="648"/>
      <w:bookmarkEnd w:id="649"/>
      <w:bookmarkEnd w:id="650"/>
      <w:bookmarkEnd w:id="651"/>
      <w:bookmarkEnd w:id="652"/>
    </w:p>
    <w:p w14:paraId="1A0047DE">
      <w:pPr>
        <w:bidi w:val="0"/>
        <w:rPr>
          <w:rFonts w:hint="eastAsia"/>
          <w:color w:val="auto"/>
          <w:lang w:val="en-US" w:eastAsia="zh-CN"/>
        </w:rPr>
      </w:pPr>
      <w:r>
        <w:rPr>
          <w:rFonts w:asciiTheme="minorHAnsi" w:hAnsiTheme="minorHAnsi"/>
          <w:color w:val="auto"/>
        </w:rPr>
        <w:t>根据国家标准《环境保护图形标志-排放口（源）》和原国家环保总局《排污口规范化整治要求（试行）》的技术要求，企业所有排放口必须按照“便于采样、便于计量监测、便于日常现场监督检查”的原则和规范化要求，设置排污口标志牌，绘制企业排污口公布图，对治理设施安装运行监控装置。排污口规范化建设要与主体工程及环保工程同时设计、同时施工、同时投入使用。</w:t>
      </w:r>
    </w:p>
    <w:p w14:paraId="088E1A60">
      <w:pPr>
        <w:pStyle w:val="2"/>
        <w:widowControl w:val="0"/>
        <w:adjustRightInd/>
        <w:snapToGrid/>
        <w:ind w:firstLine="0" w:firstLineChars="0"/>
        <w:outlineLvl w:val="2"/>
        <w:rPr>
          <w:rFonts w:hint="default" w:ascii="Times New Roman" w:hAnsi="Times New Roman" w:eastAsia="黑体" w:cs="Times New Roman"/>
          <w:b/>
          <w:bCs/>
          <w:color w:val="auto"/>
          <w:kern w:val="2"/>
          <w:sz w:val="28"/>
          <w:szCs w:val="32"/>
          <w:highlight w:val="none"/>
        </w:rPr>
      </w:pPr>
      <w:bookmarkStart w:id="653" w:name="_Toc530"/>
      <w:bookmarkStart w:id="654" w:name="_Toc477763239"/>
      <w:r>
        <w:rPr>
          <w:rFonts w:hint="default" w:ascii="Times New Roman" w:hAnsi="Times New Roman" w:eastAsia="黑体" w:cs="Times New Roman"/>
          <w:b/>
          <w:bCs/>
          <w:color w:val="auto"/>
          <w:kern w:val="2"/>
          <w:sz w:val="28"/>
          <w:szCs w:val="32"/>
          <w:highlight w:val="none"/>
        </w:rPr>
        <w:t>8.4.1排污口立标</w:t>
      </w:r>
      <w:bookmarkEnd w:id="653"/>
      <w:bookmarkEnd w:id="654"/>
    </w:p>
    <w:p w14:paraId="64CD4138">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业污染物排放口标志，应按照《环境保护图形标志排放口》（15562.1-1995）、《环境保护图形标志－固体废物储存（处置）场》（15562.2-1995）及《危险废物识别标志设置技术规范（HJ1276-2022）》中的有关规定，设置</w:t>
      </w:r>
      <w:r>
        <w:rPr>
          <w:rFonts w:hint="eastAsia" w:ascii="Times New Roman" w:hAnsi="Times New Roman" w:cs="Times New Roman"/>
          <w:color w:val="auto"/>
          <w:lang w:eastAsia="zh-CN"/>
        </w:rPr>
        <w:t>生态环境部</w:t>
      </w:r>
      <w:r>
        <w:rPr>
          <w:rFonts w:hint="default" w:ascii="Times New Roman" w:hAnsi="Times New Roman" w:eastAsia="仿宋_GB2312" w:cs="Times New Roman"/>
          <w:color w:val="auto"/>
        </w:rPr>
        <w:t>统一制作的环境保护图形标志牌，排放口图形标志见图</w:t>
      </w:r>
      <w:r>
        <w:rPr>
          <w:rFonts w:hint="eastAsia" w:ascii="Times New Roman" w:hAnsi="Times New Roman" w:cs="Times New Roman"/>
          <w:color w:val="auto"/>
          <w:lang w:val="en-US" w:eastAsia="zh-CN"/>
        </w:rPr>
        <w:t>8.4</w:t>
      </w:r>
      <w:r>
        <w:rPr>
          <w:rFonts w:hint="default" w:ascii="Times New Roman" w:hAnsi="Times New Roman" w:eastAsia="仿宋_GB2312" w:cs="Times New Roman"/>
          <w:color w:val="auto"/>
        </w:rPr>
        <w:t>-1及图</w:t>
      </w:r>
      <w:r>
        <w:rPr>
          <w:rFonts w:hint="eastAsia" w:ascii="Times New Roman" w:hAnsi="Times New Roman" w:cs="Times New Roman"/>
          <w:color w:val="auto"/>
          <w:lang w:val="en-US" w:eastAsia="zh-CN"/>
        </w:rPr>
        <w:t>8.4</w:t>
      </w:r>
      <w:r>
        <w:rPr>
          <w:rFonts w:hint="default" w:ascii="Times New Roman" w:hAnsi="Times New Roman" w:eastAsia="仿宋_GB2312" w:cs="Times New Roman"/>
          <w:color w:val="auto"/>
        </w:rPr>
        <w:t>-2。</w:t>
      </w:r>
    </w:p>
    <w:p w14:paraId="7D8CC06C">
      <w:pPr>
        <w:ind w:firstLine="0" w:firstLineChars="0"/>
        <w:jc w:val="center"/>
        <w:rPr>
          <w:rFonts w:asciiTheme="minorHAnsi" w:hAnsiTheme="minorHAnsi"/>
          <w:color w:val="auto"/>
        </w:rPr>
      </w:pPr>
      <w:r>
        <w:rPr>
          <w:rFonts w:cs="Times New Roman" w:asciiTheme="minorHAnsi" w:hAnsiTheme="minorHAnsi"/>
          <w:color w:val="auto"/>
        </w:rPr>
        <w:drawing>
          <wp:inline distT="0" distB="0" distL="114300" distR="114300">
            <wp:extent cx="5530215" cy="2933700"/>
            <wp:effectExtent l="19050" t="19050" r="32385" b="1905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122"/>
                    <a:stretch>
                      <a:fillRect/>
                    </a:stretch>
                  </pic:blipFill>
                  <pic:spPr>
                    <a:xfrm>
                      <a:off x="0" y="0"/>
                      <a:ext cx="5530215" cy="2933700"/>
                    </a:xfrm>
                    <a:prstGeom prst="rect">
                      <a:avLst/>
                    </a:prstGeom>
                    <a:noFill/>
                    <a:ln w="19050" cap="flat" cmpd="sng">
                      <a:solidFill>
                        <a:srgbClr val="000000"/>
                      </a:solidFill>
                      <a:prstDash val="solid"/>
                      <a:miter/>
                      <a:headEnd type="none" w="med" len="med"/>
                      <a:tailEnd type="none" w="med" len="med"/>
                    </a:ln>
                  </pic:spPr>
                </pic:pic>
              </a:graphicData>
            </a:graphic>
          </wp:inline>
        </w:drawing>
      </w:r>
    </w:p>
    <w:p w14:paraId="1BBEE433">
      <w:pPr>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图</w:t>
      </w:r>
      <w:r>
        <w:rPr>
          <w:rFonts w:hint="eastAsia" w:ascii="Times New Roman" w:hAnsi="Times New Roman" w:eastAsia="宋体" w:cs="Times New Roman"/>
          <w:b/>
          <w:bCs/>
          <w:color w:val="auto"/>
          <w:lang w:val="en-US" w:eastAsia="zh-CN"/>
        </w:rPr>
        <w:t>8.4-1</w:t>
      </w:r>
      <w:r>
        <w:rPr>
          <w:rFonts w:hint="default" w:ascii="Times New Roman" w:hAnsi="Times New Roman" w:eastAsia="宋体" w:cs="Times New Roman"/>
          <w:b/>
          <w:bCs/>
          <w:color w:val="auto"/>
        </w:rPr>
        <w:t xml:space="preserve">   废气、废水、噪声环境保护图形标志示意图</w:t>
      </w:r>
    </w:p>
    <w:p w14:paraId="054540D6">
      <w:pPr>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drawing>
          <wp:inline distT="0" distB="0" distL="114300" distR="114300">
            <wp:extent cx="5507990" cy="4652010"/>
            <wp:effectExtent l="19050" t="19050" r="35560" b="3429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123"/>
                    <a:stretch>
                      <a:fillRect/>
                    </a:stretch>
                  </pic:blipFill>
                  <pic:spPr>
                    <a:xfrm>
                      <a:off x="0" y="0"/>
                      <a:ext cx="5507990" cy="4652010"/>
                    </a:xfrm>
                    <a:prstGeom prst="rect">
                      <a:avLst/>
                    </a:prstGeom>
                    <a:noFill/>
                    <a:ln w="19050" cap="flat" cmpd="sng">
                      <a:solidFill>
                        <a:srgbClr val="000000"/>
                      </a:solidFill>
                      <a:prstDash val="solid"/>
                      <a:miter/>
                      <a:headEnd type="none" w="med" len="med"/>
                      <a:tailEnd type="none" w="med" len="med"/>
                    </a:ln>
                  </pic:spPr>
                </pic:pic>
              </a:graphicData>
            </a:graphic>
          </wp:inline>
        </w:drawing>
      </w:r>
    </w:p>
    <w:p w14:paraId="4CD51015">
      <w:pPr>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图</w:t>
      </w:r>
      <w:r>
        <w:rPr>
          <w:rFonts w:hint="eastAsia" w:ascii="Times New Roman" w:hAnsi="Times New Roman" w:eastAsia="宋体" w:cs="Times New Roman"/>
          <w:b/>
          <w:bCs/>
          <w:color w:val="auto"/>
          <w:lang w:val="en-US" w:eastAsia="zh-CN"/>
        </w:rPr>
        <w:t>8.4-2</w:t>
      </w:r>
      <w:r>
        <w:rPr>
          <w:rFonts w:hint="default" w:ascii="Times New Roman" w:hAnsi="Times New Roman" w:eastAsia="宋体" w:cs="Times New Roman"/>
          <w:b/>
          <w:bCs/>
          <w:color w:val="auto"/>
        </w:rPr>
        <w:t xml:space="preserve">   危险废物环境保护图形标志示意图</w:t>
      </w:r>
    </w:p>
    <w:p w14:paraId="6099F7FD">
      <w:pPr>
        <w:pStyle w:val="2"/>
        <w:widowControl w:val="0"/>
        <w:adjustRightInd/>
        <w:snapToGrid/>
        <w:ind w:firstLine="0" w:firstLineChars="0"/>
        <w:outlineLvl w:val="2"/>
        <w:rPr>
          <w:rFonts w:hint="default" w:ascii="Times New Roman" w:hAnsi="Times New Roman" w:eastAsia="黑体" w:cs="Times New Roman"/>
          <w:b/>
          <w:bCs/>
          <w:color w:val="auto"/>
          <w:kern w:val="2"/>
          <w:sz w:val="28"/>
          <w:szCs w:val="32"/>
          <w:highlight w:val="none"/>
        </w:rPr>
      </w:pPr>
      <w:bookmarkStart w:id="655" w:name="_Toc23860"/>
      <w:r>
        <w:rPr>
          <w:rFonts w:hint="eastAsia" w:ascii="Times New Roman" w:hAnsi="Times New Roman" w:eastAsia="黑体" w:cs="Times New Roman"/>
          <w:b/>
          <w:bCs/>
          <w:color w:val="auto"/>
          <w:kern w:val="2"/>
          <w:sz w:val="28"/>
          <w:szCs w:val="32"/>
          <w:highlight w:val="none"/>
          <w:lang w:val="en-US" w:eastAsia="zh-CN"/>
        </w:rPr>
        <w:t>8.4</w:t>
      </w:r>
      <w:r>
        <w:rPr>
          <w:rFonts w:hint="default" w:ascii="Times New Roman" w:hAnsi="Times New Roman" w:eastAsia="黑体" w:cs="Times New Roman"/>
          <w:b/>
          <w:bCs/>
          <w:color w:val="auto"/>
          <w:kern w:val="2"/>
          <w:sz w:val="28"/>
          <w:szCs w:val="32"/>
          <w:highlight w:val="none"/>
        </w:rPr>
        <w:t>.2排污口管理</w:t>
      </w:r>
      <w:bookmarkEnd w:id="655"/>
    </w:p>
    <w:p w14:paraId="1CA91C6B">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项目排污口规范化管理具体要求见表</w:t>
      </w:r>
      <w:r>
        <w:rPr>
          <w:rFonts w:hint="eastAsia" w:ascii="Times New Roman" w:hAnsi="Times New Roman" w:cs="Times New Roman"/>
          <w:color w:val="auto"/>
          <w:lang w:val="en-US" w:eastAsia="zh-CN"/>
        </w:rPr>
        <w:t>8.4-</w:t>
      </w:r>
      <w:r>
        <w:rPr>
          <w:rFonts w:hint="default" w:ascii="Times New Roman" w:hAnsi="Times New Roman" w:eastAsia="仿宋_GB2312" w:cs="Times New Roman"/>
          <w:color w:val="auto"/>
        </w:rPr>
        <w:t>1。</w:t>
      </w:r>
    </w:p>
    <w:p w14:paraId="537115EC">
      <w:pPr>
        <w:adjustRightInd w:val="0"/>
        <w:snapToGrid w:val="0"/>
        <w:spacing w:line="240" w:lineRule="auto"/>
        <w:ind w:firstLine="420"/>
        <w:rPr>
          <w:rFonts w:eastAsia="宋体" w:cs="Times New Roman" w:asciiTheme="minorHAnsi" w:hAnsiTheme="minorHAnsi"/>
          <w:b/>
          <w:bCs/>
          <w:color w:val="auto"/>
        </w:rPr>
      </w:pPr>
      <w:r>
        <w:rPr>
          <w:rFonts w:hint="default"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8.4</w:t>
      </w:r>
      <w:r>
        <w:rPr>
          <w:rFonts w:hint="default" w:ascii="Times New Roman" w:hAnsi="Times New Roman" w:eastAsia="宋体" w:cs="Times New Roman"/>
          <w:color w:val="auto"/>
          <w:sz w:val="21"/>
          <w:szCs w:val="21"/>
        </w:rPr>
        <w:t>-1</w:t>
      </w:r>
      <w:r>
        <w:rPr>
          <w:rFonts w:eastAsia="宋体" w:cs="Times New Roman" w:asciiTheme="minorHAnsi" w:hAnsiTheme="minorHAnsi"/>
          <w:color w:val="auto"/>
          <w:sz w:val="21"/>
          <w:szCs w:val="21"/>
        </w:rPr>
        <w:t xml:space="preserve">  </w:t>
      </w:r>
      <w:r>
        <w:rPr>
          <w:rFonts w:eastAsia="宋体" w:cs="Times New Roman" w:asciiTheme="minorHAnsi" w:hAnsiTheme="minorHAnsi"/>
          <w:color w:val="auto"/>
        </w:rPr>
        <w:t xml:space="preserve">            </w:t>
      </w:r>
      <w:r>
        <w:rPr>
          <w:rFonts w:eastAsia="宋体" w:cs="Times New Roman" w:asciiTheme="minorHAnsi" w:hAnsiTheme="minorHAnsi"/>
          <w:b/>
          <w:bCs/>
          <w:color w:val="auto"/>
        </w:rPr>
        <w:t>排污口规范化管理要求一览表</w:t>
      </w:r>
    </w:p>
    <w:tbl>
      <w:tblPr>
        <w:tblStyle w:val="27"/>
        <w:tblW w:w="500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926"/>
        <w:gridCol w:w="7932"/>
      </w:tblGrid>
      <w:tr w14:paraId="7BE6D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tblHeader/>
          <w:jc w:val="center"/>
        </w:trPr>
        <w:tc>
          <w:tcPr>
            <w:tcW w:w="926" w:type="dxa"/>
            <w:tcBorders>
              <w:tl2br w:val="nil"/>
              <w:tr2bl w:val="nil"/>
            </w:tcBorders>
            <w:vAlign w:val="center"/>
          </w:tcPr>
          <w:p w14:paraId="3462CF49">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b/>
                <w:bCs/>
                <w:snapToGrid w:val="0"/>
                <w:color w:val="auto"/>
                <w:sz w:val="21"/>
                <w:szCs w:val="21"/>
              </w:rPr>
              <w:t>项目</w:t>
            </w:r>
          </w:p>
        </w:tc>
        <w:tc>
          <w:tcPr>
            <w:tcW w:w="7933" w:type="dxa"/>
            <w:tcBorders>
              <w:tl2br w:val="nil"/>
              <w:tr2bl w:val="nil"/>
            </w:tcBorders>
            <w:vAlign w:val="center"/>
          </w:tcPr>
          <w:p w14:paraId="4DB6E11C">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b/>
                <w:bCs/>
                <w:snapToGrid w:val="0"/>
                <w:color w:val="auto"/>
                <w:sz w:val="21"/>
                <w:szCs w:val="21"/>
              </w:rPr>
              <w:t>主要要求内容</w:t>
            </w:r>
          </w:p>
        </w:tc>
      </w:tr>
      <w:tr w14:paraId="23C38B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restart"/>
            <w:tcBorders>
              <w:tl2br w:val="nil"/>
              <w:tr2bl w:val="nil"/>
            </w:tcBorders>
            <w:vAlign w:val="center"/>
          </w:tcPr>
          <w:p w14:paraId="61807554">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基本</w:t>
            </w:r>
          </w:p>
          <w:p w14:paraId="1821F1F5">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原则</w:t>
            </w:r>
          </w:p>
        </w:tc>
        <w:tc>
          <w:tcPr>
            <w:tcW w:w="7933" w:type="dxa"/>
            <w:tcBorders>
              <w:tl2br w:val="nil"/>
              <w:tr2bl w:val="nil"/>
            </w:tcBorders>
            <w:vAlign w:val="center"/>
          </w:tcPr>
          <w:p w14:paraId="694C00B2">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1.凡向环境排放污染物的一切排污口必须进行规范化管理；</w:t>
            </w:r>
          </w:p>
        </w:tc>
      </w:tr>
      <w:tr w14:paraId="0C1351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continue"/>
            <w:tcBorders>
              <w:tl2br w:val="nil"/>
              <w:tr2bl w:val="nil"/>
            </w:tcBorders>
            <w:vAlign w:val="center"/>
          </w:tcPr>
          <w:p w14:paraId="1FC98C00">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p>
        </w:tc>
        <w:tc>
          <w:tcPr>
            <w:tcW w:w="7933" w:type="dxa"/>
            <w:tcBorders>
              <w:tl2br w:val="nil"/>
              <w:tr2bl w:val="nil"/>
            </w:tcBorders>
            <w:vAlign w:val="center"/>
          </w:tcPr>
          <w:p w14:paraId="120CB1F2">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2.将总量控制的污染物排污口及行业特征污染物排放口列为管理的重点；</w:t>
            </w:r>
          </w:p>
        </w:tc>
      </w:tr>
      <w:tr w14:paraId="6F9285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continue"/>
            <w:tcBorders>
              <w:tl2br w:val="nil"/>
              <w:tr2bl w:val="nil"/>
            </w:tcBorders>
            <w:vAlign w:val="center"/>
          </w:tcPr>
          <w:p w14:paraId="5C2A8B5E">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p>
        </w:tc>
        <w:tc>
          <w:tcPr>
            <w:tcW w:w="7933" w:type="dxa"/>
            <w:tcBorders>
              <w:tl2br w:val="nil"/>
              <w:tr2bl w:val="nil"/>
            </w:tcBorders>
            <w:vAlign w:val="center"/>
          </w:tcPr>
          <w:p w14:paraId="67317641">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3.排污口设置应便于采样和计量监测，便于日常现场监督和检查；</w:t>
            </w:r>
          </w:p>
        </w:tc>
      </w:tr>
      <w:tr w14:paraId="5C6F10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continue"/>
            <w:tcBorders>
              <w:tl2br w:val="nil"/>
              <w:tr2bl w:val="nil"/>
            </w:tcBorders>
            <w:vAlign w:val="center"/>
          </w:tcPr>
          <w:p w14:paraId="630699E9">
            <w:pPr>
              <w:spacing w:line="240" w:lineRule="auto"/>
              <w:ind w:firstLine="0" w:firstLineChars="0"/>
              <w:jc w:val="center"/>
              <w:rPr>
                <w:rFonts w:hint="default" w:ascii="Times New Roman" w:hAnsi="Times New Roman" w:eastAsia="宋体" w:cs="Times New Roman"/>
                <w:snapToGrid w:val="0"/>
                <w:color w:val="auto"/>
                <w:kern w:val="0"/>
                <w:sz w:val="21"/>
                <w:szCs w:val="21"/>
              </w:rPr>
            </w:pPr>
          </w:p>
        </w:tc>
        <w:tc>
          <w:tcPr>
            <w:tcW w:w="7933" w:type="dxa"/>
            <w:tcBorders>
              <w:tl2br w:val="nil"/>
              <w:tr2bl w:val="nil"/>
            </w:tcBorders>
            <w:vAlign w:val="center"/>
          </w:tcPr>
          <w:p w14:paraId="0F4B725D">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rPr>
              <w:t>4.如实向环保行政主管部门申报排污口位置，排污种类、数量、浓度与排放去向等</w:t>
            </w:r>
            <w:r>
              <w:rPr>
                <w:rFonts w:hint="eastAsia" w:eastAsia="宋体" w:cs="Times New Roman"/>
                <w:snapToGrid w:val="0"/>
                <w:color w:val="auto"/>
                <w:sz w:val="21"/>
                <w:szCs w:val="21"/>
                <w:lang w:eastAsia="zh-CN"/>
              </w:rPr>
              <w:t>；</w:t>
            </w:r>
          </w:p>
        </w:tc>
      </w:tr>
      <w:tr w14:paraId="0EBBA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restart"/>
            <w:tcBorders>
              <w:tl2br w:val="nil"/>
              <w:tr2bl w:val="nil"/>
            </w:tcBorders>
            <w:vAlign w:val="center"/>
          </w:tcPr>
          <w:p w14:paraId="2BE3AEEF">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技术</w:t>
            </w:r>
          </w:p>
          <w:p w14:paraId="58BADE57">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要求</w:t>
            </w:r>
          </w:p>
        </w:tc>
        <w:tc>
          <w:tcPr>
            <w:tcW w:w="7933" w:type="dxa"/>
            <w:tcBorders>
              <w:tl2br w:val="nil"/>
              <w:tr2bl w:val="nil"/>
            </w:tcBorders>
            <w:vAlign w:val="center"/>
          </w:tcPr>
          <w:p w14:paraId="13F08F71">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1.排污口位置必须按照要求合理确定，实行规范化管理；</w:t>
            </w:r>
          </w:p>
        </w:tc>
      </w:tr>
      <w:tr w14:paraId="5884B0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continue"/>
            <w:tcBorders>
              <w:tl2br w:val="nil"/>
              <w:tr2bl w:val="nil"/>
            </w:tcBorders>
            <w:vAlign w:val="center"/>
          </w:tcPr>
          <w:p w14:paraId="4F38B8A2">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p>
        </w:tc>
        <w:tc>
          <w:tcPr>
            <w:tcW w:w="7933" w:type="dxa"/>
            <w:tcBorders>
              <w:tl2br w:val="nil"/>
              <w:tr2bl w:val="nil"/>
            </w:tcBorders>
            <w:vAlign w:val="center"/>
          </w:tcPr>
          <w:p w14:paraId="4E100B0C">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2.具体设置应符合《污染源监测技术规范》的规定与要求；</w:t>
            </w:r>
          </w:p>
        </w:tc>
      </w:tr>
      <w:tr w14:paraId="1FF614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restart"/>
            <w:tcBorders>
              <w:tl2br w:val="nil"/>
              <w:tr2bl w:val="nil"/>
            </w:tcBorders>
            <w:vAlign w:val="center"/>
          </w:tcPr>
          <w:p w14:paraId="756BD40E">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立标</w:t>
            </w:r>
          </w:p>
          <w:p w14:paraId="44B320BC">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管理</w:t>
            </w:r>
          </w:p>
        </w:tc>
        <w:tc>
          <w:tcPr>
            <w:tcW w:w="7933" w:type="dxa"/>
            <w:tcBorders>
              <w:tl2br w:val="nil"/>
              <w:tr2bl w:val="nil"/>
            </w:tcBorders>
            <w:vAlign w:val="center"/>
          </w:tcPr>
          <w:p w14:paraId="26FBABAF">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1.排污口必须按照国家《环境保护图形标志》相关规定，设置环保图形标志牌；</w:t>
            </w:r>
          </w:p>
        </w:tc>
      </w:tr>
      <w:tr w14:paraId="3BFD47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continue"/>
            <w:tcBorders>
              <w:tl2br w:val="nil"/>
              <w:tr2bl w:val="nil"/>
            </w:tcBorders>
            <w:vAlign w:val="center"/>
          </w:tcPr>
          <w:p w14:paraId="3E897144">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p>
        </w:tc>
        <w:tc>
          <w:tcPr>
            <w:tcW w:w="7933" w:type="dxa"/>
            <w:tcBorders>
              <w:tl2br w:val="nil"/>
              <w:tr2bl w:val="nil"/>
            </w:tcBorders>
            <w:vAlign w:val="center"/>
          </w:tcPr>
          <w:p w14:paraId="39CB014A">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2.标志牌设置位置应距排污口及固体废物贮存</w:t>
            </w:r>
            <w:r>
              <w:rPr>
                <w:rFonts w:hint="eastAsia" w:ascii="Times New Roman" w:hAnsi="Times New Roman" w:eastAsia="宋体" w:cs="Times New Roman"/>
                <w:snapToGrid w:val="0"/>
                <w:color w:val="auto"/>
                <w:sz w:val="21"/>
                <w:szCs w:val="21"/>
                <w:lang w:eastAsia="zh-CN"/>
              </w:rPr>
              <w:t>（</w:t>
            </w:r>
            <w:r>
              <w:rPr>
                <w:rFonts w:hint="default" w:ascii="Times New Roman" w:hAnsi="Times New Roman" w:eastAsia="宋体" w:cs="Times New Roman"/>
                <w:snapToGrid w:val="0"/>
                <w:color w:val="auto"/>
                <w:sz w:val="21"/>
                <w:szCs w:val="21"/>
              </w:rPr>
              <w:t>处置</w:t>
            </w:r>
            <w:r>
              <w:rPr>
                <w:rFonts w:hint="eastAsia" w:ascii="Times New Roman" w:hAnsi="Times New Roman" w:eastAsia="宋体" w:cs="Times New Roman"/>
                <w:snapToGrid w:val="0"/>
                <w:color w:val="auto"/>
                <w:sz w:val="21"/>
                <w:szCs w:val="21"/>
                <w:lang w:eastAsia="zh-CN"/>
              </w:rPr>
              <w:t>）</w:t>
            </w:r>
            <w:r>
              <w:rPr>
                <w:rFonts w:hint="default" w:ascii="Times New Roman" w:hAnsi="Times New Roman" w:eastAsia="宋体" w:cs="Times New Roman"/>
                <w:snapToGrid w:val="0"/>
                <w:color w:val="auto"/>
                <w:sz w:val="21"/>
                <w:szCs w:val="21"/>
              </w:rPr>
              <w:t>场或采样点较近且醒目处，设置高度一般为标志牌上缘距离地面约2m；</w:t>
            </w:r>
          </w:p>
        </w:tc>
      </w:tr>
      <w:tr w14:paraId="13E197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continue"/>
            <w:tcBorders>
              <w:tl2br w:val="nil"/>
              <w:tr2bl w:val="nil"/>
            </w:tcBorders>
            <w:vAlign w:val="center"/>
          </w:tcPr>
          <w:p w14:paraId="7EAFCE7B">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p>
        </w:tc>
        <w:tc>
          <w:tcPr>
            <w:tcW w:w="7933" w:type="dxa"/>
            <w:tcBorders>
              <w:tl2br w:val="nil"/>
              <w:tr2bl w:val="nil"/>
            </w:tcBorders>
            <w:vAlign w:val="center"/>
          </w:tcPr>
          <w:p w14:paraId="39913D18">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3.重点排污单位排污口设立式标志牌，一般单位排污口可设立式或平面固定式提示性环保图形标志牌；</w:t>
            </w:r>
          </w:p>
        </w:tc>
      </w:tr>
      <w:tr w14:paraId="3A79B2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continue"/>
            <w:tcBorders>
              <w:tl2br w:val="nil"/>
              <w:tr2bl w:val="nil"/>
            </w:tcBorders>
            <w:vAlign w:val="center"/>
          </w:tcPr>
          <w:p w14:paraId="50841558">
            <w:pPr>
              <w:spacing w:line="240" w:lineRule="auto"/>
              <w:ind w:firstLine="0" w:firstLineChars="0"/>
              <w:jc w:val="center"/>
              <w:rPr>
                <w:rFonts w:hint="default" w:ascii="Times New Roman" w:hAnsi="Times New Roman" w:eastAsia="宋体" w:cs="Times New Roman"/>
                <w:snapToGrid w:val="0"/>
                <w:color w:val="auto"/>
                <w:kern w:val="0"/>
                <w:sz w:val="21"/>
                <w:szCs w:val="21"/>
              </w:rPr>
            </w:pPr>
          </w:p>
        </w:tc>
        <w:tc>
          <w:tcPr>
            <w:tcW w:w="7933" w:type="dxa"/>
            <w:tcBorders>
              <w:tl2br w:val="nil"/>
              <w:tr2bl w:val="nil"/>
            </w:tcBorders>
            <w:vAlign w:val="center"/>
          </w:tcPr>
          <w:p w14:paraId="7633C0D5">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4.对危险物贮存、处置场所，必须设置警告性环境保护图形标志牌</w:t>
            </w:r>
          </w:p>
        </w:tc>
      </w:tr>
      <w:tr w14:paraId="09C3F1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restart"/>
            <w:tcBorders>
              <w:tl2br w:val="nil"/>
              <w:tr2bl w:val="nil"/>
            </w:tcBorders>
            <w:vAlign w:val="center"/>
          </w:tcPr>
          <w:p w14:paraId="69CF1841">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建档</w:t>
            </w:r>
          </w:p>
          <w:p w14:paraId="48E26542">
            <w:pPr>
              <w:pStyle w:val="38"/>
              <w:adjustRightInd/>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管理</w:t>
            </w:r>
          </w:p>
        </w:tc>
        <w:tc>
          <w:tcPr>
            <w:tcW w:w="7933" w:type="dxa"/>
            <w:tcBorders>
              <w:tl2br w:val="nil"/>
              <w:tr2bl w:val="nil"/>
            </w:tcBorders>
            <w:vAlign w:val="center"/>
          </w:tcPr>
          <w:p w14:paraId="3053612E">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1.使用《中华人民共和国规范化排污口标志登记证》，并按要求填写有关内容；</w:t>
            </w:r>
          </w:p>
        </w:tc>
      </w:tr>
      <w:tr w14:paraId="4A4EC1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continue"/>
            <w:tcBorders>
              <w:tl2br w:val="nil"/>
              <w:tr2bl w:val="nil"/>
            </w:tcBorders>
            <w:vAlign w:val="center"/>
          </w:tcPr>
          <w:p w14:paraId="3D0693DF">
            <w:pPr>
              <w:pStyle w:val="38"/>
              <w:adjustRightInd/>
              <w:spacing w:line="240" w:lineRule="auto"/>
              <w:ind w:firstLine="0" w:firstLineChars="0"/>
              <w:jc w:val="both"/>
              <w:rPr>
                <w:rFonts w:hint="default" w:ascii="Times New Roman" w:hAnsi="Times New Roman" w:eastAsia="宋体" w:cs="Times New Roman"/>
                <w:snapToGrid w:val="0"/>
                <w:color w:val="auto"/>
                <w:sz w:val="21"/>
                <w:szCs w:val="21"/>
              </w:rPr>
            </w:pPr>
          </w:p>
        </w:tc>
        <w:tc>
          <w:tcPr>
            <w:tcW w:w="7933" w:type="dxa"/>
            <w:tcBorders>
              <w:tl2br w:val="nil"/>
              <w:tr2bl w:val="nil"/>
            </w:tcBorders>
            <w:vAlign w:val="center"/>
          </w:tcPr>
          <w:p w14:paraId="4063A8C7">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2.严格按照环境管理监控计划及排污口管理内容要求，在项目建成后将主要污染物种类、数量、排放浓度与去向，立标及环保设施运行情况记录在案，并及时上报；</w:t>
            </w:r>
          </w:p>
        </w:tc>
      </w:tr>
      <w:tr w14:paraId="1455D3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926" w:type="dxa"/>
            <w:vMerge w:val="continue"/>
            <w:tcBorders>
              <w:tl2br w:val="nil"/>
              <w:tr2bl w:val="nil"/>
            </w:tcBorders>
            <w:vAlign w:val="center"/>
          </w:tcPr>
          <w:p w14:paraId="4A557785">
            <w:pPr>
              <w:spacing w:line="240" w:lineRule="auto"/>
              <w:ind w:firstLine="0" w:firstLineChars="0"/>
              <w:rPr>
                <w:rFonts w:hint="default" w:ascii="Times New Roman" w:hAnsi="Times New Roman" w:eastAsia="宋体" w:cs="Times New Roman"/>
                <w:snapToGrid w:val="0"/>
                <w:color w:val="auto"/>
                <w:kern w:val="0"/>
                <w:sz w:val="21"/>
                <w:szCs w:val="21"/>
              </w:rPr>
            </w:pPr>
          </w:p>
        </w:tc>
        <w:tc>
          <w:tcPr>
            <w:tcW w:w="7933" w:type="dxa"/>
            <w:tcBorders>
              <w:tl2br w:val="nil"/>
              <w:tr2bl w:val="nil"/>
            </w:tcBorders>
            <w:vAlign w:val="center"/>
          </w:tcPr>
          <w:p w14:paraId="4BD70E8B">
            <w:pPr>
              <w:pStyle w:val="3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3.选派有专业技能环保人员对排污口进行管理，做到责任明确、奖罚分明。</w:t>
            </w:r>
          </w:p>
        </w:tc>
      </w:tr>
    </w:tbl>
    <w:p w14:paraId="4F850FE7">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default"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8.4.2.1</w:t>
      </w:r>
      <w:r>
        <w:rPr>
          <w:rFonts w:hint="default" w:ascii="Times New Roman" w:hAnsi="Times New Roman" w:eastAsia="黑体" w:cs="Times New Roman"/>
          <w:b/>
          <w:bCs w:val="0"/>
          <w:color w:val="auto"/>
          <w:sz w:val="24"/>
          <w:szCs w:val="24"/>
          <w:lang w:val="en-US" w:eastAsia="zh-CN"/>
        </w:rPr>
        <w:t>废气排放口管理要求</w:t>
      </w:r>
    </w:p>
    <w:p w14:paraId="6B0B5D7B">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污染物监测技术规范》中规定，废气排放口须便于采样、监测的要求，排放口的高度须符合规定，设置直径不小于75mm。有净化设施的应在进出口分别设置采样口；采样孔、点数目和位置应按《固定污染源排气中颗粒物测定与气态污染物采样方法》的规定设置；在排气筒附近地面醒目处，应设置环保图形标志牌。</w:t>
      </w:r>
    </w:p>
    <w:p w14:paraId="28DACF82">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排气筒或监测断面应设置便于采样、监测的采样口和采样监测平台。当采样平台设置在离地面高度≥5m的位置时，应有通往平台的Z字梯/旋梯/升降梯。采样平台应有足够的工作面积使工作人员安全、方便地操作。平台面积应不小于1.5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，并设有1.1m高的护栏和不低于10cm的脚部挡板。采样平台的承重应不小于200kg/m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，采样孔距平台面约为1.2m</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1.3m。</w:t>
      </w:r>
    </w:p>
    <w:p w14:paraId="43A2FAD1">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8.4.2.2固定噪声源</w:t>
      </w:r>
    </w:p>
    <w:p w14:paraId="6FF2FAC3">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对固定噪声污染源对边界影响最大处，设置环境噪声监测点，并在该处附近醒目处设置环境保护图形标志牌。</w:t>
      </w:r>
    </w:p>
    <w:p w14:paraId="79DB73FF">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3"/>
        <w:rPr>
          <w:rFonts w:hint="eastAsia" w:ascii="Times New Roman" w:hAnsi="Times New Roman" w:eastAsia="黑体" w:cs="Times New Roman"/>
          <w:b/>
          <w:bCs w:val="0"/>
          <w:color w:val="auto"/>
          <w:sz w:val="24"/>
          <w:szCs w:val="24"/>
          <w:lang w:val="en-US" w:eastAsia="zh-CN"/>
        </w:rPr>
      </w:pPr>
      <w:r>
        <w:rPr>
          <w:rFonts w:hint="eastAsia" w:ascii="Times New Roman" w:hAnsi="Times New Roman" w:eastAsia="黑体" w:cs="Times New Roman"/>
          <w:b/>
          <w:bCs w:val="0"/>
          <w:color w:val="auto"/>
          <w:sz w:val="24"/>
          <w:szCs w:val="24"/>
          <w:lang w:val="en-US" w:eastAsia="zh-CN"/>
        </w:rPr>
        <w:t>8.4.2.3危险废物识别标志管理</w:t>
      </w:r>
    </w:p>
    <w:p w14:paraId="241CA6D3">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根据《中华人民共和国固体废物污染环境防治法</w:t>
      </w:r>
      <w:r>
        <w:rPr>
          <w:rFonts w:hint="eastAsia" w:ascii="Times New Roman" w:hAnsi="Times New Roman" w:cs="Times New Roman"/>
          <w:color w:val="auto"/>
          <w:lang w:eastAsia="zh-CN"/>
        </w:rPr>
        <w:t>》《</w:t>
      </w:r>
      <w:r>
        <w:rPr>
          <w:rFonts w:hint="default" w:ascii="Times New Roman" w:hAnsi="Times New Roman" w:eastAsia="仿宋_GB2312" w:cs="Times New Roman"/>
          <w:color w:val="auto"/>
        </w:rPr>
        <w:t>关于进一步规范危险废物识别标志设置有关事宜的通知》（宁环办函〔2016〕2号）《危险废物识别标志设置技术规范》（HJ1276-2022）等有关危险废物识别标志的文件规定，对本项目危险废物识别标志管理。</w:t>
      </w:r>
    </w:p>
    <w:p w14:paraId="1334078C">
      <w:pPr>
        <w:pStyle w:val="2"/>
        <w:widowControl w:val="0"/>
        <w:adjustRightInd/>
        <w:snapToGrid/>
        <w:ind w:firstLine="0" w:firstLineChars="0"/>
        <w:outlineLvl w:val="2"/>
        <w:rPr>
          <w:rFonts w:hint="eastAsia" w:ascii="Times New Roman" w:hAnsi="Times New Roman" w:eastAsia="黑体" w:cs="Times New Roman"/>
          <w:b/>
          <w:bCs/>
          <w:color w:val="auto"/>
          <w:kern w:val="2"/>
          <w:sz w:val="28"/>
          <w:szCs w:val="32"/>
          <w:highlight w:val="none"/>
          <w:lang w:val="en-US" w:eastAsia="zh-CN"/>
        </w:rPr>
      </w:pPr>
      <w:bookmarkStart w:id="656" w:name="_Toc8172"/>
      <w:r>
        <w:rPr>
          <w:rFonts w:hint="eastAsia" w:ascii="Times New Roman" w:hAnsi="Times New Roman" w:eastAsia="黑体" w:cs="Times New Roman"/>
          <w:b/>
          <w:bCs/>
          <w:color w:val="auto"/>
          <w:kern w:val="2"/>
          <w:sz w:val="28"/>
          <w:szCs w:val="32"/>
          <w:highlight w:val="none"/>
          <w:lang w:val="en-US" w:eastAsia="zh-CN"/>
        </w:rPr>
        <w:t>8.4.3环境管理台账要求</w:t>
      </w:r>
      <w:bookmarkEnd w:id="656"/>
    </w:p>
    <w:p w14:paraId="5A72BBCF">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建成投产后，建设单位建立环境管理台账记录制度，落实环境管理台账记录的责任单位和责任人，明确工作职责，并对环境管理台账的真实性、完整性和规范性负责。环境管理台账主要包括建设项目基本信息、生产设施运行管理信息、污染防治设施运行管理信息、监测记录信息及其他环境管理信息等，具体要求可参照《排污单位环境管理台账及排污许可证执行报告技术规范总则（试行）》（HJ944-2018）附录A、《危险废物管理计划和管理台账制定技术导则》（HJ1259-2022）、《危险废物规范化管理指标体系》及附件执行。</w:t>
      </w:r>
    </w:p>
    <w:p w14:paraId="6D1A3E9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657" w:name="_Toc22542"/>
      <w:bookmarkStart w:id="658" w:name="_Toc512515632"/>
      <w:bookmarkStart w:id="659" w:name="_Toc3470"/>
      <w:bookmarkStart w:id="660" w:name="_Toc7572"/>
      <w:bookmarkStart w:id="661" w:name="_Toc522195023"/>
      <w:bookmarkStart w:id="662" w:name="_Toc9418"/>
      <w:bookmarkStart w:id="663" w:name="_Toc2853"/>
      <w:bookmarkStart w:id="664" w:name="_Toc18816"/>
      <w:bookmarkStart w:id="665" w:name="_Toc499072924"/>
      <w:bookmarkStart w:id="666" w:name="_Toc16280"/>
      <w:bookmarkStart w:id="667" w:name="_Toc2528"/>
      <w:bookmarkStart w:id="668" w:name="_Toc26936"/>
      <w:bookmarkStart w:id="669" w:name="_Toc15324"/>
      <w:bookmarkStart w:id="670" w:name="_Toc31524"/>
      <w:r>
        <w:rPr>
          <w:rFonts w:hint="default" w:ascii="Times New Roman" w:hAnsi="Times New Roman" w:eastAsia="黑体" w:cs="Times New Roman"/>
          <w:b/>
          <w:color w:val="auto"/>
          <w:sz w:val="28"/>
          <w:szCs w:val="28"/>
          <w:highlight w:val="none"/>
          <w:lang w:val="en-US" w:eastAsia="zh-CN"/>
        </w:rPr>
        <w:t>8.5环境保护措施竣工验收管理</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2D847F64">
      <w:pPr>
        <w:bidi w:val="0"/>
        <w:rPr>
          <w:rFonts w:hint="eastAsia"/>
          <w:color w:val="auto"/>
          <w:lang w:val="en-US" w:eastAsia="zh-CN"/>
        </w:rPr>
      </w:pPr>
      <w:r>
        <w:rPr>
          <w:rFonts w:hint="eastAsia"/>
          <w:color w:val="auto"/>
          <w:lang w:val="en-US" w:eastAsia="zh-CN"/>
        </w:rPr>
        <w:t>本项目建成后，污染源治理设施“三同时”建成，建设单位应按照竣工环境保护验收的相关规定自行开展竣工环保验收，验收结果应及时向环保主管部门申报。本项目对“三废”、噪声及环境风险的防治均通过设置合理可行的环保设施、采取行之有效的防治措施来降低对环境的污染影响及危害。因此为确保本项目环保设施及污染防治措施的顺利进行，本次评价特提出本项目竣工环境保护验收重点，详见表8.5-1。</w:t>
      </w:r>
    </w:p>
    <w:p w14:paraId="3C9327E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1"/>
          <w:szCs w:val="21"/>
          <w:highlight w:val="none"/>
        </w:rPr>
        <w:t>表8.5-1</w:t>
      </w:r>
      <w:r>
        <w:rPr>
          <w:rFonts w:hint="default"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b/>
          <w:color w:val="auto"/>
          <w:sz w:val="24"/>
          <w:highlight w:val="none"/>
        </w:rPr>
        <w:t>环保“三同时”验收一览表</w:t>
      </w:r>
    </w:p>
    <w:tbl>
      <w:tblPr>
        <w:tblStyle w:val="27"/>
        <w:tblW w:w="49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57" w:type="dxa"/>
          <w:bottom w:w="0" w:type="dxa"/>
          <w:right w:w="57" w:type="dxa"/>
        </w:tblCellMar>
      </w:tblPr>
      <w:tblGrid>
        <w:gridCol w:w="699"/>
        <w:gridCol w:w="6"/>
        <w:gridCol w:w="1324"/>
        <w:gridCol w:w="3990"/>
        <w:gridCol w:w="2800"/>
      </w:tblGrid>
      <w:tr w14:paraId="3471F1A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699" w:type="dxa"/>
            <w:tcBorders>
              <w:tl2br w:val="nil"/>
              <w:tr2bl w:val="nil"/>
            </w:tcBorders>
            <w:noWrap w:val="0"/>
            <w:vAlign w:val="center"/>
          </w:tcPr>
          <w:p w14:paraId="52FA8B3A">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330" w:type="dxa"/>
            <w:gridSpan w:val="2"/>
            <w:tcBorders>
              <w:tl2br w:val="nil"/>
              <w:tr2bl w:val="nil"/>
            </w:tcBorders>
            <w:noWrap w:val="0"/>
            <w:vAlign w:val="center"/>
          </w:tcPr>
          <w:p w14:paraId="4FFE1C8B">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3990" w:type="dxa"/>
            <w:tcBorders>
              <w:tl2br w:val="nil"/>
              <w:tr2bl w:val="nil"/>
            </w:tcBorders>
            <w:noWrap w:val="0"/>
            <w:vAlign w:val="center"/>
          </w:tcPr>
          <w:p w14:paraId="60908D4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2800" w:type="dxa"/>
            <w:tcBorders>
              <w:tl2br w:val="nil"/>
              <w:tr2bl w:val="nil"/>
            </w:tcBorders>
            <w:noWrap w:val="0"/>
            <w:vAlign w:val="center"/>
          </w:tcPr>
          <w:p w14:paraId="1A8DC6C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效果</w:t>
            </w:r>
          </w:p>
        </w:tc>
      </w:tr>
      <w:tr w14:paraId="35D5FD8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8819" w:type="dxa"/>
            <w:gridSpan w:val="5"/>
            <w:tcBorders>
              <w:tl2br w:val="nil"/>
              <w:tr2bl w:val="nil"/>
            </w:tcBorders>
            <w:noWrap w:val="0"/>
            <w:vAlign w:val="center"/>
          </w:tcPr>
          <w:p w14:paraId="2D176B2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运营期</w:t>
            </w:r>
          </w:p>
        </w:tc>
      </w:tr>
      <w:tr w14:paraId="7272791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699" w:type="dxa"/>
            <w:vMerge w:val="restart"/>
            <w:tcBorders>
              <w:tl2br w:val="nil"/>
              <w:tr2bl w:val="nil"/>
            </w:tcBorders>
            <w:noWrap w:val="0"/>
            <w:vAlign w:val="center"/>
          </w:tcPr>
          <w:p w14:paraId="4FFA7A84">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p w14:paraId="54272B2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w:t>
            </w:r>
          </w:p>
        </w:tc>
        <w:tc>
          <w:tcPr>
            <w:tcW w:w="1330" w:type="dxa"/>
            <w:gridSpan w:val="2"/>
            <w:tcBorders>
              <w:tl2br w:val="nil"/>
              <w:tr2bl w:val="nil"/>
            </w:tcBorders>
            <w:noWrap w:val="0"/>
            <w:vAlign w:val="center"/>
          </w:tcPr>
          <w:p w14:paraId="3BF76F4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污水处理站恶臭</w:t>
            </w:r>
          </w:p>
        </w:tc>
        <w:tc>
          <w:tcPr>
            <w:tcW w:w="3990" w:type="dxa"/>
            <w:tcBorders>
              <w:tl2br w:val="nil"/>
              <w:tr2bl w:val="nil"/>
            </w:tcBorders>
            <w:noWrap w:val="0"/>
            <w:vAlign w:val="center"/>
          </w:tcPr>
          <w:p w14:paraId="45310506">
            <w:pPr>
              <w:pStyle w:val="1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rPr>
              <w:t>建设</w:t>
            </w:r>
            <w:r>
              <w:rPr>
                <w:rFonts w:hint="eastAsia" w:eastAsia="宋体" w:cs="Times New Roman"/>
                <w:snapToGrid w:val="0"/>
                <w:color w:val="auto"/>
                <w:kern w:val="0"/>
                <w:sz w:val="21"/>
                <w:szCs w:val="21"/>
                <w:highlight w:val="none"/>
                <w:lang w:val="en-US" w:eastAsia="zh-CN"/>
              </w:rPr>
              <w:t>1座地下式</w:t>
            </w:r>
            <w:r>
              <w:rPr>
                <w:rFonts w:hint="default" w:ascii="Times New Roman" w:hAnsi="Times New Roman" w:eastAsia="宋体" w:cs="Times New Roman"/>
                <w:snapToGrid w:val="0"/>
                <w:color w:val="auto"/>
                <w:kern w:val="0"/>
                <w:sz w:val="21"/>
                <w:szCs w:val="21"/>
                <w:highlight w:val="none"/>
              </w:rPr>
              <w:t>污水处理站，对污水处理站各池体采取加盖全封闭，污水处理站产生的恶臭气体经“集气设备+二级活性炭吸附装置（风量1000m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/h）”处理后由1根20m高排气筒（DA002）排放</w:t>
            </w:r>
            <w:r>
              <w:rPr>
                <w:rFonts w:hint="eastAsia" w:eastAsia="宋体" w:cs="Times New Roman"/>
                <w:snapToGrid w:val="0"/>
                <w:color w:val="auto"/>
                <w:kern w:val="0"/>
                <w:sz w:val="21"/>
                <w:szCs w:val="21"/>
                <w:highlight w:val="none"/>
                <w:lang w:eastAsia="zh-CN"/>
              </w:rPr>
              <w:t>。</w:t>
            </w:r>
          </w:p>
        </w:tc>
        <w:tc>
          <w:tcPr>
            <w:tcW w:w="2800" w:type="dxa"/>
            <w:vMerge w:val="restart"/>
            <w:tcBorders>
              <w:tl2br w:val="nil"/>
              <w:tr2bl w:val="nil"/>
            </w:tcBorders>
            <w:noWrap w:val="0"/>
            <w:vAlign w:val="center"/>
          </w:tcPr>
          <w:p w14:paraId="1618B3F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《恶臭污染物排放标准》（GB14554-93）表2标准</w:t>
            </w:r>
          </w:p>
        </w:tc>
      </w:tr>
      <w:tr w14:paraId="2DCC095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699" w:type="dxa"/>
            <w:vMerge w:val="continue"/>
            <w:tcBorders>
              <w:tl2br w:val="nil"/>
              <w:tr2bl w:val="nil"/>
            </w:tcBorders>
            <w:noWrap w:val="0"/>
            <w:vAlign w:val="center"/>
          </w:tcPr>
          <w:p w14:paraId="3D1D89C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30" w:type="dxa"/>
            <w:gridSpan w:val="2"/>
            <w:tcBorders>
              <w:tl2br w:val="nil"/>
              <w:tr2bl w:val="nil"/>
            </w:tcBorders>
            <w:noWrap w:val="0"/>
            <w:vAlign w:val="center"/>
          </w:tcPr>
          <w:p w14:paraId="568E24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snapToGrid w:val="0"/>
                <w:color w:val="auto"/>
                <w:kern w:val="0"/>
                <w:sz w:val="21"/>
                <w:szCs w:val="21"/>
                <w:highlight w:val="none"/>
                <w:lang w:val="en-US" w:eastAsia="zh-CN"/>
              </w:rPr>
              <w:t>屠宰加工车间</w:t>
            </w:r>
          </w:p>
        </w:tc>
        <w:tc>
          <w:tcPr>
            <w:tcW w:w="3990" w:type="dxa"/>
            <w:tcBorders>
              <w:tl2br w:val="nil"/>
              <w:tr2bl w:val="nil"/>
            </w:tcBorders>
            <w:noWrap w:val="0"/>
            <w:vAlign w:val="center"/>
          </w:tcPr>
          <w:p w14:paraId="7A60928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eastAsia" w:eastAsia="宋体" w:cs="Times New Roman"/>
                <w:snapToGrid w:val="0"/>
                <w:color w:val="auto"/>
                <w:kern w:val="0"/>
                <w:sz w:val="21"/>
                <w:szCs w:val="21"/>
                <w:highlight w:val="none"/>
                <w:lang w:val="en-US" w:eastAsia="zh-CN"/>
              </w:rPr>
              <w:t>屠宰加工车间设置机械通风系统，每小时通风换气不少于4次，定期喷洒除臭剂、消毒。</w:t>
            </w:r>
          </w:p>
        </w:tc>
        <w:tc>
          <w:tcPr>
            <w:tcW w:w="2800" w:type="dxa"/>
            <w:vMerge w:val="continue"/>
            <w:tcBorders>
              <w:tl2br w:val="nil"/>
              <w:tr2bl w:val="nil"/>
            </w:tcBorders>
            <w:noWrap w:val="0"/>
            <w:vAlign w:val="center"/>
          </w:tcPr>
          <w:p w14:paraId="2DE4E70D">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1F5ECAB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699" w:type="dxa"/>
            <w:vMerge w:val="continue"/>
            <w:tcBorders>
              <w:tl2br w:val="nil"/>
              <w:tr2bl w:val="nil"/>
            </w:tcBorders>
            <w:noWrap w:val="0"/>
            <w:vAlign w:val="center"/>
          </w:tcPr>
          <w:p w14:paraId="4D36D763">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bookmarkStart w:id="671" w:name="_Toc25308"/>
            <w:bookmarkStart w:id="672" w:name="_Toc5197"/>
            <w:bookmarkStart w:id="673" w:name="_Toc26475"/>
            <w:bookmarkStart w:id="674" w:name="_Toc11994"/>
          </w:p>
        </w:tc>
        <w:tc>
          <w:tcPr>
            <w:tcW w:w="1330" w:type="dxa"/>
            <w:gridSpan w:val="2"/>
            <w:tcBorders>
              <w:tl2br w:val="nil"/>
              <w:tr2bl w:val="nil"/>
            </w:tcBorders>
            <w:noWrap w:val="0"/>
            <w:vAlign w:val="center"/>
          </w:tcPr>
          <w:p w14:paraId="6C5129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待宰圈</w:t>
            </w:r>
          </w:p>
        </w:tc>
        <w:tc>
          <w:tcPr>
            <w:tcW w:w="3990" w:type="dxa"/>
            <w:tcBorders>
              <w:tl2br w:val="nil"/>
              <w:tr2bl w:val="nil"/>
            </w:tcBorders>
            <w:noWrap w:val="0"/>
            <w:vAlign w:val="center"/>
          </w:tcPr>
          <w:p w14:paraId="1124293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待宰圈产生的臭气经车间负压收集（收集效率90%），风机设计风量为14000m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w:t>
            </w: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引入二级活性炭吸附装置（处理效率80%）处理后经20m高排气筒（DA001）排放</w:t>
            </w:r>
            <w:r>
              <w:rPr>
                <w:rFonts w:hint="eastAsia" w:eastAsia="宋体" w:cs="Times New Roman"/>
                <w:snapToGrid w:val="0"/>
                <w:color w:val="auto"/>
                <w:kern w:val="0"/>
                <w:sz w:val="21"/>
                <w:szCs w:val="21"/>
                <w:highlight w:val="none"/>
                <w:lang w:eastAsia="zh-CN"/>
              </w:rPr>
              <w:t>。</w:t>
            </w:r>
          </w:p>
        </w:tc>
        <w:tc>
          <w:tcPr>
            <w:tcW w:w="2800" w:type="dxa"/>
            <w:vMerge w:val="continue"/>
            <w:tcBorders>
              <w:tl2br w:val="nil"/>
              <w:tr2bl w:val="nil"/>
            </w:tcBorders>
            <w:noWrap w:val="0"/>
            <w:vAlign w:val="center"/>
          </w:tcPr>
          <w:p w14:paraId="34A3271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253687E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restart"/>
            <w:tcBorders>
              <w:tl2br w:val="nil"/>
              <w:tr2bl w:val="nil"/>
            </w:tcBorders>
            <w:noWrap w:val="0"/>
            <w:vAlign w:val="center"/>
          </w:tcPr>
          <w:p w14:paraId="0326AFD2">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bookmarkStart w:id="675" w:name="_Toc10872"/>
            <w:bookmarkStart w:id="676" w:name="_Toc21123"/>
            <w:r>
              <w:rPr>
                <w:rFonts w:hint="default" w:ascii="Times New Roman" w:hAnsi="Times New Roman" w:eastAsia="宋体" w:cs="Times New Roman"/>
                <w:color w:val="auto"/>
                <w:sz w:val="21"/>
                <w:szCs w:val="21"/>
                <w:highlight w:val="none"/>
              </w:rPr>
              <w:t>废水</w:t>
            </w:r>
          </w:p>
          <w:p w14:paraId="61A5CAFD">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w:t>
            </w:r>
          </w:p>
        </w:tc>
        <w:tc>
          <w:tcPr>
            <w:tcW w:w="1324" w:type="dxa"/>
            <w:tcBorders>
              <w:tl2br w:val="nil"/>
              <w:tr2bl w:val="nil"/>
            </w:tcBorders>
            <w:noWrap w:val="0"/>
            <w:vAlign w:val="center"/>
          </w:tcPr>
          <w:p w14:paraId="648FA20B">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w:t>
            </w:r>
          </w:p>
        </w:tc>
        <w:tc>
          <w:tcPr>
            <w:tcW w:w="3990" w:type="dxa"/>
            <w:tcBorders>
              <w:tl2br w:val="nil"/>
              <w:tr2bl w:val="nil"/>
            </w:tcBorders>
            <w:noWrap w:val="0"/>
            <w:vAlign w:val="center"/>
          </w:tcPr>
          <w:p w14:paraId="0D9BF54A">
            <w:pPr>
              <w:pStyle w:val="1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屠宰废水排入厂区污水处理站处理，处理能力</w:t>
            </w:r>
            <w:r>
              <w:rPr>
                <w:rFonts w:hint="eastAsia"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/d，采用“格栅+调节池+隔油池+气浮+水解酸化+缺氧+生物接触氧化+二沉+消毒池（次氯酸钠消毒）”工艺</w:t>
            </w:r>
            <w:r>
              <w:rPr>
                <w:rFonts w:hint="eastAsia" w:ascii="Times New Roman" w:hAnsi="Times New Roman" w:eastAsia="宋体" w:cs="Times New Roman"/>
                <w:color w:val="auto"/>
                <w:sz w:val="21"/>
                <w:szCs w:val="21"/>
                <w:highlight w:val="none"/>
                <w:lang w:eastAsia="zh-CN"/>
              </w:rPr>
              <w:t>。</w:t>
            </w:r>
          </w:p>
        </w:tc>
        <w:tc>
          <w:tcPr>
            <w:tcW w:w="2800" w:type="dxa"/>
            <w:vMerge w:val="restart"/>
            <w:tcBorders>
              <w:tl2br w:val="nil"/>
              <w:tr2bl w:val="nil"/>
            </w:tcBorders>
            <w:noWrap w:val="0"/>
            <w:vAlign w:val="center"/>
          </w:tcPr>
          <w:p w14:paraId="70821E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水质满足《屠宰及肉类加工工业水污染物排放标准》（GB13457-2025）表1间接排放标准</w:t>
            </w:r>
            <w:r>
              <w:rPr>
                <w:rFonts w:hint="eastAsia" w:ascii="Times New Roman" w:hAnsi="Times New Roman" w:eastAsia="宋体" w:cs="Times New Roman"/>
                <w:color w:val="auto"/>
                <w:sz w:val="21"/>
                <w:szCs w:val="21"/>
                <w:highlight w:val="none"/>
                <w:lang w:val="en-US" w:eastAsia="zh-CN"/>
              </w:rPr>
              <w:t>及《污水排入城镇下水道水质标准》（GB/T31962-2015）A级排放标准后排至城区污水处理厂</w:t>
            </w:r>
          </w:p>
        </w:tc>
      </w:tr>
      <w:tr w14:paraId="6D665CA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continue"/>
            <w:tcBorders>
              <w:tl2br w:val="nil"/>
              <w:tr2bl w:val="nil"/>
            </w:tcBorders>
            <w:noWrap w:val="0"/>
            <w:vAlign w:val="center"/>
          </w:tcPr>
          <w:p w14:paraId="446DC62C">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4" w:type="dxa"/>
            <w:tcBorders>
              <w:tl2br w:val="nil"/>
              <w:tr2bl w:val="nil"/>
            </w:tcBorders>
            <w:noWrap w:val="0"/>
            <w:vAlign w:val="center"/>
          </w:tcPr>
          <w:p w14:paraId="5D2265B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3990" w:type="dxa"/>
            <w:tcBorders>
              <w:tl2br w:val="nil"/>
              <w:tr2bl w:val="nil"/>
            </w:tcBorders>
            <w:noWrap w:val="0"/>
            <w:vAlign w:val="center"/>
          </w:tcPr>
          <w:p w14:paraId="4693EC1C">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1座</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化粪池</w:t>
            </w:r>
          </w:p>
        </w:tc>
        <w:tc>
          <w:tcPr>
            <w:tcW w:w="2800" w:type="dxa"/>
            <w:vMerge w:val="continue"/>
            <w:tcBorders>
              <w:tl2br w:val="nil"/>
              <w:tr2bl w:val="nil"/>
            </w:tcBorders>
            <w:noWrap w:val="0"/>
            <w:vAlign w:val="center"/>
          </w:tcPr>
          <w:p w14:paraId="313A9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1D26896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continue"/>
            <w:tcBorders>
              <w:tl2br w:val="nil"/>
              <w:tr2bl w:val="nil"/>
            </w:tcBorders>
            <w:noWrap w:val="0"/>
            <w:vAlign w:val="center"/>
          </w:tcPr>
          <w:p w14:paraId="37C18CD4">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4" w:type="dxa"/>
            <w:tcBorders>
              <w:tl2br w:val="nil"/>
              <w:tr2bl w:val="nil"/>
            </w:tcBorders>
            <w:noWrap w:val="0"/>
            <w:vAlign w:val="center"/>
          </w:tcPr>
          <w:p w14:paraId="3926FB5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w:t>
            </w:r>
          </w:p>
        </w:tc>
        <w:tc>
          <w:tcPr>
            <w:tcW w:w="3990" w:type="dxa"/>
            <w:tcBorders>
              <w:tl2br w:val="nil"/>
              <w:tr2bl w:val="nil"/>
            </w:tcBorders>
            <w:noWrap w:val="0"/>
            <w:vAlign w:val="center"/>
          </w:tcPr>
          <w:p w14:paraId="6D23654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废水在线监测设备1套</w:t>
            </w:r>
          </w:p>
        </w:tc>
        <w:tc>
          <w:tcPr>
            <w:tcW w:w="2800" w:type="dxa"/>
            <w:vMerge w:val="continue"/>
            <w:tcBorders>
              <w:tl2br w:val="nil"/>
              <w:tr2bl w:val="nil"/>
            </w:tcBorders>
            <w:noWrap w:val="0"/>
            <w:vAlign w:val="center"/>
          </w:tcPr>
          <w:p w14:paraId="75F151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33F0F1E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tcBorders>
              <w:tl2br w:val="nil"/>
              <w:tr2bl w:val="nil"/>
            </w:tcBorders>
            <w:noWrap w:val="0"/>
            <w:vAlign w:val="center"/>
          </w:tcPr>
          <w:p w14:paraId="545B2CF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p w14:paraId="62647EEF">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w:t>
            </w:r>
          </w:p>
        </w:tc>
        <w:tc>
          <w:tcPr>
            <w:tcW w:w="1324" w:type="dxa"/>
            <w:tcBorders>
              <w:tl2br w:val="nil"/>
              <w:tr2bl w:val="nil"/>
            </w:tcBorders>
            <w:noWrap w:val="0"/>
            <w:vAlign w:val="center"/>
          </w:tcPr>
          <w:p w14:paraId="4FA5784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w:t>
            </w:r>
          </w:p>
        </w:tc>
        <w:tc>
          <w:tcPr>
            <w:tcW w:w="3990" w:type="dxa"/>
            <w:tcBorders>
              <w:tl2br w:val="nil"/>
              <w:tr2bl w:val="nil"/>
            </w:tcBorders>
            <w:noWrap w:val="0"/>
            <w:vAlign w:val="center"/>
          </w:tcPr>
          <w:p w14:paraId="73AD841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对主要产噪设备和主厂房采取降噪隔音、减振措施</w:t>
            </w:r>
          </w:p>
        </w:tc>
        <w:tc>
          <w:tcPr>
            <w:tcW w:w="2800" w:type="dxa"/>
            <w:tcBorders>
              <w:tl2br w:val="nil"/>
              <w:tr2bl w:val="nil"/>
            </w:tcBorders>
            <w:noWrap w:val="0"/>
            <w:vAlign w:val="center"/>
          </w:tcPr>
          <w:p w14:paraId="305A969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厂界满足《工业企业厂界环境噪声排放标准》（GB12348-2008）3类区排放限值要求</w:t>
            </w:r>
          </w:p>
        </w:tc>
      </w:tr>
      <w:tr w14:paraId="4380F5E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restart"/>
            <w:tcBorders>
              <w:tl2br w:val="nil"/>
              <w:tr2bl w:val="nil"/>
            </w:tcBorders>
            <w:noWrap w:val="0"/>
            <w:vAlign w:val="center"/>
          </w:tcPr>
          <w:p w14:paraId="63A429F9">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p w14:paraId="679F58CA">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w:t>
            </w:r>
          </w:p>
        </w:tc>
        <w:tc>
          <w:tcPr>
            <w:tcW w:w="1324" w:type="dxa"/>
            <w:tcBorders>
              <w:tl2br w:val="nil"/>
              <w:tr2bl w:val="nil"/>
            </w:tcBorders>
            <w:noWrap w:val="0"/>
            <w:vAlign w:val="center"/>
          </w:tcPr>
          <w:p w14:paraId="4DA07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牛粪便（含牛尿）</w:t>
            </w:r>
            <w:r>
              <w:rPr>
                <w:rFonts w:hint="eastAsia" w:eastAsia="宋体" w:cs="Times New Roman"/>
                <w:color w:val="auto"/>
                <w:sz w:val="21"/>
                <w:szCs w:val="21"/>
                <w:highlight w:val="none"/>
                <w:lang w:eastAsia="zh-CN"/>
              </w:rPr>
              <w:t>、羊粪便（含羊尿）、分割边角料、胃内容物</w:t>
            </w:r>
          </w:p>
        </w:tc>
        <w:tc>
          <w:tcPr>
            <w:tcW w:w="3990" w:type="dxa"/>
            <w:tcBorders>
              <w:tl2br w:val="nil"/>
              <w:tr2bl w:val="nil"/>
            </w:tcBorders>
            <w:noWrap w:val="0"/>
            <w:vAlign w:val="center"/>
          </w:tcPr>
          <w:p w14:paraId="7E3E7177">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运至固原富田有机肥有限公司生产</w:t>
            </w:r>
            <w:r>
              <w:rPr>
                <w:rFonts w:hint="eastAsia" w:ascii="Times New Roman" w:hAnsi="Times New Roman" w:eastAsia="宋体" w:cs="Times New Roman"/>
                <w:color w:val="auto"/>
                <w:sz w:val="21"/>
                <w:szCs w:val="21"/>
                <w:highlight w:val="none"/>
                <w:lang w:val="en-US" w:eastAsia="zh-CN"/>
              </w:rPr>
              <w:t>肥料</w:t>
            </w:r>
          </w:p>
        </w:tc>
        <w:tc>
          <w:tcPr>
            <w:tcW w:w="2800" w:type="dxa"/>
            <w:tcBorders>
              <w:tl2br w:val="nil"/>
              <w:tr2bl w:val="nil"/>
            </w:tcBorders>
            <w:noWrap w:val="0"/>
            <w:vAlign w:val="center"/>
          </w:tcPr>
          <w:p w14:paraId="1E04885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综合利用</w:t>
            </w:r>
          </w:p>
        </w:tc>
      </w:tr>
      <w:tr w14:paraId="2854306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continue"/>
            <w:tcBorders>
              <w:tl2br w:val="nil"/>
              <w:tr2bl w:val="nil"/>
            </w:tcBorders>
            <w:noWrap w:val="0"/>
            <w:vAlign w:val="center"/>
          </w:tcPr>
          <w:p w14:paraId="62F01CCA">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4" w:type="dxa"/>
            <w:tcBorders>
              <w:tl2br w:val="nil"/>
              <w:tr2bl w:val="nil"/>
            </w:tcBorders>
            <w:noWrap w:val="0"/>
            <w:vAlign w:val="center"/>
          </w:tcPr>
          <w:p w14:paraId="34C0A4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snapToGrid w:val="0"/>
                <w:color w:val="auto"/>
                <w:kern w:val="0"/>
                <w:sz w:val="21"/>
                <w:szCs w:val="21"/>
                <w:highlight w:val="none"/>
                <w:lang w:val="en-US" w:eastAsia="zh-CN" w:bidi="ar-SA"/>
              </w:rPr>
              <w:t>病变</w:t>
            </w:r>
            <w:r>
              <w:rPr>
                <w:rFonts w:hint="default" w:ascii="Times New Roman" w:hAnsi="Times New Roman" w:eastAsia="宋体" w:cs="Times New Roman"/>
                <w:snapToGrid w:val="0"/>
                <w:color w:val="auto"/>
                <w:kern w:val="0"/>
                <w:sz w:val="21"/>
                <w:szCs w:val="21"/>
                <w:highlight w:val="none"/>
                <w:lang w:val="en-US" w:eastAsia="zh-CN" w:bidi="ar-SA"/>
              </w:rPr>
              <w:t>内脏、不合格胴体、</w:t>
            </w:r>
            <w:r>
              <w:rPr>
                <w:rFonts w:hint="eastAsia" w:eastAsia="宋体" w:cs="Times New Roman"/>
                <w:snapToGrid w:val="0"/>
                <w:color w:val="auto"/>
                <w:kern w:val="0"/>
                <w:sz w:val="21"/>
                <w:szCs w:val="21"/>
                <w:highlight w:val="none"/>
                <w:lang w:val="en-US" w:eastAsia="zh-CN" w:bidi="ar-SA"/>
              </w:rPr>
              <w:t>病死牛</w:t>
            </w:r>
            <w:r>
              <w:rPr>
                <w:rFonts w:hint="default" w:ascii="Times New Roman" w:hAnsi="Times New Roman" w:eastAsia="宋体" w:cs="Times New Roman"/>
                <w:snapToGrid w:val="0"/>
                <w:color w:val="auto"/>
                <w:kern w:val="0"/>
                <w:sz w:val="21"/>
                <w:szCs w:val="21"/>
                <w:highlight w:val="none"/>
                <w:lang w:val="en-US" w:eastAsia="zh-CN" w:bidi="ar-SA"/>
              </w:rPr>
              <w:t>羊</w:t>
            </w:r>
          </w:p>
        </w:tc>
        <w:tc>
          <w:tcPr>
            <w:tcW w:w="3990" w:type="dxa"/>
            <w:tcBorders>
              <w:tl2br w:val="nil"/>
              <w:tr2bl w:val="nil"/>
            </w:tcBorders>
            <w:noWrap w:val="0"/>
            <w:vAlign w:val="center"/>
          </w:tcPr>
          <w:p w14:paraId="2F85E059">
            <w:pPr>
              <w:pStyle w:val="1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snapToGrid w:val="0"/>
                <w:color w:val="auto"/>
                <w:kern w:val="0"/>
                <w:sz w:val="21"/>
                <w:szCs w:val="21"/>
                <w:highlight w:val="none"/>
                <w:lang w:eastAsia="zh-CN"/>
              </w:rPr>
              <w:t>暂存于危废贮存库内的冰柜中，定期拉运至原州区动物疾病预防控制中心（动物卫生监督）指定场所进行无害化处置。</w:t>
            </w:r>
          </w:p>
        </w:tc>
        <w:tc>
          <w:tcPr>
            <w:tcW w:w="2800" w:type="dxa"/>
            <w:tcBorders>
              <w:tl2br w:val="nil"/>
              <w:tr2bl w:val="nil"/>
            </w:tcBorders>
            <w:noWrap w:val="0"/>
            <w:vAlign w:val="center"/>
          </w:tcPr>
          <w:p w14:paraId="13157A5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无害化处置</w:t>
            </w:r>
          </w:p>
        </w:tc>
      </w:tr>
      <w:tr w14:paraId="515550E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continue"/>
            <w:tcBorders>
              <w:tl2br w:val="nil"/>
              <w:tr2bl w:val="nil"/>
            </w:tcBorders>
            <w:noWrap w:val="0"/>
            <w:vAlign w:val="center"/>
          </w:tcPr>
          <w:p w14:paraId="31A980F4">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4" w:type="dxa"/>
            <w:tcBorders>
              <w:tl2br w:val="nil"/>
              <w:tr2bl w:val="nil"/>
            </w:tcBorders>
            <w:noWrap w:val="0"/>
            <w:vAlign w:val="center"/>
          </w:tcPr>
          <w:p w14:paraId="56281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990" w:type="dxa"/>
            <w:tcBorders>
              <w:tl2br w:val="nil"/>
              <w:tr2bl w:val="nil"/>
            </w:tcBorders>
            <w:noWrap w:val="0"/>
            <w:vAlign w:val="center"/>
          </w:tcPr>
          <w:p w14:paraId="1040CF3D">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收集后由环卫部门统一处置</w:t>
            </w:r>
          </w:p>
        </w:tc>
        <w:tc>
          <w:tcPr>
            <w:tcW w:w="2800" w:type="dxa"/>
            <w:tcBorders>
              <w:tl2br w:val="nil"/>
              <w:tr2bl w:val="nil"/>
            </w:tcBorders>
            <w:noWrap w:val="0"/>
            <w:vAlign w:val="center"/>
          </w:tcPr>
          <w:p w14:paraId="76E07CA2">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无害化处置</w:t>
            </w:r>
          </w:p>
        </w:tc>
      </w:tr>
      <w:tr w14:paraId="5981B4D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continue"/>
            <w:tcBorders>
              <w:tl2br w:val="nil"/>
              <w:tr2bl w:val="nil"/>
            </w:tcBorders>
            <w:noWrap w:val="0"/>
            <w:vAlign w:val="center"/>
          </w:tcPr>
          <w:p w14:paraId="03D0B77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4" w:type="dxa"/>
            <w:tcBorders>
              <w:tl2br w:val="nil"/>
              <w:tr2bl w:val="nil"/>
            </w:tcBorders>
            <w:noWrap w:val="0"/>
            <w:vAlign w:val="center"/>
          </w:tcPr>
          <w:p w14:paraId="2A7B2D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废机油、废机油桶</w:t>
            </w:r>
            <w:r>
              <w:rPr>
                <w:rFonts w:hint="eastAsia"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废活性炭、检疫废物</w:t>
            </w:r>
          </w:p>
        </w:tc>
        <w:tc>
          <w:tcPr>
            <w:tcW w:w="3990" w:type="dxa"/>
            <w:tcBorders>
              <w:tl2br w:val="nil"/>
              <w:tr2bl w:val="nil"/>
            </w:tcBorders>
            <w:noWrap w:val="0"/>
            <w:vAlign w:val="center"/>
          </w:tcPr>
          <w:p w14:paraId="3A932106">
            <w:pPr>
              <w:pStyle w:val="1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eastAsia" w:eastAsia="宋体" w:cs="Times New Roman"/>
                <w:snapToGrid w:val="0"/>
                <w:color w:val="auto"/>
                <w:kern w:val="0"/>
                <w:sz w:val="21"/>
                <w:szCs w:val="21"/>
                <w:highlight w:val="none"/>
                <w:lang w:val="en-US" w:eastAsia="zh-CN"/>
              </w:rPr>
              <w:t>废机油、检疫废物采用塑料桶储存，与废机油桶暂存于危废贮存库，交有资质单位集中处置；废活性炭更换后立即交有资质单位处置，不在厂区储存。</w:t>
            </w:r>
          </w:p>
        </w:tc>
        <w:tc>
          <w:tcPr>
            <w:tcW w:w="2800" w:type="dxa"/>
            <w:tcBorders>
              <w:tl2br w:val="nil"/>
              <w:tr2bl w:val="nil"/>
            </w:tcBorders>
            <w:noWrap w:val="0"/>
            <w:vAlign w:val="center"/>
          </w:tcPr>
          <w:p w14:paraId="5250FE80">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无害化处置</w:t>
            </w:r>
          </w:p>
        </w:tc>
      </w:tr>
      <w:tr w14:paraId="4A703AC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continue"/>
            <w:tcBorders>
              <w:tl2br w:val="nil"/>
              <w:tr2bl w:val="nil"/>
            </w:tcBorders>
            <w:noWrap w:val="0"/>
            <w:vAlign w:val="center"/>
          </w:tcPr>
          <w:p w14:paraId="7798CC74">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4" w:type="dxa"/>
            <w:tcBorders>
              <w:tl2br w:val="nil"/>
              <w:tr2bl w:val="nil"/>
            </w:tcBorders>
            <w:noWrap w:val="0"/>
            <w:vAlign w:val="center"/>
          </w:tcPr>
          <w:p w14:paraId="62CCE1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污水处理站污泥</w:t>
            </w:r>
          </w:p>
        </w:tc>
        <w:tc>
          <w:tcPr>
            <w:tcW w:w="3990" w:type="dxa"/>
            <w:tcBorders>
              <w:tl2br w:val="nil"/>
              <w:tr2bl w:val="nil"/>
            </w:tcBorders>
            <w:noWrap w:val="0"/>
            <w:vAlign w:val="center"/>
          </w:tcPr>
          <w:p w14:paraId="4E8E84CA">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snapToGrid w:val="0"/>
                <w:color w:val="auto"/>
                <w:kern w:val="0"/>
                <w:sz w:val="21"/>
                <w:szCs w:val="21"/>
                <w:highlight w:val="none"/>
                <w:lang w:val="en-US" w:eastAsia="zh-CN"/>
              </w:rPr>
              <w:t>脱水后拉运至固原富田有机肥有限公司生产肥料</w:t>
            </w:r>
            <w:r>
              <w:rPr>
                <w:rFonts w:hint="eastAsia" w:eastAsia="宋体" w:cs="Times New Roman"/>
                <w:snapToGrid w:val="0"/>
                <w:color w:val="auto"/>
                <w:kern w:val="0"/>
                <w:sz w:val="21"/>
                <w:szCs w:val="21"/>
                <w:highlight w:val="none"/>
                <w:lang w:eastAsia="zh-CN"/>
              </w:rPr>
              <w:t>。</w:t>
            </w:r>
          </w:p>
        </w:tc>
        <w:tc>
          <w:tcPr>
            <w:tcW w:w="2800" w:type="dxa"/>
            <w:tcBorders>
              <w:tl2br w:val="nil"/>
              <w:tr2bl w:val="nil"/>
            </w:tcBorders>
            <w:noWrap w:val="0"/>
            <w:vAlign w:val="center"/>
          </w:tcPr>
          <w:p w14:paraId="3661538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综合利用</w:t>
            </w:r>
          </w:p>
        </w:tc>
      </w:tr>
      <w:tr w14:paraId="0CF7BC4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restart"/>
            <w:tcBorders>
              <w:tl2br w:val="nil"/>
              <w:tr2bl w:val="nil"/>
            </w:tcBorders>
            <w:noWrap w:val="0"/>
            <w:vAlign w:val="center"/>
          </w:tcPr>
          <w:p w14:paraId="7D21CD8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地下水防渗</w:t>
            </w:r>
          </w:p>
        </w:tc>
        <w:tc>
          <w:tcPr>
            <w:tcW w:w="1324" w:type="dxa"/>
            <w:vMerge w:val="restart"/>
            <w:tcBorders>
              <w:tl2br w:val="nil"/>
              <w:tr2bl w:val="nil"/>
            </w:tcBorders>
            <w:noWrap w:val="0"/>
            <w:vAlign w:val="center"/>
          </w:tcPr>
          <w:p w14:paraId="49483AD0">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w:t>
            </w:r>
          </w:p>
          <w:p w14:paraId="4AA9998A">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防治区</w:t>
            </w:r>
          </w:p>
        </w:tc>
        <w:tc>
          <w:tcPr>
            <w:tcW w:w="3990" w:type="dxa"/>
            <w:tcBorders>
              <w:tl2br w:val="nil"/>
              <w:tr2bl w:val="nil"/>
            </w:tcBorders>
            <w:noWrap w:val="0"/>
            <w:vAlign w:val="center"/>
          </w:tcPr>
          <w:p w14:paraId="5B060ED4">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污水处理站</w:t>
            </w:r>
          </w:p>
        </w:tc>
        <w:tc>
          <w:tcPr>
            <w:tcW w:w="2800" w:type="dxa"/>
            <w:tcBorders>
              <w:tl2br w:val="nil"/>
              <w:tr2bl w:val="nil"/>
            </w:tcBorders>
            <w:noWrap w:val="0"/>
            <w:vAlign w:val="center"/>
          </w:tcPr>
          <w:p w14:paraId="7EEECBE3">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采用不低于C30强度等级的混凝土结构，抗渗等级不低于P8，渗透系数不大于1.0×10</w:t>
            </w:r>
            <w:r>
              <w:rPr>
                <w:rFonts w:hint="default" w:ascii="Times New Roman" w:hAnsi="Times New Roman" w:eastAsia="宋体" w:cs="Times New Roman"/>
                <w:color w:val="auto"/>
                <w:spacing w:val="-1"/>
                <w:sz w:val="21"/>
                <w:szCs w:val="21"/>
                <w:highlight w:val="none"/>
                <w:vertAlign w:val="superscript"/>
              </w:rPr>
              <w:t>-7</w:t>
            </w:r>
            <w:r>
              <w:rPr>
                <w:rFonts w:hint="default" w:ascii="Times New Roman" w:hAnsi="Times New Roman" w:eastAsia="宋体" w:cs="Times New Roman"/>
                <w:color w:val="auto"/>
                <w:spacing w:val="-1"/>
                <w:sz w:val="21"/>
                <w:szCs w:val="21"/>
                <w:highlight w:val="none"/>
              </w:rPr>
              <w:t>cm/s</w:t>
            </w:r>
          </w:p>
        </w:tc>
      </w:tr>
      <w:tr w14:paraId="1B1BC06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continue"/>
            <w:tcBorders>
              <w:tl2br w:val="nil"/>
              <w:tr2bl w:val="nil"/>
            </w:tcBorders>
            <w:noWrap w:val="0"/>
            <w:vAlign w:val="center"/>
          </w:tcPr>
          <w:p w14:paraId="2178A0B4">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4" w:type="dxa"/>
            <w:vMerge w:val="continue"/>
            <w:tcBorders>
              <w:tl2br w:val="nil"/>
              <w:tr2bl w:val="nil"/>
            </w:tcBorders>
            <w:noWrap w:val="0"/>
            <w:vAlign w:val="center"/>
          </w:tcPr>
          <w:p w14:paraId="23C7897D">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90" w:type="dxa"/>
            <w:tcBorders>
              <w:tl2br w:val="nil"/>
              <w:tr2bl w:val="nil"/>
            </w:tcBorders>
            <w:noWrap w:val="0"/>
            <w:vAlign w:val="center"/>
          </w:tcPr>
          <w:p w14:paraId="20635F1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危废贮存库</w:t>
            </w:r>
          </w:p>
        </w:tc>
        <w:tc>
          <w:tcPr>
            <w:tcW w:w="2800" w:type="dxa"/>
            <w:tcBorders>
              <w:tl2br w:val="nil"/>
              <w:tr2bl w:val="nil"/>
            </w:tcBorders>
            <w:noWrap w:val="0"/>
            <w:vAlign w:val="center"/>
          </w:tcPr>
          <w:p w14:paraId="22551CA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pacing w:val="-1"/>
                <w:sz w:val="21"/>
                <w:szCs w:val="21"/>
                <w:highlight w:val="none"/>
                <w:lang w:val="en-US" w:eastAsia="zh-CN"/>
              </w:rPr>
              <w:t>地面铺设</w:t>
            </w:r>
            <w:r>
              <w:rPr>
                <w:rFonts w:hint="default" w:ascii="Times New Roman" w:hAnsi="Times New Roman" w:eastAsia="宋体" w:cs="Times New Roman"/>
                <w:color w:val="auto"/>
                <w:spacing w:val="-1"/>
                <w:sz w:val="21"/>
                <w:szCs w:val="21"/>
                <w:highlight w:val="none"/>
              </w:rPr>
              <w:t>2mm厚高密度聚乙烯膜等人工防渗材料</w:t>
            </w:r>
            <w:r>
              <w:rPr>
                <w:rFonts w:hint="eastAsia"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渗透系数不大于1.0×10</w:t>
            </w:r>
            <w:r>
              <w:rPr>
                <w:rFonts w:hint="default" w:ascii="Times New Roman" w:hAnsi="Times New Roman" w:eastAsia="宋体" w:cs="Times New Roman"/>
                <w:color w:val="auto"/>
                <w:spacing w:val="-1"/>
                <w:sz w:val="21"/>
                <w:szCs w:val="21"/>
                <w:highlight w:val="none"/>
                <w:vertAlign w:val="superscript"/>
              </w:rPr>
              <w:t>-7</w:t>
            </w:r>
            <w:r>
              <w:rPr>
                <w:rFonts w:hint="default" w:ascii="Times New Roman" w:hAnsi="Times New Roman" w:eastAsia="宋体" w:cs="Times New Roman"/>
                <w:color w:val="auto"/>
                <w:spacing w:val="-1"/>
                <w:sz w:val="21"/>
                <w:szCs w:val="21"/>
                <w:highlight w:val="none"/>
              </w:rPr>
              <w:t>cm/s</w:t>
            </w:r>
          </w:p>
        </w:tc>
      </w:tr>
      <w:tr w14:paraId="3CE90BA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continue"/>
            <w:tcBorders>
              <w:tl2br w:val="nil"/>
              <w:tr2bl w:val="nil"/>
            </w:tcBorders>
            <w:noWrap w:val="0"/>
            <w:vAlign w:val="center"/>
          </w:tcPr>
          <w:p w14:paraId="353C9EB0">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4" w:type="dxa"/>
            <w:tcBorders>
              <w:tl2br w:val="nil"/>
              <w:tr2bl w:val="nil"/>
            </w:tcBorders>
            <w:noWrap w:val="0"/>
            <w:vAlign w:val="center"/>
          </w:tcPr>
          <w:p w14:paraId="1EFE4F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w:t>
            </w:r>
          </w:p>
          <w:p w14:paraId="0EC3C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防治区</w:t>
            </w:r>
          </w:p>
        </w:tc>
        <w:tc>
          <w:tcPr>
            <w:tcW w:w="3990" w:type="dxa"/>
            <w:tcBorders>
              <w:tl2br w:val="nil"/>
              <w:tr2bl w:val="nil"/>
            </w:tcBorders>
            <w:noWrap w:val="0"/>
            <w:vAlign w:val="center"/>
          </w:tcPr>
          <w:p w14:paraId="3BC47E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化粪池、</w:t>
            </w:r>
            <w:r>
              <w:rPr>
                <w:rFonts w:hint="eastAsia" w:eastAsia="宋体" w:cs="Times New Roman"/>
                <w:color w:val="auto"/>
                <w:sz w:val="21"/>
                <w:szCs w:val="21"/>
                <w:highlight w:val="none"/>
                <w:lang w:val="en-US" w:eastAsia="zh-CN"/>
              </w:rPr>
              <w:t>屠宰加工车间</w:t>
            </w:r>
          </w:p>
        </w:tc>
        <w:tc>
          <w:tcPr>
            <w:tcW w:w="2800" w:type="dxa"/>
            <w:tcBorders>
              <w:tl2br w:val="nil"/>
              <w:tr2bl w:val="nil"/>
            </w:tcBorders>
            <w:noWrap w:val="0"/>
            <w:vAlign w:val="center"/>
          </w:tcPr>
          <w:p w14:paraId="611B6C6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水泥砂浆防渗，防渗层为至少1m厚</w:t>
            </w:r>
            <w:r>
              <w:rPr>
                <w:rFonts w:hint="eastAsia" w:ascii="Times New Roman" w:hAnsi="Times New Roman" w:eastAsia="宋体" w:cs="Times New Roman"/>
                <w:color w:val="auto"/>
                <w:sz w:val="21"/>
                <w:szCs w:val="21"/>
                <w:highlight w:val="none"/>
                <w:lang w:eastAsia="zh-CN"/>
              </w:rPr>
              <w:t>粘土</w:t>
            </w:r>
            <w:r>
              <w:rPr>
                <w:rFonts w:hint="default" w:ascii="Times New Roman" w:hAnsi="Times New Roman" w:eastAsia="宋体" w:cs="Times New Roman"/>
                <w:color w:val="auto"/>
                <w:sz w:val="21"/>
                <w:szCs w:val="21"/>
                <w:highlight w:val="none"/>
              </w:rPr>
              <w:t>层或2mm厚高密度聚乙烯，需满足等效</w:t>
            </w:r>
            <w:r>
              <w:rPr>
                <w:rFonts w:hint="eastAsia" w:ascii="Times New Roman" w:hAnsi="Times New Roman" w:eastAsia="宋体" w:cs="Times New Roman"/>
                <w:color w:val="auto"/>
                <w:sz w:val="21"/>
                <w:szCs w:val="21"/>
                <w:highlight w:val="none"/>
                <w:lang w:eastAsia="zh-CN"/>
              </w:rPr>
              <w:t>粘土</w:t>
            </w:r>
            <w:r>
              <w:rPr>
                <w:rFonts w:hint="default" w:ascii="Times New Roman" w:hAnsi="Times New Roman" w:eastAsia="宋体" w:cs="Times New Roman"/>
                <w:color w:val="auto"/>
                <w:sz w:val="21"/>
                <w:szCs w:val="21"/>
                <w:highlight w:val="none"/>
              </w:rPr>
              <w:t>防渗层Mb≥1.5m，满足渗透系数K≤1.0×10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p>
        </w:tc>
      </w:tr>
      <w:tr w14:paraId="23454B7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vMerge w:val="continue"/>
            <w:tcBorders>
              <w:tl2br w:val="nil"/>
              <w:tr2bl w:val="nil"/>
            </w:tcBorders>
            <w:noWrap w:val="0"/>
            <w:vAlign w:val="center"/>
          </w:tcPr>
          <w:p w14:paraId="7D5B999B">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4" w:type="dxa"/>
            <w:tcBorders>
              <w:tl2br w:val="nil"/>
              <w:tr2bl w:val="nil"/>
            </w:tcBorders>
            <w:noWrap w:val="0"/>
            <w:vAlign w:val="center"/>
          </w:tcPr>
          <w:p w14:paraId="22557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简单防治区</w:t>
            </w:r>
          </w:p>
        </w:tc>
        <w:tc>
          <w:tcPr>
            <w:tcW w:w="3990" w:type="dxa"/>
            <w:tcBorders>
              <w:tl2br w:val="nil"/>
              <w:tr2bl w:val="nil"/>
            </w:tcBorders>
            <w:noWrap w:val="0"/>
            <w:vAlign w:val="center"/>
          </w:tcPr>
          <w:p w14:paraId="47ACAC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办公区</w:t>
            </w:r>
          </w:p>
        </w:tc>
        <w:tc>
          <w:tcPr>
            <w:tcW w:w="2800" w:type="dxa"/>
            <w:tcBorders>
              <w:tl2br w:val="nil"/>
              <w:tr2bl w:val="nil"/>
            </w:tcBorders>
            <w:noWrap w:val="0"/>
            <w:vAlign w:val="center"/>
          </w:tcPr>
          <w:p w14:paraId="04DFE6B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一般地面硬化</w:t>
            </w:r>
          </w:p>
        </w:tc>
      </w:tr>
      <w:tr w14:paraId="24788B7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2029" w:type="dxa"/>
            <w:gridSpan w:val="3"/>
            <w:tcBorders>
              <w:tl2br w:val="nil"/>
              <w:tr2bl w:val="nil"/>
            </w:tcBorders>
            <w:noWrap w:val="0"/>
            <w:vAlign w:val="center"/>
          </w:tcPr>
          <w:p w14:paraId="2E4B8F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1"/>
                <w:sz w:val="21"/>
                <w:szCs w:val="21"/>
                <w:highlight w:val="none"/>
              </w:rPr>
              <w:t>环保机构及环保管理</w:t>
            </w:r>
          </w:p>
        </w:tc>
        <w:tc>
          <w:tcPr>
            <w:tcW w:w="3990" w:type="dxa"/>
            <w:tcBorders>
              <w:tl2br w:val="nil"/>
              <w:tr2bl w:val="nil"/>
            </w:tcBorders>
            <w:noWrap w:val="0"/>
            <w:vAlign w:val="center"/>
          </w:tcPr>
          <w:p w14:paraId="267691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1"/>
                <w:sz w:val="21"/>
                <w:szCs w:val="21"/>
                <w:highlight w:val="none"/>
              </w:rPr>
              <w:t>本项目设置环境保护管理机构，制定相应的环保管理条例和任务</w:t>
            </w:r>
          </w:p>
        </w:tc>
        <w:tc>
          <w:tcPr>
            <w:tcW w:w="2800" w:type="dxa"/>
            <w:tcBorders>
              <w:tl2br w:val="nil"/>
              <w:tr2bl w:val="nil"/>
            </w:tcBorders>
            <w:noWrap w:val="0"/>
            <w:vAlign w:val="center"/>
          </w:tcPr>
          <w:p w14:paraId="4FA13A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kern w:val="1"/>
                <w:sz w:val="21"/>
                <w:szCs w:val="21"/>
                <w:highlight w:val="none"/>
              </w:rPr>
              <w:t>设置专职环保人员和相应的仪器设备</w:t>
            </w:r>
          </w:p>
        </w:tc>
      </w:tr>
      <w:tr w14:paraId="3EBED1A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57" w:type="dxa"/>
            <w:bottom w:w="0" w:type="dxa"/>
            <w:right w:w="57" w:type="dxa"/>
          </w:tblCellMar>
        </w:tblPrEx>
        <w:trPr>
          <w:trHeight w:val="23" w:hRule="atLeast"/>
          <w:jc w:val="center"/>
        </w:trPr>
        <w:tc>
          <w:tcPr>
            <w:tcW w:w="705" w:type="dxa"/>
            <w:gridSpan w:val="2"/>
            <w:tcBorders>
              <w:tl2br w:val="nil"/>
              <w:tr2bl w:val="nil"/>
            </w:tcBorders>
            <w:noWrap w:val="0"/>
            <w:vAlign w:val="center"/>
          </w:tcPr>
          <w:p w14:paraId="006151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监测</w:t>
            </w:r>
          </w:p>
        </w:tc>
        <w:tc>
          <w:tcPr>
            <w:tcW w:w="1324" w:type="dxa"/>
            <w:tcBorders>
              <w:tl2br w:val="nil"/>
              <w:tr2bl w:val="nil"/>
            </w:tcBorders>
            <w:noWrap w:val="0"/>
            <w:vAlign w:val="center"/>
          </w:tcPr>
          <w:p w14:paraId="3A8BD4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地下水</w:t>
            </w:r>
          </w:p>
        </w:tc>
        <w:tc>
          <w:tcPr>
            <w:tcW w:w="3990" w:type="dxa"/>
            <w:tcBorders>
              <w:tl2br w:val="nil"/>
              <w:tr2bl w:val="nil"/>
            </w:tcBorders>
            <w:noWrap w:val="0"/>
            <w:vAlign w:val="center"/>
          </w:tcPr>
          <w:p w14:paraId="678BE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厂区下游布设地下水监测井1眼</w:t>
            </w:r>
          </w:p>
        </w:tc>
        <w:tc>
          <w:tcPr>
            <w:tcW w:w="2800" w:type="dxa"/>
            <w:tcBorders>
              <w:tl2br w:val="nil"/>
              <w:tr2bl w:val="nil"/>
            </w:tcBorders>
            <w:noWrap w:val="0"/>
            <w:vAlign w:val="center"/>
          </w:tcPr>
          <w:p w14:paraId="084517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3"/>
                <w:kern w:val="1"/>
                <w:sz w:val="21"/>
                <w:szCs w:val="21"/>
                <w:highlight w:val="none"/>
              </w:rPr>
            </w:pPr>
            <w:r>
              <w:rPr>
                <w:rFonts w:hint="default" w:ascii="Times New Roman" w:hAnsi="Times New Roman" w:eastAsia="宋体" w:cs="Times New Roman"/>
                <w:color w:val="auto"/>
                <w:spacing w:val="-3"/>
                <w:kern w:val="1"/>
                <w:sz w:val="21"/>
                <w:szCs w:val="21"/>
                <w:highlight w:val="none"/>
              </w:rPr>
              <w:t>-</w:t>
            </w:r>
          </w:p>
        </w:tc>
      </w:tr>
    </w:tbl>
    <w:p w14:paraId="7788AE0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677" w:name="_Toc13713"/>
      <w:r>
        <w:rPr>
          <w:rFonts w:hint="default" w:ascii="Times New Roman" w:hAnsi="Times New Roman" w:eastAsia="黑体" w:cs="Times New Roman"/>
          <w:b/>
          <w:color w:val="auto"/>
          <w:sz w:val="28"/>
          <w:szCs w:val="28"/>
          <w:highlight w:val="none"/>
          <w:lang w:val="en-US" w:eastAsia="zh-CN"/>
        </w:rPr>
        <w:t>8.6污染物排放清单及管理要求</w:t>
      </w:r>
      <w:bookmarkEnd w:id="671"/>
      <w:bookmarkEnd w:id="672"/>
      <w:bookmarkEnd w:id="673"/>
      <w:bookmarkEnd w:id="674"/>
      <w:bookmarkEnd w:id="675"/>
      <w:bookmarkEnd w:id="676"/>
      <w:bookmarkEnd w:id="677"/>
    </w:p>
    <w:p w14:paraId="7809CFA1">
      <w:pPr>
        <w:pStyle w:val="3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_GB2312" w:cstheme="minorBidi"/>
          <w:color w:val="auto"/>
          <w:kern w:val="2"/>
          <w:sz w:val="24"/>
          <w:szCs w:val="24"/>
          <w:lang w:val="en-US" w:eastAsia="zh-CN" w:bidi="ar-SA"/>
        </w:rPr>
        <w:sectPr>
          <w:headerReference r:id="rId32"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仿宋_GB2312" w:cstheme="minorBidi"/>
          <w:color w:val="auto"/>
          <w:kern w:val="2"/>
          <w:sz w:val="24"/>
          <w:szCs w:val="24"/>
          <w:lang w:val="en-US" w:eastAsia="zh-CN" w:bidi="ar-SA"/>
        </w:rPr>
        <w:t>根据《关于强化建设项目环境影响评价事中事后监管的实施意见》（环环评〔2018〕11号），项目环境影响报告书（表）应核定建设项目的产排污环节、污染物种类及污染防治设施和措施等基本信息；依据国家或地方污染物排放标准、环境质量标准和总量控制要求，按照污染源源强核算技术指南、环评要素导则等，严格核定排放口数量、位置以及每个排放口的污染物种类、允许排放浓度和允许排放量、排放方式、排放去向、自行监测计划等与污染物排放相关的主要内容。本项目污染物排放清单详见表8.6-1～表8.6-</w:t>
      </w:r>
      <w:r>
        <w:rPr>
          <w:rFonts w:hint="eastAsia" w:ascii="Times New Roman" w:eastAsia="仿宋_GB2312" w:cstheme="minorBidi"/>
          <w:color w:val="auto"/>
          <w:kern w:val="2"/>
          <w:sz w:val="24"/>
          <w:szCs w:val="24"/>
          <w:lang w:val="en-US" w:eastAsia="zh-CN" w:bidi="ar-SA"/>
        </w:rPr>
        <w:t>4</w:t>
      </w:r>
      <w:r>
        <w:rPr>
          <w:rFonts w:hint="eastAsia" w:ascii="Times New Roman" w:hAnsi="Times New Roman" w:eastAsia="仿宋_GB2312" w:cstheme="minorBidi"/>
          <w:color w:val="auto"/>
          <w:kern w:val="2"/>
          <w:sz w:val="24"/>
          <w:szCs w:val="24"/>
          <w:lang w:val="en-US" w:eastAsia="zh-CN" w:bidi="ar-SA"/>
        </w:rPr>
        <w:t>。</w:t>
      </w:r>
    </w:p>
    <w:p w14:paraId="631A2064">
      <w:pPr>
        <w:spacing w:line="240" w:lineRule="auto"/>
        <w:jc w:val="both"/>
        <w:rPr>
          <w:rFonts w:hint="default" w:ascii="Times New Roman" w:hAnsi="Times New Roman" w:cs="Times New Roman"/>
          <w:b/>
          <w:color w:val="auto"/>
          <w:sz w:val="24"/>
          <w:highlight w:val="none"/>
        </w:rPr>
      </w:pPr>
      <w:r>
        <w:rPr>
          <w:rStyle w:val="37"/>
          <w:rFonts w:hint="default" w:ascii="Times New Roman" w:hAnsi="Times New Roman" w:eastAsia="宋体" w:cs="Times New Roman"/>
          <w:color w:val="auto"/>
          <w:kern w:val="2"/>
          <w:sz w:val="21"/>
          <w:szCs w:val="21"/>
          <w:highlight w:val="none"/>
          <w:lang w:val="en-US" w:eastAsia="zh-CN"/>
        </w:rPr>
        <w:t>表</w:t>
      </w:r>
      <w:r>
        <w:rPr>
          <w:rStyle w:val="37"/>
          <w:rFonts w:hint="eastAsia" w:eastAsia="宋体" w:cs="Times New Roman"/>
          <w:color w:val="auto"/>
          <w:kern w:val="2"/>
          <w:sz w:val="21"/>
          <w:szCs w:val="21"/>
          <w:highlight w:val="none"/>
          <w:lang w:val="en-US" w:eastAsia="zh-CN"/>
        </w:rPr>
        <w:t>8.6-1</w:t>
      </w:r>
      <w:r>
        <w:rPr>
          <w:rStyle w:val="37"/>
          <w:rFonts w:hint="default" w:ascii="Times New Roman" w:hAnsi="Times New Roman" w:eastAsia="宋体" w:cs="Times New Roman"/>
          <w:color w:val="auto"/>
          <w:kern w:val="2"/>
          <w:sz w:val="21"/>
          <w:szCs w:val="21"/>
          <w:highlight w:val="none"/>
          <w:lang w:val="en-US" w:eastAsia="zh-CN"/>
        </w:rPr>
        <w:t xml:space="preserve"> </w:t>
      </w:r>
      <w:r>
        <w:rPr>
          <w:rStyle w:val="37"/>
          <w:rFonts w:hint="eastAsia" w:ascii="Times New Roman" w:hAnsi="Times New Roman" w:eastAsia="宋体" w:cs="Times New Roman"/>
          <w:color w:val="auto"/>
          <w:kern w:val="2"/>
          <w:sz w:val="21"/>
          <w:szCs w:val="21"/>
          <w:highlight w:val="none"/>
          <w:lang w:val="en-US" w:eastAsia="zh-CN"/>
        </w:rPr>
        <w:t xml:space="preserve">     </w:t>
      </w:r>
      <w:r>
        <w:rPr>
          <w:rFonts w:hint="default" w:ascii="Times New Roman" w:hAnsi="Times New Roman" w:eastAsia="仿宋＿GB2312" w:cs="Times New Roman"/>
          <w:bCs/>
          <w:color w:val="auto"/>
          <w:sz w:val="24"/>
          <w:highlight w:val="none"/>
        </w:rPr>
        <w:t xml:space="preserve"> </w:t>
      </w:r>
      <w:r>
        <w:rPr>
          <w:rFonts w:hint="eastAsia" w:ascii="Times New Roman" w:hAnsi="Times New Roman" w:eastAsia="仿宋＿GB2312" w:cs="Times New Roman"/>
          <w:bCs/>
          <w:color w:val="auto"/>
          <w:sz w:val="24"/>
          <w:highlight w:val="none"/>
          <w:lang w:val="en-US" w:eastAsia="zh-CN"/>
        </w:rPr>
        <w:t xml:space="preserve">                       </w:t>
      </w:r>
      <w:r>
        <w:rPr>
          <w:rStyle w:val="37"/>
          <w:rFonts w:hint="default" w:ascii="Times New Roman" w:hAnsi="Times New Roman" w:eastAsia="宋体" w:cs="Times New Roman"/>
          <w:b/>
          <w:bCs/>
          <w:color w:val="auto"/>
          <w:kern w:val="2"/>
          <w:sz w:val="24"/>
          <w:szCs w:val="24"/>
          <w:highlight w:val="none"/>
          <w:lang w:val="en-US" w:eastAsia="zh-CN"/>
        </w:rPr>
        <w:t>废气无组织排放量一览表</w:t>
      </w:r>
    </w:p>
    <w:tbl>
      <w:tblPr>
        <w:tblStyle w:val="27"/>
        <w:tblW w:w="49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234"/>
        <w:gridCol w:w="1269"/>
        <w:gridCol w:w="1109"/>
        <w:gridCol w:w="1548"/>
        <w:gridCol w:w="1541"/>
        <w:gridCol w:w="1052"/>
        <w:gridCol w:w="1065"/>
        <w:gridCol w:w="1101"/>
        <w:gridCol w:w="1029"/>
        <w:gridCol w:w="1164"/>
      </w:tblGrid>
      <w:tr w14:paraId="6C6BD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57" w:type="pct"/>
            <w:vMerge w:val="restart"/>
            <w:noWrap w:val="0"/>
            <w:vAlign w:val="center"/>
          </w:tcPr>
          <w:p w14:paraId="514ABB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污染源名称</w:t>
            </w:r>
          </w:p>
        </w:tc>
        <w:tc>
          <w:tcPr>
            <w:tcW w:w="917" w:type="pct"/>
            <w:gridSpan w:val="2"/>
            <w:noWrap w:val="0"/>
            <w:vAlign w:val="center"/>
          </w:tcPr>
          <w:p w14:paraId="13B7D9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面源中心点坐标</w:t>
            </w:r>
          </w:p>
        </w:tc>
        <w:tc>
          <w:tcPr>
            <w:tcW w:w="406" w:type="pct"/>
            <w:vMerge w:val="restart"/>
            <w:noWrap w:val="0"/>
            <w:vAlign w:val="center"/>
          </w:tcPr>
          <w:p w14:paraId="147126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海拔高度(m)</w:t>
            </w:r>
          </w:p>
        </w:tc>
        <w:tc>
          <w:tcPr>
            <w:tcW w:w="567" w:type="pct"/>
            <w:vMerge w:val="restart"/>
            <w:noWrap w:val="0"/>
            <w:vAlign w:val="center"/>
          </w:tcPr>
          <w:p w14:paraId="307A87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面源有效排放高度(m)</w:t>
            </w:r>
          </w:p>
        </w:tc>
        <w:tc>
          <w:tcPr>
            <w:tcW w:w="565" w:type="pct"/>
            <w:vMerge w:val="restart"/>
            <w:noWrap w:val="0"/>
            <w:vAlign w:val="center"/>
          </w:tcPr>
          <w:p w14:paraId="4DCEE9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初始垂向扩散参数(m)</w:t>
            </w:r>
          </w:p>
        </w:tc>
        <w:tc>
          <w:tcPr>
            <w:tcW w:w="385" w:type="pct"/>
            <w:vMerge w:val="restart"/>
            <w:noWrap w:val="0"/>
            <w:vAlign w:val="center"/>
          </w:tcPr>
          <w:p w14:paraId="234E58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圆形面源半径(m)</w:t>
            </w:r>
          </w:p>
        </w:tc>
        <w:tc>
          <w:tcPr>
            <w:tcW w:w="390" w:type="pct"/>
            <w:vMerge w:val="restart"/>
            <w:noWrap w:val="0"/>
            <w:vAlign w:val="center"/>
          </w:tcPr>
          <w:p w14:paraId="698F81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年排放小时数</w:t>
            </w:r>
          </w:p>
        </w:tc>
        <w:tc>
          <w:tcPr>
            <w:tcW w:w="403" w:type="pct"/>
            <w:vMerge w:val="restart"/>
            <w:noWrap w:val="0"/>
            <w:vAlign w:val="center"/>
          </w:tcPr>
          <w:p w14:paraId="53C92F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排放工况</w:t>
            </w:r>
          </w:p>
        </w:tc>
        <w:tc>
          <w:tcPr>
            <w:tcW w:w="804" w:type="pct"/>
            <w:gridSpan w:val="2"/>
            <w:noWrap w:val="0"/>
            <w:vAlign w:val="center"/>
          </w:tcPr>
          <w:p w14:paraId="3D956B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污染物排放速率（kg/h）</w:t>
            </w:r>
          </w:p>
        </w:tc>
      </w:tr>
      <w:tr w14:paraId="6E0AF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7" w:type="pct"/>
            <w:vMerge w:val="continue"/>
            <w:noWrap w:val="0"/>
            <w:vAlign w:val="center"/>
          </w:tcPr>
          <w:p w14:paraId="292ECC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452" w:type="pct"/>
            <w:noWrap w:val="0"/>
            <w:vAlign w:val="center"/>
          </w:tcPr>
          <w:p w14:paraId="2480CE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X</w:t>
            </w:r>
          </w:p>
        </w:tc>
        <w:tc>
          <w:tcPr>
            <w:tcW w:w="465" w:type="pct"/>
            <w:noWrap w:val="0"/>
            <w:vAlign w:val="center"/>
          </w:tcPr>
          <w:p w14:paraId="4A3862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Y</w:t>
            </w:r>
          </w:p>
        </w:tc>
        <w:tc>
          <w:tcPr>
            <w:tcW w:w="406" w:type="pct"/>
            <w:vMerge w:val="continue"/>
            <w:noWrap w:val="0"/>
            <w:vAlign w:val="center"/>
          </w:tcPr>
          <w:p w14:paraId="41D286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567" w:type="pct"/>
            <w:vMerge w:val="continue"/>
            <w:noWrap w:val="0"/>
            <w:vAlign w:val="center"/>
          </w:tcPr>
          <w:p w14:paraId="73EA1D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565" w:type="pct"/>
            <w:vMerge w:val="continue"/>
            <w:noWrap w:val="0"/>
            <w:vAlign w:val="center"/>
          </w:tcPr>
          <w:p w14:paraId="068F1B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385" w:type="pct"/>
            <w:vMerge w:val="continue"/>
            <w:noWrap w:val="0"/>
            <w:vAlign w:val="center"/>
          </w:tcPr>
          <w:p w14:paraId="2B6D67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390" w:type="pct"/>
            <w:vMerge w:val="continue"/>
            <w:noWrap w:val="0"/>
            <w:vAlign w:val="center"/>
          </w:tcPr>
          <w:p w14:paraId="23C0F3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403" w:type="pct"/>
            <w:vMerge w:val="continue"/>
            <w:noWrap w:val="0"/>
            <w:vAlign w:val="center"/>
          </w:tcPr>
          <w:p w14:paraId="47E0E0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377" w:type="pct"/>
            <w:noWrap w:val="0"/>
            <w:vAlign w:val="center"/>
          </w:tcPr>
          <w:p w14:paraId="5DFBEB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427" w:type="pct"/>
            <w:noWrap w:val="0"/>
            <w:vAlign w:val="center"/>
          </w:tcPr>
          <w:p w14:paraId="4974FA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r>
      <w:tr w14:paraId="233A2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7" w:type="pct"/>
            <w:noWrap w:val="0"/>
            <w:vAlign w:val="center"/>
          </w:tcPr>
          <w:p w14:paraId="36FF29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屠宰加工车间</w:t>
            </w:r>
          </w:p>
        </w:tc>
        <w:tc>
          <w:tcPr>
            <w:tcW w:w="452" w:type="pct"/>
            <w:noWrap w:val="0"/>
            <w:vAlign w:val="center"/>
          </w:tcPr>
          <w:p w14:paraId="1629B5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106.186605</w:t>
            </w:r>
          </w:p>
        </w:tc>
        <w:tc>
          <w:tcPr>
            <w:tcW w:w="465" w:type="pct"/>
            <w:noWrap w:val="0"/>
            <w:vAlign w:val="center"/>
          </w:tcPr>
          <w:p w14:paraId="032C08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36.004912</w:t>
            </w:r>
          </w:p>
        </w:tc>
        <w:tc>
          <w:tcPr>
            <w:tcW w:w="406" w:type="pct"/>
            <w:noWrap w:val="0"/>
            <w:vAlign w:val="center"/>
          </w:tcPr>
          <w:p w14:paraId="7AC367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567" w:type="pct"/>
            <w:noWrap w:val="0"/>
            <w:vAlign w:val="center"/>
          </w:tcPr>
          <w:p w14:paraId="170550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12.5</w:t>
            </w:r>
          </w:p>
        </w:tc>
        <w:tc>
          <w:tcPr>
            <w:tcW w:w="565" w:type="pct"/>
            <w:noWrap w:val="0"/>
            <w:vAlign w:val="center"/>
          </w:tcPr>
          <w:p w14:paraId="285D2A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5.8140</w:t>
            </w:r>
          </w:p>
        </w:tc>
        <w:tc>
          <w:tcPr>
            <w:tcW w:w="385" w:type="pct"/>
            <w:noWrap w:val="0"/>
            <w:vAlign w:val="center"/>
          </w:tcPr>
          <w:p w14:paraId="2FF0D8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21.3</w:t>
            </w:r>
          </w:p>
        </w:tc>
        <w:tc>
          <w:tcPr>
            <w:tcW w:w="390" w:type="pct"/>
            <w:noWrap w:val="0"/>
            <w:vAlign w:val="center"/>
          </w:tcPr>
          <w:p w14:paraId="4234A7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2640</w:t>
            </w:r>
          </w:p>
        </w:tc>
        <w:tc>
          <w:tcPr>
            <w:tcW w:w="403" w:type="pct"/>
            <w:noWrap w:val="0"/>
            <w:vAlign w:val="center"/>
          </w:tcPr>
          <w:p w14:paraId="08D85F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正常排放</w:t>
            </w:r>
          </w:p>
        </w:tc>
        <w:tc>
          <w:tcPr>
            <w:tcW w:w="377" w:type="pct"/>
            <w:noWrap w:val="0"/>
            <w:vAlign w:val="center"/>
          </w:tcPr>
          <w:p w14:paraId="4AA910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0.00076</w:t>
            </w:r>
          </w:p>
        </w:tc>
        <w:tc>
          <w:tcPr>
            <w:tcW w:w="427" w:type="pct"/>
            <w:noWrap w:val="0"/>
            <w:vAlign w:val="center"/>
          </w:tcPr>
          <w:p w14:paraId="14E8F2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0.011</w:t>
            </w:r>
          </w:p>
        </w:tc>
      </w:tr>
      <w:tr w14:paraId="7D243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7" w:type="pct"/>
            <w:noWrap w:val="0"/>
            <w:vAlign w:val="center"/>
          </w:tcPr>
          <w:p w14:paraId="769746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待宰圈</w:t>
            </w:r>
          </w:p>
        </w:tc>
        <w:tc>
          <w:tcPr>
            <w:tcW w:w="452" w:type="pct"/>
            <w:noWrap w:val="0"/>
            <w:vAlign w:val="center"/>
          </w:tcPr>
          <w:p w14:paraId="3DD01C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106.186712</w:t>
            </w:r>
          </w:p>
        </w:tc>
        <w:tc>
          <w:tcPr>
            <w:tcW w:w="465" w:type="pct"/>
            <w:noWrap w:val="0"/>
            <w:vAlign w:val="center"/>
          </w:tcPr>
          <w:p w14:paraId="66C70D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36.004938</w:t>
            </w:r>
          </w:p>
        </w:tc>
        <w:tc>
          <w:tcPr>
            <w:tcW w:w="406" w:type="pct"/>
            <w:noWrap w:val="0"/>
            <w:vAlign w:val="center"/>
          </w:tcPr>
          <w:p w14:paraId="4CF941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567" w:type="pct"/>
            <w:noWrap w:val="0"/>
            <w:vAlign w:val="center"/>
          </w:tcPr>
          <w:p w14:paraId="317EF3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12.5</w:t>
            </w:r>
          </w:p>
        </w:tc>
        <w:tc>
          <w:tcPr>
            <w:tcW w:w="565" w:type="pct"/>
            <w:noWrap w:val="0"/>
            <w:vAlign w:val="center"/>
          </w:tcPr>
          <w:p w14:paraId="2D0A5E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5.8140</w:t>
            </w:r>
          </w:p>
        </w:tc>
        <w:tc>
          <w:tcPr>
            <w:tcW w:w="385" w:type="pct"/>
            <w:noWrap w:val="0"/>
            <w:vAlign w:val="center"/>
          </w:tcPr>
          <w:p w14:paraId="3567CA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9.8</w:t>
            </w:r>
          </w:p>
        </w:tc>
        <w:tc>
          <w:tcPr>
            <w:tcW w:w="390" w:type="pct"/>
            <w:noWrap w:val="0"/>
            <w:vAlign w:val="center"/>
          </w:tcPr>
          <w:p w14:paraId="008074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7920</w:t>
            </w:r>
          </w:p>
        </w:tc>
        <w:tc>
          <w:tcPr>
            <w:tcW w:w="403" w:type="pct"/>
            <w:noWrap w:val="0"/>
            <w:vAlign w:val="center"/>
          </w:tcPr>
          <w:p w14:paraId="71D9B7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正常排放</w:t>
            </w:r>
          </w:p>
        </w:tc>
        <w:tc>
          <w:tcPr>
            <w:tcW w:w="377" w:type="pct"/>
            <w:noWrap w:val="0"/>
            <w:vAlign w:val="center"/>
          </w:tcPr>
          <w:p w14:paraId="1C96E0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0.000076</w:t>
            </w:r>
          </w:p>
        </w:tc>
        <w:tc>
          <w:tcPr>
            <w:tcW w:w="427" w:type="pct"/>
            <w:noWrap w:val="0"/>
            <w:vAlign w:val="center"/>
          </w:tcPr>
          <w:p w14:paraId="579752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0.0011</w:t>
            </w:r>
          </w:p>
        </w:tc>
      </w:tr>
    </w:tbl>
    <w:p w14:paraId="208D2D9F">
      <w:pPr>
        <w:pStyle w:val="25"/>
        <w:keepNext w:val="0"/>
        <w:keepLines w:val="0"/>
        <w:pageBreakBefore w:val="0"/>
        <w:widowControl w:val="0"/>
        <w:kinsoku/>
        <w:wordWrap/>
        <w:overflowPunct/>
        <w:topLinePunct w:val="0"/>
        <w:autoSpaceDE/>
        <w:autoSpaceDN/>
        <w:bidi w:val="0"/>
        <w:adjustRightInd/>
        <w:snapToGrid/>
        <w:spacing w:after="0" w:line="240" w:lineRule="auto"/>
        <w:textAlignment w:val="auto"/>
        <w:rPr>
          <w:rStyle w:val="37"/>
          <w:rFonts w:hint="eastAsia" w:ascii="Times New Roman" w:hAnsi="Times New Roman" w:eastAsia="宋体" w:cs="Times New Roman"/>
          <w:b/>
          <w:bCs/>
          <w:color w:val="auto"/>
          <w:kern w:val="2"/>
          <w:sz w:val="24"/>
          <w:szCs w:val="24"/>
          <w:highlight w:val="none"/>
          <w:lang w:val="en-US" w:eastAsia="zh-CN"/>
        </w:rPr>
      </w:pPr>
      <w:r>
        <w:rPr>
          <w:rStyle w:val="37"/>
          <w:rFonts w:hint="default" w:ascii="Times New Roman" w:hAnsi="Times New Roman" w:eastAsia="宋体" w:cs="Times New Roman"/>
          <w:color w:val="auto"/>
          <w:kern w:val="2"/>
          <w:sz w:val="21"/>
          <w:szCs w:val="21"/>
          <w:highlight w:val="none"/>
          <w:lang w:val="en-US" w:eastAsia="zh-CN"/>
        </w:rPr>
        <w:t>表</w:t>
      </w:r>
      <w:r>
        <w:rPr>
          <w:rStyle w:val="37"/>
          <w:rFonts w:hint="eastAsia" w:eastAsia="宋体" w:cs="Times New Roman"/>
          <w:color w:val="auto"/>
          <w:kern w:val="2"/>
          <w:sz w:val="21"/>
          <w:szCs w:val="21"/>
          <w:highlight w:val="none"/>
          <w:lang w:val="en-US" w:eastAsia="zh-CN"/>
        </w:rPr>
        <w:t>8.6-2</w:t>
      </w:r>
      <w:r>
        <w:rPr>
          <w:rFonts w:hint="default"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lang w:val="en-US" w:eastAsia="zh-CN"/>
        </w:rPr>
        <w:t xml:space="preserve">                            </w:t>
      </w:r>
      <w:r>
        <w:rPr>
          <w:rStyle w:val="37"/>
          <w:rFonts w:hint="eastAsia" w:ascii="Times New Roman" w:hAnsi="Times New Roman" w:eastAsia="宋体" w:cs="Times New Roman"/>
          <w:b/>
          <w:bCs/>
          <w:color w:val="auto"/>
          <w:kern w:val="2"/>
          <w:sz w:val="24"/>
          <w:szCs w:val="24"/>
          <w:highlight w:val="none"/>
          <w:lang w:val="en-US" w:eastAsia="zh-CN"/>
        </w:rPr>
        <w:t>废气排气筒参数及排放量一览表</w:t>
      </w:r>
    </w:p>
    <w:tbl>
      <w:tblPr>
        <w:tblStyle w:val="27"/>
        <w:tblW w:w="50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343"/>
        <w:gridCol w:w="1791"/>
        <w:gridCol w:w="1705"/>
        <w:gridCol w:w="1434"/>
        <w:gridCol w:w="1042"/>
        <w:gridCol w:w="948"/>
        <w:gridCol w:w="1025"/>
        <w:gridCol w:w="1050"/>
        <w:gridCol w:w="1133"/>
        <w:gridCol w:w="1239"/>
      </w:tblGrid>
      <w:tr w14:paraId="4E074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71" w:type="dxa"/>
            <w:vMerge w:val="restart"/>
            <w:noWrap w:val="0"/>
            <w:vAlign w:val="center"/>
          </w:tcPr>
          <w:p w14:paraId="2D14C0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p w14:paraId="4090C0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2345" w:type="dxa"/>
            <w:gridSpan w:val="2"/>
            <w:noWrap w:val="0"/>
            <w:vAlign w:val="center"/>
          </w:tcPr>
          <w:p w14:paraId="085831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排气筒底部中心坐标</w:t>
            </w:r>
          </w:p>
        </w:tc>
        <w:tc>
          <w:tcPr>
            <w:tcW w:w="962" w:type="dxa"/>
            <w:vMerge w:val="restart"/>
            <w:noWrap w:val="0"/>
            <w:vAlign w:val="center"/>
          </w:tcPr>
          <w:p w14:paraId="5951DE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排气筒底部海拔高度(m)</w:t>
            </w:r>
          </w:p>
        </w:tc>
        <w:tc>
          <w:tcPr>
            <w:tcW w:w="2727" w:type="dxa"/>
            <w:gridSpan w:val="4"/>
            <w:noWrap w:val="0"/>
            <w:vAlign w:val="center"/>
          </w:tcPr>
          <w:p w14:paraId="5BF5DE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排气筒参数</w:t>
            </w:r>
          </w:p>
        </w:tc>
        <w:tc>
          <w:tcPr>
            <w:tcW w:w="1591" w:type="dxa"/>
            <w:gridSpan w:val="2"/>
            <w:noWrap w:val="0"/>
            <w:vAlign w:val="center"/>
          </w:tcPr>
          <w:p w14:paraId="488729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污染物排放速率（kg/h）</w:t>
            </w:r>
          </w:p>
        </w:tc>
      </w:tr>
      <w:tr w14:paraId="05773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71" w:type="dxa"/>
            <w:vMerge w:val="continue"/>
            <w:noWrap w:val="0"/>
            <w:vAlign w:val="center"/>
          </w:tcPr>
          <w:p w14:paraId="25337C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02" w:type="dxa"/>
            <w:noWrap w:val="0"/>
            <w:vAlign w:val="center"/>
          </w:tcPr>
          <w:p w14:paraId="1DE8E0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eastAsia="宋体" w:cs="Times New Roman"/>
                <w:b/>
                <w:color w:val="auto"/>
                <w:sz w:val="21"/>
                <w:szCs w:val="21"/>
                <w:highlight w:val="none"/>
                <w:lang w:val="en-US" w:eastAsia="zh-CN"/>
              </w:rPr>
              <w:t>X</w:t>
            </w:r>
          </w:p>
        </w:tc>
        <w:tc>
          <w:tcPr>
            <w:tcW w:w="1143" w:type="dxa"/>
            <w:noWrap w:val="0"/>
            <w:vAlign w:val="center"/>
          </w:tcPr>
          <w:p w14:paraId="523034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eastAsia="宋体" w:cs="Times New Roman"/>
                <w:b/>
                <w:color w:val="auto"/>
                <w:sz w:val="21"/>
                <w:szCs w:val="21"/>
                <w:highlight w:val="none"/>
                <w:lang w:val="en-US" w:eastAsia="zh-CN"/>
              </w:rPr>
              <w:t>Y</w:t>
            </w:r>
          </w:p>
        </w:tc>
        <w:tc>
          <w:tcPr>
            <w:tcW w:w="962" w:type="dxa"/>
            <w:vMerge w:val="continue"/>
            <w:noWrap w:val="0"/>
            <w:vAlign w:val="center"/>
          </w:tcPr>
          <w:p w14:paraId="05FFE4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p>
        </w:tc>
        <w:tc>
          <w:tcPr>
            <w:tcW w:w="699" w:type="dxa"/>
            <w:noWrap w:val="0"/>
            <w:vAlign w:val="center"/>
          </w:tcPr>
          <w:p w14:paraId="301620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高度</w:t>
            </w:r>
          </w:p>
          <w:p w14:paraId="53A109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w:t>
            </w:r>
          </w:p>
        </w:tc>
        <w:tc>
          <w:tcPr>
            <w:tcW w:w="636" w:type="dxa"/>
            <w:noWrap w:val="0"/>
            <w:vAlign w:val="center"/>
          </w:tcPr>
          <w:p w14:paraId="071954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内径</w:t>
            </w:r>
          </w:p>
          <w:p w14:paraId="6C7D94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w:t>
            </w:r>
          </w:p>
        </w:tc>
        <w:tc>
          <w:tcPr>
            <w:tcW w:w="688" w:type="dxa"/>
            <w:noWrap w:val="0"/>
            <w:vAlign w:val="center"/>
          </w:tcPr>
          <w:p w14:paraId="30F36A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温度</w:t>
            </w:r>
          </w:p>
          <w:p w14:paraId="302E59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w:t>
            </w:r>
          </w:p>
        </w:tc>
        <w:tc>
          <w:tcPr>
            <w:tcW w:w="704" w:type="dxa"/>
            <w:noWrap w:val="0"/>
            <w:vAlign w:val="center"/>
          </w:tcPr>
          <w:p w14:paraId="6E481E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流速</w:t>
            </w:r>
          </w:p>
          <w:p w14:paraId="573C7A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(m/s)</w:t>
            </w:r>
          </w:p>
        </w:tc>
        <w:tc>
          <w:tcPr>
            <w:tcW w:w="760" w:type="dxa"/>
            <w:noWrap w:val="0"/>
            <w:vAlign w:val="center"/>
          </w:tcPr>
          <w:p w14:paraId="7E8B50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831" w:type="dxa"/>
            <w:noWrap w:val="0"/>
            <w:vAlign w:val="center"/>
          </w:tcPr>
          <w:p w14:paraId="646468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r>
      <w:tr w14:paraId="4151F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71" w:type="dxa"/>
            <w:noWrap w:val="0"/>
            <w:vAlign w:val="center"/>
          </w:tcPr>
          <w:p w14:paraId="46C6E0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待宰圈</w:t>
            </w:r>
            <w:r>
              <w:rPr>
                <w:rFonts w:hint="eastAsia" w:ascii="Times New Roman" w:hAnsi="Times New Roman" w:eastAsia="宋体" w:cs="Times New Roman"/>
                <w:color w:val="auto"/>
                <w:sz w:val="21"/>
                <w:szCs w:val="21"/>
                <w:highlight w:val="none"/>
                <w:lang w:val="en-US" w:eastAsia="zh-CN"/>
              </w:rPr>
              <w:t>DA001</w:t>
            </w:r>
          </w:p>
        </w:tc>
        <w:tc>
          <w:tcPr>
            <w:tcW w:w="1202" w:type="dxa"/>
            <w:noWrap w:val="0"/>
            <w:vAlign w:val="center"/>
          </w:tcPr>
          <w:p w14:paraId="3547B9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106.186594</w:t>
            </w:r>
          </w:p>
        </w:tc>
        <w:tc>
          <w:tcPr>
            <w:tcW w:w="1143" w:type="dxa"/>
            <w:noWrap w:val="0"/>
            <w:vAlign w:val="center"/>
          </w:tcPr>
          <w:p w14:paraId="7F77E8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36.004979</w:t>
            </w:r>
          </w:p>
        </w:tc>
        <w:tc>
          <w:tcPr>
            <w:tcW w:w="962" w:type="dxa"/>
            <w:noWrap w:val="0"/>
            <w:vAlign w:val="center"/>
          </w:tcPr>
          <w:p w14:paraId="244E03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699" w:type="dxa"/>
            <w:noWrap w:val="0"/>
            <w:vAlign w:val="center"/>
          </w:tcPr>
          <w:p w14:paraId="61DCAD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w:t>
            </w:r>
          </w:p>
        </w:tc>
        <w:tc>
          <w:tcPr>
            <w:tcW w:w="636" w:type="dxa"/>
            <w:noWrap w:val="0"/>
            <w:vAlign w:val="center"/>
          </w:tcPr>
          <w:p w14:paraId="256918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0.6</w:t>
            </w:r>
          </w:p>
        </w:tc>
        <w:tc>
          <w:tcPr>
            <w:tcW w:w="688" w:type="dxa"/>
            <w:noWrap w:val="0"/>
            <w:vAlign w:val="center"/>
          </w:tcPr>
          <w:p w14:paraId="49AA99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25</w:t>
            </w:r>
          </w:p>
        </w:tc>
        <w:tc>
          <w:tcPr>
            <w:tcW w:w="704" w:type="dxa"/>
            <w:noWrap w:val="0"/>
            <w:vAlign w:val="center"/>
          </w:tcPr>
          <w:p w14:paraId="119459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13.76</w:t>
            </w:r>
          </w:p>
        </w:tc>
        <w:tc>
          <w:tcPr>
            <w:tcW w:w="760" w:type="dxa"/>
            <w:noWrap w:val="0"/>
            <w:vAlign w:val="center"/>
          </w:tcPr>
          <w:p w14:paraId="6B4E38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0.00027</w:t>
            </w:r>
          </w:p>
        </w:tc>
        <w:tc>
          <w:tcPr>
            <w:tcW w:w="831" w:type="dxa"/>
            <w:noWrap w:val="0"/>
            <w:vAlign w:val="center"/>
          </w:tcPr>
          <w:p w14:paraId="4D6F62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0.0039</w:t>
            </w:r>
          </w:p>
        </w:tc>
      </w:tr>
      <w:tr w14:paraId="0A174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71" w:type="dxa"/>
            <w:noWrap w:val="0"/>
            <w:vAlign w:val="center"/>
          </w:tcPr>
          <w:p w14:paraId="0CB507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污水处理站DA002</w:t>
            </w:r>
          </w:p>
        </w:tc>
        <w:tc>
          <w:tcPr>
            <w:tcW w:w="1202" w:type="dxa"/>
            <w:noWrap w:val="0"/>
            <w:vAlign w:val="center"/>
          </w:tcPr>
          <w:p w14:paraId="12F446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106.187039</w:t>
            </w:r>
          </w:p>
        </w:tc>
        <w:tc>
          <w:tcPr>
            <w:tcW w:w="1143" w:type="dxa"/>
            <w:noWrap w:val="0"/>
            <w:vAlign w:val="center"/>
          </w:tcPr>
          <w:p w14:paraId="31BBF8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36.004768</w:t>
            </w:r>
          </w:p>
        </w:tc>
        <w:tc>
          <w:tcPr>
            <w:tcW w:w="962" w:type="dxa"/>
            <w:noWrap w:val="0"/>
            <w:vAlign w:val="center"/>
          </w:tcPr>
          <w:p w14:paraId="4EA4A6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1833</w:t>
            </w:r>
          </w:p>
        </w:tc>
        <w:tc>
          <w:tcPr>
            <w:tcW w:w="699" w:type="dxa"/>
            <w:noWrap w:val="0"/>
            <w:vAlign w:val="center"/>
          </w:tcPr>
          <w:p w14:paraId="218396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w:t>
            </w:r>
          </w:p>
        </w:tc>
        <w:tc>
          <w:tcPr>
            <w:tcW w:w="636" w:type="dxa"/>
            <w:noWrap w:val="0"/>
            <w:vAlign w:val="center"/>
          </w:tcPr>
          <w:p w14:paraId="6BB865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0.2</w:t>
            </w:r>
          </w:p>
        </w:tc>
        <w:tc>
          <w:tcPr>
            <w:tcW w:w="688" w:type="dxa"/>
            <w:noWrap w:val="0"/>
            <w:vAlign w:val="center"/>
          </w:tcPr>
          <w:p w14:paraId="6042B0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25</w:t>
            </w:r>
          </w:p>
        </w:tc>
        <w:tc>
          <w:tcPr>
            <w:tcW w:w="704" w:type="dxa"/>
            <w:noWrap w:val="0"/>
            <w:vAlign w:val="center"/>
          </w:tcPr>
          <w:p w14:paraId="2B5F0F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8.85</w:t>
            </w:r>
          </w:p>
        </w:tc>
        <w:tc>
          <w:tcPr>
            <w:tcW w:w="760" w:type="dxa"/>
            <w:noWrap w:val="0"/>
            <w:vAlign w:val="center"/>
          </w:tcPr>
          <w:p w14:paraId="5583A3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0.000053</w:t>
            </w:r>
          </w:p>
        </w:tc>
        <w:tc>
          <w:tcPr>
            <w:tcW w:w="831" w:type="dxa"/>
            <w:noWrap w:val="0"/>
            <w:vAlign w:val="center"/>
          </w:tcPr>
          <w:p w14:paraId="4848C9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0.0013</w:t>
            </w:r>
          </w:p>
        </w:tc>
      </w:tr>
    </w:tbl>
    <w:p w14:paraId="7FAF1C38">
      <w:pPr>
        <w:pStyle w:val="34"/>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textAlignment w:val="auto"/>
        <w:rPr>
          <w:rFonts w:hint="default" w:ascii="Times New Roman" w:hAnsi="Times New Roman" w:eastAsia="仿宋_GB2312" w:cstheme="minorBidi"/>
          <w:color w:val="auto"/>
          <w:kern w:val="2"/>
          <w:sz w:val="24"/>
          <w:szCs w:val="24"/>
          <w:lang w:val="en-US" w:eastAsia="zh-CN" w:bidi="ar-SA"/>
        </w:rPr>
      </w:pPr>
      <w:r>
        <w:rPr>
          <w:rFonts w:hint="default"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lang w:val="en-US" w:eastAsia="zh-CN"/>
        </w:rPr>
        <w:t>8.6-3</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rPr>
        <w:t xml:space="preserve">                          </w:t>
      </w:r>
      <w:r>
        <w:rPr>
          <w:rFonts w:hint="eastAsia"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sz w:val="24"/>
          <w:szCs w:val="24"/>
        </w:rPr>
        <w:t>废水产生及排放情况一览表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50"/>
        <w:gridCol w:w="1114"/>
        <w:gridCol w:w="1002"/>
        <w:gridCol w:w="851"/>
        <w:gridCol w:w="1024"/>
        <w:gridCol w:w="839"/>
        <w:gridCol w:w="1013"/>
        <w:gridCol w:w="820"/>
        <w:gridCol w:w="1601"/>
        <w:gridCol w:w="1724"/>
        <w:gridCol w:w="1297"/>
        <w:gridCol w:w="892"/>
      </w:tblGrid>
      <w:tr w14:paraId="5AE74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restart"/>
            <w:noWrap w:val="0"/>
            <w:vAlign w:val="center"/>
          </w:tcPr>
          <w:p w14:paraId="447DE9B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类别</w:t>
            </w:r>
          </w:p>
        </w:tc>
        <w:tc>
          <w:tcPr>
            <w:tcW w:w="850" w:type="dxa"/>
            <w:vMerge w:val="restart"/>
            <w:noWrap w:val="0"/>
            <w:vAlign w:val="center"/>
          </w:tcPr>
          <w:p w14:paraId="27FEA40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废水量m</w:t>
            </w:r>
            <w:r>
              <w:rPr>
                <w:rFonts w:hint="default" w:ascii="Times New Roman" w:hAnsi="Times New Roman" w:cs="Times New Roman" w:eastAsiaTheme="minorEastAsia"/>
                <w:b/>
                <w:bCs/>
                <w:color w:val="auto"/>
                <w:kern w:val="0"/>
                <w:sz w:val="21"/>
                <w:szCs w:val="21"/>
                <w:vertAlign w:val="superscript"/>
              </w:rPr>
              <w:t>3</w:t>
            </w:r>
            <w:r>
              <w:rPr>
                <w:rFonts w:hint="default" w:ascii="Times New Roman" w:hAnsi="Times New Roman" w:cs="Times New Roman" w:eastAsiaTheme="minorEastAsia"/>
                <w:b/>
                <w:bCs/>
                <w:color w:val="auto"/>
                <w:kern w:val="0"/>
                <w:sz w:val="21"/>
                <w:szCs w:val="21"/>
              </w:rPr>
              <w:t>/a</w:t>
            </w:r>
          </w:p>
        </w:tc>
        <w:tc>
          <w:tcPr>
            <w:tcW w:w="1114" w:type="dxa"/>
            <w:vMerge w:val="restart"/>
            <w:noWrap w:val="0"/>
            <w:vAlign w:val="center"/>
          </w:tcPr>
          <w:p w14:paraId="51E1FB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w:t>
            </w:r>
          </w:p>
          <w:p w14:paraId="3521A9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名称</w:t>
            </w:r>
          </w:p>
        </w:tc>
        <w:tc>
          <w:tcPr>
            <w:tcW w:w="1853" w:type="dxa"/>
            <w:gridSpan w:val="2"/>
            <w:noWrap w:val="0"/>
            <w:vAlign w:val="center"/>
          </w:tcPr>
          <w:p w14:paraId="292847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污染物产生量</w:t>
            </w:r>
          </w:p>
        </w:tc>
        <w:tc>
          <w:tcPr>
            <w:tcW w:w="1024" w:type="dxa"/>
            <w:vMerge w:val="restart"/>
            <w:noWrap w:val="0"/>
            <w:vAlign w:val="center"/>
          </w:tcPr>
          <w:p w14:paraId="20A8DF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治理</w:t>
            </w:r>
          </w:p>
          <w:p w14:paraId="383280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措施</w:t>
            </w:r>
          </w:p>
        </w:tc>
        <w:tc>
          <w:tcPr>
            <w:tcW w:w="839" w:type="dxa"/>
            <w:vMerge w:val="restart"/>
            <w:noWrap w:val="0"/>
            <w:vAlign w:val="center"/>
          </w:tcPr>
          <w:p w14:paraId="20ABF0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处理</w:t>
            </w:r>
          </w:p>
          <w:p w14:paraId="6DD0B1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b/>
                <w:bCs/>
                <w:color w:val="auto"/>
                <w:kern w:val="0"/>
                <w:sz w:val="21"/>
                <w:szCs w:val="21"/>
                <w:lang w:eastAsia="zh-CN"/>
              </w:rPr>
            </w:pPr>
            <w:r>
              <w:rPr>
                <w:rFonts w:hint="default" w:ascii="Times New Roman" w:hAnsi="Times New Roman" w:cs="Times New Roman" w:eastAsiaTheme="minorEastAsia"/>
                <w:b/>
                <w:bCs/>
                <w:color w:val="auto"/>
                <w:kern w:val="0"/>
                <w:sz w:val="21"/>
                <w:szCs w:val="21"/>
              </w:rPr>
              <w:t>效率</w:t>
            </w:r>
            <w:r>
              <w:rPr>
                <w:rFonts w:hint="eastAsia" w:cs="Times New Roman" w:eastAsiaTheme="minorEastAsia"/>
                <w:b/>
                <w:bCs/>
                <w:color w:val="auto"/>
                <w:kern w:val="0"/>
                <w:sz w:val="21"/>
                <w:szCs w:val="21"/>
                <w:lang w:eastAsia="zh-CN"/>
              </w:rPr>
              <w:t>（</w:t>
            </w:r>
            <w:r>
              <w:rPr>
                <w:rFonts w:hint="eastAsia" w:cs="Times New Roman" w:eastAsiaTheme="minorEastAsia"/>
                <w:b/>
                <w:bCs/>
                <w:color w:val="auto"/>
                <w:kern w:val="0"/>
                <w:sz w:val="21"/>
                <w:szCs w:val="21"/>
                <w:lang w:val="en-US" w:eastAsia="zh-CN"/>
              </w:rPr>
              <w:t>%</w:t>
            </w:r>
            <w:r>
              <w:rPr>
                <w:rFonts w:hint="eastAsia" w:cs="Times New Roman" w:eastAsiaTheme="minorEastAsia"/>
                <w:b/>
                <w:bCs/>
                <w:color w:val="auto"/>
                <w:kern w:val="0"/>
                <w:sz w:val="21"/>
                <w:szCs w:val="21"/>
                <w:lang w:eastAsia="zh-CN"/>
              </w:rPr>
              <w:t>）</w:t>
            </w:r>
          </w:p>
        </w:tc>
        <w:tc>
          <w:tcPr>
            <w:tcW w:w="1833" w:type="dxa"/>
            <w:gridSpan w:val="2"/>
            <w:noWrap w:val="0"/>
            <w:vAlign w:val="center"/>
          </w:tcPr>
          <w:p w14:paraId="31DDA9C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污染物排放量</w:t>
            </w:r>
          </w:p>
        </w:tc>
        <w:tc>
          <w:tcPr>
            <w:tcW w:w="1601" w:type="dxa"/>
            <w:vMerge w:val="restart"/>
            <w:noWrap w:val="0"/>
            <w:vAlign w:val="center"/>
          </w:tcPr>
          <w:p w14:paraId="4FB107B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《屠宰及肉类加工工业水污染物排放标准》（GB13457-2025）</w:t>
            </w:r>
          </w:p>
        </w:tc>
        <w:tc>
          <w:tcPr>
            <w:tcW w:w="1724" w:type="dxa"/>
            <w:vMerge w:val="restart"/>
            <w:noWrap w:val="0"/>
            <w:vAlign w:val="center"/>
          </w:tcPr>
          <w:p w14:paraId="2183EC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w:t>
            </w:r>
            <w:r>
              <w:rPr>
                <w:rFonts w:hint="default" w:ascii="Times New Roman" w:hAnsi="Times New Roman" w:cs="Times New Roman" w:eastAsiaTheme="minorEastAsia"/>
                <w:b/>
                <w:bCs/>
                <w:color w:val="auto"/>
                <w:kern w:val="0"/>
                <w:sz w:val="21"/>
                <w:szCs w:val="21"/>
                <w:lang w:eastAsia="zh-CN"/>
              </w:rPr>
              <w:t>污水排入城镇下水道水质</w:t>
            </w:r>
            <w:r>
              <w:rPr>
                <w:rFonts w:hint="default" w:ascii="Times New Roman" w:hAnsi="Times New Roman" w:cs="Times New Roman" w:eastAsiaTheme="minorEastAsia"/>
                <w:b/>
                <w:bCs/>
                <w:color w:val="auto"/>
                <w:kern w:val="0"/>
                <w:sz w:val="21"/>
                <w:szCs w:val="21"/>
              </w:rPr>
              <w:t>标准》（GB</w:t>
            </w:r>
            <w:r>
              <w:rPr>
                <w:rFonts w:hint="default" w:ascii="Times New Roman" w:hAnsi="Times New Roman" w:cs="Times New Roman" w:eastAsiaTheme="minorEastAsia"/>
                <w:b/>
                <w:bCs/>
                <w:color w:val="auto"/>
                <w:kern w:val="0"/>
                <w:sz w:val="21"/>
                <w:szCs w:val="21"/>
                <w:lang w:val="en-US" w:eastAsia="zh-CN"/>
              </w:rPr>
              <w:t>/T31962-2015</w:t>
            </w:r>
            <w:r>
              <w:rPr>
                <w:rFonts w:hint="default" w:ascii="Times New Roman" w:hAnsi="Times New Roman" w:cs="Times New Roman" w:eastAsiaTheme="minorEastAsia"/>
                <w:b/>
                <w:bCs/>
                <w:color w:val="auto"/>
                <w:kern w:val="0"/>
                <w:sz w:val="21"/>
                <w:szCs w:val="21"/>
              </w:rPr>
              <w:t>）</w:t>
            </w:r>
          </w:p>
        </w:tc>
        <w:tc>
          <w:tcPr>
            <w:tcW w:w="1297" w:type="dxa"/>
            <w:vMerge w:val="restart"/>
            <w:noWrap w:val="0"/>
            <w:vAlign w:val="center"/>
          </w:tcPr>
          <w:p w14:paraId="1A9061E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《污水综合排放标准》（GB8978-1996）</w:t>
            </w:r>
          </w:p>
        </w:tc>
        <w:tc>
          <w:tcPr>
            <w:tcW w:w="892" w:type="dxa"/>
            <w:vMerge w:val="restart"/>
            <w:noWrap w:val="0"/>
            <w:vAlign w:val="center"/>
          </w:tcPr>
          <w:p w14:paraId="7DF8F9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本项目废水排放标准</w:t>
            </w:r>
          </w:p>
        </w:tc>
      </w:tr>
      <w:tr w14:paraId="612D4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507C9D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b/>
                <w:bCs/>
                <w:color w:val="auto"/>
                <w:kern w:val="0"/>
                <w:sz w:val="21"/>
                <w:szCs w:val="21"/>
              </w:rPr>
            </w:pPr>
          </w:p>
        </w:tc>
        <w:tc>
          <w:tcPr>
            <w:tcW w:w="850" w:type="dxa"/>
            <w:vMerge w:val="continue"/>
            <w:noWrap w:val="0"/>
            <w:vAlign w:val="center"/>
          </w:tcPr>
          <w:p w14:paraId="0A299E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b/>
                <w:bCs/>
                <w:color w:val="auto"/>
                <w:kern w:val="0"/>
                <w:sz w:val="21"/>
                <w:szCs w:val="21"/>
              </w:rPr>
            </w:pPr>
          </w:p>
        </w:tc>
        <w:tc>
          <w:tcPr>
            <w:tcW w:w="1114" w:type="dxa"/>
            <w:vMerge w:val="continue"/>
            <w:noWrap w:val="0"/>
            <w:vAlign w:val="center"/>
          </w:tcPr>
          <w:p w14:paraId="34AFB22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b/>
                <w:bCs/>
                <w:color w:val="auto"/>
                <w:kern w:val="0"/>
                <w:sz w:val="21"/>
                <w:szCs w:val="21"/>
              </w:rPr>
            </w:pPr>
          </w:p>
        </w:tc>
        <w:tc>
          <w:tcPr>
            <w:tcW w:w="1002" w:type="dxa"/>
            <w:noWrap w:val="0"/>
            <w:vAlign w:val="center"/>
          </w:tcPr>
          <w:p w14:paraId="1BAC36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浓度（mg/L）</w:t>
            </w:r>
          </w:p>
        </w:tc>
        <w:tc>
          <w:tcPr>
            <w:tcW w:w="851" w:type="dxa"/>
            <w:noWrap w:val="0"/>
            <w:vAlign w:val="center"/>
          </w:tcPr>
          <w:p w14:paraId="3C9B523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产生量（t/a）</w:t>
            </w:r>
          </w:p>
        </w:tc>
        <w:tc>
          <w:tcPr>
            <w:tcW w:w="1024" w:type="dxa"/>
            <w:vMerge w:val="continue"/>
            <w:noWrap w:val="0"/>
            <w:vAlign w:val="center"/>
          </w:tcPr>
          <w:p w14:paraId="1F319E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vMerge w:val="continue"/>
            <w:noWrap w:val="0"/>
            <w:vAlign w:val="center"/>
          </w:tcPr>
          <w:p w14:paraId="01B43C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013" w:type="dxa"/>
            <w:noWrap w:val="0"/>
            <w:vAlign w:val="center"/>
          </w:tcPr>
          <w:p w14:paraId="78EEED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浓度（mg/L）</w:t>
            </w:r>
          </w:p>
        </w:tc>
        <w:tc>
          <w:tcPr>
            <w:tcW w:w="820" w:type="dxa"/>
            <w:noWrap w:val="0"/>
            <w:vAlign w:val="center"/>
          </w:tcPr>
          <w:p w14:paraId="45D643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排放量（t/a）</w:t>
            </w:r>
          </w:p>
        </w:tc>
        <w:tc>
          <w:tcPr>
            <w:tcW w:w="1601" w:type="dxa"/>
            <w:vMerge w:val="continue"/>
            <w:noWrap w:val="0"/>
            <w:vAlign w:val="center"/>
          </w:tcPr>
          <w:p w14:paraId="7EAD6C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724" w:type="dxa"/>
            <w:vMerge w:val="continue"/>
            <w:noWrap w:val="0"/>
            <w:vAlign w:val="center"/>
          </w:tcPr>
          <w:p w14:paraId="3F7873B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297" w:type="dxa"/>
            <w:vMerge w:val="continue"/>
            <w:noWrap w:val="0"/>
            <w:vAlign w:val="center"/>
          </w:tcPr>
          <w:p w14:paraId="2C8F7E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92" w:type="dxa"/>
            <w:vMerge w:val="continue"/>
            <w:noWrap w:val="0"/>
            <w:vAlign w:val="center"/>
          </w:tcPr>
          <w:p w14:paraId="61DA72F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r>
      <w:tr w14:paraId="6958D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restart"/>
            <w:noWrap w:val="0"/>
            <w:vAlign w:val="center"/>
          </w:tcPr>
          <w:p w14:paraId="384B78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eastAsia" w:cs="Times New Roman" w:eastAsiaTheme="minorEastAsia"/>
                <w:snapToGrid w:val="0"/>
                <w:color w:val="auto"/>
                <w:kern w:val="0"/>
                <w:sz w:val="21"/>
                <w:szCs w:val="21"/>
                <w:lang w:val="en-US" w:eastAsia="zh-CN"/>
              </w:rPr>
              <w:t>生产</w:t>
            </w:r>
            <w:r>
              <w:rPr>
                <w:rFonts w:hint="default" w:ascii="Times New Roman" w:hAnsi="Times New Roman" w:cs="Times New Roman" w:eastAsiaTheme="minorEastAsia"/>
                <w:snapToGrid w:val="0"/>
                <w:color w:val="auto"/>
                <w:kern w:val="0"/>
                <w:sz w:val="21"/>
                <w:szCs w:val="21"/>
                <w:lang w:eastAsia="zh-CN"/>
              </w:rPr>
              <w:t>废水</w:t>
            </w:r>
          </w:p>
        </w:tc>
        <w:tc>
          <w:tcPr>
            <w:tcW w:w="850" w:type="dxa"/>
            <w:vMerge w:val="restart"/>
            <w:noWrap w:val="0"/>
            <w:vAlign w:val="center"/>
          </w:tcPr>
          <w:p w14:paraId="78FC47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18407.88</w:t>
            </w:r>
          </w:p>
        </w:tc>
        <w:tc>
          <w:tcPr>
            <w:tcW w:w="1114" w:type="dxa"/>
            <w:noWrap w:val="0"/>
            <w:vAlign w:val="center"/>
          </w:tcPr>
          <w:p w14:paraId="19B5C51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pH（无量纲）</w:t>
            </w:r>
          </w:p>
        </w:tc>
        <w:tc>
          <w:tcPr>
            <w:tcW w:w="1002" w:type="dxa"/>
            <w:noWrap w:val="0"/>
            <w:vAlign w:val="center"/>
          </w:tcPr>
          <w:p w14:paraId="488F29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6.5~7.5</w:t>
            </w:r>
          </w:p>
        </w:tc>
        <w:tc>
          <w:tcPr>
            <w:tcW w:w="851" w:type="dxa"/>
            <w:noWrap w:val="0"/>
            <w:vAlign w:val="center"/>
          </w:tcPr>
          <w:p w14:paraId="183F98C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24" w:type="dxa"/>
            <w:vMerge w:val="restart"/>
            <w:noWrap w:val="0"/>
            <w:vAlign w:val="center"/>
          </w:tcPr>
          <w:p w14:paraId="1C4F82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r>
              <w:rPr>
                <w:rFonts w:hint="default" w:ascii="Times New Roman" w:hAnsi="Times New Roman" w:cs="Times New Roman" w:eastAsiaTheme="minorEastAsia"/>
                <w:color w:val="auto"/>
                <w:kern w:val="0"/>
                <w:sz w:val="21"/>
                <w:szCs w:val="21"/>
                <w:lang w:val="en-US"/>
              </w:rPr>
              <w:t>“格栅+调节池+隔油池+气浮+水解酸化+缺氧+生物接触氧化+二沉+消毒池（次氯酸钠消毒）”</w:t>
            </w:r>
          </w:p>
        </w:tc>
        <w:tc>
          <w:tcPr>
            <w:tcW w:w="839" w:type="dxa"/>
            <w:noWrap w:val="0"/>
            <w:vAlign w:val="center"/>
          </w:tcPr>
          <w:p w14:paraId="36D518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13" w:type="dxa"/>
            <w:noWrap w:val="0"/>
            <w:vAlign w:val="center"/>
          </w:tcPr>
          <w:p w14:paraId="69E3143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6.5~7.5</w:t>
            </w:r>
          </w:p>
        </w:tc>
        <w:tc>
          <w:tcPr>
            <w:tcW w:w="820" w:type="dxa"/>
            <w:noWrap w:val="0"/>
            <w:vAlign w:val="center"/>
          </w:tcPr>
          <w:p w14:paraId="25CDC2A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601" w:type="dxa"/>
            <w:shd w:val="clear" w:color="auto" w:fill="auto"/>
            <w:noWrap w:val="0"/>
            <w:vAlign w:val="center"/>
          </w:tcPr>
          <w:p w14:paraId="00630C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6~9</w:t>
            </w:r>
          </w:p>
        </w:tc>
        <w:tc>
          <w:tcPr>
            <w:tcW w:w="1724" w:type="dxa"/>
            <w:shd w:val="clear" w:color="auto" w:fill="auto"/>
            <w:noWrap w:val="0"/>
            <w:vAlign w:val="center"/>
          </w:tcPr>
          <w:p w14:paraId="562DF8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6.5~9.5</w:t>
            </w:r>
          </w:p>
        </w:tc>
        <w:tc>
          <w:tcPr>
            <w:tcW w:w="1297" w:type="dxa"/>
            <w:shd w:val="clear" w:color="auto" w:fill="auto"/>
            <w:noWrap w:val="0"/>
            <w:vAlign w:val="center"/>
          </w:tcPr>
          <w:p w14:paraId="67AD1D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6~9</w:t>
            </w:r>
          </w:p>
        </w:tc>
        <w:tc>
          <w:tcPr>
            <w:tcW w:w="892" w:type="dxa"/>
            <w:shd w:val="clear" w:color="auto" w:fill="auto"/>
            <w:noWrap w:val="0"/>
            <w:vAlign w:val="center"/>
          </w:tcPr>
          <w:p w14:paraId="6FAA9B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6.5~8.5</w:t>
            </w:r>
          </w:p>
        </w:tc>
      </w:tr>
      <w:tr w14:paraId="4A255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598024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2EE50D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p>
        </w:tc>
        <w:tc>
          <w:tcPr>
            <w:tcW w:w="1114" w:type="dxa"/>
            <w:noWrap w:val="0"/>
            <w:vAlign w:val="center"/>
          </w:tcPr>
          <w:p w14:paraId="0DA9963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COD</w:t>
            </w:r>
          </w:p>
        </w:tc>
        <w:tc>
          <w:tcPr>
            <w:tcW w:w="1002" w:type="dxa"/>
            <w:noWrap w:val="0"/>
            <w:vAlign w:val="center"/>
          </w:tcPr>
          <w:p w14:paraId="068202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kern w:val="0"/>
                <w:sz w:val="21"/>
                <w:szCs w:val="21"/>
              </w:rPr>
              <w:t>000</w:t>
            </w:r>
          </w:p>
        </w:tc>
        <w:tc>
          <w:tcPr>
            <w:tcW w:w="851" w:type="dxa"/>
            <w:noWrap w:val="0"/>
            <w:vAlign w:val="center"/>
          </w:tcPr>
          <w:p w14:paraId="2F00701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36.82</w:t>
            </w:r>
          </w:p>
        </w:tc>
        <w:tc>
          <w:tcPr>
            <w:tcW w:w="1024" w:type="dxa"/>
            <w:vMerge w:val="continue"/>
            <w:noWrap w:val="0"/>
            <w:vAlign w:val="center"/>
          </w:tcPr>
          <w:p w14:paraId="7F09081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p>
        </w:tc>
        <w:tc>
          <w:tcPr>
            <w:tcW w:w="839" w:type="dxa"/>
            <w:noWrap w:val="0"/>
            <w:vAlign w:val="center"/>
          </w:tcPr>
          <w:p w14:paraId="7D16F9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77</w:t>
            </w:r>
          </w:p>
        </w:tc>
        <w:tc>
          <w:tcPr>
            <w:tcW w:w="1013" w:type="dxa"/>
            <w:noWrap w:val="0"/>
            <w:vAlign w:val="center"/>
          </w:tcPr>
          <w:p w14:paraId="23799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460</w:t>
            </w:r>
          </w:p>
        </w:tc>
        <w:tc>
          <w:tcPr>
            <w:tcW w:w="820" w:type="dxa"/>
            <w:noWrap w:val="0"/>
            <w:vAlign w:val="center"/>
          </w:tcPr>
          <w:p w14:paraId="23E354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8.469</w:t>
            </w:r>
          </w:p>
        </w:tc>
        <w:tc>
          <w:tcPr>
            <w:tcW w:w="1601" w:type="dxa"/>
            <w:noWrap w:val="0"/>
            <w:vAlign w:val="center"/>
          </w:tcPr>
          <w:p w14:paraId="05140D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1724" w:type="dxa"/>
            <w:noWrap w:val="0"/>
            <w:vAlign w:val="center"/>
          </w:tcPr>
          <w:p w14:paraId="1650B74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c>
          <w:tcPr>
            <w:tcW w:w="1297" w:type="dxa"/>
            <w:noWrap w:val="0"/>
            <w:vAlign w:val="center"/>
          </w:tcPr>
          <w:p w14:paraId="1F4AF7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892" w:type="dxa"/>
            <w:noWrap w:val="0"/>
            <w:vAlign w:val="center"/>
          </w:tcPr>
          <w:p w14:paraId="0351A5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r>
      <w:tr w14:paraId="40D85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381415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1ACA4D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7C1D18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eastAsiaTheme="minorEastAsia"/>
                <w:color w:val="auto"/>
                <w:kern w:val="0"/>
                <w:sz w:val="21"/>
                <w:szCs w:val="21"/>
                <w:vertAlign w:val="subscript"/>
              </w:rPr>
              <w:t>5</w:t>
            </w:r>
          </w:p>
        </w:tc>
        <w:tc>
          <w:tcPr>
            <w:tcW w:w="1002" w:type="dxa"/>
            <w:noWrap w:val="0"/>
            <w:vAlign w:val="center"/>
          </w:tcPr>
          <w:p w14:paraId="687BADA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0</w:t>
            </w:r>
            <w:r>
              <w:rPr>
                <w:rFonts w:hint="default" w:ascii="Times New Roman" w:hAnsi="Times New Roman" w:cs="Times New Roman" w:eastAsiaTheme="minorEastAsia"/>
                <w:color w:val="auto"/>
                <w:kern w:val="0"/>
                <w:sz w:val="21"/>
                <w:szCs w:val="21"/>
              </w:rPr>
              <w:t>00</w:t>
            </w:r>
          </w:p>
        </w:tc>
        <w:tc>
          <w:tcPr>
            <w:tcW w:w="851" w:type="dxa"/>
            <w:noWrap w:val="0"/>
            <w:vAlign w:val="center"/>
          </w:tcPr>
          <w:p w14:paraId="2F6EE5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18.41</w:t>
            </w:r>
          </w:p>
        </w:tc>
        <w:tc>
          <w:tcPr>
            <w:tcW w:w="1024" w:type="dxa"/>
            <w:vMerge w:val="continue"/>
            <w:noWrap w:val="0"/>
            <w:vAlign w:val="center"/>
          </w:tcPr>
          <w:p w14:paraId="2664BE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noWrap w:val="0"/>
            <w:vAlign w:val="center"/>
          </w:tcPr>
          <w:p w14:paraId="207CEF8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78</w:t>
            </w:r>
          </w:p>
        </w:tc>
        <w:tc>
          <w:tcPr>
            <w:tcW w:w="1013" w:type="dxa"/>
            <w:noWrap w:val="0"/>
            <w:vAlign w:val="center"/>
          </w:tcPr>
          <w:p w14:paraId="11D4C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220</w:t>
            </w:r>
          </w:p>
        </w:tc>
        <w:tc>
          <w:tcPr>
            <w:tcW w:w="820" w:type="dxa"/>
            <w:noWrap w:val="0"/>
            <w:vAlign w:val="center"/>
          </w:tcPr>
          <w:p w14:paraId="1EEEDB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4.050</w:t>
            </w:r>
          </w:p>
        </w:tc>
        <w:tc>
          <w:tcPr>
            <w:tcW w:w="1601" w:type="dxa"/>
            <w:noWrap w:val="0"/>
            <w:vAlign w:val="center"/>
          </w:tcPr>
          <w:p w14:paraId="4150B1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350</w:t>
            </w:r>
          </w:p>
        </w:tc>
        <w:tc>
          <w:tcPr>
            <w:tcW w:w="1724" w:type="dxa"/>
            <w:noWrap w:val="0"/>
            <w:vAlign w:val="center"/>
          </w:tcPr>
          <w:p w14:paraId="277589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350</w:t>
            </w:r>
          </w:p>
        </w:tc>
        <w:tc>
          <w:tcPr>
            <w:tcW w:w="1297" w:type="dxa"/>
            <w:noWrap w:val="0"/>
            <w:vAlign w:val="center"/>
          </w:tcPr>
          <w:p w14:paraId="269B92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c>
          <w:tcPr>
            <w:tcW w:w="892" w:type="dxa"/>
            <w:noWrap w:val="0"/>
            <w:vAlign w:val="center"/>
          </w:tcPr>
          <w:p w14:paraId="430A51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r>
      <w:tr w14:paraId="3CD83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206848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4D2D75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1511807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SS</w:t>
            </w:r>
          </w:p>
        </w:tc>
        <w:tc>
          <w:tcPr>
            <w:tcW w:w="1002" w:type="dxa"/>
            <w:noWrap w:val="0"/>
            <w:vAlign w:val="center"/>
          </w:tcPr>
          <w:p w14:paraId="3EFCF1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0</w:t>
            </w:r>
            <w:r>
              <w:rPr>
                <w:rFonts w:hint="default" w:ascii="Times New Roman" w:hAnsi="Times New Roman" w:cs="Times New Roman" w:eastAsiaTheme="minorEastAsia"/>
                <w:color w:val="auto"/>
                <w:kern w:val="0"/>
                <w:sz w:val="21"/>
                <w:szCs w:val="21"/>
              </w:rPr>
              <w:t>00</w:t>
            </w:r>
          </w:p>
        </w:tc>
        <w:tc>
          <w:tcPr>
            <w:tcW w:w="851" w:type="dxa"/>
            <w:noWrap w:val="0"/>
            <w:vAlign w:val="center"/>
          </w:tcPr>
          <w:p w14:paraId="4C83BFB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18.41</w:t>
            </w:r>
          </w:p>
        </w:tc>
        <w:tc>
          <w:tcPr>
            <w:tcW w:w="1024" w:type="dxa"/>
            <w:vMerge w:val="continue"/>
            <w:noWrap w:val="0"/>
            <w:vAlign w:val="center"/>
          </w:tcPr>
          <w:p w14:paraId="75B69CF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noWrap w:val="0"/>
            <w:vAlign w:val="center"/>
          </w:tcPr>
          <w:p w14:paraId="55A287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72</w:t>
            </w:r>
          </w:p>
        </w:tc>
        <w:tc>
          <w:tcPr>
            <w:tcW w:w="1013" w:type="dxa"/>
            <w:noWrap w:val="0"/>
            <w:vAlign w:val="center"/>
          </w:tcPr>
          <w:p w14:paraId="64BD5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280</w:t>
            </w:r>
          </w:p>
        </w:tc>
        <w:tc>
          <w:tcPr>
            <w:tcW w:w="820" w:type="dxa"/>
            <w:noWrap w:val="0"/>
            <w:vAlign w:val="center"/>
          </w:tcPr>
          <w:p w14:paraId="013F53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5.155</w:t>
            </w:r>
          </w:p>
        </w:tc>
        <w:tc>
          <w:tcPr>
            <w:tcW w:w="1601" w:type="dxa"/>
            <w:noWrap w:val="0"/>
            <w:vAlign w:val="center"/>
          </w:tcPr>
          <w:p w14:paraId="31DDF88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1724" w:type="dxa"/>
            <w:noWrap w:val="0"/>
            <w:vAlign w:val="center"/>
          </w:tcPr>
          <w:p w14:paraId="5C4C67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400</w:t>
            </w:r>
          </w:p>
        </w:tc>
        <w:tc>
          <w:tcPr>
            <w:tcW w:w="1297" w:type="dxa"/>
            <w:noWrap w:val="0"/>
            <w:vAlign w:val="center"/>
          </w:tcPr>
          <w:p w14:paraId="670438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892" w:type="dxa"/>
            <w:noWrap w:val="0"/>
            <w:vAlign w:val="center"/>
          </w:tcPr>
          <w:p w14:paraId="7754A54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r>
      <w:tr w14:paraId="52B35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185E2A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137626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0CA16B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NH</w:t>
            </w:r>
            <w:r>
              <w:rPr>
                <w:rFonts w:hint="default" w:ascii="Times New Roman" w:hAnsi="Times New Roman" w:cs="Times New Roman" w:eastAsiaTheme="minorEastAsia"/>
                <w:color w:val="auto"/>
                <w:kern w:val="0"/>
                <w:sz w:val="21"/>
                <w:szCs w:val="21"/>
                <w:vertAlign w:val="subscript"/>
              </w:rPr>
              <w:t>3</w:t>
            </w:r>
            <w:r>
              <w:rPr>
                <w:rFonts w:hint="default" w:ascii="Times New Roman" w:hAnsi="Times New Roman" w:cs="Times New Roman" w:eastAsiaTheme="minorEastAsia"/>
                <w:color w:val="auto"/>
                <w:kern w:val="0"/>
                <w:sz w:val="21"/>
                <w:szCs w:val="21"/>
              </w:rPr>
              <w:t>-N</w:t>
            </w:r>
          </w:p>
        </w:tc>
        <w:tc>
          <w:tcPr>
            <w:tcW w:w="1002" w:type="dxa"/>
            <w:noWrap w:val="0"/>
            <w:vAlign w:val="center"/>
          </w:tcPr>
          <w:p w14:paraId="5C1B65B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1</w:t>
            </w:r>
            <w:r>
              <w:rPr>
                <w:rFonts w:hint="default" w:ascii="Times New Roman" w:hAnsi="Times New Roman" w:cs="Times New Roman" w:eastAsiaTheme="minorEastAsia"/>
                <w:color w:val="auto"/>
                <w:kern w:val="0"/>
                <w:sz w:val="21"/>
                <w:szCs w:val="21"/>
              </w:rPr>
              <w:t>50</w:t>
            </w:r>
          </w:p>
        </w:tc>
        <w:tc>
          <w:tcPr>
            <w:tcW w:w="851" w:type="dxa"/>
            <w:noWrap w:val="0"/>
            <w:vAlign w:val="center"/>
          </w:tcPr>
          <w:p w14:paraId="7E412A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3.76</w:t>
            </w:r>
          </w:p>
        </w:tc>
        <w:tc>
          <w:tcPr>
            <w:tcW w:w="1024" w:type="dxa"/>
            <w:vMerge w:val="continue"/>
            <w:noWrap w:val="0"/>
            <w:vAlign w:val="center"/>
          </w:tcPr>
          <w:p w14:paraId="1D2AF1D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noWrap w:val="0"/>
            <w:vAlign w:val="center"/>
          </w:tcPr>
          <w:p w14:paraId="787300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80</w:t>
            </w:r>
          </w:p>
        </w:tc>
        <w:tc>
          <w:tcPr>
            <w:tcW w:w="1013" w:type="dxa"/>
            <w:noWrap w:val="0"/>
            <w:vAlign w:val="center"/>
          </w:tcPr>
          <w:p w14:paraId="5F486F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0" w:type="dxa"/>
            <w:noWrap w:val="0"/>
            <w:vAlign w:val="center"/>
          </w:tcPr>
          <w:p w14:paraId="0A87D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0.752</w:t>
            </w:r>
          </w:p>
        </w:tc>
        <w:tc>
          <w:tcPr>
            <w:tcW w:w="1601" w:type="dxa"/>
            <w:noWrap w:val="0"/>
            <w:vAlign w:val="center"/>
          </w:tcPr>
          <w:p w14:paraId="332F7F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45</w:t>
            </w:r>
          </w:p>
        </w:tc>
        <w:tc>
          <w:tcPr>
            <w:tcW w:w="1724" w:type="dxa"/>
            <w:noWrap w:val="0"/>
            <w:vAlign w:val="center"/>
          </w:tcPr>
          <w:p w14:paraId="07A1EB1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297" w:type="dxa"/>
            <w:noWrap w:val="0"/>
            <w:vAlign w:val="center"/>
          </w:tcPr>
          <w:p w14:paraId="2E22BF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w:t>
            </w:r>
          </w:p>
        </w:tc>
        <w:tc>
          <w:tcPr>
            <w:tcW w:w="892" w:type="dxa"/>
            <w:noWrap w:val="0"/>
            <w:vAlign w:val="center"/>
          </w:tcPr>
          <w:p w14:paraId="22C8CB1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r>
      <w:tr w14:paraId="7B83B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742ACE4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0BAECCC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1F879C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动植物油</w:t>
            </w:r>
          </w:p>
        </w:tc>
        <w:tc>
          <w:tcPr>
            <w:tcW w:w="1002" w:type="dxa"/>
            <w:noWrap w:val="0"/>
            <w:vAlign w:val="center"/>
          </w:tcPr>
          <w:p w14:paraId="5120EEA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20</w:t>
            </w:r>
            <w:r>
              <w:rPr>
                <w:rFonts w:hint="default" w:ascii="Times New Roman" w:hAnsi="Times New Roman" w:cs="Times New Roman" w:eastAsiaTheme="minorEastAsia"/>
                <w:color w:val="auto"/>
                <w:kern w:val="0"/>
                <w:sz w:val="21"/>
                <w:szCs w:val="21"/>
              </w:rPr>
              <w:t>0</w:t>
            </w:r>
          </w:p>
        </w:tc>
        <w:tc>
          <w:tcPr>
            <w:tcW w:w="851" w:type="dxa"/>
            <w:noWrap w:val="0"/>
            <w:vAlign w:val="center"/>
          </w:tcPr>
          <w:p w14:paraId="6457C7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3.68</w:t>
            </w:r>
          </w:p>
        </w:tc>
        <w:tc>
          <w:tcPr>
            <w:tcW w:w="1024" w:type="dxa"/>
            <w:vMerge w:val="continue"/>
            <w:noWrap w:val="0"/>
            <w:vAlign w:val="center"/>
          </w:tcPr>
          <w:p w14:paraId="457D1A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noWrap w:val="0"/>
            <w:vAlign w:val="center"/>
          </w:tcPr>
          <w:p w14:paraId="0BAB72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68</w:t>
            </w:r>
          </w:p>
        </w:tc>
        <w:tc>
          <w:tcPr>
            <w:tcW w:w="1013" w:type="dxa"/>
            <w:noWrap w:val="0"/>
            <w:vAlign w:val="center"/>
          </w:tcPr>
          <w:p w14:paraId="0DDF7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64</w:t>
            </w:r>
          </w:p>
        </w:tc>
        <w:tc>
          <w:tcPr>
            <w:tcW w:w="820" w:type="dxa"/>
            <w:noWrap w:val="0"/>
            <w:vAlign w:val="center"/>
          </w:tcPr>
          <w:p w14:paraId="0643D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1.178</w:t>
            </w:r>
          </w:p>
        </w:tc>
        <w:tc>
          <w:tcPr>
            <w:tcW w:w="1601" w:type="dxa"/>
            <w:noWrap w:val="0"/>
            <w:vAlign w:val="center"/>
          </w:tcPr>
          <w:p w14:paraId="1582D05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1724" w:type="dxa"/>
            <w:noWrap w:val="0"/>
            <w:vAlign w:val="center"/>
          </w:tcPr>
          <w:p w14:paraId="34F2A56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w:t>
            </w:r>
          </w:p>
        </w:tc>
        <w:tc>
          <w:tcPr>
            <w:tcW w:w="1297" w:type="dxa"/>
            <w:noWrap w:val="0"/>
            <w:vAlign w:val="center"/>
          </w:tcPr>
          <w:p w14:paraId="0C71F8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892" w:type="dxa"/>
            <w:noWrap w:val="0"/>
            <w:vAlign w:val="center"/>
          </w:tcPr>
          <w:p w14:paraId="068E27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r>
      <w:tr w14:paraId="54D86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165AE3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0A2D6CB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213485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总磷</w:t>
            </w:r>
          </w:p>
        </w:tc>
        <w:tc>
          <w:tcPr>
            <w:tcW w:w="1002" w:type="dxa"/>
            <w:noWrap w:val="0"/>
            <w:vAlign w:val="center"/>
          </w:tcPr>
          <w:p w14:paraId="5DBC839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54</w:t>
            </w:r>
          </w:p>
        </w:tc>
        <w:tc>
          <w:tcPr>
            <w:tcW w:w="851" w:type="dxa"/>
            <w:noWrap w:val="0"/>
            <w:vAlign w:val="center"/>
          </w:tcPr>
          <w:p w14:paraId="64ED995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0.99</w:t>
            </w:r>
          </w:p>
        </w:tc>
        <w:tc>
          <w:tcPr>
            <w:tcW w:w="1024" w:type="dxa"/>
            <w:vMerge w:val="continue"/>
            <w:noWrap w:val="0"/>
            <w:vAlign w:val="center"/>
          </w:tcPr>
          <w:p w14:paraId="7175A7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noWrap w:val="0"/>
            <w:vAlign w:val="center"/>
          </w:tcPr>
          <w:p w14:paraId="6BD578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88</w:t>
            </w:r>
          </w:p>
        </w:tc>
        <w:tc>
          <w:tcPr>
            <w:tcW w:w="1013" w:type="dxa"/>
            <w:noWrap w:val="0"/>
            <w:vAlign w:val="center"/>
          </w:tcPr>
          <w:p w14:paraId="742CBA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6.48</w:t>
            </w:r>
          </w:p>
        </w:tc>
        <w:tc>
          <w:tcPr>
            <w:tcW w:w="820" w:type="dxa"/>
            <w:noWrap w:val="0"/>
            <w:vAlign w:val="center"/>
          </w:tcPr>
          <w:p w14:paraId="664E1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0.119</w:t>
            </w:r>
          </w:p>
        </w:tc>
        <w:tc>
          <w:tcPr>
            <w:tcW w:w="1601" w:type="dxa"/>
            <w:shd w:val="clear" w:color="auto" w:fill="auto"/>
            <w:noWrap w:val="0"/>
            <w:vAlign w:val="center"/>
          </w:tcPr>
          <w:p w14:paraId="6D5092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724" w:type="dxa"/>
            <w:shd w:val="clear" w:color="auto" w:fill="auto"/>
            <w:noWrap w:val="0"/>
            <w:vAlign w:val="center"/>
          </w:tcPr>
          <w:p w14:paraId="6AC819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297" w:type="dxa"/>
            <w:shd w:val="clear" w:color="auto" w:fill="auto"/>
            <w:noWrap w:val="0"/>
            <w:vAlign w:val="center"/>
          </w:tcPr>
          <w:p w14:paraId="67595C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w:t>
            </w:r>
          </w:p>
        </w:tc>
        <w:tc>
          <w:tcPr>
            <w:tcW w:w="892" w:type="dxa"/>
            <w:shd w:val="clear" w:color="auto" w:fill="auto"/>
            <w:noWrap w:val="0"/>
            <w:vAlign w:val="center"/>
          </w:tcPr>
          <w:p w14:paraId="411D00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r>
      <w:tr w14:paraId="5E83B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67A7495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176970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5CCA444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总氮</w:t>
            </w:r>
          </w:p>
        </w:tc>
        <w:tc>
          <w:tcPr>
            <w:tcW w:w="1002" w:type="dxa"/>
            <w:noWrap w:val="0"/>
            <w:vAlign w:val="center"/>
          </w:tcPr>
          <w:p w14:paraId="0667F1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245</w:t>
            </w:r>
          </w:p>
        </w:tc>
        <w:tc>
          <w:tcPr>
            <w:tcW w:w="851" w:type="dxa"/>
            <w:noWrap w:val="0"/>
            <w:vAlign w:val="center"/>
          </w:tcPr>
          <w:p w14:paraId="29F2674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4.51</w:t>
            </w:r>
          </w:p>
        </w:tc>
        <w:tc>
          <w:tcPr>
            <w:tcW w:w="1024" w:type="dxa"/>
            <w:vMerge w:val="continue"/>
            <w:noWrap w:val="0"/>
            <w:vAlign w:val="center"/>
          </w:tcPr>
          <w:p w14:paraId="1537A8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noWrap w:val="0"/>
            <w:vAlign w:val="center"/>
          </w:tcPr>
          <w:p w14:paraId="254BB81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73</w:t>
            </w:r>
          </w:p>
        </w:tc>
        <w:tc>
          <w:tcPr>
            <w:tcW w:w="1013" w:type="dxa"/>
            <w:noWrap w:val="0"/>
            <w:vAlign w:val="center"/>
          </w:tcPr>
          <w:p w14:paraId="7E0613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66.15</w:t>
            </w:r>
          </w:p>
        </w:tc>
        <w:tc>
          <w:tcPr>
            <w:tcW w:w="820" w:type="dxa"/>
            <w:noWrap w:val="0"/>
            <w:vAlign w:val="center"/>
          </w:tcPr>
          <w:p w14:paraId="12D9ED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1.218</w:t>
            </w:r>
          </w:p>
        </w:tc>
        <w:tc>
          <w:tcPr>
            <w:tcW w:w="1601" w:type="dxa"/>
            <w:shd w:val="clear" w:color="auto" w:fill="auto"/>
            <w:noWrap w:val="0"/>
            <w:vAlign w:val="center"/>
          </w:tcPr>
          <w:p w14:paraId="216EDE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724" w:type="dxa"/>
            <w:shd w:val="clear" w:color="auto" w:fill="auto"/>
            <w:noWrap w:val="0"/>
            <w:vAlign w:val="center"/>
          </w:tcPr>
          <w:p w14:paraId="4F6192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297" w:type="dxa"/>
            <w:shd w:val="clear" w:color="auto" w:fill="auto"/>
            <w:noWrap w:val="0"/>
            <w:vAlign w:val="center"/>
          </w:tcPr>
          <w:p w14:paraId="33B6DB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w:t>
            </w:r>
          </w:p>
        </w:tc>
        <w:tc>
          <w:tcPr>
            <w:tcW w:w="892" w:type="dxa"/>
            <w:shd w:val="clear" w:color="auto" w:fill="auto"/>
            <w:noWrap w:val="0"/>
            <w:vAlign w:val="center"/>
          </w:tcPr>
          <w:p w14:paraId="0BC01F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r>
      <w:tr w14:paraId="3114F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restart"/>
            <w:noWrap w:val="0"/>
            <w:vAlign w:val="center"/>
          </w:tcPr>
          <w:p w14:paraId="778928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生活污水</w:t>
            </w:r>
          </w:p>
        </w:tc>
        <w:tc>
          <w:tcPr>
            <w:tcW w:w="850" w:type="dxa"/>
            <w:vMerge w:val="restart"/>
            <w:noWrap w:val="0"/>
            <w:vAlign w:val="center"/>
          </w:tcPr>
          <w:p w14:paraId="3E49E3E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520</w:t>
            </w:r>
          </w:p>
        </w:tc>
        <w:tc>
          <w:tcPr>
            <w:tcW w:w="1114" w:type="dxa"/>
            <w:noWrap w:val="0"/>
            <w:vAlign w:val="center"/>
          </w:tcPr>
          <w:p w14:paraId="3AC31B8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COD</w:t>
            </w:r>
          </w:p>
        </w:tc>
        <w:tc>
          <w:tcPr>
            <w:tcW w:w="1002" w:type="dxa"/>
            <w:noWrap w:val="0"/>
            <w:vAlign w:val="center"/>
          </w:tcPr>
          <w:p w14:paraId="09FBC1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snapToGrid w:val="0"/>
                <w:color w:val="auto"/>
                <w:kern w:val="0"/>
                <w:sz w:val="21"/>
                <w:szCs w:val="21"/>
                <w:lang w:val="en-US" w:eastAsia="zh-CN"/>
              </w:rPr>
              <w:t>400</w:t>
            </w:r>
          </w:p>
        </w:tc>
        <w:tc>
          <w:tcPr>
            <w:tcW w:w="851" w:type="dxa"/>
            <w:shd w:val="clear" w:color="auto" w:fill="auto"/>
            <w:noWrap w:val="0"/>
            <w:vAlign w:val="center"/>
          </w:tcPr>
          <w:p w14:paraId="3743A5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0.208</w:t>
            </w:r>
          </w:p>
        </w:tc>
        <w:tc>
          <w:tcPr>
            <w:tcW w:w="1024" w:type="dxa"/>
            <w:vMerge w:val="restart"/>
            <w:noWrap w:val="0"/>
            <w:vAlign w:val="center"/>
          </w:tcPr>
          <w:p w14:paraId="186405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化粪池</w:t>
            </w:r>
          </w:p>
        </w:tc>
        <w:tc>
          <w:tcPr>
            <w:tcW w:w="839" w:type="dxa"/>
            <w:shd w:val="clear" w:color="auto" w:fill="auto"/>
            <w:noWrap w:val="0"/>
            <w:vAlign w:val="center"/>
          </w:tcPr>
          <w:p w14:paraId="362282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15</w:t>
            </w:r>
          </w:p>
        </w:tc>
        <w:tc>
          <w:tcPr>
            <w:tcW w:w="1013" w:type="dxa"/>
            <w:noWrap w:val="0"/>
            <w:vAlign w:val="center"/>
          </w:tcPr>
          <w:p w14:paraId="7E399D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340</w:t>
            </w:r>
          </w:p>
        </w:tc>
        <w:tc>
          <w:tcPr>
            <w:tcW w:w="820" w:type="dxa"/>
            <w:noWrap w:val="0"/>
            <w:vAlign w:val="center"/>
          </w:tcPr>
          <w:p w14:paraId="5D0EED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0.177</w:t>
            </w:r>
          </w:p>
        </w:tc>
        <w:tc>
          <w:tcPr>
            <w:tcW w:w="1601" w:type="dxa"/>
            <w:shd w:val="clear" w:color="auto" w:fill="auto"/>
            <w:noWrap w:val="0"/>
            <w:vAlign w:val="center"/>
          </w:tcPr>
          <w:p w14:paraId="560876A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1724" w:type="dxa"/>
            <w:shd w:val="clear" w:color="auto" w:fill="auto"/>
            <w:noWrap w:val="0"/>
            <w:vAlign w:val="center"/>
          </w:tcPr>
          <w:p w14:paraId="281B0CC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c>
          <w:tcPr>
            <w:tcW w:w="1297" w:type="dxa"/>
            <w:shd w:val="clear" w:color="auto" w:fill="auto"/>
            <w:noWrap w:val="0"/>
            <w:vAlign w:val="center"/>
          </w:tcPr>
          <w:p w14:paraId="4E7721C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892" w:type="dxa"/>
            <w:shd w:val="clear" w:color="auto" w:fill="auto"/>
            <w:noWrap w:val="0"/>
            <w:vAlign w:val="center"/>
          </w:tcPr>
          <w:p w14:paraId="15EE20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r>
      <w:tr w14:paraId="6C4E3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1A1D7F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5ABB9C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1442EA0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eastAsiaTheme="minorEastAsia"/>
                <w:color w:val="auto"/>
                <w:kern w:val="0"/>
                <w:sz w:val="21"/>
                <w:szCs w:val="21"/>
                <w:vertAlign w:val="subscript"/>
              </w:rPr>
              <w:t>5</w:t>
            </w:r>
          </w:p>
        </w:tc>
        <w:tc>
          <w:tcPr>
            <w:tcW w:w="1002" w:type="dxa"/>
            <w:noWrap w:val="0"/>
            <w:vAlign w:val="center"/>
          </w:tcPr>
          <w:p w14:paraId="7B5F5B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snapToGrid w:val="0"/>
                <w:color w:val="auto"/>
                <w:kern w:val="0"/>
                <w:sz w:val="21"/>
                <w:szCs w:val="21"/>
                <w:lang w:val="en-US" w:eastAsia="zh-CN"/>
              </w:rPr>
              <w:t>300</w:t>
            </w:r>
          </w:p>
        </w:tc>
        <w:tc>
          <w:tcPr>
            <w:tcW w:w="851" w:type="dxa"/>
            <w:shd w:val="clear" w:color="auto" w:fill="auto"/>
            <w:noWrap w:val="0"/>
            <w:vAlign w:val="center"/>
          </w:tcPr>
          <w:p w14:paraId="05112C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0.156</w:t>
            </w:r>
          </w:p>
        </w:tc>
        <w:tc>
          <w:tcPr>
            <w:tcW w:w="1024" w:type="dxa"/>
            <w:vMerge w:val="continue"/>
            <w:noWrap w:val="0"/>
            <w:vAlign w:val="center"/>
          </w:tcPr>
          <w:p w14:paraId="35E7CB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shd w:val="clear" w:color="auto" w:fill="auto"/>
            <w:noWrap w:val="0"/>
            <w:vAlign w:val="center"/>
          </w:tcPr>
          <w:p w14:paraId="51A7B6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9</w:t>
            </w:r>
          </w:p>
        </w:tc>
        <w:tc>
          <w:tcPr>
            <w:tcW w:w="1013" w:type="dxa"/>
            <w:noWrap w:val="0"/>
            <w:vAlign w:val="center"/>
          </w:tcPr>
          <w:p w14:paraId="19C893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273</w:t>
            </w:r>
          </w:p>
        </w:tc>
        <w:tc>
          <w:tcPr>
            <w:tcW w:w="820" w:type="dxa"/>
            <w:noWrap w:val="0"/>
            <w:vAlign w:val="center"/>
          </w:tcPr>
          <w:p w14:paraId="0B9F3A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0.142</w:t>
            </w:r>
          </w:p>
        </w:tc>
        <w:tc>
          <w:tcPr>
            <w:tcW w:w="1601" w:type="dxa"/>
            <w:shd w:val="clear" w:color="auto" w:fill="auto"/>
            <w:noWrap w:val="0"/>
            <w:vAlign w:val="center"/>
          </w:tcPr>
          <w:p w14:paraId="6BE548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350</w:t>
            </w:r>
          </w:p>
        </w:tc>
        <w:tc>
          <w:tcPr>
            <w:tcW w:w="1724" w:type="dxa"/>
            <w:shd w:val="clear" w:color="auto" w:fill="auto"/>
            <w:noWrap w:val="0"/>
            <w:vAlign w:val="center"/>
          </w:tcPr>
          <w:p w14:paraId="7539260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350</w:t>
            </w:r>
          </w:p>
        </w:tc>
        <w:tc>
          <w:tcPr>
            <w:tcW w:w="1297" w:type="dxa"/>
            <w:shd w:val="clear" w:color="auto" w:fill="auto"/>
            <w:noWrap w:val="0"/>
            <w:vAlign w:val="center"/>
          </w:tcPr>
          <w:p w14:paraId="7C037B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c>
          <w:tcPr>
            <w:tcW w:w="892" w:type="dxa"/>
            <w:shd w:val="clear" w:color="auto" w:fill="auto"/>
            <w:noWrap w:val="0"/>
            <w:vAlign w:val="center"/>
          </w:tcPr>
          <w:p w14:paraId="17C328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r>
      <w:tr w14:paraId="7F00B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0E9E92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49706E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4D687DA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SS</w:t>
            </w:r>
          </w:p>
        </w:tc>
        <w:tc>
          <w:tcPr>
            <w:tcW w:w="1002" w:type="dxa"/>
            <w:noWrap w:val="0"/>
            <w:vAlign w:val="center"/>
          </w:tcPr>
          <w:p w14:paraId="55C3A7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snapToGrid w:val="0"/>
                <w:color w:val="auto"/>
                <w:kern w:val="0"/>
                <w:sz w:val="21"/>
                <w:szCs w:val="21"/>
                <w:lang w:val="en-US" w:eastAsia="zh-CN"/>
              </w:rPr>
              <w:t>200</w:t>
            </w:r>
          </w:p>
        </w:tc>
        <w:tc>
          <w:tcPr>
            <w:tcW w:w="851" w:type="dxa"/>
            <w:shd w:val="clear" w:color="auto" w:fill="auto"/>
            <w:noWrap w:val="0"/>
            <w:vAlign w:val="center"/>
          </w:tcPr>
          <w:p w14:paraId="40754E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0.104</w:t>
            </w:r>
          </w:p>
        </w:tc>
        <w:tc>
          <w:tcPr>
            <w:tcW w:w="1024" w:type="dxa"/>
            <w:vMerge w:val="continue"/>
            <w:noWrap w:val="0"/>
            <w:vAlign w:val="center"/>
          </w:tcPr>
          <w:p w14:paraId="0C0020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shd w:val="clear" w:color="auto" w:fill="auto"/>
            <w:noWrap w:val="0"/>
            <w:vAlign w:val="center"/>
          </w:tcPr>
          <w:p w14:paraId="16BD00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30</w:t>
            </w:r>
          </w:p>
        </w:tc>
        <w:tc>
          <w:tcPr>
            <w:tcW w:w="1013" w:type="dxa"/>
            <w:noWrap w:val="0"/>
            <w:vAlign w:val="center"/>
          </w:tcPr>
          <w:p w14:paraId="6243F0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140</w:t>
            </w:r>
          </w:p>
        </w:tc>
        <w:tc>
          <w:tcPr>
            <w:tcW w:w="820" w:type="dxa"/>
            <w:noWrap w:val="0"/>
            <w:vAlign w:val="center"/>
          </w:tcPr>
          <w:p w14:paraId="621DD7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0.073</w:t>
            </w:r>
          </w:p>
        </w:tc>
        <w:tc>
          <w:tcPr>
            <w:tcW w:w="1601" w:type="dxa"/>
            <w:shd w:val="clear" w:color="auto" w:fill="auto"/>
            <w:noWrap w:val="0"/>
            <w:vAlign w:val="center"/>
          </w:tcPr>
          <w:p w14:paraId="17873B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1724" w:type="dxa"/>
            <w:shd w:val="clear" w:color="auto" w:fill="auto"/>
            <w:noWrap w:val="0"/>
            <w:vAlign w:val="center"/>
          </w:tcPr>
          <w:p w14:paraId="1092E0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400</w:t>
            </w:r>
          </w:p>
        </w:tc>
        <w:tc>
          <w:tcPr>
            <w:tcW w:w="1297" w:type="dxa"/>
            <w:shd w:val="clear" w:color="auto" w:fill="auto"/>
            <w:noWrap w:val="0"/>
            <w:vAlign w:val="center"/>
          </w:tcPr>
          <w:p w14:paraId="2B24A9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892" w:type="dxa"/>
            <w:shd w:val="clear" w:color="auto" w:fill="auto"/>
            <w:noWrap w:val="0"/>
            <w:vAlign w:val="center"/>
          </w:tcPr>
          <w:p w14:paraId="5B85EE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r>
      <w:tr w14:paraId="55A22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3EBAC6C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6C3B1F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00DC7EB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NH</w:t>
            </w:r>
            <w:r>
              <w:rPr>
                <w:rFonts w:hint="default" w:ascii="Times New Roman" w:hAnsi="Times New Roman" w:cs="Times New Roman" w:eastAsiaTheme="minorEastAsia"/>
                <w:color w:val="auto"/>
                <w:kern w:val="0"/>
                <w:sz w:val="21"/>
                <w:szCs w:val="21"/>
                <w:vertAlign w:val="subscript"/>
              </w:rPr>
              <w:t>3</w:t>
            </w:r>
            <w:r>
              <w:rPr>
                <w:rFonts w:hint="default" w:ascii="Times New Roman" w:hAnsi="Times New Roman" w:cs="Times New Roman" w:eastAsiaTheme="minorEastAsia"/>
                <w:color w:val="auto"/>
                <w:kern w:val="0"/>
                <w:sz w:val="21"/>
                <w:szCs w:val="21"/>
              </w:rPr>
              <w:t>-N</w:t>
            </w:r>
          </w:p>
        </w:tc>
        <w:tc>
          <w:tcPr>
            <w:tcW w:w="1002" w:type="dxa"/>
            <w:noWrap w:val="0"/>
            <w:vAlign w:val="center"/>
          </w:tcPr>
          <w:p w14:paraId="313714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rPr>
            </w:pPr>
            <w:r>
              <w:rPr>
                <w:rFonts w:hint="eastAsia" w:ascii="Times New Roman" w:hAnsi="Times New Roman" w:eastAsia="宋体" w:cs="Times New Roman"/>
                <w:snapToGrid w:val="0"/>
                <w:color w:val="auto"/>
                <w:kern w:val="0"/>
                <w:sz w:val="21"/>
                <w:szCs w:val="21"/>
                <w:lang w:val="en-US" w:eastAsia="zh-CN"/>
              </w:rPr>
              <w:t>3</w:t>
            </w:r>
            <w:r>
              <w:rPr>
                <w:rFonts w:hint="default" w:ascii="Times New Roman" w:hAnsi="Times New Roman" w:eastAsia="宋体" w:cs="Times New Roman"/>
                <w:snapToGrid w:val="0"/>
                <w:color w:val="auto"/>
                <w:kern w:val="0"/>
                <w:sz w:val="21"/>
                <w:szCs w:val="21"/>
                <w:lang w:val="en-US" w:eastAsia="zh-CN"/>
              </w:rPr>
              <w:t>5</w:t>
            </w:r>
          </w:p>
        </w:tc>
        <w:tc>
          <w:tcPr>
            <w:tcW w:w="851" w:type="dxa"/>
            <w:shd w:val="clear" w:color="auto" w:fill="auto"/>
            <w:noWrap w:val="0"/>
            <w:vAlign w:val="center"/>
          </w:tcPr>
          <w:p w14:paraId="6B01FF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0.018</w:t>
            </w:r>
          </w:p>
        </w:tc>
        <w:tc>
          <w:tcPr>
            <w:tcW w:w="1024" w:type="dxa"/>
            <w:vMerge w:val="continue"/>
            <w:noWrap w:val="0"/>
            <w:vAlign w:val="center"/>
          </w:tcPr>
          <w:p w14:paraId="0DE99FC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shd w:val="clear" w:color="auto" w:fill="auto"/>
            <w:noWrap w:val="0"/>
            <w:vAlign w:val="center"/>
          </w:tcPr>
          <w:p w14:paraId="1E7CF1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3</w:t>
            </w:r>
          </w:p>
        </w:tc>
        <w:tc>
          <w:tcPr>
            <w:tcW w:w="1013" w:type="dxa"/>
            <w:noWrap w:val="0"/>
            <w:vAlign w:val="center"/>
          </w:tcPr>
          <w:p w14:paraId="23E762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33.95</w:t>
            </w:r>
          </w:p>
        </w:tc>
        <w:tc>
          <w:tcPr>
            <w:tcW w:w="820" w:type="dxa"/>
            <w:noWrap w:val="0"/>
            <w:vAlign w:val="center"/>
          </w:tcPr>
          <w:p w14:paraId="0E9C7F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0.018</w:t>
            </w:r>
          </w:p>
        </w:tc>
        <w:tc>
          <w:tcPr>
            <w:tcW w:w="1601" w:type="dxa"/>
            <w:shd w:val="clear" w:color="auto" w:fill="auto"/>
            <w:noWrap w:val="0"/>
            <w:vAlign w:val="center"/>
          </w:tcPr>
          <w:p w14:paraId="25F247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724" w:type="dxa"/>
            <w:shd w:val="clear" w:color="auto" w:fill="auto"/>
            <w:noWrap w:val="0"/>
            <w:vAlign w:val="center"/>
          </w:tcPr>
          <w:p w14:paraId="3BC95C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297" w:type="dxa"/>
            <w:shd w:val="clear" w:color="auto" w:fill="auto"/>
            <w:noWrap w:val="0"/>
            <w:vAlign w:val="center"/>
          </w:tcPr>
          <w:p w14:paraId="6492ED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p>
        </w:tc>
        <w:tc>
          <w:tcPr>
            <w:tcW w:w="892" w:type="dxa"/>
            <w:shd w:val="clear" w:color="auto" w:fill="auto"/>
            <w:noWrap w:val="0"/>
            <w:vAlign w:val="center"/>
          </w:tcPr>
          <w:p w14:paraId="7FD615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r>
      <w:tr w14:paraId="4C660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1BB315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178DB2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noWrap w:val="0"/>
            <w:vAlign w:val="center"/>
          </w:tcPr>
          <w:p w14:paraId="2CCB1F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动植物油</w:t>
            </w:r>
          </w:p>
        </w:tc>
        <w:tc>
          <w:tcPr>
            <w:tcW w:w="1002" w:type="dxa"/>
            <w:noWrap w:val="0"/>
            <w:vAlign w:val="center"/>
          </w:tcPr>
          <w:p w14:paraId="4BF45C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40</w:t>
            </w:r>
          </w:p>
        </w:tc>
        <w:tc>
          <w:tcPr>
            <w:tcW w:w="851" w:type="dxa"/>
            <w:shd w:val="clear" w:color="auto" w:fill="auto"/>
            <w:noWrap w:val="0"/>
            <w:vAlign w:val="center"/>
          </w:tcPr>
          <w:p w14:paraId="2236DC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0.02</w:t>
            </w:r>
            <w:r>
              <w:rPr>
                <w:rFonts w:hint="eastAsia" w:eastAsia="宋体" w:cs="Times New Roman"/>
                <w:snapToGrid w:val="0"/>
                <w:color w:val="auto"/>
                <w:kern w:val="0"/>
                <w:sz w:val="21"/>
                <w:szCs w:val="21"/>
                <w:lang w:val="en-US" w:eastAsia="zh-CN"/>
              </w:rPr>
              <w:t>08</w:t>
            </w:r>
          </w:p>
        </w:tc>
        <w:tc>
          <w:tcPr>
            <w:tcW w:w="1024" w:type="dxa"/>
            <w:vMerge w:val="continue"/>
            <w:noWrap w:val="0"/>
            <w:vAlign w:val="center"/>
          </w:tcPr>
          <w:p w14:paraId="689823B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39" w:type="dxa"/>
            <w:shd w:val="clear" w:color="auto" w:fill="auto"/>
            <w:noWrap w:val="0"/>
            <w:vAlign w:val="center"/>
          </w:tcPr>
          <w:p w14:paraId="085A97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eastAsia="宋体" w:cs="Times New Roman"/>
                <w:snapToGrid w:val="0"/>
                <w:color w:val="auto"/>
                <w:kern w:val="0"/>
                <w:sz w:val="21"/>
                <w:szCs w:val="21"/>
                <w:lang w:val="en-US" w:eastAsia="zh-CN"/>
              </w:rPr>
              <w:t>30</w:t>
            </w:r>
          </w:p>
        </w:tc>
        <w:tc>
          <w:tcPr>
            <w:tcW w:w="1013" w:type="dxa"/>
            <w:noWrap w:val="0"/>
            <w:vAlign w:val="center"/>
          </w:tcPr>
          <w:p w14:paraId="4C4D02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28</w:t>
            </w:r>
          </w:p>
        </w:tc>
        <w:tc>
          <w:tcPr>
            <w:tcW w:w="820" w:type="dxa"/>
            <w:noWrap w:val="0"/>
            <w:vAlign w:val="center"/>
          </w:tcPr>
          <w:p w14:paraId="53FDF8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eastAsiaTheme="minorEastAsia"/>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0.015</w:t>
            </w:r>
          </w:p>
        </w:tc>
        <w:tc>
          <w:tcPr>
            <w:tcW w:w="1601" w:type="dxa"/>
            <w:shd w:val="clear" w:color="auto" w:fill="auto"/>
            <w:noWrap w:val="0"/>
            <w:vAlign w:val="center"/>
          </w:tcPr>
          <w:p w14:paraId="542E96E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1724" w:type="dxa"/>
            <w:shd w:val="clear" w:color="auto" w:fill="auto"/>
            <w:noWrap w:val="0"/>
            <w:vAlign w:val="center"/>
          </w:tcPr>
          <w:p w14:paraId="5A1C4F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w:t>
            </w:r>
          </w:p>
        </w:tc>
        <w:tc>
          <w:tcPr>
            <w:tcW w:w="1297" w:type="dxa"/>
            <w:shd w:val="clear" w:color="auto" w:fill="auto"/>
            <w:noWrap w:val="0"/>
            <w:vAlign w:val="center"/>
          </w:tcPr>
          <w:p w14:paraId="2C3873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892" w:type="dxa"/>
            <w:shd w:val="clear" w:color="auto" w:fill="auto"/>
            <w:noWrap w:val="0"/>
            <w:vAlign w:val="center"/>
          </w:tcPr>
          <w:p w14:paraId="0D0F70B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r>
      <w:tr w14:paraId="0A86D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restart"/>
            <w:noWrap w:val="0"/>
            <w:vAlign w:val="center"/>
          </w:tcPr>
          <w:p w14:paraId="063DEB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全厂废水</w:t>
            </w:r>
          </w:p>
        </w:tc>
        <w:tc>
          <w:tcPr>
            <w:tcW w:w="850" w:type="dxa"/>
            <w:vMerge w:val="restart"/>
            <w:noWrap w:val="0"/>
            <w:vAlign w:val="center"/>
          </w:tcPr>
          <w:p w14:paraId="2CB58C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eastAsia="宋体" w:cs="Times New Roman"/>
                <w:color w:val="auto"/>
                <w:sz w:val="21"/>
                <w:szCs w:val="21"/>
                <w:highlight w:val="none"/>
                <w:lang w:val="en-US" w:eastAsia="zh-CN"/>
              </w:rPr>
              <w:t>18927.88</w:t>
            </w:r>
          </w:p>
        </w:tc>
        <w:tc>
          <w:tcPr>
            <w:tcW w:w="1114" w:type="dxa"/>
            <w:shd w:val="clear" w:color="auto" w:fill="auto"/>
            <w:noWrap w:val="0"/>
            <w:vAlign w:val="center"/>
          </w:tcPr>
          <w:p w14:paraId="30C435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pH（无量纲）</w:t>
            </w:r>
          </w:p>
        </w:tc>
        <w:tc>
          <w:tcPr>
            <w:tcW w:w="1002" w:type="dxa"/>
            <w:shd w:val="clear" w:color="auto" w:fill="auto"/>
            <w:noWrap w:val="0"/>
            <w:vAlign w:val="center"/>
          </w:tcPr>
          <w:p w14:paraId="792212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6.5~7.5</w:t>
            </w:r>
          </w:p>
        </w:tc>
        <w:tc>
          <w:tcPr>
            <w:tcW w:w="851" w:type="dxa"/>
            <w:shd w:val="clear" w:color="auto" w:fill="auto"/>
            <w:noWrap w:val="0"/>
            <w:vAlign w:val="center"/>
          </w:tcPr>
          <w:p w14:paraId="17D72F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024" w:type="dxa"/>
            <w:vMerge w:val="restart"/>
            <w:noWrap w:val="0"/>
            <w:vAlign w:val="center"/>
          </w:tcPr>
          <w:p w14:paraId="2B5432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839" w:type="dxa"/>
            <w:noWrap w:val="0"/>
            <w:vAlign w:val="center"/>
          </w:tcPr>
          <w:p w14:paraId="4C206C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1013" w:type="dxa"/>
            <w:shd w:val="clear" w:color="auto" w:fill="auto"/>
            <w:noWrap w:val="0"/>
            <w:vAlign w:val="center"/>
          </w:tcPr>
          <w:p w14:paraId="601E6C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6.5~7.5</w:t>
            </w:r>
          </w:p>
        </w:tc>
        <w:tc>
          <w:tcPr>
            <w:tcW w:w="820" w:type="dxa"/>
            <w:shd w:val="clear" w:color="auto" w:fill="auto"/>
            <w:noWrap w:val="0"/>
            <w:vAlign w:val="center"/>
          </w:tcPr>
          <w:p w14:paraId="12254B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601" w:type="dxa"/>
            <w:shd w:val="clear" w:color="auto" w:fill="auto"/>
            <w:noWrap w:val="0"/>
            <w:vAlign w:val="center"/>
          </w:tcPr>
          <w:p w14:paraId="34CF1C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6~9</w:t>
            </w:r>
          </w:p>
        </w:tc>
        <w:tc>
          <w:tcPr>
            <w:tcW w:w="1724" w:type="dxa"/>
            <w:shd w:val="clear" w:color="auto" w:fill="auto"/>
            <w:noWrap w:val="0"/>
            <w:vAlign w:val="center"/>
          </w:tcPr>
          <w:p w14:paraId="454087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6.5~9.5</w:t>
            </w:r>
          </w:p>
        </w:tc>
        <w:tc>
          <w:tcPr>
            <w:tcW w:w="1297" w:type="dxa"/>
            <w:shd w:val="clear" w:color="auto" w:fill="auto"/>
            <w:noWrap w:val="0"/>
            <w:vAlign w:val="center"/>
          </w:tcPr>
          <w:p w14:paraId="038AEF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6~9</w:t>
            </w:r>
          </w:p>
        </w:tc>
        <w:tc>
          <w:tcPr>
            <w:tcW w:w="892" w:type="dxa"/>
            <w:shd w:val="clear" w:color="auto" w:fill="auto"/>
            <w:noWrap w:val="0"/>
            <w:vAlign w:val="center"/>
          </w:tcPr>
          <w:p w14:paraId="33C6EE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6.5~8.5</w:t>
            </w:r>
          </w:p>
        </w:tc>
      </w:tr>
      <w:tr w14:paraId="0FA1F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57568D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52B3E2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rPr>
            </w:pPr>
          </w:p>
        </w:tc>
        <w:tc>
          <w:tcPr>
            <w:tcW w:w="1114" w:type="dxa"/>
            <w:shd w:val="clear" w:color="auto" w:fill="auto"/>
            <w:noWrap w:val="0"/>
            <w:vAlign w:val="center"/>
          </w:tcPr>
          <w:p w14:paraId="6DE35D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COD</w:t>
            </w:r>
          </w:p>
        </w:tc>
        <w:tc>
          <w:tcPr>
            <w:tcW w:w="1002" w:type="dxa"/>
            <w:noWrap w:val="0"/>
            <w:vAlign w:val="center"/>
          </w:tcPr>
          <w:p w14:paraId="01250AA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cs="Times New Roman" w:eastAsiaTheme="minorEastAsia"/>
                <w:color w:val="auto"/>
                <w:sz w:val="21"/>
                <w:szCs w:val="21"/>
                <w:lang w:val="en-US" w:eastAsia="zh-CN"/>
              </w:rPr>
              <w:t>1956.27</w:t>
            </w:r>
          </w:p>
        </w:tc>
        <w:tc>
          <w:tcPr>
            <w:tcW w:w="851" w:type="dxa"/>
            <w:noWrap w:val="0"/>
            <w:vAlign w:val="center"/>
          </w:tcPr>
          <w:p w14:paraId="347FB90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cs="Times New Roman" w:eastAsiaTheme="minorEastAsia"/>
                <w:color w:val="auto"/>
                <w:sz w:val="21"/>
                <w:szCs w:val="21"/>
                <w:lang w:val="en-US" w:eastAsia="zh-CN"/>
              </w:rPr>
              <w:t>37.028</w:t>
            </w:r>
          </w:p>
        </w:tc>
        <w:tc>
          <w:tcPr>
            <w:tcW w:w="1024" w:type="dxa"/>
            <w:vMerge w:val="continue"/>
            <w:noWrap w:val="0"/>
            <w:vAlign w:val="center"/>
          </w:tcPr>
          <w:p w14:paraId="2B6A75F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p>
        </w:tc>
        <w:tc>
          <w:tcPr>
            <w:tcW w:w="839" w:type="dxa"/>
            <w:noWrap w:val="0"/>
            <w:vAlign w:val="center"/>
          </w:tcPr>
          <w:p w14:paraId="011C1A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77</w:t>
            </w:r>
          </w:p>
        </w:tc>
        <w:tc>
          <w:tcPr>
            <w:tcW w:w="1013" w:type="dxa"/>
            <w:noWrap w:val="0"/>
            <w:vAlign w:val="center"/>
          </w:tcPr>
          <w:p w14:paraId="5B842AD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cs="Times New Roman" w:eastAsiaTheme="minorEastAsia"/>
                <w:color w:val="auto"/>
                <w:sz w:val="21"/>
                <w:szCs w:val="21"/>
                <w:lang w:val="en-US" w:eastAsia="zh-CN"/>
              </w:rPr>
              <w:t>456.75</w:t>
            </w:r>
          </w:p>
        </w:tc>
        <w:tc>
          <w:tcPr>
            <w:tcW w:w="820" w:type="dxa"/>
            <w:noWrap w:val="0"/>
            <w:vAlign w:val="center"/>
          </w:tcPr>
          <w:p w14:paraId="428550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8.6</w:t>
            </w:r>
            <w:r>
              <w:rPr>
                <w:rFonts w:hint="eastAsia" w:cs="Times New Roman" w:eastAsiaTheme="minorEastAsia"/>
                <w:color w:val="auto"/>
                <w:sz w:val="21"/>
                <w:szCs w:val="21"/>
                <w:lang w:val="en-US" w:eastAsia="zh-CN"/>
              </w:rPr>
              <w:t>5</w:t>
            </w:r>
          </w:p>
        </w:tc>
        <w:tc>
          <w:tcPr>
            <w:tcW w:w="1601" w:type="dxa"/>
            <w:shd w:val="clear" w:color="auto" w:fill="auto"/>
            <w:noWrap w:val="0"/>
            <w:vAlign w:val="center"/>
          </w:tcPr>
          <w:p w14:paraId="6DE4EA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1724" w:type="dxa"/>
            <w:shd w:val="clear" w:color="auto" w:fill="auto"/>
            <w:noWrap w:val="0"/>
            <w:vAlign w:val="center"/>
          </w:tcPr>
          <w:p w14:paraId="621508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c>
          <w:tcPr>
            <w:tcW w:w="1297" w:type="dxa"/>
            <w:shd w:val="clear" w:color="auto" w:fill="auto"/>
            <w:noWrap w:val="0"/>
            <w:vAlign w:val="center"/>
          </w:tcPr>
          <w:p w14:paraId="6590F0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500</w:t>
            </w:r>
          </w:p>
        </w:tc>
        <w:tc>
          <w:tcPr>
            <w:tcW w:w="892" w:type="dxa"/>
            <w:shd w:val="clear" w:color="auto" w:fill="auto"/>
            <w:noWrap w:val="0"/>
            <w:vAlign w:val="center"/>
          </w:tcPr>
          <w:p w14:paraId="68003A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500</w:t>
            </w:r>
          </w:p>
        </w:tc>
      </w:tr>
      <w:tr w14:paraId="7402E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155C00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4A31F9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shd w:val="clear" w:color="auto" w:fill="auto"/>
            <w:noWrap w:val="0"/>
            <w:vAlign w:val="center"/>
          </w:tcPr>
          <w:p w14:paraId="662F26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eastAsiaTheme="minorEastAsia"/>
                <w:color w:val="auto"/>
                <w:kern w:val="0"/>
                <w:sz w:val="21"/>
                <w:szCs w:val="21"/>
                <w:vertAlign w:val="subscript"/>
              </w:rPr>
              <w:t>5</w:t>
            </w:r>
          </w:p>
        </w:tc>
        <w:tc>
          <w:tcPr>
            <w:tcW w:w="1002" w:type="dxa"/>
            <w:noWrap w:val="0"/>
            <w:vAlign w:val="center"/>
          </w:tcPr>
          <w:p w14:paraId="05535C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cs="Times New Roman" w:eastAsiaTheme="minorEastAsia"/>
                <w:color w:val="auto"/>
                <w:sz w:val="21"/>
                <w:szCs w:val="21"/>
                <w:lang w:val="en-US" w:eastAsia="zh-CN"/>
              </w:rPr>
              <w:t>980.88</w:t>
            </w:r>
          </w:p>
        </w:tc>
        <w:tc>
          <w:tcPr>
            <w:tcW w:w="851" w:type="dxa"/>
            <w:noWrap w:val="0"/>
            <w:vAlign w:val="center"/>
          </w:tcPr>
          <w:p w14:paraId="6C1364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cs="Times New Roman" w:eastAsiaTheme="minorEastAsia"/>
                <w:color w:val="auto"/>
                <w:sz w:val="21"/>
                <w:szCs w:val="21"/>
                <w:lang w:val="en-US" w:eastAsia="zh-CN"/>
              </w:rPr>
              <w:t>18.566</w:t>
            </w:r>
          </w:p>
        </w:tc>
        <w:tc>
          <w:tcPr>
            <w:tcW w:w="1024" w:type="dxa"/>
            <w:vMerge w:val="continue"/>
            <w:noWrap w:val="0"/>
            <w:vAlign w:val="center"/>
          </w:tcPr>
          <w:p w14:paraId="3B3818C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p>
        </w:tc>
        <w:tc>
          <w:tcPr>
            <w:tcW w:w="839" w:type="dxa"/>
            <w:noWrap w:val="0"/>
            <w:vAlign w:val="center"/>
          </w:tcPr>
          <w:p w14:paraId="255B43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77</w:t>
            </w:r>
          </w:p>
        </w:tc>
        <w:tc>
          <w:tcPr>
            <w:tcW w:w="1013" w:type="dxa"/>
            <w:noWrap w:val="0"/>
            <w:vAlign w:val="center"/>
          </w:tcPr>
          <w:p w14:paraId="6FEADFD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cs="Times New Roman" w:eastAsiaTheme="minorEastAsia"/>
                <w:color w:val="auto"/>
                <w:sz w:val="21"/>
                <w:szCs w:val="21"/>
                <w:lang w:val="en-US" w:eastAsia="zh-CN"/>
              </w:rPr>
              <w:t>221.48</w:t>
            </w:r>
          </w:p>
        </w:tc>
        <w:tc>
          <w:tcPr>
            <w:tcW w:w="820" w:type="dxa"/>
            <w:noWrap w:val="0"/>
            <w:vAlign w:val="center"/>
          </w:tcPr>
          <w:p w14:paraId="6C4B0B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4.19</w:t>
            </w:r>
          </w:p>
        </w:tc>
        <w:tc>
          <w:tcPr>
            <w:tcW w:w="1601" w:type="dxa"/>
            <w:shd w:val="clear" w:color="auto" w:fill="auto"/>
            <w:noWrap w:val="0"/>
            <w:vAlign w:val="center"/>
          </w:tcPr>
          <w:p w14:paraId="3BAB3AC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350</w:t>
            </w:r>
          </w:p>
        </w:tc>
        <w:tc>
          <w:tcPr>
            <w:tcW w:w="1724" w:type="dxa"/>
            <w:shd w:val="clear" w:color="auto" w:fill="auto"/>
            <w:noWrap w:val="0"/>
            <w:vAlign w:val="center"/>
          </w:tcPr>
          <w:p w14:paraId="4A27E9D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350</w:t>
            </w:r>
          </w:p>
        </w:tc>
        <w:tc>
          <w:tcPr>
            <w:tcW w:w="1297" w:type="dxa"/>
            <w:shd w:val="clear" w:color="auto" w:fill="auto"/>
            <w:noWrap w:val="0"/>
            <w:vAlign w:val="center"/>
          </w:tcPr>
          <w:p w14:paraId="5B24F3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c>
          <w:tcPr>
            <w:tcW w:w="892" w:type="dxa"/>
            <w:shd w:val="clear" w:color="auto" w:fill="auto"/>
            <w:noWrap w:val="0"/>
            <w:vAlign w:val="center"/>
          </w:tcPr>
          <w:p w14:paraId="64A684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300</w:t>
            </w:r>
          </w:p>
        </w:tc>
      </w:tr>
      <w:tr w14:paraId="080A9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56FDDB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7DF47A7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shd w:val="clear" w:color="auto" w:fill="auto"/>
            <w:noWrap w:val="0"/>
            <w:vAlign w:val="center"/>
          </w:tcPr>
          <w:p w14:paraId="427F9E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SS</w:t>
            </w:r>
          </w:p>
        </w:tc>
        <w:tc>
          <w:tcPr>
            <w:tcW w:w="1002" w:type="dxa"/>
            <w:noWrap w:val="0"/>
            <w:vAlign w:val="center"/>
          </w:tcPr>
          <w:p w14:paraId="425FFB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cs="Times New Roman" w:eastAsiaTheme="minorEastAsia"/>
                <w:color w:val="auto"/>
                <w:sz w:val="21"/>
                <w:szCs w:val="21"/>
                <w:lang w:val="en-US" w:eastAsia="zh-CN"/>
              </w:rPr>
              <w:t>978.13</w:t>
            </w:r>
          </w:p>
        </w:tc>
        <w:tc>
          <w:tcPr>
            <w:tcW w:w="851" w:type="dxa"/>
            <w:noWrap w:val="0"/>
            <w:vAlign w:val="center"/>
          </w:tcPr>
          <w:p w14:paraId="0C5694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cs="Times New Roman" w:eastAsiaTheme="minorEastAsia"/>
                <w:color w:val="auto"/>
                <w:sz w:val="21"/>
                <w:szCs w:val="21"/>
                <w:lang w:val="en-US" w:eastAsia="zh-CN"/>
              </w:rPr>
              <w:t>18.514</w:t>
            </w:r>
          </w:p>
        </w:tc>
        <w:tc>
          <w:tcPr>
            <w:tcW w:w="1024" w:type="dxa"/>
            <w:vMerge w:val="continue"/>
            <w:noWrap w:val="0"/>
            <w:vAlign w:val="center"/>
          </w:tcPr>
          <w:p w14:paraId="428DA6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p>
        </w:tc>
        <w:tc>
          <w:tcPr>
            <w:tcW w:w="839" w:type="dxa"/>
            <w:noWrap w:val="0"/>
            <w:vAlign w:val="center"/>
          </w:tcPr>
          <w:p w14:paraId="64DF25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72</w:t>
            </w:r>
          </w:p>
        </w:tc>
        <w:tc>
          <w:tcPr>
            <w:tcW w:w="1013" w:type="dxa"/>
            <w:noWrap w:val="0"/>
            <w:vAlign w:val="center"/>
          </w:tcPr>
          <w:p w14:paraId="2FDB331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cs="Times New Roman" w:eastAsiaTheme="minorEastAsia"/>
                <w:b w:val="0"/>
                <w:bCs w:val="0"/>
                <w:color w:val="auto"/>
                <w:sz w:val="21"/>
                <w:szCs w:val="21"/>
                <w:lang w:val="en-US" w:eastAsia="zh-CN"/>
              </w:rPr>
            </w:pPr>
            <w:r>
              <w:rPr>
                <w:rFonts w:hint="default" w:cs="Times New Roman" w:eastAsiaTheme="minorEastAsia"/>
                <w:color w:val="auto"/>
                <w:sz w:val="21"/>
                <w:szCs w:val="21"/>
                <w:lang w:val="en-US" w:eastAsia="zh-CN"/>
              </w:rPr>
              <w:t>276.19</w:t>
            </w:r>
          </w:p>
        </w:tc>
        <w:tc>
          <w:tcPr>
            <w:tcW w:w="820" w:type="dxa"/>
            <w:noWrap w:val="0"/>
            <w:vAlign w:val="center"/>
          </w:tcPr>
          <w:p w14:paraId="73F796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5.2</w:t>
            </w:r>
            <w:r>
              <w:rPr>
                <w:rFonts w:hint="eastAsia" w:cs="Times New Roman" w:eastAsiaTheme="minorEastAsia"/>
                <w:color w:val="auto"/>
                <w:sz w:val="21"/>
                <w:szCs w:val="21"/>
                <w:lang w:val="en-US" w:eastAsia="zh-CN"/>
              </w:rPr>
              <w:t>3</w:t>
            </w:r>
          </w:p>
        </w:tc>
        <w:tc>
          <w:tcPr>
            <w:tcW w:w="1601" w:type="dxa"/>
            <w:shd w:val="clear" w:color="auto" w:fill="auto"/>
            <w:noWrap w:val="0"/>
            <w:vAlign w:val="center"/>
          </w:tcPr>
          <w:p w14:paraId="7FAEA0F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1724" w:type="dxa"/>
            <w:shd w:val="clear" w:color="auto" w:fill="auto"/>
            <w:noWrap w:val="0"/>
            <w:vAlign w:val="center"/>
          </w:tcPr>
          <w:p w14:paraId="22ED98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400</w:t>
            </w:r>
          </w:p>
        </w:tc>
        <w:tc>
          <w:tcPr>
            <w:tcW w:w="1297" w:type="dxa"/>
            <w:shd w:val="clear" w:color="auto" w:fill="auto"/>
            <w:noWrap w:val="0"/>
            <w:vAlign w:val="center"/>
          </w:tcPr>
          <w:p w14:paraId="71DA1F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c>
          <w:tcPr>
            <w:tcW w:w="892" w:type="dxa"/>
            <w:shd w:val="clear" w:color="auto" w:fill="auto"/>
            <w:noWrap w:val="0"/>
            <w:vAlign w:val="center"/>
          </w:tcPr>
          <w:p w14:paraId="23F7A4A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400</w:t>
            </w:r>
          </w:p>
        </w:tc>
      </w:tr>
      <w:tr w14:paraId="076A1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72ECBA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1CB73EB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shd w:val="clear" w:color="auto" w:fill="auto"/>
            <w:noWrap w:val="0"/>
            <w:vAlign w:val="center"/>
          </w:tcPr>
          <w:p w14:paraId="071B26A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NH</w:t>
            </w:r>
            <w:r>
              <w:rPr>
                <w:rFonts w:hint="default" w:ascii="Times New Roman" w:hAnsi="Times New Roman" w:cs="Times New Roman" w:eastAsiaTheme="minorEastAsia"/>
                <w:color w:val="auto"/>
                <w:kern w:val="0"/>
                <w:sz w:val="21"/>
                <w:szCs w:val="21"/>
                <w:vertAlign w:val="subscript"/>
              </w:rPr>
              <w:t>3</w:t>
            </w:r>
            <w:r>
              <w:rPr>
                <w:rFonts w:hint="default" w:ascii="Times New Roman" w:hAnsi="Times New Roman" w:cs="Times New Roman" w:eastAsiaTheme="minorEastAsia"/>
                <w:color w:val="auto"/>
                <w:kern w:val="0"/>
                <w:sz w:val="21"/>
                <w:szCs w:val="21"/>
              </w:rPr>
              <w:t>-N</w:t>
            </w:r>
          </w:p>
        </w:tc>
        <w:tc>
          <w:tcPr>
            <w:tcW w:w="1002" w:type="dxa"/>
            <w:noWrap w:val="0"/>
            <w:vAlign w:val="center"/>
          </w:tcPr>
          <w:p w14:paraId="081B6D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cs="Times New Roman" w:eastAsiaTheme="minorEastAsia"/>
                <w:color w:val="auto"/>
                <w:sz w:val="21"/>
                <w:szCs w:val="21"/>
                <w:lang w:val="en-US" w:eastAsia="zh-CN"/>
              </w:rPr>
              <w:t>199.61</w:t>
            </w:r>
          </w:p>
        </w:tc>
        <w:tc>
          <w:tcPr>
            <w:tcW w:w="851" w:type="dxa"/>
            <w:noWrap w:val="0"/>
            <w:vAlign w:val="center"/>
          </w:tcPr>
          <w:p w14:paraId="07ED059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cs="Times New Roman" w:eastAsiaTheme="minorEastAsia"/>
                <w:color w:val="auto"/>
                <w:sz w:val="21"/>
                <w:szCs w:val="21"/>
                <w:lang w:val="en-US" w:eastAsia="zh-CN"/>
              </w:rPr>
              <w:t>3.7782</w:t>
            </w:r>
          </w:p>
        </w:tc>
        <w:tc>
          <w:tcPr>
            <w:tcW w:w="1024" w:type="dxa"/>
            <w:vMerge w:val="continue"/>
            <w:noWrap w:val="0"/>
            <w:vAlign w:val="center"/>
          </w:tcPr>
          <w:p w14:paraId="4EAF03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p>
        </w:tc>
        <w:tc>
          <w:tcPr>
            <w:tcW w:w="839" w:type="dxa"/>
            <w:noWrap w:val="0"/>
            <w:vAlign w:val="center"/>
          </w:tcPr>
          <w:p w14:paraId="64EC9B3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80</w:t>
            </w:r>
          </w:p>
        </w:tc>
        <w:tc>
          <w:tcPr>
            <w:tcW w:w="1013" w:type="dxa"/>
            <w:noWrap w:val="0"/>
            <w:vAlign w:val="center"/>
          </w:tcPr>
          <w:p w14:paraId="41ECEF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cs="Times New Roman" w:eastAsiaTheme="minorEastAsia"/>
                <w:color w:val="auto"/>
                <w:sz w:val="21"/>
                <w:szCs w:val="21"/>
                <w:lang w:val="en-US" w:eastAsia="zh-CN"/>
              </w:rPr>
              <w:t>40.66</w:t>
            </w:r>
          </w:p>
        </w:tc>
        <w:tc>
          <w:tcPr>
            <w:tcW w:w="820" w:type="dxa"/>
            <w:noWrap w:val="0"/>
            <w:vAlign w:val="center"/>
          </w:tcPr>
          <w:p w14:paraId="71F0C44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0.7</w:t>
            </w:r>
            <w:r>
              <w:rPr>
                <w:rFonts w:hint="eastAsia" w:cs="Times New Roman" w:eastAsiaTheme="minorEastAsia"/>
                <w:color w:val="auto"/>
                <w:sz w:val="21"/>
                <w:szCs w:val="21"/>
                <w:lang w:val="en-US" w:eastAsia="zh-CN"/>
              </w:rPr>
              <w:t>7</w:t>
            </w:r>
          </w:p>
        </w:tc>
        <w:tc>
          <w:tcPr>
            <w:tcW w:w="1601" w:type="dxa"/>
            <w:shd w:val="clear" w:color="auto" w:fill="auto"/>
            <w:noWrap w:val="0"/>
            <w:vAlign w:val="center"/>
          </w:tcPr>
          <w:p w14:paraId="1A7397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45</w:t>
            </w:r>
          </w:p>
        </w:tc>
        <w:tc>
          <w:tcPr>
            <w:tcW w:w="1724" w:type="dxa"/>
            <w:shd w:val="clear" w:color="auto" w:fill="auto"/>
            <w:noWrap w:val="0"/>
            <w:vAlign w:val="center"/>
          </w:tcPr>
          <w:p w14:paraId="575603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c>
          <w:tcPr>
            <w:tcW w:w="1297" w:type="dxa"/>
            <w:shd w:val="clear" w:color="auto" w:fill="auto"/>
            <w:noWrap w:val="0"/>
            <w:vAlign w:val="center"/>
          </w:tcPr>
          <w:p w14:paraId="530220C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p>
        </w:tc>
        <w:tc>
          <w:tcPr>
            <w:tcW w:w="892" w:type="dxa"/>
            <w:shd w:val="clear" w:color="auto" w:fill="auto"/>
            <w:noWrap w:val="0"/>
            <w:vAlign w:val="center"/>
          </w:tcPr>
          <w:p w14:paraId="0AACF8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45</w:t>
            </w:r>
          </w:p>
        </w:tc>
      </w:tr>
      <w:tr w14:paraId="3697B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176F4D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44587B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shd w:val="clear" w:color="auto" w:fill="auto"/>
            <w:noWrap w:val="0"/>
            <w:vAlign w:val="center"/>
          </w:tcPr>
          <w:p w14:paraId="107886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eastAsia="zh-CN"/>
              </w:rPr>
              <w:t>动植物油</w:t>
            </w:r>
          </w:p>
        </w:tc>
        <w:tc>
          <w:tcPr>
            <w:tcW w:w="1002" w:type="dxa"/>
            <w:noWrap w:val="0"/>
            <w:vAlign w:val="center"/>
          </w:tcPr>
          <w:p w14:paraId="147A200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cs="Times New Roman" w:eastAsiaTheme="minorEastAsia"/>
                <w:color w:val="auto"/>
                <w:sz w:val="21"/>
                <w:szCs w:val="21"/>
                <w:lang w:val="en-US" w:eastAsia="zh-CN"/>
              </w:rPr>
              <w:t>195.52</w:t>
            </w:r>
          </w:p>
        </w:tc>
        <w:tc>
          <w:tcPr>
            <w:tcW w:w="851" w:type="dxa"/>
            <w:noWrap w:val="0"/>
            <w:vAlign w:val="center"/>
          </w:tcPr>
          <w:p w14:paraId="64E005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cs="Times New Roman" w:eastAsiaTheme="minorEastAsia"/>
                <w:color w:val="auto"/>
                <w:sz w:val="21"/>
                <w:szCs w:val="21"/>
                <w:lang w:val="en-US" w:eastAsia="zh-CN"/>
              </w:rPr>
              <w:t>3.7008</w:t>
            </w:r>
          </w:p>
        </w:tc>
        <w:tc>
          <w:tcPr>
            <w:tcW w:w="1024" w:type="dxa"/>
            <w:vMerge w:val="continue"/>
            <w:noWrap w:val="0"/>
            <w:vAlign w:val="center"/>
          </w:tcPr>
          <w:p w14:paraId="019634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p>
        </w:tc>
        <w:tc>
          <w:tcPr>
            <w:tcW w:w="839" w:type="dxa"/>
            <w:noWrap w:val="0"/>
            <w:vAlign w:val="center"/>
          </w:tcPr>
          <w:p w14:paraId="140E65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68</w:t>
            </w:r>
          </w:p>
        </w:tc>
        <w:tc>
          <w:tcPr>
            <w:tcW w:w="1013" w:type="dxa"/>
            <w:noWrap w:val="0"/>
            <w:vAlign w:val="center"/>
          </w:tcPr>
          <w:p w14:paraId="73D9EF7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cs="Times New Roman" w:eastAsiaTheme="minorEastAsia"/>
                <w:color w:val="auto"/>
                <w:sz w:val="21"/>
                <w:szCs w:val="21"/>
                <w:lang w:val="en-US" w:eastAsia="zh-CN"/>
              </w:rPr>
              <w:t>62.98</w:t>
            </w:r>
          </w:p>
        </w:tc>
        <w:tc>
          <w:tcPr>
            <w:tcW w:w="820" w:type="dxa"/>
            <w:noWrap w:val="0"/>
            <w:vAlign w:val="center"/>
          </w:tcPr>
          <w:p w14:paraId="4F6494B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1.19</w:t>
            </w:r>
          </w:p>
        </w:tc>
        <w:tc>
          <w:tcPr>
            <w:tcW w:w="1601" w:type="dxa"/>
            <w:shd w:val="clear" w:color="auto" w:fill="auto"/>
            <w:noWrap w:val="0"/>
            <w:vAlign w:val="center"/>
          </w:tcPr>
          <w:p w14:paraId="345615C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1724" w:type="dxa"/>
            <w:shd w:val="clear" w:color="auto" w:fill="auto"/>
            <w:noWrap w:val="0"/>
            <w:vAlign w:val="center"/>
          </w:tcPr>
          <w:p w14:paraId="51853A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100</w:t>
            </w:r>
          </w:p>
        </w:tc>
        <w:tc>
          <w:tcPr>
            <w:tcW w:w="1297" w:type="dxa"/>
            <w:shd w:val="clear" w:color="auto" w:fill="auto"/>
            <w:noWrap w:val="0"/>
            <w:vAlign w:val="center"/>
          </w:tcPr>
          <w:p w14:paraId="01594A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c>
          <w:tcPr>
            <w:tcW w:w="892" w:type="dxa"/>
            <w:shd w:val="clear" w:color="auto" w:fill="auto"/>
            <w:noWrap w:val="0"/>
            <w:vAlign w:val="center"/>
          </w:tcPr>
          <w:p w14:paraId="590341A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100</w:t>
            </w:r>
          </w:p>
        </w:tc>
      </w:tr>
      <w:tr w14:paraId="2FBBE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noWrap w:val="0"/>
            <w:vAlign w:val="center"/>
          </w:tcPr>
          <w:p w14:paraId="4D3D43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noWrap w:val="0"/>
            <w:vAlign w:val="center"/>
          </w:tcPr>
          <w:p w14:paraId="1D90C1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shd w:val="clear" w:color="auto" w:fill="auto"/>
            <w:noWrap w:val="0"/>
            <w:vAlign w:val="center"/>
          </w:tcPr>
          <w:p w14:paraId="3255A45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总磷</w:t>
            </w:r>
          </w:p>
        </w:tc>
        <w:tc>
          <w:tcPr>
            <w:tcW w:w="1002" w:type="dxa"/>
            <w:shd w:val="clear" w:color="auto" w:fill="auto"/>
            <w:noWrap w:val="0"/>
            <w:vAlign w:val="center"/>
          </w:tcPr>
          <w:p w14:paraId="384855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52.30</w:t>
            </w:r>
          </w:p>
        </w:tc>
        <w:tc>
          <w:tcPr>
            <w:tcW w:w="851" w:type="dxa"/>
            <w:shd w:val="clear" w:color="auto" w:fill="auto"/>
            <w:noWrap w:val="0"/>
            <w:vAlign w:val="center"/>
          </w:tcPr>
          <w:p w14:paraId="3B23AA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0.99</w:t>
            </w:r>
          </w:p>
        </w:tc>
        <w:tc>
          <w:tcPr>
            <w:tcW w:w="1024" w:type="dxa"/>
            <w:vMerge w:val="continue"/>
            <w:noWrap w:val="0"/>
            <w:vAlign w:val="center"/>
          </w:tcPr>
          <w:p w14:paraId="668B489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p>
        </w:tc>
        <w:tc>
          <w:tcPr>
            <w:tcW w:w="839" w:type="dxa"/>
            <w:shd w:val="clear" w:color="auto" w:fill="auto"/>
            <w:noWrap w:val="0"/>
            <w:vAlign w:val="center"/>
          </w:tcPr>
          <w:p w14:paraId="537086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88</w:t>
            </w:r>
          </w:p>
        </w:tc>
        <w:tc>
          <w:tcPr>
            <w:tcW w:w="1013" w:type="dxa"/>
            <w:shd w:val="clear" w:color="auto" w:fill="auto"/>
            <w:noWrap w:val="0"/>
            <w:vAlign w:val="center"/>
          </w:tcPr>
          <w:p w14:paraId="3857FE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6.28</w:t>
            </w:r>
          </w:p>
        </w:tc>
        <w:tc>
          <w:tcPr>
            <w:tcW w:w="820" w:type="dxa"/>
            <w:shd w:val="clear" w:color="auto" w:fill="auto"/>
            <w:noWrap w:val="0"/>
            <w:vAlign w:val="center"/>
          </w:tcPr>
          <w:p w14:paraId="097C45F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0.1</w:t>
            </w:r>
            <w:r>
              <w:rPr>
                <w:rFonts w:hint="eastAsia" w:cs="Times New Roman" w:eastAsiaTheme="minorEastAsia"/>
                <w:color w:val="auto"/>
                <w:sz w:val="21"/>
                <w:szCs w:val="21"/>
                <w:lang w:val="en-US" w:eastAsia="zh-CN"/>
              </w:rPr>
              <w:t>2</w:t>
            </w:r>
          </w:p>
        </w:tc>
        <w:tc>
          <w:tcPr>
            <w:tcW w:w="1601" w:type="dxa"/>
            <w:shd w:val="clear" w:color="auto" w:fill="auto"/>
            <w:noWrap w:val="0"/>
            <w:vAlign w:val="center"/>
          </w:tcPr>
          <w:p w14:paraId="096478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724" w:type="dxa"/>
            <w:shd w:val="clear" w:color="auto" w:fill="auto"/>
            <w:noWrap w:val="0"/>
            <w:vAlign w:val="center"/>
          </w:tcPr>
          <w:p w14:paraId="790B92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c>
          <w:tcPr>
            <w:tcW w:w="1297" w:type="dxa"/>
            <w:shd w:val="clear" w:color="auto" w:fill="auto"/>
            <w:noWrap w:val="0"/>
            <w:vAlign w:val="center"/>
          </w:tcPr>
          <w:p w14:paraId="6BBF5B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w:t>
            </w:r>
          </w:p>
        </w:tc>
        <w:tc>
          <w:tcPr>
            <w:tcW w:w="892" w:type="dxa"/>
            <w:shd w:val="clear" w:color="auto" w:fill="auto"/>
            <w:noWrap w:val="0"/>
            <w:vAlign w:val="center"/>
          </w:tcPr>
          <w:p w14:paraId="155FC1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8</w:t>
            </w:r>
          </w:p>
        </w:tc>
      </w:tr>
      <w:tr w14:paraId="44A3E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9" w:type="dxa"/>
            <w:vMerge w:val="continue"/>
          </w:tcPr>
          <w:p w14:paraId="2CABDFE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850" w:type="dxa"/>
            <w:vMerge w:val="continue"/>
          </w:tcPr>
          <w:p w14:paraId="4501EF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rPr>
                <w:rFonts w:hint="default" w:ascii="Times New Roman" w:hAnsi="Times New Roman" w:cs="Times New Roman" w:eastAsiaTheme="minorEastAsia"/>
                <w:color w:val="auto"/>
                <w:kern w:val="0"/>
                <w:sz w:val="21"/>
                <w:szCs w:val="21"/>
              </w:rPr>
            </w:pPr>
          </w:p>
        </w:tc>
        <w:tc>
          <w:tcPr>
            <w:tcW w:w="1114" w:type="dxa"/>
            <w:shd w:val="clear" w:color="auto" w:fill="auto"/>
            <w:vAlign w:val="center"/>
          </w:tcPr>
          <w:p w14:paraId="209C15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总氮</w:t>
            </w:r>
          </w:p>
        </w:tc>
        <w:tc>
          <w:tcPr>
            <w:tcW w:w="1002" w:type="dxa"/>
            <w:vAlign w:val="center"/>
          </w:tcPr>
          <w:p w14:paraId="6BB76EA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238.27</w:t>
            </w:r>
          </w:p>
        </w:tc>
        <w:tc>
          <w:tcPr>
            <w:tcW w:w="851" w:type="dxa"/>
            <w:vAlign w:val="center"/>
          </w:tcPr>
          <w:p w14:paraId="136D677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4.51</w:t>
            </w:r>
          </w:p>
        </w:tc>
        <w:tc>
          <w:tcPr>
            <w:tcW w:w="1024" w:type="dxa"/>
            <w:vMerge w:val="continue"/>
            <w:vAlign w:val="top"/>
          </w:tcPr>
          <w:p w14:paraId="137AB7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rPr>
            </w:pPr>
          </w:p>
        </w:tc>
        <w:tc>
          <w:tcPr>
            <w:tcW w:w="839" w:type="dxa"/>
            <w:vAlign w:val="center"/>
          </w:tcPr>
          <w:p w14:paraId="337B032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73</w:t>
            </w:r>
          </w:p>
        </w:tc>
        <w:tc>
          <w:tcPr>
            <w:tcW w:w="1013" w:type="dxa"/>
            <w:vAlign w:val="center"/>
          </w:tcPr>
          <w:p w14:paraId="28373F8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64.33</w:t>
            </w:r>
          </w:p>
        </w:tc>
        <w:tc>
          <w:tcPr>
            <w:tcW w:w="820" w:type="dxa"/>
            <w:vAlign w:val="top"/>
          </w:tcPr>
          <w:p w14:paraId="36C266C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cs="Times New Roman" w:eastAsiaTheme="minorEastAsia"/>
                <w:color w:val="auto"/>
                <w:sz w:val="21"/>
                <w:szCs w:val="21"/>
                <w:lang w:val="en-US" w:eastAsia="zh-CN"/>
              </w:rPr>
              <w:t>1.2</w:t>
            </w:r>
            <w:r>
              <w:rPr>
                <w:rFonts w:hint="eastAsia" w:cs="Times New Roman" w:eastAsiaTheme="minorEastAsia"/>
                <w:color w:val="auto"/>
                <w:sz w:val="21"/>
                <w:szCs w:val="21"/>
                <w:lang w:val="en-US" w:eastAsia="zh-CN"/>
              </w:rPr>
              <w:t>2</w:t>
            </w:r>
          </w:p>
        </w:tc>
        <w:tc>
          <w:tcPr>
            <w:tcW w:w="1601" w:type="dxa"/>
            <w:shd w:val="clear" w:color="auto" w:fill="auto"/>
            <w:vAlign w:val="center"/>
          </w:tcPr>
          <w:p w14:paraId="60C33E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724" w:type="dxa"/>
            <w:shd w:val="clear" w:color="auto" w:fill="auto"/>
            <w:vAlign w:val="center"/>
          </w:tcPr>
          <w:p w14:paraId="063B2A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c>
          <w:tcPr>
            <w:tcW w:w="1297" w:type="dxa"/>
            <w:shd w:val="clear" w:color="auto" w:fill="auto"/>
            <w:vAlign w:val="center"/>
          </w:tcPr>
          <w:p w14:paraId="445C67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sz w:val="21"/>
                <w:szCs w:val="21"/>
                <w:highlight w:val="none"/>
                <w:lang w:val="en-US" w:eastAsia="zh-CN"/>
              </w:rPr>
              <w:t>/</w:t>
            </w:r>
          </w:p>
        </w:tc>
        <w:tc>
          <w:tcPr>
            <w:tcW w:w="892" w:type="dxa"/>
            <w:shd w:val="clear" w:color="auto" w:fill="auto"/>
            <w:vAlign w:val="center"/>
          </w:tcPr>
          <w:p w14:paraId="500C62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70</w:t>
            </w:r>
          </w:p>
        </w:tc>
      </w:tr>
    </w:tbl>
    <w:p w14:paraId="3382A756">
      <w:pPr>
        <w:pStyle w:val="34"/>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textAlignment w:val="auto"/>
        <w:rPr>
          <w:rFonts w:hint="default" w:ascii="Times New Roman" w:hAnsi="Times New Roman" w:eastAsia="仿宋_GB2312" w:cstheme="minorBidi"/>
          <w:color w:val="auto"/>
          <w:kern w:val="2"/>
          <w:sz w:val="24"/>
          <w:szCs w:val="24"/>
          <w:lang w:val="en-US" w:eastAsia="zh-CN" w:bidi="ar-SA"/>
        </w:rPr>
      </w:pPr>
      <w:r>
        <w:rPr>
          <w:rFonts w:hint="default" w:ascii="Times New Roman" w:hAnsi="Times New Roman" w:eastAsia="宋体" w:cs="Times New Roman"/>
          <w:color w:val="auto"/>
          <w:sz w:val="21"/>
          <w:szCs w:val="21"/>
          <w:highlight w:val="none"/>
        </w:rPr>
        <w:t>表</w:t>
      </w:r>
      <w:r>
        <w:rPr>
          <w:rFonts w:hint="eastAsia" w:ascii="Times New Roman" w:hAnsi="Times New Roman" w:eastAsia="宋体" w:cs="Times New Roman"/>
          <w:snapToGrid w:val="0"/>
          <w:color w:val="auto"/>
          <w:kern w:val="0"/>
          <w:sz w:val="21"/>
          <w:szCs w:val="21"/>
          <w:highlight w:val="none"/>
          <w:lang w:val="en-US" w:eastAsia="zh-CN" w:bidi="ar-SA"/>
        </w:rPr>
        <w:t>8.6-4</w:t>
      </w:r>
      <w:r>
        <w:rPr>
          <w:rFonts w:hint="default"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 xml:space="preserve">           </w:t>
      </w:r>
      <w:r>
        <w:rPr>
          <w:rFonts w:hint="eastAsia"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b/>
          <w:bCs/>
          <w:color w:val="auto"/>
          <w:sz w:val="24"/>
          <w:highlight w:val="none"/>
        </w:rPr>
        <w:t>固体废物主要</w:t>
      </w:r>
      <w:r>
        <w:rPr>
          <w:rFonts w:hint="eastAsia" w:ascii="Times New Roman" w:hAnsi="Times New Roman" w:eastAsia="宋体" w:cs="Times New Roman"/>
          <w:b/>
          <w:bCs/>
          <w:color w:val="auto"/>
          <w:sz w:val="24"/>
          <w:highlight w:val="none"/>
          <w:lang w:val="en-US" w:eastAsia="zh-CN"/>
        </w:rPr>
        <w:t>产排污情况</w:t>
      </w:r>
      <w:r>
        <w:rPr>
          <w:rFonts w:hint="default" w:ascii="Times New Roman" w:hAnsi="Times New Roman" w:eastAsia="宋体" w:cs="Times New Roman"/>
          <w:b/>
          <w:bCs/>
          <w:color w:val="auto"/>
          <w:sz w:val="24"/>
          <w:highlight w:val="none"/>
        </w:rPr>
        <w:t>一览表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148"/>
        <w:gridCol w:w="1038"/>
        <w:gridCol w:w="202"/>
        <w:gridCol w:w="1763"/>
        <w:gridCol w:w="140"/>
        <w:gridCol w:w="969"/>
        <w:gridCol w:w="140"/>
        <w:gridCol w:w="1829"/>
        <w:gridCol w:w="2798"/>
        <w:gridCol w:w="140"/>
        <w:gridCol w:w="1172"/>
        <w:gridCol w:w="291"/>
        <w:gridCol w:w="1094"/>
        <w:gridCol w:w="140"/>
        <w:gridCol w:w="1155"/>
      </w:tblGrid>
      <w:tr w14:paraId="22D129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026BEF1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编号</w:t>
            </w:r>
          </w:p>
        </w:tc>
        <w:tc>
          <w:tcPr>
            <w:tcW w:w="771" w:type="dxa"/>
            <w:gridSpan w:val="2"/>
            <w:noWrap w:val="0"/>
            <w:vAlign w:val="center"/>
          </w:tcPr>
          <w:p w14:paraId="4B77B34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产污</w:t>
            </w:r>
          </w:p>
          <w:p w14:paraId="3B597C6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环节</w:t>
            </w:r>
          </w:p>
        </w:tc>
        <w:tc>
          <w:tcPr>
            <w:tcW w:w="1277" w:type="dxa"/>
            <w:gridSpan w:val="2"/>
            <w:noWrap w:val="0"/>
            <w:vAlign w:val="center"/>
          </w:tcPr>
          <w:p w14:paraId="7ADBED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固废</w:t>
            </w:r>
          </w:p>
          <w:p w14:paraId="4AA19F8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721" w:type="dxa"/>
            <w:gridSpan w:val="2"/>
            <w:noWrap w:val="0"/>
            <w:vAlign w:val="center"/>
          </w:tcPr>
          <w:p w14:paraId="2DF5213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固废</w:t>
            </w:r>
          </w:p>
          <w:p w14:paraId="33F8A00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成分</w:t>
            </w:r>
          </w:p>
        </w:tc>
        <w:tc>
          <w:tcPr>
            <w:tcW w:w="1280" w:type="dxa"/>
            <w:gridSpan w:val="2"/>
            <w:noWrap w:val="0"/>
            <w:vAlign w:val="center"/>
          </w:tcPr>
          <w:p w14:paraId="12E07FA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性质</w:t>
            </w:r>
          </w:p>
        </w:tc>
        <w:tc>
          <w:tcPr>
            <w:tcW w:w="1819" w:type="dxa"/>
            <w:noWrap w:val="0"/>
            <w:vAlign w:val="center"/>
          </w:tcPr>
          <w:p w14:paraId="7744858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处理措施</w:t>
            </w:r>
          </w:p>
        </w:tc>
        <w:tc>
          <w:tcPr>
            <w:tcW w:w="853" w:type="dxa"/>
            <w:gridSpan w:val="2"/>
            <w:noWrap w:val="0"/>
            <w:vAlign w:val="center"/>
          </w:tcPr>
          <w:p w14:paraId="3779A4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900" w:type="dxa"/>
            <w:gridSpan w:val="2"/>
            <w:noWrap w:val="0"/>
            <w:vAlign w:val="center"/>
          </w:tcPr>
          <w:p w14:paraId="56F78A5F">
            <w:pPr>
              <w:pStyle w:val="4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处置率</w:t>
            </w:r>
          </w:p>
          <w:p w14:paraId="356955ED">
            <w:pPr>
              <w:pStyle w:val="4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w:t>
            </w:r>
          </w:p>
        </w:tc>
        <w:tc>
          <w:tcPr>
            <w:tcW w:w="842" w:type="dxa"/>
            <w:gridSpan w:val="2"/>
            <w:noWrap w:val="0"/>
            <w:vAlign w:val="center"/>
          </w:tcPr>
          <w:p w14:paraId="665B0E2D">
            <w:pPr>
              <w:pStyle w:val="4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r>
      <w:tr w14:paraId="6C017A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48" w:type="dxa"/>
            <w:gridSpan w:val="16"/>
            <w:noWrap w:val="0"/>
            <w:vAlign w:val="center"/>
          </w:tcPr>
          <w:p w14:paraId="71391D4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牛屠宰工艺固废</w:t>
            </w:r>
          </w:p>
        </w:tc>
      </w:tr>
      <w:tr w14:paraId="64E82B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454CAD9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771" w:type="dxa"/>
            <w:gridSpan w:val="2"/>
            <w:noWrap w:val="0"/>
            <w:vAlign w:val="center"/>
          </w:tcPr>
          <w:p w14:paraId="30AEA89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待宰圈</w:t>
            </w:r>
          </w:p>
        </w:tc>
        <w:tc>
          <w:tcPr>
            <w:tcW w:w="1277" w:type="dxa"/>
            <w:gridSpan w:val="2"/>
            <w:noWrap w:val="0"/>
            <w:vAlign w:val="center"/>
          </w:tcPr>
          <w:p w14:paraId="3207CC3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牛粪便（含牛尿）</w:t>
            </w:r>
          </w:p>
        </w:tc>
        <w:tc>
          <w:tcPr>
            <w:tcW w:w="721" w:type="dxa"/>
            <w:gridSpan w:val="2"/>
            <w:vMerge w:val="restart"/>
            <w:noWrap w:val="0"/>
            <w:vAlign w:val="center"/>
          </w:tcPr>
          <w:p w14:paraId="72A70E8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有机质</w:t>
            </w:r>
          </w:p>
        </w:tc>
        <w:tc>
          <w:tcPr>
            <w:tcW w:w="1280" w:type="dxa"/>
            <w:gridSpan w:val="2"/>
            <w:noWrap w:val="0"/>
            <w:vAlign w:val="center"/>
          </w:tcPr>
          <w:p w14:paraId="4A9E3E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1819" w:type="dxa"/>
            <w:vMerge w:val="restart"/>
            <w:noWrap w:val="0"/>
            <w:vAlign w:val="center"/>
          </w:tcPr>
          <w:p w14:paraId="731AF2E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拉运至固原富田有机肥有限公司生产</w:t>
            </w:r>
            <w:r>
              <w:rPr>
                <w:rFonts w:hint="eastAsia" w:eastAsia="宋体" w:cs="Times New Roman"/>
                <w:b w:val="0"/>
                <w:bCs/>
                <w:color w:val="auto"/>
                <w:sz w:val="21"/>
                <w:szCs w:val="21"/>
                <w:highlight w:val="none"/>
                <w:lang w:val="en-US" w:eastAsia="zh-CN"/>
              </w:rPr>
              <w:t>肥料</w:t>
            </w:r>
          </w:p>
        </w:tc>
        <w:tc>
          <w:tcPr>
            <w:tcW w:w="853" w:type="dxa"/>
            <w:gridSpan w:val="2"/>
            <w:noWrap w:val="0"/>
            <w:vAlign w:val="center"/>
          </w:tcPr>
          <w:p w14:paraId="3EE4748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108.8</w:t>
            </w:r>
          </w:p>
        </w:tc>
        <w:tc>
          <w:tcPr>
            <w:tcW w:w="900" w:type="dxa"/>
            <w:gridSpan w:val="2"/>
            <w:noWrap w:val="0"/>
            <w:vAlign w:val="center"/>
          </w:tcPr>
          <w:p w14:paraId="4D21A62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35322B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3B4311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7FB101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p>
        </w:tc>
        <w:tc>
          <w:tcPr>
            <w:tcW w:w="771" w:type="dxa"/>
            <w:gridSpan w:val="2"/>
            <w:vMerge w:val="restart"/>
            <w:noWrap w:val="0"/>
            <w:vAlign w:val="center"/>
          </w:tcPr>
          <w:p w14:paraId="24C495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屠宰</w:t>
            </w:r>
            <w:r>
              <w:rPr>
                <w:rFonts w:hint="eastAsia" w:ascii="Times New Roman" w:hAnsi="Times New Roman" w:eastAsia="宋体" w:cs="Times New Roman"/>
                <w:b w:val="0"/>
                <w:bCs/>
                <w:color w:val="auto"/>
                <w:sz w:val="21"/>
                <w:szCs w:val="21"/>
                <w:highlight w:val="none"/>
                <w:lang w:val="en-US" w:eastAsia="zh-CN"/>
              </w:rPr>
              <w:t>加工车间</w:t>
            </w:r>
          </w:p>
        </w:tc>
        <w:tc>
          <w:tcPr>
            <w:tcW w:w="1277" w:type="dxa"/>
            <w:gridSpan w:val="2"/>
            <w:noWrap w:val="0"/>
            <w:vAlign w:val="center"/>
          </w:tcPr>
          <w:p w14:paraId="5E68BDD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胃内容物</w:t>
            </w:r>
          </w:p>
        </w:tc>
        <w:tc>
          <w:tcPr>
            <w:tcW w:w="721" w:type="dxa"/>
            <w:gridSpan w:val="2"/>
            <w:vMerge w:val="continue"/>
            <w:noWrap w:val="0"/>
            <w:vAlign w:val="center"/>
          </w:tcPr>
          <w:p w14:paraId="20810C3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80" w:type="dxa"/>
            <w:gridSpan w:val="2"/>
            <w:noWrap w:val="0"/>
            <w:vAlign w:val="center"/>
          </w:tcPr>
          <w:p w14:paraId="0FA9C0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1819" w:type="dxa"/>
            <w:vMerge w:val="continue"/>
            <w:noWrap w:val="0"/>
            <w:vAlign w:val="center"/>
          </w:tcPr>
          <w:p w14:paraId="199005B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restart"/>
            <w:noWrap w:val="0"/>
            <w:vAlign w:val="center"/>
          </w:tcPr>
          <w:p w14:paraId="509AD1C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lang w:val="en-US" w:eastAsia="zh-CN"/>
              </w:rPr>
              <w:t>50</w:t>
            </w:r>
          </w:p>
        </w:tc>
        <w:tc>
          <w:tcPr>
            <w:tcW w:w="900" w:type="dxa"/>
            <w:gridSpan w:val="2"/>
            <w:noWrap w:val="0"/>
            <w:vAlign w:val="center"/>
          </w:tcPr>
          <w:p w14:paraId="0DD1C80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2F39693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3446C0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75BBF26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771" w:type="dxa"/>
            <w:gridSpan w:val="2"/>
            <w:vMerge w:val="continue"/>
            <w:noWrap w:val="0"/>
            <w:vAlign w:val="center"/>
          </w:tcPr>
          <w:p w14:paraId="56462F2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77" w:type="dxa"/>
            <w:gridSpan w:val="2"/>
            <w:noWrap w:val="0"/>
            <w:vAlign w:val="center"/>
          </w:tcPr>
          <w:p w14:paraId="38F209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分割边角料</w:t>
            </w:r>
          </w:p>
        </w:tc>
        <w:tc>
          <w:tcPr>
            <w:tcW w:w="721" w:type="dxa"/>
            <w:gridSpan w:val="2"/>
            <w:noWrap w:val="0"/>
            <w:vAlign w:val="center"/>
          </w:tcPr>
          <w:p w14:paraId="0D23B29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2E0F73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组织</w:t>
            </w:r>
          </w:p>
        </w:tc>
        <w:tc>
          <w:tcPr>
            <w:tcW w:w="1280" w:type="dxa"/>
            <w:gridSpan w:val="2"/>
            <w:noWrap w:val="0"/>
            <w:vAlign w:val="center"/>
          </w:tcPr>
          <w:p w14:paraId="495A54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一般固废</w:t>
            </w:r>
          </w:p>
        </w:tc>
        <w:tc>
          <w:tcPr>
            <w:tcW w:w="1819" w:type="dxa"/>
            <w:vMerge w:val="continue"/>
            <w:noWrap w:val="0"/>
            <w:vAlign w:val="center"/>
          </w:tcPr>
          <w:p w14:paraId="6E803F2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continue"/>
            <w:noWrap w:val="0"/>
            <w:vAlign w:val="center"/>
          </w:tcPr>
          <w:p w14:paraId="489F69E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szCs w:val="21"/>
                <w:highlight w:val="none"/>
                <w:lang w:val="en-US" w:eastAsia="zh-CN"/>
              </w:rPr>
            </w:pPr>
          </w:p>
        </w:tc>
        <w:tc>
          <w:tcPr>
            <w:tcW w:w="900" w:type="dxa"/>
            <w:gridSpan w:val="2"/>
            <w:noWrap w:val="0"/>
            <w:vAlign w:val="center"/>
          </w:tcPr>
          <w:p w14:paraId="043756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4A4FBCE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r w14:paraId="52B1A6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1AA866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771" w:type="dxa"/>
            <w:gridSpan w:val="2"/>
            <w:vMerge w:val="restart"/>
            <w:noWrap w:val="0"/>
            <w:vAlign w:val="center"/>
          </w:tcPr>
          <w:p w14:paraId="4A3C3D2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屠宰</w:t>
            </w:r>
            <w:r>
              <w:rPr>
                <w:rFonts w:hint="eastAsia" w:ascii="Times New Roman" w:hAnsi="Times New Roman" w:eastAsia="宋体" w:cs="Times New Roman"/>
                <w:b w:val="0"/>
                <w:bCs/>
                <w:color w:val="auto"/>
                <w:sz w:val="21"/>
                <w:szCs w:val="21"/>
                <w:highlight w:val="none"/>
                <w:lang w:val="en-US" w:eastAsia="zh-CN"/>
              </w:rPr>
              <w:t>加工车间</w:t>
            </w:r>
          </w:p>
        </w:tc>
        <w:tc>
          <w:tcPr>
            <w:tcW w:w="1277" w:type="dxa"/>
            <w:gridSpan w:val="2"/>
            <w:noWrap w:val="0"/>
            <w:vAlign w:val="center"/>
          </w:tcPr>
          <w:p w14:paraId="4256F1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病变</w:t>
            </w:r>
            <w:r>
              <w:rPr>
                <w:rFonts w:hint="default" w:ascii="Times New Roman" w:hAnsi="Times New Roman" w:eastAsia="宋体" w:cs="Times New Roman"/>
                <w:b w:val="0"/>
                <w:bCs/>
                <w:color w:val="auto"/>
                <w:sz w:val="21"/>
                <w:szCs w:val="21"/>
                <w:highlight w:val="none"/>
              </w:rPr>
              <w:t>内脏</w:t>
            </w:r>
          </w:p>
        </w:tc>
        <w:tc>
          <w:tcPr>
            <w:tcW w:w="721" w:type="dxa"/>
            <w:gridSpan w:val="2"/>
            <w:vMerge w:val="restart"/>
            <w:noWrap w:val="0"/>
            <w:vAlign w:val="center"/>
          </w:tcPr>
          <w:p w14:paraId="2068AA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26D35DA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组织</w:t>
            </w:r>
          </w:p>
        </w:tc>
        <w:tc>
          <w:tcPr>
            <w:tcW w:w="1280" w:type="dxa"/>
            <w:gridSpan w:val="2"/>
            <w:noWrap w:val="0"/>
            <w:vAlign w:val="center"/>
          </w:tcPr>
          <w:p w14:paraId="7DFB98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HW01-841-003-01</w:t>
            </w:r>
          </w:p>
        </w:tc>
        <w:tc>
          <w:tcPr>
            <w:tcW w:w="1819" w:type="dxa"/>
            <w:vMerge w:val="restart"/>
            <w:noWrap w:val="0"/>
            <w:vAlign w:val="center"/>
          </w:tcPr>
          <w:p w14:paraId="49B591B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暂存于危废贮存库冷柜中，定期拉运至原州区动物疾病预防控制中心（动物卫生监督）指定地点进行无害化处置</w:t>
            </w:r>
          </w:p>
        </w:tc>
        <w:tc>
          <w:tcPr>
            <w:tcW w:w="853" w:type="dxa"/>
            <w:gridSpan w:val="2"/>
            <w:vMerge w:val="restart"/>
            <w:noWrap w:val="0"/>
            <w:vAlign w:val="center"/>
          </w:tcPr>
          <w:p w14:paraId="5C02F1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141.2</w:t>
            </w:r>
          </w:p>
        </w:tc>
        <w:tc>
          <w:tcPr>
            <w:tcW w:w="900" w:type="dxa"/>
            <w:gridSpan w:val="2"/>
            <w:noWrap w:val="0"/>
            <w:vAlign w:val="center"/>
          </w:tcPr>
          <w:p w14:paraId="609024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0049D23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2D0E6E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244D17A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5</w:t>
            </w:r>
          </w:p>
        </w:tc>
        <w:tc>
          <w:tcPr>
            <w:tcW w:w="771" w:type="dxa"/>
            <w:gridSpan w:val="2"/>
            <w:vMerge w:val="continue"/>
            <w:noWrap w:val="0"/>
            <w:vAlign w:val="center"/>
          </w:tcPr>
          <w:p w14:paraId="489573F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77" w:type="dxa"/>
            <w:gridSpan w:val="2"/>
            <w:noWrap w:val="0"/>
            <w:vAlign w:val="center"/>
          </w:tcPr>
          <w:p w14:paraId="66789F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不合格胴体</w:t>
            </w:r>
          </w:p>
        </w:tc>
        <w:tc>
          <w:tcPr>
            <w:tcW w:w="721" w:type="dxa"/>
            <w:gridSpan w:val="2"/>
            <w:vMerge w:val="continue"/>
            <w:noWrap w:val="0"/>
            <w:vAlign w:val="center"/>
          </w:tcPr>
          <w:p w14:paraId="0F9E8D5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80" w:type="dxa"/>
            <w:gridSpan w:val="2"/>
            <w:noWrap w:val="0"/>
            <w:vAlign w:val="center"/>
          </w:tcPr>
          <w:p w14:paraId="1406BB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030-003-S82</w:t>
            </w:r>
          </w:p>
        </w:tc>
        <w:tc>
          <w:tcPr>
            <w:tcW w:w="1819" w:type="dxa"/>
            <w:vMerge w:val="continue"/>
            <w:noWrap w:val="0"/>
            <w:vAlign w:val="center"/>
          </w:tcPr>
          <w:p w14:paraId="0B5A50B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continue"/>
            <w:noWrap w:val="0"/>
            <w:vAlign w:val="center"/>
          </w:tcPr>
          <w:p w14:paraId="523A50E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00" w:type="dxa"/>
            <w:gridSpan w:val="2"/>
            <w:noWrap w:val="0"/>
            <w:vAlign w:val="center"/>
          </w:tcPr>
          <w:p w14:paraId="3A73A59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51A6823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4B9C70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85" w:type="dxa"/>
            <w:noWrap w:val="0"/>
            <w:vAlign w:val="center"/>
          </w:tcPr>
          <w:p w14:paraId="0707503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6</w:t>
            </w:r>
          </w:p>
        </w:tc>
        <w:tc>
          <w:tcPr>
            <w:tcW w:w="771" w:type="dxa"/>
            <w:gridSpan w:val="2"/>
            <w:vMerge w:val="continue"/>
            <w:noWrap w:val="0"/>
            <w:vAlign w:val="center"/>
          </w:tcPr>
          <w:p w14:paraId="3B55D3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77" w:type="dxa"/>
            <w:gridSpan w:val="2"/>
            <w:noWrap w:val="0"/>
            <w:vAlign w:val="center"/>
          </w:tcPr>
          <w:p w14:paraId="25E4B7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病死</w:t>
            </w:r>
            <w:r>
              <w:rPr>
                <w:rFonts w:hint="eastAsia" w:ascii="Times New Roman" w:hAnsi="Times New Roman" w:eastAsia="宋体" w:cs="Times New Roman"/>
                <w:b w:val="0"/>
                <w:bCs/>
                <w:color w:val="auto"/>
                <w:sz w:val="21"/>
                <w:szCs w:val="21"/>
                <w:highlight w:val="none"/>
                <w:lang w:val="en-US" w:eastAsia="zh-CN"/>
              </w:rPr>
              <w:t>牛</w:t>
            </w:r>
          </w:p>
        </w:tc>
        <w:tc>
          <w:tcPr>
            <w:tcW w:w="721" w:type="dxa"/>
            <w:gridSpan w:val="2"/>
            <w:vMerge w:val="continue"/>
            <w:noWrap w:val="0"/>
            <w:vAlign w:val="center"/>
          </w:tcPr>
          <w:p w14:paraId="75CE00A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80" w:type="dxa"/>
            <w:gridSpan w:val="2"/>
            <w:noWrap w:val="0"/>
            <w:vAlign w:val="center"/>
          </w:tcPr>
          <w:p w14:paraId="3ABD49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HW01</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841-00</w:t>
            </w:r>
            <w:r>
              <w:rPr>
                <w:rFonts w:hint="eastAsia"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-01</w:t>
            </w:r>
          </w:p>
        </w:tc>
        <w:tc>
          <w:tcPr>
            <w:tcW w:w="1819" w:type="dxa"/>
            <w:vMerge w:val="continue"/>
            <w:noWrap w:val="0"/>
            <w:vAlign w:val="center"/>
          </w:tcPr>
          <w:p w14:paraId="2250027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53" w:type="dxa"/>
            <w:gridSpan w:val="2"/>
            <w:vMerge w:val="continue"/>
            <w:noWrap w:val="0"/>
            <w:vAlign w:val="center"/>
          </w:tcPr>
          <w:p w14:paraId="449AB7E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900" w:type="dxa"/>
            <w:gridSpan w:val="2"/>
            <w:noWrap w:val="0"/>
            <w:vAlign w:val="center"/>
          </w:tcPr>
          <w:p w14:paraId="2A7EBEB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842" w:type="dxa"/>
            <w:gridSpan w:val="2"/>
            <w:noWrap w:val="0"/>
            <w:vAlign w:val="center"/>
          </w:tcPr>
          <w:p w14:paraId="2ABE52A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0471BA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48" w:type="dxa"/>
            <w:gridSpan w:val="16"/>
            <w:noWrap w:val="0"/>
            <w:vAlign w:val="center"/>
          </w:tcPr>
          <w:p w14:paraId="199AA38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羊</w:t>
            </w:r>
            <w:r>
              <w:rPr>
                <w:rFonts w:hint="default" w:ascii="Times New Roman" w:hAnsi="Times New Roman" w:eastAsia="宋体" w:cs="Times New Roman"/>
                <w:b w:val="0"/>
                <w:bCs/>
                <w:color w:val="auto"/>
                <w:sz w:val="21"/>
                <w:szCs w:val="21"/>
                <w:highlight w:val="none"/>
              </w:rPr>
              <w:t>屠宰工艺固废</w:t>
            </w:r>
          </w:p>
        </w:tc>
      </w:tr>
      <w:tr w14:paraId="1AB4AD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6C30600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w:t>
            </w:r>
          </w:p>
        </w:tc>
        <w:tc>
          <w:tcPr>
            <w:tcW w:w="806" w:type="dxa"/>
            <w:gridSpan w:val="2"/>
            <w:shd w:val="clear" w:color="auto" w:fill="auto"/>
            <w:noWrap w:val="0"/>
            <w:vAlign w:val="center"/>
          </w:tcPr>
          <w:p w14:paraId="4ED0B5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待宰圈</w:t>
            </w:r>
          </w:p>
        </w:tc>
        <w:tc>
          <w:tcPr>
            <w:tcW w:w="1237" w:type="dxa"/>
            <w:gridSpan w:val="2"/>
            <w:shd w:val="clear" w:color="auto" w:fill="auto"/>
            <w:noWrap w:val="0"/>
            <w:vAlign w:val="center"/>
          </w:tcPr>
          <w:p w14:paraId="0AF2E0A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羊</w:t>
            </w:r>
            <w:r>
              <w:rPr>
                <w:rFonts w:hint="default" w:ascii="Times New Roman" w:hAnsi="Times New Roman" w:eastAsia="宋体" w:cs="Times New Roman"/>
                <w:b w:val="0"/>
                <w:bCs/>
                <w:color w:val="auto"/>
                <w:sz w:val="21"/>
                <w:szCs w:val="21"/>
                <w:highlight w:val="none"/>
              </w:rPr>
              <w:t>粪便（含</w:t>
            </w:r>
            <w:r>
              <w:rPr>
                <w:rFonts w:hint="eastAsia" w:ascii="Times New Roman" w:hAnsi="Times New Roman" w:eastAsia="宋体" w:cs="Times New Roman"/>
                <w:b w:val="0"/>
                <w:bCs/>
                <w:color w:val="auto"/>
                <w:sz w:val="21"/>
                <w:szCs w:val="21"/>
                <w:highlight w:val="none"/>
                <w:lang w:val="en-US" w:eastAsia="zh-CN"/>
              </w:rPr>
              <w:t>羊</w:t>
            </w:r>
            <w:r>
              <w:rPr>
                <w:rFonts w:hint="default" w:ascii="Times New Roman" w:hAnsi="Times New Roman" w:eastAsia="宋体" w:cs="Times New Roman"/>
                <w:b w:val="0"/>
                <w:bCs/>
                <w:color w:val="auto"/>
                <w:sz w:val="21"/>
                <w:szCs w:val="21"/>
                <w:highlight w:val="none"/>
              </w:rPr>
              <w:t>尿）</w:t>
            </w:r>
          </w:p>
        </w:tc>
        <w:tc>
          <w:tcPr>
            <w:tcW w:w="721" w:type="dxa"/>
            <w:gridSpan w:val="2"/>
            <w:vMerge w:val="restart"/>
            <w:shd w:val="clear" w:color="auto" w:fill="auto"/>
            <w:noWrap w:val="0"/>
            <w:vAlign w:val="center"/>
          </w:tcPr>
          <w:p w14:paraId="40C6ED1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有机质</w:t>
            </w:r>
          </w:p>
        </w:tc>
        <w:tc>
          <w:tcPr>
            <w:tcW w:w="1189" w:type="dxa"/>
            <w:shd w:val="clear" w:color="auto" w:fill="auto"/>
            <w:noWrap w:val="0"/>
            <w:vAlign w:val="center"/>
          </w:tcPr>
          <w:p w14:paraId="0C12F9C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1910" w:type="dxa"/>
            <w:gridSpan w:val="2"/>
            <w:vMerge w:val="restart"/>
            <w:shd w:val="clear" w:color="auto" w:fill="auto"/>
            <w:noWrap w:val="0"/>
            <w:vAlign w:val="center"/>
          </w:tcPr>
          <w:p w14:paraId="4E3B7FA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拉运至固原富田有机肥有限公司生产肥料</w:t>
            </w:r>
          </w:p>
        </w:tc>
        <w:tc>
          <w:tcPr>
            <w:tcW w:w="951" w:type="dxa"/>
            <w:gridSpan w:val="2"/>
            <w:noWrap w:val="0"/>
            <w:vAlign w:val="center"/>
          </w:tcPr>
          <w:p w14:paraId="0FF2FF8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62</w:t>
            </w:r>
          </w:p>
        </w:tc>
        <w:tc>
          <w:tcPr>
            <w:tcW w:w="802" w:type="dxa"/>
            <w:gridSpan w:val="2"/>
            <w:shd w:val="clear" w:color="auto" w:fill="auto"/>
            <w:noWrap w:val="0"/>
            <w:vAlign w:val="center"/>
          </w:tcPr>
          <w:p w14:paraId="702CE9B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4D200AF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7CD8AE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6D2875C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2</w:t>
            </w:r>
          </w:p>
        </w:tc>
        <w:tc>
          <w:tcPr>
            <w:tcW w:w="806" w:type="dxa"/>
            <w:gridSpan w:val="2"/>
            <w:vMerge w:val="restart"/>
            <w:shd w:val="clear" w:color="auto" w:fill="auto"/>
            <w:noWrap w:val="0"/>
            <w:vAlign w:val="center"/>
          </w:tcPr>
          <w:p w14:paraId="4D2E18B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屠宰</w:t>
            </w:r>
            <w:r>
              <w:rPr>
                <w:rFonts w:hint="eastAsia" w:ascii="Times New Roman" w:hAnsi="Times New Roman" w:eastAsia="宋体" w:cs="Times New Roman"/>
                <w:b w:val="0"/>
                <w:bCs/>
                <w:color w:val="auto"/>
                <w:sz w:val="21"/>
                <w:szCs w:val="21"/>
                <w:highlight w:val="none"/>
                <w:lang w:val="en-US" w:eastAsia="zh-CN"/>
              </w:rPr>
              <w:t>加工车间</w:t>
            </w:r>
          </w:p>
        </w:tc>
        <w:tc>
          <w:tcPr>
            <w:tcW w:w="1237" w:type="dxa"/>
            <w:gridSpan w:val="2"/>
            <w:shd w:val="clear" w:color="auto" w:fill="auto"/>
            <w:noWrap w:val="0"/>
            <w:vAlign w:val="center"/>
          </w:tcPr>
          <w:p w14:paraId="2B78214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胃内容物</w:t>
            </w:r>
          </w:p>
        </w:tc>
        <w:tc>
          <w:tcPr>
            <w:tcW w:w="721" w:type="dxa"/>
            <w:gridSpan w:val="2"/>
            <w:vMerge w:val="continue"/>
            <w:noWrap w:val="0"/>
            <w:vAlign w:val="center"/>
          </w:tcPr>
          <w:p w14:paraId="18CF221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89" w:type="dxa"/>
            <w:shd w:val="clear" w:color="auto" w:fill="auto"/>
            <w:noWrap w:val="0"/>
            <w:vAlign w:val="center"/>
          </w:tcPr>
          <w:p w14:paraId="5F5AFE6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030-001-S82</w:t>
            </w:r>
          </w:p>
        </w:tc>
        <w:tc>
          <w:tcPr>
            <w:tcW w:w="1910" w:type="dxa"/>
            <w:gridSpan w:val="2"/>
            <w:vMerge w:val="continue"/>
            <w:noWrap w:val="0"/>
            <w:vAlign w:val="center"/>
          </w:tcPr>
          <w:p w14:paraId="6CE051B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951" w:type="dxa"/>
            <w:gridSpan w:val="2"/>
            <w:vMerge w:val="restart"/>
            <w:noWrap w:val="0"/>
            <w:vAlign w:val="center"/>
          </w:tcPr>
          <w:p w14:paraId="736DB5B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270</w:t>
            </w:r>
          </w:p>
        </w:tc>
        <w:tc>
          <w:tcPr>
            <w:tcW w:w="802" w:type="dxa"/>
            <w:gridSpan w:val="2"/>
            <w:shd w:val="clear" w:color="auto" w:fill="auto"/>
            <w:noWrap w:val="0"/>
            <w:vAlign w:val="center"/>
          </w:tcPr>
          <w:p w14:paraId="5AFF1CB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35323C2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3EB37A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2C98F16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806" w:type="dxa"/>
            <w:gridSpan w:val="2"/>
            <w:vMerge w:val="continue"/>
            <w:shd w:val="clear" w:color="auto" w:fill="auto"/>
            <w:noWrap w:val="0"/>
            <w:vAlign w:val="center"/>
          </w:tcPr>
          <w:p w14:paraId="2688F7F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78B243B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分割边角料</w:t>
            </w:r>
          </w:p>
        </w:tc>
        <w:tc>
          <w:tcPr>
            <w:tcW w:w="721" w:type="dxa"/>
            <w:gridSpan w:val="2"/>
            <w:noWrap w:val="0"/>
            <w:vAlign w:val="center"/>
          </w:tcPr>
          <w:p w14:paraId="1FEE6E2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6C6247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组织</w:t>
            </w:r>
          </w:p>
        </w:tc>
        <w:tc>
          <w:tcPr>
            <w:tcW w:w="1189" w:type="dxa"/>
            <w:shd w:val="clear" w:color="auto" w:fill="auto"/>
            <w:noWrap w:val="0"/>
            <w:vAlign w:val="center"/>
          </w:tcPr>
          <w:p w14:paraId="27E637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030-003-S82</w:t>
            </w:r>
          </w:p>
        </w:tc>
        <w:tc>
          <w:tcPr>
            <w:tcW w:w="1910" w:type="dxa"/>
            <w:gridSpan w:val="2"/>
            <w:vMerge w:val="continue"/>
            <w:noWrap w:val="0"/>
            <w:vAlign w:val="center"/>
          </w:tcPr>
          <w:p w14:paraId="0E17D6D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951" w:type="dxa"/>
            <w:gridSpan w:val="2"/>
            <w:vMerge w:val="continue"/>
            <w:noWrap w:val="0"/>
            <w:vAlign w:val="center"/>
          </w:tcPr>
          <w:p w14:paraId="4E0201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szCs w:val="21"/>
                <w:highlight w:val="none"/>
                <w:lang w:val="en-US" w:eastAsia="zh-CN"/>
              </w:rPr>
            </w:pPr>
          </w:p>
        </w:tc>
        <w:tc>
          <w:tcPr>
            <w:tcW w:w="802" w:type="dxa"/>
            <w:gridSpan w:val="2"/>
            <w:shd w:val="clear" w:color="auto" w:fill="auto"/>
            <w:noWrap w:val="0"/>
            <w:vAlign w:val="center"/>
          </w:tcPr>
          <w:p w14:paraId="08C36F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0DCD8CA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r w14:paraId="17E805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549EDC8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4</w:t>
            </w:r>
          </w:p>
        </w:tc>
        <w:tc>
          <w:tcPr>
            <w:tcW w:w="806" w:type="dxa"/>
            <w:gridSpan w:val="2"/>
            <w:vMerge w:val="continue"/>
            <w:noWrap w:val="0"/>
            <w:vAlign w:val="center"/>
          </w:tcPr>
          <w:p w14:paraId="59FEF4A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7BFE253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病变</w:t>
            </w:r>
            <w:r>
              <w:rPr>
                <w:rFonts w:hint="eastAsia" w:ascii="Times New Roman" w:hAnsi="Times New Roman" w:eastAsia="宋体" w:cs="Times New Roman"/>
                <w:b w:val="0"/>
                <w:bCs/>
                <w:color w:val="auto"/>
                <w:kern w:val="2"/>
                <w:sz w:val="21"/>
                <w:szCs w:val="21"/>
                <w:highlight w:val="none"/>
                <w:lang w:val="en-US" w:eastAsia="zh-CN" w:bidi="ar-SA"/>
              </w:rPr>
              <w:t>内脏</w:t>
            </w:r>
          </w:p>
        </w:tc>
        <w:tc>
          <w:tcPr>
            <w:tcW w:w="721" w:type="dxa"/>
            <w:gridSpan w:val="2"/>
            <w:vMerge w:val="restart"/>
            <w:shd w:val="clear" w:color="auto" w:fill="auto"/>
            <w:noWrap w:val="0"/>
            <w:vAlign w:val="center"/>
          </w:tcPr>
          <w:p w14:paraId="2BE1671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动物</w:t>
            </w:r>
          </w:p>
          <w:p w14:paraId="426C2A5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组织</w:t>
            </w:r>
          </w:p>
        </w:tc>
        <w:tc>
          <w:tcPr>
            <w:tcW w:w="1189" w:type="dxa"/>
            <w:shd w:val="clear" w:color="auto" w:fill="auto"/>
            <w:noWrap w:val="0"/>
            <w:vAlign w:val="center"/>
          </w:tcPr>
          <w:p w14:paraId="056FB6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HW01-841-003-01</w:t>
            </w:r>
          </w:p>
        </w:tc>
        <w:tc>
          <w:tcPr>
            <w:tcW w:w="1910" w:type="dxa"/>
            <w:gridSpan w:val="2"/>
            <w:vMerge w:val="restart"/>
            <w:noWrap w:val="0"/>
            <w:vAlign w:val="center"/>
          </w:tcPr>
          <w:p w14:paraId="331E629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暂存于危废贮存库冷柜中，定期</w:t>
            </w:r>
            <w:r>
              <w:rPr>
                <w:rFonts w:hint="default" w:ascii="Times New Roman" w:hAnsi="Times New Roman" w:eastAsia="宋体" w:cs="Times New Roman"/>
                <w:b w:val="0"/>
                <w:bCs/>
                <w:color w:val="auto"/>
                <w:sz w:val="21"/>
                <w:szCs w:val="21"/>
                <w:highlight w:val="none"/>
              </w:rPr>
              <w:t>拉运至原州区动物疾病预防控制中心（动物卫生监督）</w:t>
            </w:r>
            <w:r>
              <w:rPr>
                <w:rFonts w:hint="eastAsia" w:eastAsia="宋体" w:cs="Times New Roman"/>
                <w:b w:val="0"/>
                <w:bCs/>
                <w:color w:val="auto"/>
                <w:sz w:val="21"/>
                <w:szCs w:val="21"/>
                <w:highlight w:val="none"/>
                <w:lang w:val="en-US" w:eastAsia="zh-CN"/>
              </w:rPr>
              <w:t>指定地点进行</w:t>
            </w:r>
            <w:r>
              <w:rPr>
                <w:rFonts w:hint="default" w:ascii="Times New Roman" w:hAnsi="Times New Roman" w:eastAsia="宋体" w:cs="Times New Roman"/>
                <w:b w:val="0"/>
                <w:bCs/>
                <w:color w:val="auto"/>
                <w:sz w:val="21"/>
                <w:szCs w:val="21"/>
                <w:highlight w:val="none"/>
              </w:rPr>
              <w:t>无害化处置</w:t>
            </w:r>
          </w:p>
        </w:tc>
        <w:tc>
          <w:tcPr>
            <w:tcW w:w="951" w:type="dxa"/>
            <w:gridSpan w:val="2"/>
            <w:vMerge w:val="restart"/>
            <w:noWrap w:val="0"/>
            <w:vAlign w:val="center"/>
          </w:tcPr>
          <w:p w14:paraId="6CD0A30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118</w:t>
            </w:r>
          </w:p>
        </w:tc>
        <w:tc>
          <w:tcPr>
            <w:tcW w:w="802" w:type="dxa"/>
            <w:gridSpan w:val="2"/>
            <w:shd w:val="clear" w:color="auto" w:fill="auto"/>
            <w:noWrap w:val="0"/>
            <w:vAlign w:val="center"/>
          </w:tcPr>
          <w:p w14:paraId="4A088B7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0A0C742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0B35F4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4C106D4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kern w:val="2"/>
                <w:sz w:val="21"/>
                <w:szCs w:val="21"/>
                <w:highlight w:val="none"/>
                <w:lang w:val="en-US" w:eastAsia="zh-CN" w:bidi="ar-SA"/>
              </w:rPr>
              <w:t>5</w:t>
            </w:r>
          </w:p>
        </w:tc>
        <w:tc>
          <w:tcPr>
            <w:tcW w:w="806" w:type="dxa"/>
            <w:gridSpan w:val="2"/>
            <w:vMerge w:val="continue"/>
            <w:noWrap w:val="0"/>
            <w:vAlign w:val="center"/>
          </w:tcPr>
          <w:p w14:paraId="34CCD23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332F93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不合格</w:t>
            </w:r>
          </w:p>
          <w:p w14:paraId="27BB2CB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胴体</w:t>
            </w:r>
          </w:p>
        </w:tc>
        <w:tc>
          <w:tcPr>
            <w:tcW w:w="721" w:type="dxa"/>
            <w:gridSpan w:val="2"/>
            <w:vMerge w:val="continue"/>
            <w:noWrap w:val="0"/>
            <w:vAlign w:val="center"/>
          </w:tcPr>
          <w:p w14:paraId="334C2C6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89" w:type="dxa"/>
            <w:shd w:val="clear" w:color="auto" w:fill="auto"/>
            <w:noWrap w:val="0"/>
            <w:vAlign w:val="center"/>
          </w:tcPr>
          <w:p w14:paraId="5FF8D61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SW82-</w:t>
            </w:r>
            <w:r>
              <w:rPr>
                <w:rFonts w:hint="default" w:ascii="Times New Roman" w:hAnsi="Times New Roman" w:eastAsia="宋体" w:cs="Times New Roman"/>
                <w:b w:val="0"/>
                <w:bCs/>
                <w:color w:val="auto"/>
                <w:sz w:val="21"/>
                <w:szCs w:val="21"/>
                <w:highlight w:val="none"/>
              </w:rPr>
              <w:t>030-003-S82</w:t>
            </w:r>
          </w:p>
        </w:tc>
        <w:tc>
          <w:tcPr>
            <w:tcW w:w="1910" w:type="dxa"/>
            <w:gridSpan w:val="2"/>
            <w:vMerge w:val="continue"/>
            <w:noWrap w:val="0"/>
            <w:vAlign w:val="center"/>
          </w:tcPr>
          <w:p w14:paraId="459AE61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951" w:type="dxa"/>
            <w:gridSpan w:val="2"/>
            <w:vMerge w:val="continue"/>
            <w:noWrap w:val="0"/>
            <w:vAlign w:val="center"/>
          </w:tcPr>
          <w:p w14:paraId="79A3A98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02" w:type="dxa"/>
            <w:gridSpan w:val="2"/>
            <w:shd w:val="clear" w:color="auto" w:fill="auto"/>
            <w:noWrap w:val="0"/>
            <w:vAlign w:val="center"/>
          </w:tcPr>
          <w:p w14:paraId="639977A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5C7968F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247CC5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shd w:val="clear" w:color="auto" w:fill="auto"/>
            <w:noWrap w:val="0"/>
            <w:vAlign w:val="center"/>
          </w:tcPr>
          <w:p w14:paraId="4797162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6</w:t>
            </w:r>
          </w:p>
        </w:tc>
        <w:tc>
          <w:tcPr>
            <w:tcW w:w="806" w:type="dxa"/>
            <w:gridSpan w:val="2"/>
            <w:vMerge w:val="continue"/>
            <w:noWrap w:val="0"/>
            <w:vAlign w:val="center"/>
          </w:tcPr>
          <w:p w14:paraId="50AD455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237" w:type="dxa"/>
            <w:gridSpan w:val="2"/>
            <w:shd w:val="clear" w:color="auto" w:fill="auto"/>
            <w:noWrap w:val="0"/>
            <w:vAlign w:val="center"/>
          </w:tcPr>
          <w:p w14:paraId="14E19FF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eastAsia="宋体" w:cs="Times New Roman"/>
                <w:b w:val="0"/>
                <w:bCs/>
                <w:color w:val="auto"/>
                <w:sz w:val="21"/>
                <w:szCs w:val="21"/>
                <w:highlight w:val="none"/>
                <w:lang w:val="en-US" w:eastAsia="zh-CN"/>
              </w:rPr>
              <w:t>病死</w:t>
            </w:r>
            <w:r>
              <w:rPr>
                <w:rFonts w:hint="eastAsia" w:ascii="Times New Roman" w:hAnsi="Times New Roman" w:eastAsia="宋体" w:cs="Times New Roman"/>
                <w:b w:val="0"/>
                <w:bCs/>
                <w:color w:val="auto"/>
                <w:sz w:val="21"/>
                <w:szCs w:val="21"/>
                <w:highlight w:val="none"/>
                <w:lang w:val="en-US" w:eastAsia="zh-CN"/>
              </w:rPr>
              <w:t>羊</w:t>
            </w:r>
          </w:p>
        </w:tc>
        <w:tc>
          <w:tcPr>
            <w:tcW w:w="721" w:type="dxa"/>
            <w:gridSpan w:val="2"/>
            <w:vMerge w:val="continue"/>
            <w:noWrap w:val="0"/>
            <w:vAlign w:val="center"/>
          </w:tcPr>
          <w:p w14:paraId="04B35D1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89" w:type="dxa"/>
            <w:shd w:val="clear" w:color="auto" w:fill="auto"/>
            <w:noWrap w:val="0"/>
            <w:vAlign w:val="center"/>
          </w:tcPr>
          <w:p w14:paraId="3A7B3DC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HW01</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841-00</w:t>
            </w:r>
            <w:r>
              <w:rPr>
                <w:rFonts w:hint="eastAsia"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-01</w:t>
            </w:r>
          </w:p>
        </w:tc>
        <w:tc>
          <w:tcPr>
            <w:tcW w:w="1910" w:type="dxa"/>
            <w:gridSpan w:val="2"/>
            <w:vMerge w:val="continue"/>
            <w:shd w:val="clear" w:color="auto" w:fill="auto"/>
            <w:noWrap w:val="0"/>
            <w:vAlign w:val="center"/>
          </w:tcPr>
          <w:p w14:paraId="371C231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951" w:type="dxa"/>
            <w:gridSpan w:val="2"/>
            <w:vMerge w:val="continue"/>
            <w:noWrap w:val="0"/>
            <w:vAlign w:val="center"/>
          </w:tcPr>
          <w:p w14:paraId="0B8D29E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02" w:type="dxa"/>
            <w:gridSpan w:val="2"/>
            <w:shd w:val="clear" w:color="auto" w:fill="auto"/>
            <w:noWrap w:val="0"/>
            <w:vAlign w:val="center"/>
          </w:tcPr>
          <w:p w14:paraId="6867A8C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100</w:t>
            </w:r>
          </w:p>
        </w:tc>
        <w:tc>
          <w:tcPr>
            <w:tcW w:w="751" w:type="dxa"/>
            <w:shd w:val="clear" w:color="auto" w:fill="auto"/>
            <w:noWrap w:val="0"/>
            <w:vAlign w:val="center"/>
          </w:tcPr>
          <w:p w14:paraId="1A99B53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43A47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48" w:type="dxa"/>
            <w:gridSpan w:val="16"/>
            <w:noWrap w:val="0"/>
            <w:vAlign w:val="center"/>
          </w:tcPr>
          <w:p w14:paraId="5F75251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其他固废</w:t>
            </w:r>
          </w:p>
        </w:tc>
      </w:tr>
      <w:tr w14:paraId="1A9271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77E29AA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8</w:t>
            </w:r>
          </w:p>
        </w:tc>
        <w:tc>
          <w:tcPr>
            <w:tcW w:w="806" w:type="dxa"/>
            <w:gridSpan w:val="2"/>
            <w:noWrap w:val="0"/>
            <w:vAlign w:val="center"/>
          </w:tcPr>
          <w:p w14:paraId="70B32AD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员工</w:t>
            </w:r>
          </w:p>
          <w:p w14:paraId="70DA10B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w:t>
            </w:r>
          </w:p>
        </w:tc>
        <w:tc>
          <w:tcPr>
            <w:tcW w:w="1237" w:type="dxa"/>
            <w:gridSpan w:val="2"/>
            <w:noWrap w:val="0"/>
            <w:vAlign w:val="center"/>
          </w:tcPr>
          <w:p w14:paraId="78BD1D8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w:t>
            </w:r>
          </w:p>
        </w:tc>
        <w:tc>
          <w:tcPr>
            <w:tcW w:w="721" w:type="dxa"/>
            <w:gridSpan w:val="2"/>
            <w:noWrap w:val="0"/>
            <w:vAlign w:val="center"/>
          </w:tcPr>
          <w:p w14:paraId="6CBA5B6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89" w:type="dxa"/>
            <w:noWrap w:val="0"/>
            <w:vAlign w:val="center"/>
          </w:tcPr>
          <w:p w14:paraId="157F25C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SW64-</w:t>
            </w:r>
            <w:r>
              <w:rPr>
                <w:rFonts w:hint="default" w:ascii="Times New Roman" w:hAnsi="Times New Roman" w:eastAsia="宋体" w:cs="Times New Roman"/>
                <w:b w:val="0"/>
                <w:bCs/>
                <w:color w:val="auto"/>
                <w:sz w:val="21"/>
                <w:szCs w:val="21"/>
                <w:highlight w:val="none"/>
              </w:rPr>
              <w:t>900-099-S64</w:t>
            </w:r>
          </w:p>
        </w:tc>
        <w:tc>
          <w:tcPr>
            <w:tcW w:w="1910" w:type="dxa"/>
            <w:gridSpan w:val="2"/>
            <w:noWrap w:val="0"/>
            <w:vAlign w:val="center"/>
          </w:tcPr>
          <w:p w14:paraId="1473225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生活垃圾由环卫部门统一处置</w:t>
            </w:r>
          </w:p>
        </w:tc>
        <w:tc>
          <w:tcPr>
            <w:tcW w:w="951" w:type="dxa"/>
            <w:gridSpan w:val="2"/>
            <w:noWrap w:val="0"/>
            <w:vAlign w:val="center"/>
          </w:tcPr>
          <w:p w14:paraId="2FEF691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4.29</w:t>
            </w:r>
          </w:p>
        </w:tc>
        <w:tc>
          <w:tcPr>
            <w:tcW w:w="802" w:type="dxa"/>
            <w:gridSpan w:val="2"/>
            <w:noWrap w:val="0"/>
            <w:vAlign w:val="center"/>
          </w:tcPr>
          <w:p w14:paraId="2A592CB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751" w:type="dxa"/>
            <w:noWrap w:val="0"/>
            <w:vAlign w:val="center"/>
          </w:tcPr>
          <w:p w14:paraId="305565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2CDD8C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0D26D84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w:t>
            </w:r>
          </w:p>
        </w:tc>
        <w:tc>
          <w:tcPr>
            <w:tcW w:w="806" w:type="dxa"/>
            <w:gridSpan w:val="2"/>
            <w:noWrap w:val="0"/>
            <w:vAlign w:val="center"/>
          </w:tcPr>
          <w:p w14:paraId="6E48B9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环保设施</w:t>
            </w:r>
          </w:p>
        </w:tc>
        <w:tc>
          <w:tcPr>
            <w:tcW w:w="1237" w:type="dxa"/>
            <w:gridSpan w:val="2"/>
            <w:noWrap w:val="0"/>
            <w:vAlign w:val="center"/>
          </w:tcPr>
          <w:p w14:paraId="7640C42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废活性炭</w:t>
            </w:r>
          </w:p>
        </w:tc>
        <w:tc>
          <w:tcPr>
            <w:tcW w:w="721" w:type="dxa"/>
            <w:gridSpan w:val="2"/>
            <w:noWrap w:val="0"/>
            <w:vAlign w:val="center"/>
          </w:tcPr>
          <w:p w14:paraId="22633C1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1189" w:type="dxa"/>
            <w:noWrap w:val="0"/>
            <w:vAlign w:val="center"/>
          </w:tcPr>
          <w:p w14:paraId="1A2C36E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val="en-US" w:eastAsia="zh-CN"/>
              </w:rPr>
              <w:t>HW49</w:t>
            </w:r>
            <w:r>
              <w:rPr>
                <w:rFonts w:hint="eastAsia" w:ascii="Times New Roman" w:hAnsi="Times New Roman" w:eastAsia="宋体" w:cs="Times New Roman"/>
                <w:b w:val="0"/>
                <w:bCs/>
                <w:color w:val="auto"/>
                <w:sz w:val="21"/>
                <w:szCs w:val="21"/>
                <w:highlight w:val="none"/>
                <w:lang w:val="en-US" w:eastAsia="zh-CN"/>
              </w:rPr>
              <w:t>-900-039-49</w:t>
            </w:r>
          </w:p>
        </w:tc>
        <w:tc>
          <w:tcPr>
            <w:tcW w:w="1910" w:type="dxa"/>
            <w:gridSpan w:val="2"/>
            <w:noWrap w:val="0"/>
            <w:vAlign w:val="center"/>
          </w:tcPr>
          <w:p w14:paraId="330DC20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更换后</w:t>
            </w:r>
            <w:r>
              <w:rPr>
                <w:rFonts w:hint="default" w:ascii="Times New Roman" w:hAnsi="Times New Roman" w:eastAsia="宋体" w:cs="Times New Roman"/>
                <w:b w:val="0"/>
                <w:bCs/>
                <w:color w:val="auto"/>
                <w:sz w:val="21"/>
                <w:szCs w:val="21"/>
                <w:highlight w:val="none"/>
              </w:rPr>
              <w:t>交有资质的单位处置</w:t>
            </w:r>
          </w:p>
        </w:tc>
        <w:tc>
          <w:tcPr>
            <w:tcW w:w="951" w:type="dxa"/>
            <w:gridSpan w:val="2"/>
            <w:noWrap w:val="0"/>
            <w:vAlign w:val="center"/>
          </w:tcPr>
          <w:p w14:paraId="57512D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0.75</w:t>
            </w:r>
          </w:p>
        </w:tc>
        <w:tc>
          <w:tcPr>
            <w:tcW w:w="802" w:type="dxa"/>
            <w:gridSpan w:val="2"/>
            <w:noWrap w:val="0"/>
            <w:vAlign w:val="center"/>
          </w:tcPr>
          <w:p w14:paraId="3B5E97B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100</w:t>
            </w:r>
          </w:p>
        </w:tc>
        <w:tc>
          <w:tcPr>
            <w:tcW w:w="751" w:type="dxa"/>
            <w:noWrap w:val="0"/>
            <w:vAlign w:val="center"/>
          </w:tcPr>
          <w:p w14:paraId="150037E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r>
      <w:tr w14:paraId="0D5A19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69EF174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c>
          <w:tcPr>
            <w:tcW w:w="806" w:type="dxa"/>
            <w:gridSpan w:val="2"/>
            <w:noWrap w:val="0"/>
            <w:vAlign w:val="center"/>
          </w:tcPr>
          <w:p w14:paraId="5E5DF0D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污水处理站</w:t>
            </w:r>
          </w:p>
        </w:tc>
        <w:tc>
          <w:tcPr>
            <w:tcW w:w="1237" w:type="dxa"/>
            <w:gridSpan w:val="2"/>
            <w:noWrap w:val="0"/>
            <w:vAlign w:val="center"/>
          </w:tcPr>
          <w:p w14:paraId="640959A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污泥</w:t>
            </w:r>
          </w:p>
        </w:tc>
        <w:tc>
          <w:tcPr>
            <w:tcW w:w="721" w:type="dxa"/>
            <w:gridSpan w:val="2"/>
            <w:noWrap w:val="0"/>
            <w:vAlign w:val="center"/>
          </w:tcPr>
          <w:p w14:paraId="52CD2B0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89" w:type="dxa"/>
            <w:noWrap w:val="0"/>
            <w:vAlign w:val="center"/>
          </w:tcPr>
          <w:p w14:paraId="571191B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SW07-</w:t>
            </w:r>
            <w:r>
              <w:rPr>
                <w:rFonts w:hint="default" w:ascii="Times New Roman" w:hAnsi="Times New Roman" w:eastAsia="宋体" w:cs="Times New Roman"/>
                <w:b w:val="0"/>
                <w:bCs/>
                <w:color w:val="auto"/>
                <w:sz w:val="21"/>
                <w:szCs w:val="21"/>
                <w:highlight w:val="none"/>
              </w:rPr>
              <w:t>135-001-S07</w:t>
            </w:r>
          </w:p>
        </w:tc>
        <w:tc>
          <w:tcPr>
            <w:tcW w:w="1910" w:type="dxa"/>
            <w:gridSpan w:val="2"/>
            <w:noWrap w:val="0"/>
            <w:vAlign w:val="center"/>
          </w:tcPr>
          <w:p w14:paraId="120062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拉运至固原富田有机肥有限公司生产肥料</w:t>
            </w:r>
          </w:p>
        </w:tc>
        <w:tc>
          <w:tcPr>
            <w:tcW w:w="951" w:type="dxa"/>
            <w:gridSpan w:val="2"/>
            <w:noWrap w:val="0"/>
            <w:vAlign w:val="center"/>
          </w:tcPr>
          <w:p w14:paraId="33A5A58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15.65</w:t>
            </w:r>
          </w:p>
        </w:tc>
        <w:tc>
          <w:tcPr>
            <w:tcW w:w="802" w:type="dxa"/>
            <w:gridSpan w:val="2"/>
            <w:noWrap w:val="0"/>
            <w:vAlign w:val="center"/>
          </w:tcPr>
          <w:p w14:paraId="6E22691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751" w:type="dxa"/>
            <w:noWrap w:val="0"/>
            <w:vAlign w:val="center"/>
          </w:tcPr>
          <w:p w14:paraId="07B0372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r>
      <w:tr w14:paraId="40CFE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108C25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11</w:t>
            </w:r>
          </w:p>
        </w:tc>
        <w:tc>
          <w:tcPr>
            <w:tcW w:w="806" w:type="dxa"/>
            <w:gridSpan w:val="2"/>
            <w:noWrap w:val="0"/>
            <w:vAlign w:val="center"/>
          </w:tcPr>
          <w:p w14:paraId="4EEF4E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设备检修</w:t>
            </w:r>
          </w:p>
        </w:tc>
        <w:tc>
          <w:tcPr>
            <w:tcW w:w="1237" w:type="dxa"/>
            <w:gridSpan w:val="2"/>
            <w:noWrap w:val="0"/>
            <w:vAlign w:val="center"/>
          </w:tcPr>
          <w:p w14:paraId="1EB52F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废机油、废机油桶</w:t>
            </w:r>
          </w:p>
        </w:tc>
        <w:tc>
          <w:tcPr>
            <w:tcW w:w="721" w:type="dxa"/>
            <w:gridSpan w:val="2"/>
            <w:noWrap w:val="0"/>
            <w:vAlign w:val="center"/>
          </w:tcPr>
          <w:p w14:paraId="7E4AD13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1189" w:type="dxa"/>
            <w:noWrap w:val="0"/>
            <w:vAlign w:val="center"/>
          </w:tcPr>
          <w:p w14:paraId="0B06161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HW08-</w:t>
            </w:r>
            <w:r>
              <w:rPr>
                <w:rFonts w:hint="default" w:ascii="Times New Roman" w:hAnsi="Times New Roman" w:eastAsia="宋体" w:cs="Times New Roman"/>
                <w:b w:val="0"/>
                <w:bCs/>
                <w:color w:val="auto"/>
                <w:sz w:val="21"/>
                <w:szCs w:val="21"/>
                <w:highlight w:val="none"/>
              </w:rPr>
              <w:t>900-214-08</w:t>
            </w:r>
          </w:p>
        </w:tc>
        <w:tc>
          <w:tcPr>
            <w:tcW w:w="1910" w:type="dxa"/>
            <w:gridSpan w:val="2"/>
            <w:vMerge w:val="restart"/>
            <w:noWrap w:val="0"/>
            <w:vAlign w:val="center"/>
          </w:tcPr>
          <w:p w14:paraId="34C247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暂存于危废贮存库，定期</w:t>
            </w:r>
            <w:r>
              <w:rPr>
                <w:rFonts w:hint="default" w:ascii="Times New Roman" w:hAnsi="Times New Roman" w:eastAsia="宋体" w:cs="Times New Roman"/>
                <w:b w:val="0"/>
                <w:bCs/>
                <w:color w:val="auto"/>
                <w:sz w:val="21"/>
                <w:szCs w:val="21"/>
                <w:highlight w:val="none"/>
              </w:rPr>
              <w:t>交有资质的单位处置</w:t>
            </w:r>
          </w:p>
        </w:tc>
        <w:tc>
          <w:tcPr>
            <w:tcW w:w="951" w:type="dxa"/>
            <w:gridSpan w:val="2"/>
            <w:noWrap w:val="0"/>
            <w:vAlign w:val="center"/>
          </w:tcPr>
          <w:p w14:paraId="5C36DAA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0.642</w:t>
            </w:r>
          </w:p>
        </w:tc>
        <w:tc>
          <w:tcPr>
            <w:tcW w:w="802" w:type="dxa"/>
            <w:gridSpan w:val="2"/>
            <w:noWrap w:val="0"/>
            <w:vAlign w:val="center"/>
          </w:tcPr>
          <w:p w14:paraId="621106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100</w:t>
            </w:r>
          </w:p>
        </w:tc>
        <w:tc>
          <w:tcPr>
            <w:tcW w:w="751" w:type="dxa"/>
            <w:noWrap w:val="0"/>
            <w:vAlign w:val="center"/>
          </w:tcPr>
          <w:p w14:paraId="45E6B68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r w14:paraId="467162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81" w:type="dxa"/>
            <w:gridSpan w:val="2"/>
            <w:noWrap w:val="0"/>
            <w:vAlign w:val="center"/>
          </w:tcPr>
          <w:p w14:paraId="446FAD4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12</w:t>
            </w:r>
          </w:p>
        </w:tc>
        <w:tc>
          <w:tcPr>
            <w:tcW w:w="806" w:type="dxa"/>
            <w:gridSpan w:val="2"/>
            <w:noWrap w:val="0"/>
            <w:vAlign w:val="center"/>
          </w:tcPr>
          <w:p w14:paraId="63643F0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检疫</w:t>
            </w:r>
          </w:p>
        </w:tc>
        <w:tc>
          <w:tcPr>
            <w:tcW w:w="1237" w:type="dxa"/>
            <w:gridSpan w:val="2"/>
            <w:noWrap w:val="0"/>
            <w:vAlign w:val="center"/>
          </w:tcPr>
          <w:p w14:paraId="4A9D874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检疫废物</w:t>
            </w:r>
          </w:p>
        </w:tc>
        <w:tc>
          <w:tcPr>
            <w:tcW w:w="721" w:type="dxa"/>
            <w:gridSpan w:val="2"/>
            <w:noWrap w:val="0"/>
            <w:vAlign w:val="center"/>
          </w:tcPr>
          <w:p w14:paraId="1CCFCE8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1189" w:type="dxa"/>
            <w:noWrap w:val="0"/>
            <w:vAlign w:val="center"/>
          </w:tcPr>
          <w:p w14:paraId="39FB68E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HW</w:t>
            </w:r>
            <w:r>
              <w:rPr>
                <w:rFonts w:hint="eastAsia" w:ascii="Times New Roman" w:hAnsi="Times New Roman" w:eastAsia="宋体" w:cs="Times New Roman"/>
                <w:color w:val="auto"/>
                <w:sz w:val="21"/>
                <w:szCs w:val="21"/>
                <w:lang w:val="en-US" w:eastAsia="zh-CN"/>
              </w:rPr>
              <w:t>01-841-002-01</w:t>
            </w:r>
          </w:p>
        </w:tc>
        <w:tc>
          <w:tcPr>
            <w:tcW w:w="1910" w:type="dxa"/>
            <w:gridSpan w:val="2"/>
            <w:vMerge w:val="continue"/>
            <w:noWrap w:val="0"/>
            <w:vAlign w:val="center"/>
          </w:tcPr>
          <w:p w14:paraId="355820A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951" w:type="dxa"/>
            <w:gridSpan w:val="2"/>
            <w:noWrap w:val="0"/>
            <w:vAlign w:val="center"/>
          </w:tcPr>
          <w:p w14:paraId="691BE8B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0.5</w:t>
            </w:r>
          </w:p>
        </w:tc>
        <w:tc>
          <w:tcPr>
            <w:tcW w:w="802" w:type="dxa"/>
            <w:gridSpan w:val="2"/>
            <w:noWrap w:val="0"/>
            <w:vAlign w:val="center"/>
          </w:tcPr>
          <w:p w14:paraId="634AD3A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100</w:t>
            </w:r>
          </w:p>
        </w:tc>
        <w:tc>
          <w:tcPr>
            <w:tcW w:w="751" w:type="dxa"/>
            <w:noWrap w:val="0"/>
            <w:vAlign w:val="center"/>
          </w:tcPr>
          <w:p w14:paraId="7D96F59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w:t>
            </w:r>
          </w:p>
        </w:tc>
      </w:tr>
    </w:tbl>
    <w:p w14:paraId="0C145FEC">
      <w:pPr>
        <w:pStyle w:val="3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heme="minorBidi"/>
          <w:color w:val="auto"/>
          <w:kern w:val="2"/>
          <w:sz w:val="24"/>
          <w:szCs w:val="24"/>
          <w:lang w:val="en-US" w:eastAsia="zh-CN" w:bidi="ar-SA"/>
        </w:rPr>
      </w:pPr>
    </w:p>
    <w:p w14:paraId="60FF9DD8">
      <w:pPr>
        <w:pStyle w:val="3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heme="minorBidi"/>
          <w:color w:val="auto"/>
          <w:kern w:val="2"/>
          <w:sz w:val="24"/>
          <w:szCs w:val="24"/>
          <w:lang w:val="en-US" w:eastAsia="zh-CN" w:bidi="ar-SA"/>
        </w:rPr>
      </w:pPr>
    </w:p>
    <w:p w14:paraId="58F83E93">
      <w:pPr>
        <w:pStyle w:val="3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_GB2312" w:cstheme="minorBidi"/>
          <w:color w:val="auto"/>
          <w:kern w:val="2"/>
          <w:sz w:val="24"/>
          <w:szCs w:val="24"/>
          <w:lang w:val="en-US" w:eastAsia="zh-CN" w:bidi="ar-SA"/>
        </w:rPr>
        <w:sectPr>
          <w:headerReference r:id="rId33"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1DEE8D2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0"/>
        <w:rPr>
          <w:rFonts w:hint="default" w:ascii="Times New Roman" w:hAnsi="Times New Roman" w:eastAsia="黑体" w:cs="Times New Roman"/>
          <w:b/>
          <w:bCs/>
          <w:color w:val="auto"/>
          <w:kern w:val="0"/>
          <w:sz w:val="28"/>
          <w:szCs w:val="28"/>
          <w:highlight w:val="none"/>
          <w:lang w:val="en-US" w:eastAsia="zh-CN" w:bidi="ar-SA"/>
        </w:rPr>
      </w:pPr>
      <w:bookmarkStart w:id="678" w:name="_Toc8021"/>
      <w:bookmarkStart w:id="679" w:name="_Toc28845"/>
      <w:bookmarkStart w:id="680" w:name="_Toc29646"/>
      <w:bookmarkStart w:id="681" w:name="_Toc22954"/>
      <w:bookmarkStart w:id="682" w:name="_Toc7978"/>
      <w:bookmarkStart w:id="683" w:name="_Toc21118"/>
      <w:bookmarkStart w:id="684" w:name="_Toc3929"/>
      <w:bookmarkStart w:id="685" w:name="_Toc18891"/>
      <w:bookmarkStart w:id="686" w:name="_Toc786"/>
      <w:r>
        <w:rPr>
          <w:rFonts w:hint="default" w:ascii="Times New Roman" w:hAnsi="Times New Roman" w:eastAsia="黑体" w:cs="Times New Roman"/>
          <w:b/>
          <w:bCs/>
          <w:color w:val="auto"/>
          <w:kern w:val="0"/>
          <w:sz w:val="28"/>
          <w:szCs w:val="28"/>
          <w:highlight w:val="none"/>
          <w:lang w:val="en-US" w:eastAsia="zh-CN" w:bidi="ar-SA"/>
        </w:rPr>
        <w:t>9相关产业政策符合性分析</w:t>
      </w:r>
      <w:bookmarkEnd w:id="678"/>
      <w:bookmarkEnd w:id="679"/>
      <w:bookmarkEnd w:id="680"/>
      <w:bookmarkEnd w:id="681"/>
      <w:bookmarkEnd w:id="682"/>
      <w:bookmarkEnd w:id="683"/>
      <w:bookmarkEnd w:id="684"/>
      <w:bookmarkEnd w:id="685"/>
      <w:bookmarkEnd w:id="686"/>
    </w:p>
    <w:p w14:paraId="74704DA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687" w:name="_Toc21572"/>
      <w:bookmarkStart w:id="688" w:name="_Toc28384"/>
      <w:bookmarkStart w:id="689" w:name="_Toc6881"/>
      <w:bookmarkStart w:id="690" w:name="_Toc5467"/>
      <w:bookmarkStart w:id="691" w:name="_Toc7132"/>
      <w:bookmarkStart w:id="692" w:name="_Toc19603"/>
      <w:bookmarkStart w:id="693" w:name="_Toc26202"/>
      <w:r>
        <w:rPr>
          <w:rFonts w:hint="default" w:ascii="Times New Roman" w:hAnsi="Times New Roman" w:eastAsia="黑体" w:cs="Times New Roman"/>
          <w:b/>
          <w:color w:val="auto"/>
          <w:sz w:val="28"/>
          <w:szCs w:val="28"/>
          <w:highlight w:val="none"/>
          <w:lang w:val="en-US" w:eastAsia="zh-CN"/>
        </w:rPr>
        <w:t>9.1主体功能区划符合性分析</w:t>
      </w:r>
      <w:bookmarkEnd w:id="687"/>
      <w:bookmarkEnd w:id="688"/>
      <w:bookmarkEnd w:id="689"/>
      <w:bookmarkEnd w:id="690"/>
      <w:bookmarkEnd w:id="691"/>
      <w:bookmarkEnd w:id="692"/>
      <w:bookmarkEnd w:id="693"/>
    </w:p>
    <w:p w14:paraId="4109D1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依据《自治区人民政府关于印发宁夏回族自治区主体功能区规划的通知》（宁政发〔2014〕53号），自治区内主要功能区划分为四类：重点开发区域、限制开发区域（农产品主产区）、限制开发区域（重点生态功能区）以及禁止开发区域。</w:t>
      </w:r>
    </w:p>
    <w:p w14:paraId="730F15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本项目选定的地点位于宁夏回族自治区固原市固原经济开发区轻工产业园</w:t>
      </w:r>
      <w:r>
        <w:rPr>
          <w:rFonts w:hint="eastAsia" w:cs="Times New Roman"/>
          <w:color w:val="auto"/>
          <w:kern w:val="2"/>
          <w:sz w:val="24"/>
          <w:szCs w:val="24"/>
          <w:lang w:val="en-US" w:eastAsia="zh-CN" w:bidi="ar-SA"/>
        </w:rPr>
        <w:t>（中河乡）</w:t>
      </w:r>
      <w:r>
        <w:rPr>
          <w:rFonts w:hint="eastAsia"/>
          <w:color w:val="auto"/>
          <w:lang w:val="en-US" w:eastAsia="zh-CN"/>
        </w:rPr>
        <w:t>，属于省级重点开发区域。项目与宁夏主体功能区划图的位置关系详见图9.1-1。</w:t>
      </w:r>
    </w:p>
    <w:p w14:paraId="6573EE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宁夏重点开发区域包括国家级重点开发区域和自治区级重点开发区域，国家级重点开发区域为沿黄经济区（含宁东能源化工基地），自治区级重点开发区域为固原市原州区。固原市原州区位于宁夏南部，是宁夏南部区域性中心城市，是少数民族集聚区，也是六盘山片区扶贫开发的重点地区，该区域功能定位为：六盘山片区区域扶贫开发的核心区，全国旅游扶贫发展试验区，绿色农产品生产加工贸易基地，劳务输出培训基地，区域性物流集散基地和商贸中心。</w:t>
      </w:r>
    </w:p>
    <w:p w14:paraId="6746CC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本项目选定的地点位于宁夏回族自治区固原市固原经济开发区轻工产业园，计划建设牛羊肉屠宰加工项目。该项目属于绿色农产品生产加工范畴，与固原市原州区作为重点开发区域的功能定位相契合。</w:t>
      </w:r>
    </w:p>
    <w:p w14:paraId="3A736C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综上所述本项目的建设符合宁夏回族自治区主体功能区划要求。</w:t>
      </w:r>
    </w:p>
    <w:p w14:paraId="5252F1C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694" w:name="_Toc13421"/>
      <w:bookmarkStart w:id="695" w:name="_Toc4878"/>
      <w:bookmarkStart w:id="696" w:name="_Toc26034"/>
      <w:bookmarkStart w:id="697" w:name="_Toc10501"/>
      <w:bookmarkStart w:id="698" w:name="_Toc30808"/>
      <w:bookmarkStart w:id="699" w:name="_Toc10557"/>
      <w:bookmarkStart w:id="700" w:name="_Toc31533"/>
      <w:r>
        <w:rPr>
          <w:rFonts w:hint="default" w:ascii="Times New Roman" w:hAnsi="Times New Roman" w:eastAsia="黑体" w:cs="Times New Roman"/>
          <w:b/>
          <w:color w:val="auto"/>
          <w:sz w:val="28"/>
          <w:szCs w:val="28"/>
          <w:highlight w:val="none"/>
          <w:lang w:val="en-US" w:eastAsia="zh-CN"/>
        </w:rPr>
        <w:t>9.2项目与产业政策的符合性分析</w:t>
      </w:r>
      <w:bookmarkEnd w:id="694"/>
      <w:bookmarkEnd w:id="695"/>
      <w:bookmarkEnd w:id="696"/>
      <w:bookmarkEnd w:id="697"/>
      <w:bookmarkEnd w:id="698"/>
      <w:bookmarkEnd w:id="699"/>
      <w:bookmarkEnd w:id="700"/>
    </w:p>
    <w:p w14:paraId="44E8CA69">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黑体" w:cs="Times New Roman"/>
          <w:b/>
          <w:bCs/>
          <w:color w:val="auto"/>
          <w:kern w:val="2"/>
          <w:sz w:val="28"/>
          <w:szCs w:val="32"/>
          <w:highlight w:val="none"/>
          <w:lang w:val="en-US" w:eastAsia="zh-CN"/>
        </w:rPr>
      </w:pPr>
      <w:r>
        <w:rPr>
          <w:rFonts w:hint="default" w:ascii="Times New Roman" w:hAnsi="Times New Roman" w:eastAsia="黑体" w:cs="Times New Roman"/>
          <w:b/>
          <w:bCs/>
          <w:color w:val="auto"/>
          <w:kern w:val="2"/>
          <w:sz w:val="28"/>
          <w:szCs w:val="32"/>
          <w:highlight w:val="none"/>
        </w:rPr>
        <w:t>9.2.1</w:t>
      </w:r>
      <w:r>
        <w:rPr>
          <w:rFonts w:hint="default" w:ascii="Times New Roman" w:hAnsi="Times New Roman" w:eastAsia="黑体" w:cs="Times New Roman"/>
          <w:b/>
          <w:bCs/>
          <w:color w:val="auto"/>
          <w:kern w:val="2"/>
          <w:sz w:val="28"/>
          <w:szCs w:val="32"/>
          <w:highlight w:val="none"/>
          <w:lang w:val="zh-CN"/>
        </w:rPr>
        <w:t>与《产业结构调整指导目录（20</w:t>
      </w:r>
      <w:r>
        <w:rPr>
          <w:rFonts w:hint="eastAsia" w:ascii="Times New Roman" w:hAnsi="Times New Roman" w:eastAsia="黑体" w:cs="Times New Roman"/>
          <w:b/>
          <w:bCs/>
          <w:color w:val="auto"/>
          <w:kern w:val="2"/>
          <w:sz w:val="28"/>
          <w:szCs w:val="32"/>
          <w:highlight w:val="none"/>
          <w:lang w:val="en-US" w:eastAsia="zh-CN"/>
        </w:rPr>
        <w:t>24</w:t>
      </w:r>
      <w:r>
        <w:rPr>
          <w:rFonts w:hint="default" w:ascii="Times New Roman" w:hAnsi="Times New Roman" w:eastAsia="黑体" w:cs="Times New Roman"/>
          <w:b/>
          <w:bCs/>
          <w:color w:val="auto"/>
          <w:kern w:val="2"/>
          <w:sz w:val="28"/>
          <w:szCs w:val="32"/>
          <w:highlight w:val="none"/>
          <w:lang w:val="zh-CN"/>
        </w:rPr>
        <w:t>年本）》的符合性分析</w:t>
      </w:r>
    </w:p>
    <w:p w14:paraId="7453C7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根据中华人民共和国国家发展和改革委员会第7号令《产业结构调整指导目录（2024年本）》，本项目不属于“鼓励类”“限制类”和“淘汰类”，因此，本项目属于允许类，符合国家现行的产业政策。</w:t>
      </w:r>
    </w:p>
    <w:p w14:paraId="3286E6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项目于</w:t>
      </w:r>
      <w:r>
        <w:rPr>
          <w:rFonts w:hint="eastAsia"/>
        </w:rPr>
        <w:t>202</w:t>
      </w:r>
      <w:r>
        <w:rPr>
          <w:rFonts w:hint="eastAsia"/>
          <w:lang w:val="en-US" w:eastAsia="zh-CN"/>
        </w:rPr>
        <w:t>6</w:t>
      </w:r>
      <w:r>
        <w:rPr>
          <w:rFonts w:hint="eastAsia"/>
        </w:rPr>
        <w:t>年</w:t>
      </w:r>
      <w:r>
        <w:rPr>
          <w:rFonts w:hint="eastAsia"/>
          <w:lang w:val="en-US" w:eastAsia="zh-CN"/>
        </w:rPr>
        <w:t>4</w:t>
      </w:r>
      <w:r>
        <w:rPr>
          <w:rFonts w:hint="eastAsia"/>
        </w:rPr>
        <w:t>月</w:t>
      </w:r>
      <w:r>
        <w:rPr>
          <w:rFonts w:hint="eastAsia"/>
          <w:lang w:val="en-US" w:eastAsia="zh-CN"/>
        </w:rPr>
        <w:t>2</w:t>
      </w:r>
      <w:r>
        <w:rPr>
          <w:rFonts w:hint="eastAsia"/>
        </w:rPr>
        <w:t>日</w:t>
      </w:r>
      <w:r>
        <w:rPr>
          <w:rFonts w:hint="eastAsia"/>
          <w:color w:val="auto"/>
          <w:lang w:val="en-US" w:eastAsia="zh-CN"/>
        </w:rPr>
        <w:t>取得宁夏回族自治区企业投资项目备案证（项目代码：</w:t>
      </w:r>
      <w:r>
        <w:rPr>
          <w:rFonts w:hint="eastAsia"/>
        </w:rPr>
        <w:t>2507-640940-04-01-416427</w:t>
      </w:r>
      <w:r>
        <w:rPr>
          <w:rFonts w:hint="eastAsia"/>
          <w:color w:val="auto"/>
          <w:lang w:val="en-US" w:eastAsia="zh-CN"/>
        </w:rPr>
        <w:t>），对该项目予以备案，同意项目建设。</w:t>
      </w:r>
    </w:p>
    <w:p w14:paraId="11DF4DA6">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9.2.2</w:t>
      </w:r>
      <w:r>
        <w:rPr>
          <w:rFonts w:hint="eastAsia" w:ascii="Times New Roman" w:hAnsi="Times New Roman" w:eastAsia="黑体" w:cs="Times New Roman"/>
          <w:b/>
          <w:bCs/>
          <w:color w:val="auto"/>
          <w:kern w:val="2"/>
          <w:sz w:val="28"/>
          <w:szCs w:val="32"/>
          <w:highlight w:val="none"/>
        </w:rPr>
        <w:t>与《固原市产业发展指导目录</w:t>
      </w:r>
      <w:r>
        <w:rPr>
          <w:rFonts w:hint="eastAsia" w:ascii="Times New Roman" w:hAnsi="Times New Roman" w:eastAsia="黑体" w:cs="Times New Roman"/>
          <w:b/>
          <w:bCs/>
          <w:color w:val="auto"/>
          <w:kern w:val="2"/>
          <w:sz w:val="28"/>
          <w:szCs w:val="32"/>
          <w:highlight w:val="none"/>
          <w:lang w:eastAsia="zh-CN"/>
        </w:rPr>
        <w:t>（</w:t>
      </w:r>
      <w:r>
        <w:rPr>
          <w:rFonts w:hint="default" w:ascii="Times New Roman" w:hAnsi="Times New Roman" w:eastAsia="黑体" w:cs="Times New Roman"/>
          <w:b/>
          <w:bCs/>
          <w:color w:val="auto"/>
          <w:kern w:val="2"/>
          <w:sz w:val="28"/>
          <w:szCs w:val="32"/>
          <w:highlight w:val="none"/>
        </w:rPr>
        <w:t>2021</w:t>
      </w:r>
      <w:r>
        <w:rPr>
          <w:rFonts w:hint="eastAsia" w:ascii="Times New Roman" w:hAnsi="Times New Roman" w:eastAsia="黑体" w:cs="Times New Roman"/>
          <w:b/>
          <w:bCs/>
          <w:color w:val="auto"/>
          <w:kern w:val="2"/>
          <w:sz w:val="28"/>
          <w:szCs w:val="32"/>
          <w:highlight w:val="none"/>
        </w:rPr>
        <w:t>年本</w:t>
      </w:r>
      <w:r>
        <w:rPr>
          <w:rFonts w:hint="eastAsia" w:ascii="Times New Roman" w:hAnsi="Times New Roman" w:eastAsia="黑体" w:cs="Times New Roman"/>
          <w:b/>
          <w:bCs/>
          <w:color w:val="auto"/>
          <w:kern w:val="2"/>
          <w:sz w:val="28"/>
          <w:szCs w:val="32"/>
          <w:highlight w:val="none"/>
          <w:lang w:eastAsia="zh-CN"/>
        </w:rPr>
        <w:t>）</w:t>
      </w:r>
      <w:r>
        <w:rPr>
          <w:rFonts w:hint="eastAsia" w:ascii="Times New Roman" w:hAnsi="Times New Roman" w:eastAsia="黑体" w:cs="Times New Roman"/>
          <w:b/>
          <w:bCs/>
          <w:color w:val="auto"/>
          <w:kern w:val="2"/>
          <w:sz w:val="28"/>
          <w:szCs w:val="32"/>
          <w:highlight w:val="none"/>
        </w:rPr>
        <w:t>》符合性分析</w:t>
      </w:r>
    </w:p>
    <w:p w14:paraId="5E4ED2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根据《固原市人民政府办公室关于印发&lt;固原市产业发展指导目录（2021年本）&gt;的通知》（固政办规发〔2021〕5号），本项目属于“第一类 重点发展类”“一、特色农业”“2.优质肉牛肉羊、马铃薯、冷凉蔬菜、小杂粮、中药材、中蜂及蜂产品等地方特色优势农产品生产及深加工”。</w:t>
      </w:r>
    </w:p>
    <w:p w14:paraId="2F03D0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本项目建设牛羊肉屠宰加工生产线，年屠宰牛10000头，屠宰羊15万只。因此，本项目建设符合地方产业政策。</w:t>
      </w:r>
    </w:p>
    <w:p w14:paraId="2DF8A55D">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bCs/>
          <w:color w:val="auto"/>
          <w:kern w:val="2"/>
          <w:sz w:val="28"/>
          <w:szCs w:val="32"/>
          <w:highlight w:val="none"/>
          <w:lang w:val="zh-CN" w:eastAsia="zh-CN"/>
        </w:rPr>
      </w:pPr>
      <w:r>
        <w:rPr>
          <w:rFonts w:hint="default" w:ascii="Times New Roman" w:hAnsi="Times New Roman" w:eastAsia="黑体" w:cs="Times New Roman"/>
          <w:b/>
          <w:bCs/>
          <w:color w:val="auto"/>
          <w:kern w:val="2"/>
          <w:sz w:val="28"/>
          <w:szCs w:val="32"/>
          <w:highlight w:val="none"/>
          <w:lang w:val="en-US" w:eastAsia="zh-CN"/>
        </w:rPr>
        <w:t>9.2.</w:t>
      </w:r>
      <w:r>
        <w:rPr>
          <w:rFonts w:hint="eastAsia" w:ascii="Times New Roman" w:hAnsi="Times New Roman" w:eastAsia="黑体" w:cs="Times New Roman"/>
          <w:b/>
          <w:bCs/>
          <w:color w:val="auto"/>
          <w:kern w:val="2"/>
          <w:sz w:val="28"/>
          <w:szCs w:val="32"/>
          <w:highlight w:val="none"/>
          <w:lang w:val="en-US" w:eastAsia="zh-CN"/>
        </w:rPr>
        <w:t>3</w:t>
      </w:r>
      <w:r>
        <w:rPr>
          <w:rFonts w:hint="default" w:ascii="Times New Roman" w:hAnsi="Times New Roman" w:eastAsia="黑体" w:cs="Times New Roman"/>
          <w:b/>
          <w:bCs/>
          <w:color w:val="auto"/>
          <w:kern w:val="2"/>
          <w:sz w:val="28"/>
          <w:szCs w:val="32"/>
          <w:highlight w:val="none"/>
          <w:lang w:val="zh-CN" w:eastAsia="zh-CN"/>
        </w:rPr>
        <w:t>与《宁夏回族自治区人民政府关于加快产业转型升级促进现代农业发展的意见》的符合性分析</w:t>
      </w:r>
    </w:p>
    <w:p w14:paraId="45F4AE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宁夏回族自治区人民政府，宁政发〔2014〕43号《宁夏回族自治区人民政府关于加快产业转型升级促进现代农业发展的意见》：“以园艺产品、畜产品、水产品等为重点，支持集中建设一批园艺作物标准园、畜禽水产养殖示范场，全面推行标准化生产。做好蔬菜、牛肉等生产基地与香港市场供应和质量标准对接，进一步扩大优质农产品外销。”</w:t>
      </w:r>
    </w:p>
    <w:p w14:paraId="323A39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本项目为牛羊屠宰加工项目，产品属畜产品，符合《宁夏回族自治区人民政府关于加快产业转型升级促进现代农业发展的意见》的规定。</w:t>
      </w:r>
    </w:p>
    <w:p w14:paraId="6CFECBA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701" w:name="_Toc31248"/>
      <w:bookmarkStart w:id="702" w:name="_Toc1140"/>
      <w:bookmarkStart w:id="703" w:name="_Toc20520"/>
      <w:bookmarkStart w:id="704" w:name="_Toc10510"/>
      <w:bookmarkStart w:id="705" w:name="_Toc13681"/>
      <w:bookmarkStart w:id="706" w:name="_Toc12527"/>
      <w:bookmarkStart w:id="707" w:name="_Toc19993"/>
      <w:bookmarkStart w:id="708" w:name="_Toc8479"/>
      <w:bookmarkStart w:id="709" w:name="_Toc20526"/>
      <w:r>
        <w:rPr>
          <w:rFonts w:hint="default" w:ascii="Times New Roman" w:hAnsi="Times New Roman" w:eastAsia="黑体" w:cs="Times New Roman"/>
          <w:b/>
          <w:color w:val="auto"/>
          <w:sz w:val="28"/>
          <w:szCs w:val="28"/>
          <w:highlight w:val="none"/>
          <w:lang w:val="en-US" w:eastAsia="zh-CN"/>
        </w:rPr>
        <w:t>9.3相关规划符合性分析</w:t>
      </w:r>
      <w:bookmarkEnd w:id="701"/>
      <w:bookmarkEnd w:id="702"/>
      <w:bookmarkEnd w:id="703"/>
      <w:bookmarkEnd w:id="704"/>
      <w:bookmarkEnd w:id="705"/>
      <w:bookmarkEnd w:id="706"/>
      <w:bookmarkEnd w:id="707"/>
      <w:bookmarkEnd w:id="708"/>
      <w:bookmarkEnd w:id="709"/>
    </w:p>
    <w:p w14:paraId="4225681E">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9.3.1项目与《宁夏固原经济开发区“一区三园”总体规划修编（2022-2035年）》符合性分析</w:t>
      </w:r>
    </w:p>
    <w:p w14:paraId="267C045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val="en-US" w:eastAsia="zh-CN"/>
        </w:rPr>
        <w:t>根据《宁夏固原经济开发区“一区三园”总体规划修编（2022-2035年）》中提出的要求，将宁夏固原经济开发区分为三大产业园，分别为新材料产业园、轻工产业园及清水河产业园。</w:t>
      </w:r>
    </w:p>
    <w:p w14:paraId="3C621B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仿宋_GB2312"/>
          <w:color w:val="auto"/>
          <w:lang w:val="en-US" w:eastAsia="zh-CN"/>
        </w:rPr>
      </w:pPr>
      <w:r>
        <w:rPr>
          <w:rFonts w:hint="eastAsia"/>
          <w:color w:val="auto"/>
          <w:lang w:val="en-US" w:eastAsia="zh-CN"/>
        </w:rPr>
        <w:t>本项目位于</w:t>
      </w:r>
      <w:r>
        <w:rPr>
          <w:rFonts w:hint="eastAsia" w:ascii="Times New Roman" w:hAnsi="Times New Roman"/>
          <w:color w:val="auto"/>
        </w:rPr>
        <w:t>固原经济开发区轻工产业园</w:t>
      </w:r>
      <w:r>
        <w:rPr>
          <w:rFonts w:hint="eastAsia" w:cs="Times New Roman"/>
          <w:color w:val="auto"/>
          <w:kern w:val="2"/>
          <w:sz w:val="24"/>
          <w:szCs w:val="24"/>
          <w:lang w:val="en-US" w:eastAsia="zh-CN" w:bidi="ar-SA"/>
        </w:rPr>
        <w:t>（中河乡）</w:t>
      </w:r>
      <w:r>
        <w:rPr>
          <w:rFonts w:hint="eastAsia" w:ascii="Times New Roman" w:hAnsi="Times New Roman"/>
          <w:color w:val="auto"/>
          <w:lang w:eastAsia="zh-CN"/>
        </w:rPr>
        <w:t>。轻工产业园含长城梁地块，面积7.445km</w:t>
      </w:r>
      <w:r>
        <w:rPr>
          <w:rFonts w:hint="eastAsia" w:ascii="Times New Roman" w:hAnsi="Times New Roman"/>
          <w:color w:val="auto"/>
          <w:vertAlign w:val="superscript"/>
          <w:lang w:eastAsia="zh-CN"/>
        </w:rPr>
        <w:t>2</w:t>
      </w:r>
      <w:r>
        <w:rPr>
          <w:rFonts w:hint="eastAsia" w:ascii="Times New Roman" w:hAnsi="Times New Roman"/>
          <w:color w:val="auto"/>
          <w:lang w:eastAsia="zh-CN"/>
        </w:rPr>
        <w:t>。其中轻工产业园地块东至S101，西至中河乡中河村，南至中河乡油坊村，北至中河乡丰堡村；长城梁地块东至官厅镇明庄村，西至G70福银高速，南至古长城遗址，北到清河镇海堡村。以传统优势产业为基础，优先发展农产品精深加工和纺织服装产业。以牛羊肉、马铃薯、枸杞、中药材和小杂粮等特色农产品精深加工为主体，提升附加值；大力发展绵羊绒等多种纤维，生产羊绒精品，构筑集约化、规模化、专业化、区域化生产格局，推进零散生产向产业集群发展，形成服饰产业研发、加工、物流、展示、交易等功能齐全的产业链，促进生态纺织业迅速成长</w:t>
      </w:r>
    </w:p>
    <w:p w14:paraId="7F55C3F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val="en-US" w:eastAsia="zh-CN"/>
        </w:rPr>
        <w:t>本项目为牛羊肉屠宰加工项目，符合《宁夏固原经济开发区“一区三园”总体规划修编（2022-2035年）》中的相关要求。</w:t>
      </w:r>
    </w:p>
    <w:p w14:paraId="2F9170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本项目与固原经济开发区轻工产业园功能结构规划位置关系图见图2.1-2。</w:t>
      </w:r>
    </w:p>
    <w:p w14:paraId="6E6EFE8B">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9.3.2项目与《宁夏固原经济开发区“一区三园”总体规划修编（2022-2035年）环境影响报告书》及审查意见符合性分析</w:t>
      </w:r>
    </w:p>
    <w:p w14:paraId="218682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宁夏固原经济开发区管理委员会在开展总体规划修编的同时委托宁夏盛博恒环保工程有限公司承担了《宁夏固原经济开发区“—区三园”总体规划修编（2022-2035年）环境影响报告书》的编制工作，该规划环评已于2023年6月11日取得了《宁夏固原经济开发区“一区三园”总体规划修编（2022-2035年）环境影响报告书》的审查意见（宁环函〔2023〕455号）。根据《宁夏固原经济开发区“一区三园”总体规划修编（2022-2035年）环境影响报告书》，轻工产业园总体重点发展纺织、食品、轻工等产业，辅助发展装备制造、建材产业，主要安排特色农产品精深加工和新型建材项目。</w:t>
      </w:r>
    </w:p>
    <w:p w14:paraId="276CA029">
      <w:pPr>
        <w:pStyle w:val="25"/>
        <w:spacing w:line="360" w:lineRule="auto"/>
        <w:rPr>
          <w:rFonts w:hint="eastAsia"/>
          <w:color w:val="auto"/>
          <w:lang w:val="en-US" w:eastAsia="zh-CN"/>
        </w:rPr>
        <w:sectPr>
          <w:headerReference r:id="rId34"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val="en-US" w:eastAsia="zh-CN"/>
        </w:rPr>
        <w:t>本项目位于轻工产业园，主要为牛羊肉屠宰加工，项目建设符合固原市经济开发区轻工产业园发展定位，本项目与宁夏固原经济开发区生态环境准入清单相符性见表9.3-1。</w:t>
      </w:r>
    </w:p>
    <w:p w14:paraId="7F280776">
      <w:pPr>
        <w:bidi w:val="0"/>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表9.3-1</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lang w:val="en-US" w:eastAsia="zh-CN"/>
        </w:rPr>
        <w:t>本项目与宁夏固原经济开发区生态环境准入清单符合性分析</w:t>
      </w:r>
    </w:p>
    <w:tbl>
      <w:tblPr>
        <w:tblStyle w:val="27"/>
        <w:tblW w:w="50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22"/>
        <w:gridCol w:w="8796"/>
        <w:gridCol w:w="3836"/>
        <w:gridCol w:w="657"/>
        <w:gridCol w:w="8"/>
      </w:tblGrid>
      <w:tr w14:paraId="746409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21" w:type="dxa"/>
            <w:tcBorders>
              <w:tl2br w:val="nil"/>
              <w:tr2bl w:val="nil"/>
            </w:tcBorders>
            <w:noWrap w:val="0"/>
            <w:vAlign w:val="center"/>
          </w:tcPr>
          <w:p w14:paraId="33F7937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类别</w:t>
            </w:r>
          </w:p>
        </w:tc>
        <w:tc>
          <w:tcPr>
            <w:tcW w:w="8776" w:type="dxa"/>
            <w:tcBorders>
              <w:tl2br w:val="nil"/>
              <w:tr2bl w:val="nil"/>
            </w:tcBorders>
            <w:noWrap w:val="0"/>
            <w:vAlign w:val="center"/>
          </w:tcPr>
          <w:p w14:paraId="543A3F2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准入要求</w:t>
            </w:r>
          </w:p>
        </w:tc>
        <w:tc>
          <w:tcPr>
            <w:tcW w:w="3828" w:type="dxa"/>
            <w:tcBorders>
              <w:tl2br w:val="nil"/>
              <w:tr2bl w:val="nil"/>
            </w:tcBorders>
            <w:noWrap w:val="0"/>
            <w:vAlign w:val="center"/>
          </w:tcPr>
          <w:p w14:paraId="71F868A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本项目</w:t>
            </w:r>
          </w:p>
        </w:tc>
        <w:tc>
          <w:tcPr>
            <w:tcW w:w="664" w:type="dxa"/>
            <w:gridSpan w:val="2"/>
            <w:tcBorders>
              <w:tl2br w:val="nil"/>
              <w:tr2bl w:val="nil"/>
            </w:tcBorders>
            <w:noWrap w:val="0"/>
            <w:vAlign w:val="center"/>
          </w:tcPr>
          <w:p w14:paraId="7E99DE70">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符合性</w:t>
            </w:r>
          </w:p>
        </w:tc>
      </w:tr>
      <w:tr w14:paraId="6B7527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21" w:type="dxa"/>
            <w:tcBorders>
              <w:tl2br w:val="nil"/>
              <w:tr2bl w:val="nil"/>
            </w:tcBorders>
            <w:noWrap w:val="0"/>
            <w:vAlign w:val="center"/>
          </w:tcPr>
          <w:p w14:paraId="409FBDE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空间布局约束</w:t>
            </w:r>
          </w:p>
        </w:tc>
        <w:tc>
          <w:tcPr>
            <w:tcW w:w="8776" w:type="dxa"/>
            <w:tcBorders>
              <w:tl2br w:val="nil"/>
              <w:tr2bl w:val="nil"/>
            </w:tcBorders>
            <w:noWrap w:val="0"/>
            <w:vAlign w:val="center"/>
          </w:tcPr>
          <w:p w14:paraId="0127B2B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1.禁止列入《产业结构调整指导目录（2019年本）》中淘汰类、限制类项目建设。</w:t>
            </w:r>
          </w:p>
          <w:p w14:paraId="28C9C020">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2.禁止新建不符合园区各地块主导、辅助产业定位的产业项目（规划主导产业延伸的鼓励类项目除外）。</w:t>
            </w:r>
          </w:p>
          <w:p w14:paraId="6A2BB7AE">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3.《自治区化工项目准入目录》中限制类项目，禁止新建，项目核准备案机关不予核准或备案新建限制类项目</w:t>
            </w:r>
            <w:r>
              <w:rPr>
                <w:rFonts w:hint="eastAsia"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淘汰类项目，禁止投资，项目核准备案机关不予核准或备案淘汰类项目；已淘汰的落后产能（淘汰类）化工项目严禁异地落户进园入区；禁止新建、改建、扩建印染及含有毒有害物质的涂料产品入园。</w:t>
            </w:r>
          </w:p>
          <w:p w14:paraId="43D0535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4.禁止引入不符合《自治区人民政府关于实施“三线一单”生态环境分区管控的通知</w:t>
            </w: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固原市人民政府关于实施“三线一单”生态环境分区管控的意见》的新建项目。</w:t>
            </w:r>
          </w:p>
          <w:p w14:paraId="1152EB6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5.禁止引入高耗水、高耗能、高污染项目（不包括国家、自治区规划重大建设项目），限发展煤炭、电力（不包括国家、自治区规划重大建设项目）、医药（不含中医药）、冶金等行业的新建项目。</w:t>
            </w:r>
          </w:p>
          <w:p w14:paraId="77C81CE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6.化学原料药项目须满足《宁夏回族自治区化学原料药行业环境准入指导意见》中规划布局、项目选址、技术装备水平、污染防治措施、总量控制与清洁生产等管控要求。</w:t>
            </w:r>
          </w:p>
          <w:p w14:paraId="3A30E4C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7.污染地块（土壤重金属超标、污染企业退出的遗留污染宗地）未经治理与修复，或者经治理与修复但未达到土壤污染风险评估报告确定的风险管控、修复目标的建设用地地块，禁止开工建设任何与风险管控、修复无关的项目。</w:t>
            </w:r>
          </w:p>
        </w:tc>
        <w:tc>
          <w:tcPr>
            <w:tcW w:w="3828" w:type="dxa"/>
            <w:tcBorders>
              <w:tl2br w:val="nil"/>
              <w:tr2bl w:val="nil"/>
            </w:tcBorders>
            <w:noWrap w:val="0"/>
            <w:vAlign w:val="center"/>
          </w:tcPr>
          <w:p w14:paraId="71C1F146">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1、本项目不属于</w:t>
            </w:r>
            <w:r>
              <w:rPr>
                <w:rFonts w:hint="default" w:ascii="Times New Roman" w:hAnsi="Times New Roman" w:eastAsia="宋体" w:cs="Times New Roman"/>
                <w:snapToGrid w:val="0"/>
                <w:color w:val="auto"/>
                <w:kern w:val="0"/>
                <w:sz w:val="21"/>
                <w:szCs w:val="21"/>
                <w:highlight w:val="none"/>
              </w:rPr>
              <w:t>《产业结构调整指导目录（20</w:t>
            </w:r>
            <w:r>
              <w:rPr>
                <w:rFonts w:hint="eastAsia" w:ascii="Times New Roman" w:hAnsi="Times New Roman" w:eastAsia="宋体" w:cs="Times New Roman"/>
                <w:snapToGrid w:val="0"/>
                <w:color w:val="auto"/>
                <w:kern w:val="0"/>
                <w:sz w:val="21"/>
                <w:szCs w:val="21"/>
                <w:highlight w:val="none"/>
                <w:lang w:val="en-US" w:eastAsia="zh-CN"/>
              </w:rPr>
              <w:t>24</w:t>
            </w:r>
            <w:r>
              <w:rPr>
                <w:rFonts w:hint="default" w:ascii="Times New Roman" w:hAnsi="Times New Roman" w:eastAsia="宋体" w:cs="Times New Roman"/>
                <w:snapToGrid w:val="0"/>
                <w:color w:val="auto"/>
                <w:kern w:val="0"/>
                <w:sz w:val="21"/>
                <w:szCs w:val="21"/>
                <w:highlight w:val="none"/>
              </w:rPr>
              <w:t>年本）》中淘汰类、限制类项目建设。</w:t>
            </w:r>
          </w:p>
          <w:p w14:paraId="4E3431C4">
            <w:pPr>
              <w:pStyle w:val="18"/>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2、本项目符合宁夏固原经济开发区轻工产业园区主体规划。</w:t>
            </w:r>
          </w:p>
          <w:p w14:paraId="0A0899E2">
            <w:pPr>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3、本项目不属于《自治区化工项目准入目录》中限制类项目；不属于已淘汰的落后产能（淘汰类）化工项目。</w:t>
            </w:r>
          </w:p>
          <w:p w14:paraId="7AC5A8AA">
            <w:pPr>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4、本项目建设符合《自治区人民政府关于实施“三线一单”生态环境分区管控的通知</w:t>
            </w:r>
            <w:r>
              <w:rPr>
                <w:rFonts w:hint="eastAsia" w:eastAsia="宋体" w:cs="Times New Roman"/>
                <w:snapToGrid w:val="0"/>
                <w:color w:val="auto"/>
                <w:kern w:val="0"/>
                <w:sz w:val="21"/>
                <w:szCs w:val="21"/>
                <w:highlight w:val="none"/>
                <w:lang w:val="en-US" w:eastAsia="zh-CN" w:bidi="ar-SA"/>
              </w:rPr>
              <w:t>》《</w:t>
            </w:r>
            <w:r>
              <w:rPr>
                <w:rFonts w:hint="eastAsia" w:ascii="Times New Roman" w:hAnsi="Times New Roman" w:eastAsia="宋体" w:cs="Times New Roman"/>
                <w:snapToGrid w:val="0"/>
                <w:color w:val="auto"/>
                <w:kern w:val="0"/>
                <w:sz w:val="21"/>
                <w:szCs w:val="21"/>
                <w:highlight w:val="none"/>
                <w:lang w:val="en-US" w:eastAsia="zh-CN" w:bidi="ar-SA"/>
              </w:rPr>
              <w:t>固原市生</w:t>
            </w:r>
            <w:r>
              <w:rPr>
                <w:rFonts w:hint="eastAsia" w:ascii="Times New Roman" w:hAnsi="Times New Roman" w:eastAsia="宋体" w:cs="Times New Roman"/>
                <w:snapToGrid w:val="0"/>
                <w:color w:val="auto"/>
                <w:kern w:val="0"/>
                <w:sz w:val="21"/>
                <w:szCs w:val="21"/>
                <w:highlight w:val="none"/>
                <w:lang w:val="en-US" w:eastAsia="zh-CN"/>
              </w:rPr>
              <w:t>态环境分区管控实施方案》（固政〔2024〕28号）的相关要求</w:t>
            </w:r>
            <w:r>
              <w:rPr>
                <w:rFonts w:hint="eastAsia" w:ascii="Times New Roman" w:hAnsi="Times New Roman" w:eastAsia="宋体" w:cs="Times New Roman"/>
                <w:snapToGrid w:val="0"/>
                <w:color w:val="auto"/>
                <w:kern w:val="0"/>
                <w:sz w:val="21"/>
                <w:szCs w:val="21"/>
                <w:highlight w:val="none"/>
                <w:lang w:val="en-US" w:eastAsia="zh-CN" w:bidi="ar-SA"/>
              </w:rPr>
              <w:t>。</w:t>
            </w:r>
          </w:p>
          <w:p w14:paraId="5D535F27">
            <w:pPr>
              <w:pStyle w:val="18"/>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5、本项目不属于高耗水、高耗能、高污染项目，不属于限制发展煤炭、电力、医药、冶金等行业的新建项目。</w:t>
            </w:r>
          </w:p>
          <w:p w14:paraId="5DB623D0">
            <w:pPr>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6、本项目不涉及。</w:t>
            </w:r>
          </w:p>
          <w:p w14:paraId="5628B4E8">
            <w:pPr>
              <w:pStyle w:val="18"/>
              <w:spacing w:line="240" w:lineRule="auto"/>
              <w:rPr>
                <w:rFonts w:hint="default"/>
                <w:color w:val="auto"/>
                <w:lang w:val="en-US" w:eastAsia="zh-CN"/>
              </w:rPr>
            </w:pPr>
            <w:r>
              <w:rPr>
                <w:rFonts w:hint="eastAsia" w:ascii="Times New Roman" w:hAnsi="Times New Roman" w:eastAsia="宋体" w:cs="Times New Roman"/>
                <w:snapToGrid w:val="0"/>
                <w:color w:val="auto"/>
                <w:kern w:val="0"/>
                <w:sz w:val="21"/>
                <w:szCs w:val="21"/>
                <w:highlight w:val="none"/>
                <w:lang w:val="en-US" w:eastAsia="zh-CN" w:bidi="ar-SA"/>
              </w:rPr>
              <w:t>7、本项目用地不属于污染地块。</w:t>
            </w:r>
          </w:p>
        </w:tc>
        <w:tc>
          <w:tcPr>
            <w:tcW w:w="664" w:type="dxa"/>
            <w:gridSpan w:val="2"/>
            <w:tcBorders>
              <w:tl2br w:val="nil"/>
              <w:tr2bl w:val="nil"/>
            </w:tcBorders>
            <w:noWrap w:val="0"/>
            <w:vAlign w:val="center"/>
          </w:tcPr>
          <w:p w14:paraId="1037F084">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符合</w:t>
            </w:r>
          </w:p>
        </w:tc>
      </w:tr>
      <w:tr w14:paraId="373113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21" w:type="dxa"/>
            <w:tcBorders>
              <w:tl2br w:val="nil"/>
              <w:tr2bl w:val="nil"/>
            </w:tcBorders>
            <w:noWrap w:val="0"/>
            <w:vAlign w:val="center"/>
          </w:tcPr>
          <w:p w14:paraId="1654A14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污染物排放管控</w:t>
            </w:r>
          </w:p>
        </w:tc>
        <w:tc>
          <w:tcPr>
            <w:tcW w:w="8776" w:type="dxa"/>
            <w:tcBorders>
              <w:tl2br w:val="nil"/>
              <w:tr2bl w:val="nil"/>
            </w:tcBorders>
            <w:noWrap w:val="0"/>
            <w:vAlign w:val="center"/>
          </w:tcPr>
          <w:p w14:paraId="4B5A8A9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1.涉VOCs排放的工业企业准入须满足《宁夏回族自治区挥发性有机物污染专项治理工作方案》及本次评价提出污染治理要求。</w:t>
            </w:r>
          </w:p>
          <w:p w14:paraId="51C2099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要求火电机组（含自备电厂）全部完成超低排放改造；2025年底前65蒸吨及以上燃煤锅炉（含电力）全面实现超低排放；原则上不再新建35蒸吨/小时以下的燃煤锅炉，城市建成区基本淘汰35蒸吨/小时以下的燃煤锅炉。现有燃气锅炉逐步开展低氮燃烧改造，到2025年，全区所有燃气锅炉氮氧化物排放浓度低于50毫克/立方米。</w:t>
            </w:r>
          </w:p>
          <w:p w14:paraId="0ED86AD4">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3.在保证电力、热力供应前提下，鼓励30万千瓦及以上热电联产电厂供热半径30km范围内的燃煤锅炉和燃煤小热电机组（含自备电厂）基本完成关停整合。</w:t>
            </w:r>
          </w:p>
        </w:tc>
        <w:tc>
          <w:tcPr>
            <w:tcW w:w="3828" w:type="dxa"/>
            <w:tcBorders>
              <w:tl2br w:val="nil"/>
              <w:tr2bl w:val="nil"/>
            </w:tcBorders>
            <w:noWrap w:val="0"/>
            <w:vAlign w:val="center"/>
          </w:tcPr>
          <w:p w14:paraId="58B81B6E">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color w:val="auto"/>
                <w:lang w:val="en-US" w:eastAsia="zh-CN"/>
              </w:rPr>
            </w:pPr>
            <w:r>
              <w:rPr>
                <w:rFonts w:hint="eastAsia" w:ascii="Times New Roman" w:hAnsi="Times New Roman" w:eastAsia="宋体" w:cs="Times New Roman"/>
                <w:snapToGrid w:val="0"/>
                <w:color w:val="auto"/>
                <w:kern w:val="0"/>
                <w:sz w:val="21"/>
                <w:szCs w:val="21"/>
                <w:highlight w:val="none"/>
                <w:lang w:val="en-US" w:eastAsia="zh-CN"/>
              </w:rPr>
              <w:t>1-3、本项目不涉及。</w:t>
            </w:r>
          </w:p>
        </w:tc>
        <w:tc>
          <w:tcPr>
            <w:tcW w:w="664" w:type="dxa"/>
            <w:gridSpan w:val="2"/>
            <w:tcBorders>
              <w:tl2br w:val="nil"/>
              <w:tr2bl w:val="nil"/>
            </w:tcBorders>
            <w:noWrap w:val="0"/>
            <w:vAlign w:val="center"/>
          </w:tcPr>
          <w:p w14:paraId="45C44D7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符合</w:t>
            </w:r>
          </w:p>
        </w:tc>
      </w:tr>
      <w:tr w14:paraId="25DF30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dxa"/>
          <w:trHeight w:val="23" w:hRule="atLeast"/>
          <w:jc w:val="center"/>
        </w:trPr>
        <w:tc>
          <w:tcPr>
            <w:tcW w:w="521" w:type="dxa"/>
            <w:tcBorders>
              <w:tl2br w:val="nil"/>
              <w:tr2bl w:val="nil"/>
            </w:tcBorders>
            <w:noWrap w:val="0"/>
            <w:vAlign w:val="center"/>
          </w:tcPr>
          <w:p w14:paraId="26825C61">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污染物排放管控</w:t>
            </w:r>
          </w:p>
        </w:tc>
        <w:tc>
          <w:tcPr>
            <w:tcW w:w="8776" w:type="dxa"/>
            <w:tcBorders>
              <w:tl2br w:val="nil"/>
              <w:tr2bl w:val="nil"/>
            </w:tcBorders>
            <w:noWrap w:val="0"/>
            <w:vAlign w:val="center"/>
          </w:tcPr>
          <w:p w14:paraId="715CA6F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4.不得新建、改（扩）建产生异味的生物发酵项目。</w:t>
            </w:r>
          </w:p>
          <w:p w14:paraId="4635520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5.通过产业结构调整，贯彻绿色发展道路，高能耗、高污染企业逐步退出或进行优化升级。</w:t>
            </w:r>
          </w:p>
          <w:p w14:paraId="10C4BB4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6.园区生产废水要做到有效处理，达标排入管网，或循环利用、不外排；对生活污水经处理达标后排入工业园区污水处理厂。加强金昱元公司污水排放监管力度，确保生产过程中产生的污水集中处理，封堵生产废水排污口，严禁排入园区公网，达到零排放。</w:t>
            </w:r>
          </w:p>
        </w:tc>
        <w:tc>
          <w:tcPr>
            <w:tcW w:w="3828" w:type="dxa"/>
            <w:tcBorders>
              <w:tl2br w:val="nil"/>
              <w:tr2bl w:val="nil"/>
            </w:tcBorders>
            <w:noWrap w:val="0"/>
            <w:vAlign w:val="center"/>
          </w:tcPr>
          <w:p w14:paraId="7724DE5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4、本项目不属于生物发酵项目。</w:t>
            </w:r>
          </w:p>
          <w:p w14:paraId="72CC5160">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5、本项目不属于高耗能、高污染企业。</w:t>
            </w:r>
          </w:p>
          <w:p w14:paraId="0CFBE674">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color w:val="auto"/>
                <w:lang w:val="en-US" w:eastAsia="zh-CN"/>
              </w:rPr>
            </w:pPr>
            <w:r>
              <w:rPr>
                <w:rFonts w:hint="eastAsia" w:ascii="Times New Roman" w:hAnsi="Times New Roman" w:eastAsia="宋体" w:cs="Times New Roman"/>
                <w:snapToGrid w:val="0"/>
                <w:color w:val="auto"/>
                <w:kern w:val="0"/>
                <w:sz w:val="21"/>
                <w:szCs w:val="21"/>
                <w:highlight w:val="none"/>
                <w:lang w:val="en-US" w:eastAsia="zh-CN"/>
              </w:rPr>
              <w:t>6、本项目产生的生活污水经化粪池收集，屠宰废水</w:t>
            </w:r>
            <w:r>
              <w:rPr>
                <w:rFonts w:hint="eastAsia" w:eastAsia="宋体" w:cs="Times New Roman"/>
                <w:snapToGrid w:val="0"/>
                <w:color w:val="auto"/>
                <w:kern w:val="0"/>
                <w:sz w:val="21"/>
                <w:szCs w:val="21"/>
                <w:highlight w:val="none"/>
                <w:lang w:val="en-US" w:eastAsia="zh-CN"/>
              </w:rPr>
              <w:t>及车辆冲洗废水</w:t>
            </w:r>
            <w:r>
              <w:rPr>
                <w:rFonts w:hint="eastAsia" w:ascii="Times New Roman" w:hAnsi="Times New Roman" w:eastAsia="宋体" w:cs="Times New Roman"/>
                <w:snapToGrid w:val="0"/>
                <w:color w:val="auto"/>
                <w:kern w:val="0"/>
                <w:sz w:val="21"/>
                <w:szCs w:val="21"/>
                <w:highlight w:val="none"/>
                <w:lang w:val="en-US" w:eastAsia="zh-CN"/>
              </w:rPr>
              <w:t>经厂区污水处理站处理后，生活污水</w:t>
            </w:r>
            <w:r>
              <w:rPr>
                <w:rFonts w:hint="eastAsia" w:eastAsia="宋体" w:cs="Times New Roman"/>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屠宰废水</w:t>
            </w:r>
            <w:r>
              <w:rPr>
                <w:rFonts w:hint="eastAsia" w:eastAsia="宋体" w:cs="Times New Roman"/>
                <w:snapToGrid w:val="0"/>
                <w:color w:val="auto"/>
                <w:kern w:val="0"/>
                <w:sz w:val="21"/>
                <w:szCs w:val="21"/>
                <w:highlight w:val="none"/>
                <w:lang w:val="en-US" w:eastAsia="zh-CN"/>
              </w:rPr>
              <w:t>及车辆冲洗废水</w:t>
            </w:r>
            <w:r>
              <w:rPr>
                <w:rFonts w:hint="eastAsia" w:ascii="Times New Roman" w:hAnsi="Times New Roman" w:eastAsia="宋体" w:cs="Times New Roman"/>
                <w:snapToGrid w:val="0"/>
                <w:color w:val="auto"/>
                <w:kern w:val="0"/>
                <w:sz w:val="21"/>
                <w:szCs w:val="21"/>
                <w:highlight w:val="none"/>
                <w:lang w:val="en-US" w:eastAsia="zh-CN"/>
              </w:rPr>
              <w:t>一起排至</w:t>
            </w:r>
            <w:r>
              <w:rPr>
                <w:rFonts w:hint="eastAsia" w:eastAsia="宋体" w:cs="Times New Roman"/>
                <w:snapToGrid w:val="0"/>
                <w:color w:val="auto"/>
                <w:kern w:val="0"/>
                <w:sz w:val="21"/>
                <w:szCs w:val="21"/>
                <w:highlight w:val="none"/>
                <w:lang w:val="en-US" w:eastAsia="zh-CN"/>
              </w:rPr>
              <w:t>城区污水处理厂</w:t>
            </w:r>
            <w:r>
              <w:rPr>
                <w:rFonts w:hint="eastAsia" w:ascii="Times New Roman" w:hAnsi="Times New Roman" w:eastAsia="宋体" w:cs="Times New Roman"/>
                <w:snapToGrid w:val="0"/>
                <w:color w:val="auto"/>
                <w:kern w:val="0"/>
                <w:sz w:val="21"/>
                <w:szCs w:val="21"/>
                <w:highlight w:val="none"/>
                <w:lang w:val="en-US" w:eastAsia="zh-CN"/>
              </w:rPr>
              <w:t>处理。</w:t>
            </w:r>
          </w:p>
        </w:tc>
        <w:tc>
          <w:tcPr>
            <w:tcW w:w="656" w:type="dxa"/>
            <w:tcBorders>
              <w:tl2br w:val="nil"/>
              <w:tr2bl w:val="nil"/>
            </w:tcBorders>
            <w:noWrap w:val="0"/>
            <w:vAlign w:val="center"/>
          </w:tcPr>
          <w:p w14:paraId="0CFDDB2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符合</w:t>
            </w:r>
          </w:p>
        </w:tc>
      </w:tr>
      <w:tr w14:paraId="4A1DFA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dxa"/>
          <w:trHeight w:val="23" w:hRule="atLeast"/>
          <w:jc w:val="center"/>
        </w:trPr>
        <w:tc>
          <w:tcPr>
            <w:tcW w:w="521" w:type="dxa"/>
            <w:tcBorders>
              <w:tl2br w:val="nil"/>
              <w:tr2bl w:val="nil"/>
            </w:tcBorders>
            <w:noWrap w:val="0"/>
            <w:vAlign w:val="center"/>
          </w:tcPr>
          <w:p w14:paraId="0E9CBF3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环境风险防控</w:t>
            </w:r>
          </w:p>
        </w:tc>
        <w:tc>
          <w:tcPr>
            <w:tcW w:w="8776" w:type="dxa"/>
            <w:tcBorders>
              <w:tl2br w:val="nil"/>
              <w:tr2bl w:val="nil"/>
            </w:tcBorders>
            <w:noWrap w:val="0"/>
            <w:vAlign w:val="center"/>
          </w:tcPr>
          <w:p w14:paraId="72F775D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1.园区应建立严格的环境风险防控体系。</w:t>
            </w:r>
          </w:p>
          <w:p w14:paraId="4A19FBDA">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2.宁夏金昱元广拓能源有限公司（土壤重点监管、涉重金属）应采取措施加强土壤环境监测和土壤污染风险防控。</w:t>
            </w:r>
          </w:p>
          <w:p w14:paraId="3FA1A4A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3.固原经济开发区</w:t>
            </w:r>
            <w:r>
              <w:rPr>
                <w:rFonts w:hint="eastAsia" w:eastAsia="宋体" w:cs="Times New Roman"/>
                <w:snapToGrid w:val="0"/>
                <w:color w:val="auto"/>
                <w:kern w:val="0"/>
                <w:sz w:val="21"/>
                <w:szCs w:val="21"/>
                <w:highlight w:val="none"/>
                <w:lang w:eastAsia="zh-CN"/>
              </w:rPr>
              <w:t>医用</w:t>
            </w:r>
            <w:r>
              <w:rPr>
                <w:rFonts w:hint="default" w:ascii="Times New Roman" w:hAnsi="Times New Roman" w:eastAsia="宋体" w:cs="Times New Roman"/>
                <w:snapToGrid w:val="0"/>
                <w:color w:val="auto"/>
                <w:kern w:val="0"/>
                <w:sz w:val="21"/>
                <w:szCs w:val="21"/>
                <w:highlight w:val="none"/>
              </w:rPr>
              <w:t>废弃物综合处理有限公司（医疗废物）在贮存、转移、利用、处置危险废物过程中，应严格按照《危险废物</w:t>
            </w:r>
            <w:r>
              <w:rPr>
                <w:rFonts w:hint="eastAsia" w:eastAsia="宋体" w:cs="Times New Roman"/>
                <w:snapToGrid w:val="0"/>
                <w:color w:val="auto"/>
                <w:kern w:val="0"/>
                <w:sz w:val="21"/>
                <w:szCs w:val="21"/>
                <w:highlight w:val="none"/>
                <w:lang w:val="en-US" w:eastAsia="zh-CN"/>
              </w:rPr>
              <w:t>规范化</w:t>
            </w:r>
            <w:r>
              <w:rPr>
                <w:rFonts w:hint="default" w:ascii="Times New Roman" w:hAnsi="Times New Roman" w:eastAsia="宋体" w:cs="Times New Roman"/>
                <w:snapToGrid w:val="0"/>
                <w:color w:val="auto"/>
                <w:kern w:val="0"/>
                <w:sz w:val="21"/>
                <w:szCs w:val="21"/>
                <w:highlight w:val="none"/>
              </w:rPr>
              <w:t>管理指标体系》等相关要求，并配套防扬散、防流失、防渗漏及其他防治污染环境的措施。</w:t>
            </w:r>
          </w:p>
          <w:p w14:paraId="004CEB34">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4.依据《建设项目环境风险评价技术导则》（HJ169-2018），环境风险潜势为极高环境风险（Ⅳ+）且毒性终点浓度-1/（mg/m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）范围有居民区的建设项目禁止引入化工集中区。</w:t>
            </w:r>
          </w:p>
          <w:p w14:paraId="0ABEE14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5.园区边界外延2.5km范围的环境风险管控范围内禁止新建村庄、学校、医院等人群聚集区。</w:t>
            </w:r>
          </w:p>
          <w:p w14:paraId="678A818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6.园区内潜在的安全、环境风险源，应制订《突发安全生产应急预案</w:t>
            </w: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突发环境事件应急预案》，组织定期演练，预防安全、环境污染事件的发生。</w:t>
            </w:r>
          </w:p>
        </w:tc>
        <w:tc>
          <w:tcPr>
            <w:tcW w:w="3828" w:type="dxa"/>
            <w:tcBorders>
              <w:tl2br w:val="nil"/>
              <w:tr2bl w:val="nil"/>
            </w:tcBorders>
            <w:noWrap w:val="0"/>
            <w:vAlign w:val="center"/>
          </w:tcPr>
          <w:p w14:paraId="7B14D29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1、本项目建立</w:t>
            </w:r>
            <w:r>
              <w:rPr>
                <w:rFonts w:hint="default" w:ascii="Times New Roman" w:hAnsi="Times New Roman" w:eastAsia="宋体" w:cs="Times New Roman"/>
                <w:snapToGrid w:val="0"/>
                <w:color w:val="auto"/>
                <w:kern w:val="0"/>
                <w:sz w:val="21"/>
                <w:szCs w:val="21"/>
                <w:highlight w:val="none"/>
              </w:rPr>
              <w:t>严格的环境风险防控体系。</w:t>
            </w:r>
          </w:p>
          <w:p w14:paraId="3A8AE4D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2-3、本项目不涉及。</w:t>
            </w:r>
          </w:p>
          <w:p w14:paraId="647D45C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4、根据</w:t>
            </w:r>
            <w:r>
              <w:rPr>
                <w:rFonts w:hint="default" w:ascii="Times New Roman" w:hAnsi="Times New Roman" w:eastAsia="宋体" w:cs="Times New Roman"/>
                <w:snapToGrid w:val="0"/>
                <w:color w:val="auto"/>
                <w:kern w:val="0"/>
                <w:sz w:val="21"/>
                <w:szCs w:val="21"/>
                <w:highlight w:val="none"/>
                <w:lang w:val="en-US" w:eastAsia="zh-CN"/>
              </w:rPr>
              <w:t>《建设项目环境风险评价技术导则》（HJ169-2018），</w:t>
            </w:r>
            <w:r>
              <w:rPr>
                <w:rFonts w:hint="eastAsia" w:ascii="Times New Roman" w:hAnsi="Times New Roman" w:eastAsia="宋体" w:cs="Times New Roman"/>
                <w:snapToGrid w:val="0"/>
                <w:color w:val="auto"/>
                <w:kern w:val="0"/>
                <w:sz w:val="21"/>
                <w:szCs w:val="21"/>
                <w:highlight w:val="none"/>
                <w:lang w:val="en-US" w:eastAsia="zh-CN"/>
              </w:rPr>
              <w:t>本项目风险潜势为Ⅰ。</w:t>
            </w:r>
          </w:p>
          <w:p w14:paraId="65985DF4">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5、本项目不涉及。</w:t>
            </w:r>
          </w:p>
          <w:p w14:paraId="13B7FE01">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color w:val="auto"/>
                <w:lang w:val="en-US" w:eastAsia="zh-CN"/>
              </w:rPr>
            </w:pPr>
            <w:r>
              <w:rPr>
                <w:rFonts w:hint="eastAsia" w:ascii="Times New Roman" w:hAnsi="Times New Roman" w:eastAsia="宋体" w:cs="Times New Roman"/>
                <w:snapToGrid w:val="0"/>
                <w:color w:val="auto"/>
                <w:kern w:val="0"/>
                <w:sz w:val="21"/>
                <w:szCs w:val="21"/>
                <w:highlight w:val="none"/>
                <w:lang w:val="en-US" w:eastAsia="zh-CN"/>
              </w:rPr>
              <w:t>6、本项目应编制《突发环境事件应急预案》，组织定期演练，预防安全、环境污染事件的发生。</w:t>
            </w:r>
          </w:p>
        </w:tc>
        <w:tc>
          <w:tcPr>
            <w:tcW w:w="656" w:type="dxa"/>
            <w:tcBorders>
              <w:tl2br w:val="nil"/>
              <w:tr2bl w:val="nil"/>
            </w:tcBorders>
            <w:noWrap w:val="0"/>
            <w:vAlign w:val="center"/>
          </w:tcPr>
          <w:p w14:paraId="175C599A">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符合</w:t>
            </w:r>
          </w:p>
        </w:tc>
      </w:tr>
      <w:tr w14:paraId="3EEDA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dxa"/>
          <w:trHeight w:val="23" w:hRule="atLeast"/>
          <w:jc w:val="center"/>
        </w:trPr>
        <w:tc>
          <w:tcPr>
            <w:tcW w:w="521" w:type="dxa"/>
            <w:tcBorders>
              <w:tl2br w:val="nil"/>
              <w:tr2bl w:val="nil"/>
            </w:tcBorders>
            <w:noWrap w:val="0"/>
            <w:vAlign w:val="center"/>
          </w:tcPr>
          <w:p w14:paraId="3DC76E6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资源开发效率</w:t>
            </w:r>
          </w:p>
        </w:tc>
        <w:tc>
          <w:tcPr>
            <w:tcW w:w="8776" w:type="dxa"/>
            <w:tcBorders>
              <w:tl2br w:val="nil"/>
              <w:tr2bl w:val="nil"/>
            </w:tcBorders>
            <w:noWrap w:val="0"/>
            <w:vAlign w:val="center"/>
          </w:tcPr>
          <w:p w14:paraId="2347552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1.不得引入不符合能耗、水耗等有关要求的项目，引进项目的生产工艺、设备，以及单位产品能耗、物耗、水耗等资源利用指标均需达到同行业国内先进水平。</w:t>
            </w:r>
          </w:p>
          <w:p w14:paraId="2F4C758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2.新建耗煤项目应严格按规定采取煤炭消费减量替代措施，不得使用高污染燃料作为煤炭减量替代措施。</w:t>
            </w:r>
          </w:p>
          <w:p w14:paraId="47EF8C5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3.企业固体废物、危险废物处理处置率达到100%。到2025年，工业固体废弃物综合利用率达到80%。</w:t>
            </w:r>
          </w:p>
          <w:p w14:paraId="7AF473D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4.列入《宁夏回族自治区能耗双控产业结构调整指导目录（</w:t>
            </w:r>
            <w:r>
              <w:rPr>
                <w:rFonts w:hint="eastAsia" w:eastAsia="宋体" w:cs="Times New Roman"/>
                <w:snapToGrid w:val="0"/>
                <w:color w:val="auto"/>
                <w:kern w:val="0"/>
                <w:sz w:val="21"/>
                <w:szCs w:val="21"/>
                <w:highlight w:val="none"/>
                <w:lang w:val="en-US" w:eastAsia="zh-CN"/>
              </w:rPr>
              <w:t>试行</w:t>
            </w:r>
            <w:r>
              <w:rPr>
                <w:rFonts w:hint="default" w:ascii="Times New Roman" w:hAnsi="Times New Roman" w:eastAsia="宋体" w:cs="Times New Roman"/>
                <w:snapToGrid w:val="0"/>
                <w:color w:val="auto"/>
                <w:kern w:val="0"/>
                <w:sz w:val="21"/>
                <w:szCs w:val="21"/>
                <w:highlight w:val="none"/>
                <w:lang w:val="en-US" w:eastAsia="zh-CN"/>
              </w:rPr>
              <w:t>）》中禁止类的项目不允许新增固定资产投资；列入限制类项目需满足目录中规定的产能置换、规模条件、能耗替代、单位产品能源消耗水平、工艺和装备水平等要求；列入淘汰类的按照目录规</w:t>
            </w:r>
            <w:r>
              <w:rPr>
                <w:rFonts w:hint="eastAsia" w:eastAsia="宋体" w:cs="Times New Roman"/>
                <w:snapToGrid w:val="0"/>
                <w:color w:val="auto"/>
                <w:kern w:val="0"/>
                <w:sz w:val="21"/>
                <w:szCs w:val="21"/>
                <w:highlight w:val="none"/>
                <w:lang w:val="en-US" w:eastAsia="zh-CN"/>
              </w:rPr>
              <w:t>定的</w:t>
            </w:r>
            <w:r>
              <w:rPr>
                <w:rFonts w:hint="default" w:ascii="Times New Roman" w:hAnsi="Times New Roman" w:eastAsia="宋体" w:cs="Times New Roman"/>
                <w:snapToGrid w:val="0"/>
                <w:color w:val="auto"/>
                <w:kern w:val="0"/>
                <w:sz w:val="21"/>
                <w:szCs w:val="21"/>
                <w:highlight w:val="none"/>
                <w:lang w:val="en-US" w:eastAsia="zh-CN"/>
              </w:rPr>
              <w:t>时限，限期淘汰落后的生产工艺装备和落后产品。</w:t>
            </w:r>
          </w:p>
        </w:tc>
        <w:tc>
          <w:tcPr>
            <w:tcW w:w="3828" w:type="dxa"/>
            <w:tcBorders>
              <w:tl2br w:val="nil"/>
              <w:tr2bl w:val="nil"/>
            </w:tcBorders>
            <w:noWrap w:val="0"/>
            <w:vAlign w:val="center"/>
          </w:tcPr>
          <w:p w14:paraId="7D07FF4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1、本项目运营期内电能来自园区供电管网，用水来自园区供水管网符合能耗、水耗等有关要求，无额外用电用水。</w:t>
            </w:r>
          </w:p>
          <w:p w14:paraId="30E76D2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2、本项目不涉及。</w:t>
            </w:r>
          </w:p>
          <w:p w14:paraId="15BB3C91">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3、本项目固体废物、危险废物均妥善处置，处理率100%。</w:t>
            </w:r>
          </w:p>
          <w:p w14:paraId="55CC075E">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color w:val="auto"/>
                <w:lang w:val="en-US" w:eastAsia="zh-CN"/>
              </w:rPr>
            </w:pPr>
            <w:r>
              <w:rPr>
                <w:rFonts w:hint="eastAsia" w:ascii="Times New Roman" w:hAnsi="Times New Roman" w:eastAsia="宋体" w:cs="Times New Roman"/>
                <w:snapToGrid w:val="0"/>
                <w:color w:val="auto"/>
                <w:kern w:val="0"/>
                <w:sz w:val="21"/>
                <w:szCs w:val="21"/>
                <w:highlight w:val="none"/>
                <w:lang w:val="en-US" w:eastAsia="zh-CN"/>
              </w:rPr>
              <w:t>4、本项目不属于《宁夏回族自治区能耗双控产业结构调整指导目录（</w:t>
            </w:r>
            <w:r>
              <w:rPr>
                <w:rFonts w:hint="eastAsia" w:eastAsia="宋体" w:cs="Times New Roman"/>
                <w:snapToGrid w:val="0"/>
                <w:color w:val="auto"/>
                <w:kern w:val="0"/>
                <w:sz w:val="21"/>
                <w:szCs w:val="21"/>
                <w:highlight w:val="none"/>
                <w:lang w:val="en-US" w:eastAsia="zh-CN"/>
              </w:rPr>
              <w:t>试行</w:t>
            </w:r>
            <w:r>
              <w:rPr>
                <w:rFonts w:hint="eastAsia" w:ascii="Times New Roman" w:hAnsi="Times New Roman" w:eastAsia="宋体" w:cs="Times New Roman"/>
                <w:snapToGrid w:val="0"/>
                <w:color w:val="auto"/>
                <w:kern w:val="0"/>
                <w:sz w:val="21"/>
                <w:szCs w:val="21"/>
                <w:highlight w:val="none"/>
                <w:lang w:val="en-US" w:eastAsia="zh-CN"/>
              </w:rPr>
              <w:t>）》中禁止类、限制类的项目。</w:t>
            </w:r>
          </w:p>
        </w:tc>
        <w:tc>
          <w:tcPr>
            <w:tcW w:w="656" w:type="dxa"/>
            <w:tcBorders>
              <w:tl2br w:val="nil"/>
              <w:tr2bl w:val="nil"/>
            </w:tcBorders>
            <w:noWrap w:val="0"/>
            <w:vAlign w:val="center"/>
          </w:tcPr>
          <w:p w14:paraId="467F3F0A">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符合</w:t>
            </w:r>
          </w:p>
        </w:tc>
      </w:tr>
    </w:tbl>
    <w:p w14:paraId="039D40CB">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color w:val="auto"/>
          <w:lang w:val="en-US" w:eastAsia="zh-CN"/>
        </w:rPr>
      </w:pPr>
      <w:r>
        <w:rPr>
          <w:rFonts w:hint="eastAsia"/>
          <w:color w:val="auto"/>
          <w:lang w:val="en-US" w:eastAsia="zh-CN"/>
        </w:rPr>
        <w:t>综上分析，项目符合规划环评及《宁夏固原经济开发区“一区三园”总体规划修编（2022-2035年）环境影响报告书》及审查意见的各项要求。</w:t>
      </w:r>
    </w:p>
    <w:p w14:paraId="4043B2E8">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9.3.3项目与《中共宁夏回族自治区委员会关于制定国民经济和社会发展第十四个五年规划和二〇三五年远景目标的建议》相符性分析</w:t>
      </w:r>
    </w:p>
    <w:p w14:paraId="422704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中共宁夏回族自治区委员会关于制定国民经济和社会发展第十四个五年规划和二〇三五年远景目标的建议》中提出“提质发展高效种养业。以龙头企业为依托、以产业园区为支撑、以特色发展为目标、以市场需求为导向，优品类、提品质、打品牌，做实做强特色现代农业，建设国家农业绿色发展先行区。加快建设现代农业产业体系，大力调整种养业结构，聚焦特色农产品优势区建设，推进葡萄酒产业放大产区优势、提升品牌价值，枸杞产业地理品牌保护、产品精深加工，奶产业强化品牌经营、形成规模效应，肉牛和滩羊产业创新营销模式、扩大消费半径，加快“葡萄酒之都”、“枸杞之乡”、“高端奶之乡”、“高端牛肉生产基地”、“滩羊之乡”和高品质蔬菜示范基地建设，打造集研发、种植、加工、营销、文化、生态于一体的现代农业全产业链。”</w:t>
      </w:r>
    </w:p>
    <w:p w14:paraId="5DA4E8D3">
      <w:pPr>
        <w:pStyle w:val="25"/>
        <w:spacing w:line="360" w:lineRule="auto"/>
        <w:rPr>
          <w:rFonts w:hint="eastAsia" w:ascii="Times New Roman" w:hAnsi="Times New Roman"/>
          <w:color w:val="auto"/>
          <w:lang w:val="en-US" w:eastAsia="zh-CN"/>
        </w:rPr>
      </w:pPr>
      <w:r>
        <w:rPr>
          <w:rFonts w:hint="eastAsia"/>
          <w:color w:val="auto"/>
          <w:lang w:val="en-US" w:eastAsia="zh-CN"/>
        </w:rPr>
        <w:t>本项目建设年屠宰牛10000头、屠宰羊15万只的牛羊屠宰车间加工车间，项目为农产品深加工项目，属于规划中的现代农业全产业链。因此本项目符合《中共宁夏回族自治区委员会关于制定国民经济和社会发展第十四个五年规划和二〇三五年远景目标的建议》要求。</w:t>
      </w:r>
    </w:p>
    <w:p w14:paraId="55C183F3">
      <w:pPr>
        <w:pStyle w:val="25"/>
        <w:spacing w:line="360" w:lineRule="auto"/>
        <w:rPr>
          <w:rFonts w:hint="default" w:ascii="Times New Roman" w:hAnsi="Times New Roman"/>
          <w:color w:val="auto"/>
          <w:lang w:val="en-US" w:eastAsia="zh-CN"/>
        </w:rPr>
        <w:sectPr>
          <w:headerReference r:id="rId35"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01815B9E">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黑体" w:cs="Times New Roman"/>
          <w:b/>
          <w:bCs/>
          <w:color w:val="auto"/>
          <w:kern w:val="2"/>
          <w:sz w:val="28"/>
          <w:szCs w:val="32"/>
          <w:highlight w:val="none"/>
          <w:lang w:val="en-US" w:eastAsia="zh-CN"/>
        </w:rPr>
      </w:pPr>
      <w:r>
        <w:rPr>
          <w:rFonts w:hint="default" w:ascii="Times New Roman" w:hAnsi="Times New Roman" w:eastAsia="黑体" w:cs="Times New Roman"/>
          <w:b/>
          <w:bCs/>
          <w:color w:val="auto"/>
          <w:kern w:val="2"/>
          <w:sz w:val="28"/>
          <w:szCs w:val="32"/>
          <w:highlight w:val="none"/>
          <w:lang w:val="en-US" w:eastAsia="zh-CN"/>
        </w:rPr>
        <w:t>9.3.</w:t>
      </w:r>
      <w:r>
        <w:rPr>
          <w:rFonts w:hint="eastAsia" w:ascii="Times New Roman" w:hAnsi="Times New Roman" w:eastAsia="黑体" w:cs="Times New Roman"/>
          <w:b/>
          <w:bCs/>
          <w:color w:val="auto"/>
          <w:kern w:val="2"/>
          <w:sz w:val="28"/>
          <w:szCs w:val="32"/>
          <w:highlight w:val="none"/>
          <w:lang w:val="en-US" w:eastAsia="zh-CN"/>
        </w:rPr>
        <w:t>4项目</w:t>
      </w:r>
      <w:r>
        <w:rPr>
          <w:rFonts w:hint="default" w:ascii="Times New Roman" w:hAnsi="Times New Roman" w:eastAsia="黑体" w:cs="Times New Roman"/>
          <w:b/>
          <w:bCs/>
          <w:color w:val="auto"/>
          <w:kern w:val="2"/>
          <w:sz w:val="28"/>
          <w:szCs w:val="32"/>
          <w:highlight w:val="none"/>
          <w:lang w:val="en-US" w:eastAsia="zh-CN"/>
        </w:rPr>
        <w:t>与《全国农产品加工业与农村一二三产业融合发展规划》的符合性分析</w:t>
      </w:r>
    </w:p>
    <w:p w14:paraId="33EFE0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根据《全国农产品加工业与农村一二三产业融合发展规划》：“做强农产品加工业，大力支持发展农产品产地初加工、全面提升农产品精深加工整体水平、努力推动农产品及加工副产物综合利用，提升产业融合发展带动能力。”</w:t>
      </w:r>
    </w:p>
    <w:p w14:paraId="08D5B6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建设年屠宰牛10000头，屠宰羊15万只的屠宰车间及牛羊肉加工车间，采用先进的工艺及设备，项目实施可提升区域农产品精深加工整体水平。因此本项目建设符合《全国农产品加工业与农村一二三产业融合发展规划》的具体要求。</w:t>
      </w:r>
    </w:p>
    <w:p w14:paraId="62282608">
      <w:pPr>
        <w:pStyle w:val="2"/>
        <w:widowControl w:val="0"/>
        <w:adjustRightInd/>
        <w:snapToGrid/>
        <w:spacing w:line="360" w:lineRule="auto"/>
        <w:ind w:firstLine="0" w:firstLineChars="0"/>
        <w:outlineLvl w:val="2"/>
        <w:rPr>
          <w:rFonts w:hint="eastAsia" w:ascii="Times New Roman" w:hAnsi="Times New Roman" w:eastAsia="黑体" w:cs="Times New Roman"/>
          <w:b/>
          <w:bCs/>
          <w:color w:val="auto"/>
          <w:kern w:val="2"/>
          <w:sz w:val="28"/>
          <w:szCs w:val="32"/>
          <w:highlight w:val="none"/>
          <w:lang w:val="en-US" w:eastAsia="zh-CN"/>
        </w:rPr>
      </w:pPr>
      <w:r>
        <w:rPr>
          <w:rFonts w:hint="default" w:ascii="Times New Roman" w:hAnsi="Times New Roman" w:eastAsia="黑体" w:cs="Times New Roman"/>
          <w:b/>
          <w:bCs/>
          <w:color w:val="auto"/>
          <w:kern w:val="2"/>
          <w:sz w:val="28"/>
          <w:szCs w:val="32"/>
          <w:highlight w:val="none"/>
          <w:lang w:val="en-US" w:eastAsia="zh-CN"/>
        </w:rPr>
        <w:t>9.3.</w:t>
      </w:r>
      <w:r>
        <w:rPr>
          <w:rFonts w:hint="eastAsia" w:ascii="Times New Roman" w:hAnsi="Times New Roman" w:eastAsia="黑体" w:cs="Times New Roman"/>
          <w:b/>
          <w:bCs/>
          <w:color w:val="auto"/>
          <w:kern w:val="2"/>
          <w:sz w:val="28"/>
          <w:szCs w:val="32"/>
          <w:highlight w:val="none"/>
          <w:lang w:val="en-US" w:eastAsia="zh-CN"/>
        </w:rPr>
        <w:t>5项目</w:t>
      </w:r>
      <w:r>
        <w:rPr>
          <w:rFonts w:hint="default" w:ascii="Times New Roman" w:hAnsi="Times New Roman" w:eastAsia="黑体" w:cs="Times New Roman"/>
          <w:b/>
          <w:bCs/>
          <w:color w:val="auto"/>
          <w:kern w:val="2"/>
          <w:sz w:val="28"/>
          <w:szCs w:val="32"/>
          <w:highlight w:val="none"/>
          <w:lang w:val="en-US" w:eastAsia="zh-CN"/>
        </w:rPr>
        <w:t>与</w:t>
      </w:r>
      <w:r>
        <w:rPr>
          <w:rFonts w:hint="default" w:ascii="Times New Roman" w:hAnsi="Times New Roman" w:eastAsia="黑体" w:cs="Times New Roman"/>
          <w:b/>
          <w:bCs/>
          <w:color w:val="auto"/>
          <w:sz w:val="28"/>
          <w:szCs w:val="28"/>
          <w:highlight w:val="none"/>
        </w:rPr>
        <w:t>《宁夏回族自治区农业农村现代化发展“十四五”规划》的符合性分析</w:t>
      </w:r>
    </w:p>
    <w:p w14:paraId="030218C9">
      <w:pPr>
        <w:bidi w:val="0"/>
        <w:spacing w:line="360" w:lineRule="auto"/>
        <w:rPr>
          <w:rFonts w:hint="eastAsia"/>
          <w:color w:val="auto"/>
          <w:lang w:val="en-US" w:eastAsia="zh-CN"/>
        </w:rPr>
      </w:pPr>
      <w:r>
        <w:rPr>
          <w:rFonts w:hint="eastAsia"/>
          <w:color w:val="auto"/>
          <w:lang w:val="en-US" w:eastAsia="zh-CN"/>
        </w:rPr>
        <w:t>根据《宁夏回族自治区农业农村现代化发展“十四五”规划》中：“第四章深化供给侧结构性改革，打造高水平供给保障体系。第二节提升重要农产品供给水平：肉牛产业。坚持“优质+高端”双轮驱动，进一步优化产业布局，扩大产业规模，提高综合效益，全力打造全国优质肉牛良种繁育基地和高端牛肉生产基地。.....。推进发展产业化，提高屠宰加工能力，加大产销衔接力度，提升品牌效益”；“第三节推动特色产业提质增效：绿色食品产业。大力发展农产品精深加工，打造绿色食品加工优势区，推动产业链、价值链、创新链、供应链加快构建、同步提升，形成以绿色食品加工引领现代农业产业发展的新格局”。</w:t>
      </w:r>
    </w:p>
    <w:p w14:paraId="19F9AC26">
      <w:pPr>
        <w:bidi w:val="0"/>
        <w:spacing w:line="360" w:lineRule="auto"/>
        <w:rPr>
          <w:rFonts w:hint="eastAsia"/>
          <w:color w:val="auto"/>
          <w:lang w:val="en-US" w:eastAsia="zh-CN"/>
        </w:rPr>
      </w:pPr>
      <w:r>
        <w:rPr>
          <w:rFonts w:hint="eastAsia"/>
          <w:color w:val="auto"/>
          <w:lang w:val="en-US" w:eastAsia="zh-CN"/>
        </w:rPr>
        <w:t>“第五章提升物质技术装备水平，推进农业高质量发展。第七节推动农村产业深度融合：提升农产品加工业。提升农产品精深加工水平，重点围绕粮油、牛羊肉、蔬菜、葡萄等农产品，开发一批即食性、功能性精深加工产品，加快推进食品加工产业化和现代化进程”。</w:t>
      </w:r>
    </w:p>
    <w:p w14:paraId="7C570A25">
      <w:pPr>
        <w:bidi w:val="0"/>
        <w:spacing w:line="360" w:lineRule="auto"/>
        <w:rPr>
          <w:rFonts w:hint="eastAsia"/>
          <w:color w:val="auto"/>
          <w:lang w:val="en-US" w:eastAsia="zh-CN"/>
        </w:rPr>
      </w:pPr>
      <w:r>
        <w:rPr>
          <w:rFonts w:hint="eastAsia"/>
          <w:color w:val="auto"/>
          <w:lang w:val="en-US" w:eastAsia="zh-CN"/>
        </w:rPr>
        <w:t>固原市科财肉制品加工有限公司以“高标准、高水平、高要求”规划、建设牛羊肉屠宰精深加工项目，配套建设牛羊肉屠宰加工工艺及设备，项目建设加快推进食品加工产业化和现代化进程，项目的实施与《宁夏回族自治区农业农村现代化发展“十四五”规划》相符。</w:t>
      </w:r>
    </w:p>
    <w:p w14:paraId="0ADB8057">
      <w:pPr>
        <w:pStyle w:val="2"/>
        <w:widowControl w:val="0"/>
        <w:adjustRightInd/>
        <w:snapToGrid/>
        <w:spacing w:line="360" w:lineRule="auto"/>
        <w:ind w:firstLine="0" w:firstLineChars="0"/>
        <w:outlineLvl w:val="2"/>
        <w:rPr>
          <w:rFonts w:hint="eastAsia" w:ascii="Times New Roman" w:hAnsi="Times New Roman" w:eastAsia="黑体" w:cs="Times New Roman"/>
          <w:b/>
          <w:bCs/>
          <w:color w:val="auto"/>
          <w:kern w:val="2"/>
          <w:sz w:val="28"/>
          <w:szCs w:val="32"/>
          <w:highlight w:val="none"/>
          <w:lang w:val="en-US" w:eastAsia="zh-CN"/>
        </w:rPr>
      </w:pPr>
      <w:r>
        <w:rPr>
          <w:rFonts w:hint="default" w:ascii="Times New Roman" w:hAnsi="Times New Roman" w:eastAsia="黑体" w:cs="Times New Roman"/>
          <w:b/>
          <w:bCs/>
          <w:color w:val="auto"/>
          <w:kern w:val="2"/>
          <w:sz w:val="28"/>
          <w:szCs w:val="32"/>
          <w:highlight w:val="none"/>
          <w:lang w:val="en-US" w:eastAsia="zh-CN"/>
        </w:rPr>
        <w:t>9.3.</w:t>
      </w:r>
      <w:r>
        <w:rPr>
          <w:rFonts w:hint="eastAsia" w:ascii="Times New Roman" w:hAnsi="Times New Roman" w:eastAsia="黑体" w:cs="Times New Roman"/>
          <w:b/>
          <w:bCs/>
          <w:color w:val="auto"/>
          <w:kern w:val="2"/>
          <w:sz w:val="28"/>
          <w:szCs w:val="32"/>
          <w:highlight w:val="none"/>
          <w:lang w:val="en-US" w:eastAsia="zh-CN"/>
        </w:rPr>
        <w:t>6</w:t>
      </w:r>
      <w:r>
        <w:rPr>
          <w:rFonts w:hint="default" w:ascii="Times New Roman" w:hAnsi="Times New Roman" w:eastAsia="黑体" w:cs="Times New Roman"/>
          <w:b/>
          <w:bCs/>
          <w:color w:val="auto"/>
          <w:kern w:val="2"/>
          <w:sz w:val="28"/>
          <w:szCs w:val="32"/>
          <w:highlight w:val="none"/>
          <w:lang w:val="en-US" w:eastAsia="zh-CN"/>
        </w:rPr>
        <w:t>与《固原市国民经济和社会发展第十四个五年规划纲要》的符合性分析</w:t>
      </w:r>
    </w:p>
    <w:p w14:paraId="6BF27666">
      <w:pPr>
        <w:bidi w:val="0"/>
        <w:spacing w:line="360" w:lineRule="auto"/>
        <w:rPr>
          <w:rFonts w:hint="eastAsia"/>
          <w:color w:val="auto"/>
          <w:lang w:val="en-US" w:eastAsia="zh-CN"/>
        </w:rPr>
      </w:pPr>
      <w:r>
        <w:rPr>
          <w:rFonts w:hint="eastAsia"/>
          <w:color w:val="auto"/>
          <w:lang w:val="en-US" w:eastAsia="zh-CN"/>
        </w:rPr>
        <w:t>根据《固原市国民经济和社会发展第十四个五年规划纲要》：“到2025年，全市肉牛饲养量达到120万头，良种化率达到90%以上，肉牛屠宰加工率达到70%以上，全产业链产值达到300亿元，把固原打造成全国高端牛肉加工基地”。“建设高端肉牛生产基地。充分利用自治区建设国家农业绿色发展先行区的政策机遇，坚持“优质+高效”双轮驱动，着力构建现代肉牛产业体系、生产体系、经营体系。推进布局区域化，按照“二轴一园五基地”整体布局，突出发展优质肉牛和特色牛肉加工，重点推行“家家种草、户户养牛、自繁自育、适度规模”生产经营方式，扩大养殖规模；加快区域特色牛肉加工业发展，延长产业链条，带动肉牛产业扩量提质增效”。</w:t>
      </w:r>
    </w:p>
    <w:p w14:paraId="168ABC8A">
      <w:pPr>
        <w:pStyle w:val="25"/>
        <w:spacing w:line="360" w:lineRule="auto"/>
        <w:rPr>
          <w:rFonts w:hint="default"/>
          <w:color w:val="auto"/>
          <w:lang w:val="en-US" w:eastAsia="zh-CN"/>
        </w:rPr>
      </w:pPr>
      <w:r>
        <w:rPr>
          <w:rFonts w:hint="eastAsia"/>
          <w:color w:val="auto"/>
          <w:lang w:val="en-US" w:eastAsia="zh-CN"/>
        </w:rPr>
        <w:t>本项目为</w:t>
      </w:r>
      <w:r>
        <w:rPr>
          <w:rFonts w:hint="eastAsia" w:ascii="Times New Roman" w:hAnsi="Times New Roman"/>
          <w:color w:val="auto"/>
        </w:rPr>
        <w:t>牛羊肉加工生产项目</w:t>
      </w:r>
      <w:r>
        <w:rPr>
          <w:rFonts w:hint="eastAsia"/>
          <w:color w:val="auto"/>
          <w:lang w:val="en-US" w:eastAsia="zh-CN"/>
        </w:rPr>
        <w:t>，</w:t>
      </w:r>
      <w:r>
        <w:rPr>
          <w:rFonts w:hint="eastAsia" w:ascii="Times New Roman" w:hAnsi="Times New Roman"/>
          <w:color w:val="auto"/>
        </w:rPr>
        <w:t>年屠宰牛</w:t>
      </w:r>
      <w:r>
        <w:rPr>
          <w:rFonts w:hint="eastAsia" w:ascii="Times New Roman" w:hAnsi="Times New Roman"/>
          <w:color w:val="auto"/>
          <w:lang w:val="en-US" w:eastAsia="zh-CN"/>
        </w:rPr>
        <w:t>10000</w:t>
      </w:r>
      <w:r>
        <w:rPr>
          <w:rFonts w:hint="eastAsia" w:ascii="Times New Roman" w:hAnsi="Times New Roman"/>
          <w:color w:val="auto"/>
        </w:rPr>
        <w:t>头</w:t>
      </w:r>
      <w:r>
        <w:rPr>
          <w:rFonts w:hint="eastAsia"/>
          <w:color w:val="auto"/>
          <w:lang w:eastAsia="zh-CN"/>
        </w:rPr>
        <w:t>、</w:t>
      </w:r>
      <w:r>
        <w:rPr>
          <w:rFonts w:hint="eastAsia" w:ascii="Times New Roman" w:hAnsi="Times New Roman"/>
          <w:color w:val="auto"/>
        </w:rPr>
        <w:t>羊</w:t>
      </w:r>
      <w:r>
        <w:rPr>
          <w:rFonts w:hint="eastAsia" w:ascii="Times New Roman" w:hAnsi="Times New Roman"/>
          <w:color w:val="auto"/>
          <w:lang w:val="en-US" w:eastAsia="zh-CN"/>
        </w:rPr>
        <w:t>15</w:t>
      </w:r>
      <w:r>
        <w:rPr>
          <w:rFonts w:hint="eastAsia" w:ascii="Times New Roman" w:hAnsi="Times New Roman"/>
          <w:color w:val="auto"/>
        </w:rPr>
        <w:t>万只</w:t>
      </w:r>
      <w:r>
        <w:rPr>
          <w:rFonts w:hint="eastAsia"/>
          <w:color w:val="auto"/>
          <w:lang w:val="en-US" w:eastAsia="zh-CN"/>
        </w:rPr>
        <w:t>。项目的实施可加快区域特色牛肉加工业发展，延长产业链条，带动肉牛产业扩量提质增效。因此，本项目建设符合《固原市国民经济和社会发展第十四个五年规划纲要》要求。</w:t>
      </w:r>
    </w:p>
    <w:p w14:paraId="0F4FF087">
      <w:pPr>
        <w:pStyle w:val="2"/>
        <w:widowControl w:val="0"/>
        <w:adjustRightInd/>
        <w:snapToGrid/>
        <w:ind w:firstLine="0" w:firstLineChars="0"/>
        <w:outlineLvl w:val="2"/>
        <w:rPr>
          <w:rFonts w:hint="eastAsia"/>
          <w:color w:val="auto"/>
          <w:lang w:val="en-US" w:eastAsia="zh-CN"/>
        </w:rPr>
      </w:pPr>
      <w:r>
        <w:rPr>
          <w:rFonts w:hint="default" w:ascii="Times New Roman" w:hAnsi="Times New Roman" w:eastAsia="黑体" w:cs="Times New Roman"/>
          <w:b/>
          <w:bCs/>
          <w:color w:val="auto"/>
          <w:kern w:val="2"/>
          <w:sz w:val="28"/>
          <w:szCs w:val="32"/>
          <w:highlight w:val="none"/>
          <w:lang w:val="en-US" w:eastAsia="zh-CN"/>
        </w:rPr>
        <w:t>9.3.</w:t>
      </w:r>
      <w:r>
        <w:rPr>
          <w:rFonts w:hint="eastAsia" w:ascii="Times New Roman" w:hAnsi="Times New Roman" w:eastAsia="黑体" w:cs="Times New Roman"/>
          <w:b/>
          <w:bCs/>
          <w:color w:val="auto"/>
          <w:kern w:val="2"/>
          <w:sz w:val="28"/>
          <w:szCs w:val="32"/>
          <w:highlight w:val="none"/>
          <w:lang w:val="en-US" w:eastAsia="zh-CN"/>
        </w:rPr>
        <w:t>7</w:t>
      </w:r>
      <w:r>
        <w:rPr>
          <w:rFonts w:hint="default" w:ascii="Times New Roman" w:hAnsi="Times New Roman" w:eastAsia="黑体" w:cs="Times New Roman"/>
          <w:b/>
          <w:bCs/>
          <w:color w:val="auto"/>
          <w:kern w:val="2"/>
          <w:sz w:val="28"/>
          <w:szCs w:val="32"/>
          <w:highlight w:val="none"/>
          <w:lang w:val="en-US" w:eastAsia="zh-CN"/>
        </w:rPr>
        <w:t>与《宁夏回族自治区畜禽屠宰管理条例》的符合性</w:t>
      </w:r>
      <w:r>
        <w:rPr>
          <w:rFonts w:hint="eastAsia" w:ascii="Times New Roman" w:hAnsi="Times New Roman" w:eastAsia="黑体" w:cs="Times New Roman"/>
          <w:b/>
          <w:bCs/>
          <w:color w:val="auto"/>
          <w:kern w:val="2"/>
          <w:sz w:val="28"/>
          <w:szCs w:val="32"/>
          <w:highlight w:val="none"/>
          <w:lang w:val="en-US" w:eastAsia="zh-CN"/>
        </w:rPr>
        <w:t>分析</w:t>
      </w:r>
    </w:p>
    <w:p w14:paraId="6A84FF23">
      <w:pPr>
        <w:pStyle w:val="25"/>
        <w:spacing w:line="360" w:lineRule="auto"/>
        <w:rPr>
          <w:rFonts w:hint="default"/>
          <w:color w:val="auto"/>
          <w:lang w:val="en-US" w:eastAsia="zh-CN"/>
        </w:rPr>
      </w:pPr>
      <w:r>
        <w:rPr>
          <w:rFonts w:hint="eastAsia"/>
          <w:color w:val="auto"/>
          <w:lang w:val="en-US" w:eastAsia="zh-CN"/>
        </w:rPr>
        <w:t>本项目与</w:t>
      </w:r>
      <w:r>
        <w:rPr>
          <w:rFonts w:hint="default"/>
          <w:color w:val="auto"/>
          <w:lang w:val="en-US" w:eastAsia="zh-CN"/>
        </w:rPr>
        <w:t>《宁夏回族自治区畜禽屠宰管理条例》</w:t>
      </w:r>
      <w:r>
        <w:rPr>
          <w:rFonts w:hint="eastAsia"/>
          <w:color w:val="auto"/>
          <w:lang w:val="en-US" w:eastAsia="zh-CN"/>
        </w:rPr>
        <w:t>符合性分析见下表。</w:t>
      </w:r>
    </w:p>
    <w:p w14:paraId="6579139E">
      <w:pPr>
        <w:pStyle w:val="25"/>
        <w:spacing w:line="360" w:lineRule="auto"/>
        <w:rPr>
          <w:rFonts w:hint="default"/>
          <w:color w:val="auto"/>
          <w:lang w:val="en-US" w:eastAsia="zh-CN"/>
        </w:rPr>
        <w:sectPr>
          <w:headerReference r:id="rId36"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795104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12" w:firstLineChars="200"/>
        <w:textAlignment w:val="auto"/>
        <w:rPr>
          <w:rFonts w:asciiTheme="minorHAnsi" w:hAnsiTheme="minorHAnsi" w:eastAsiaTheme="minorEastAsia" w:cstheme="minorBidi"/>
          <w:b/>
          <w:bCs/>
          <w:color w:val="auto"/>
          <w:spacing w:val="-2"/>
          <w:kern w:val="0"/>
          <w:sz w:val="24"/>
          <w:szCs w:val="24"/>
          <w:lang w:val="en-US" w:eastAsia="zh-CN" w:bidi="ar-SA"/>
        </w:rPr>
      </w:pPr>
      <w:r>
        <w:rPr>
          <w:rFonts w:hint="default" w:ascii="Times New Roman" w:hAnsi="Times New Roman" w:cs="Times New Roman" w:eastAsiaTheme="minorEastAsia"/>
          <w:b w:val="0"/>
          <w:bCs w:val="0"/>
          <w:color w:val="auto"/>
          <w:spacing w:val="-2"/>
          <w:kern w:val="0"/>
          <w:sz w:val="21"/>
          <w:szCs w:val="21"/>
          <w:lang w:val="en-US" w:eastAsia="zh-CN" w:bidi="ar-SA"/>
        </w:rPr>
        <w:t>表</w:t>
      </w:r>
      <w:r>
        <w:rPr>
          <w:rFonts w:hint="eastAsia" w:cs="Times New Roman" w:eastAsiaTheme="minorEastAsia"/>
          <w:b w:val="0"/>
          <w:bCs w:val="0"/>
          <w:color w:val="auto"/>
          <w:spacing w:val="-2"/>
          <w:kern w:val="0"/>
          <w:sz w:val="21"/>
          <w:szCs w:val="21"/>
          <w:lang w:val="en-US" w:eastAsia="zh-CN" w:bidi="ar-SA"/>
        </w:rPr>
        <w:t>9.3-2</w:t>
      </w:r>
      <w:r>
        <w:rPr>
          <w:rFonts w:hint="default" w:ascii="Times New Roman" w:hAnsi="Times New Roman" w:cs="Times New Roman" w:eastAsiaTheme="minorEastAsia"/>
          <w:b w:val="0"/>
          <w:bCs w:val="0"/>
          <w:color w:val="auto"/>
          <w:spacing w:val="-2"/>
          <w:kern w:val="0"/>
          <w:sz w:val="21"/>
          <w:szCs w:val="21"/>
          <w:lang w:val="en-US" w:eastAsia="zh-CN" w:bidi="ar-SA"/>
        </w:rPr>
        <w:t xml:space="preserve">   </w:t>
      </w:r>
      <w:r>
        <w:rPr>
          <w:rFonts w:hint="eastAsia" w:cs="Times New Roman" w:eastAsiaTheme="minorEastAsia"/>
          <w:b w:val="0"/>
          <w:bCs w:val="0"/>
          <w:color w:val="auto"/>
          <w:spacing w:val="-2"/>
          <w:kern w:val="0"/>
          <w:sz w:val="21"/>
          <w:szCs w:val="21"/>
          <w:lang w:val="en-US" w:eastAsia="zh-CN" w:bidi="ar-SA"/>
        </w:rPr>
        <w:t xml:space="preserve">                        </w:t>
      </w:r>
      <w:r>
        <w:rPr>
          <w:rFonts w:hint="default" w:ascii="Times New Roman" w:hAnsi="Times New Roman" w:cs="Times New Roman" w:eastAsiaTheme="minorEastAsia"/>
          <w:b w:val="0"/>
          <w:bCs w:val="0"/>
          <w:color w:val="auto"/>
          <w:spacing w:val="-2"/>
          <w:kern w:val="0"/>
          <w:sz w:val="21"/>
          <w:szCs w:val="21"/>
          <w:lang w:val="en-US" w:eastAsia="zh-CN" w:bidi="ar-SA"/>
        </w:rPr>
        <w:t xml:space="preserve">     </w:t>
      </w:r>
      <w:r>
        <w:rPr>
          <w:rFonts w:asciiTheme="minorHAnsi" w:hAnsiTheme="minorHAnsi" w:eastAsiaTheme="minorEastAsia" w:cstheme="minorBidi"/>
          <w:b/>
          <w:bCs/>
          <w:color w:val="auto"/>
          <w:spacing w:val="-2"/>
          <w:kern w:val="0"/>
          <w:sz w:val="24"/>
          <w:szCs w:val="24"/>
          <w:lang w:val="en-US" w:eastAsia="zh-CN" w:bidi="ar-SA"/>
        </w:rPr>
        <w:t>项目与《宁夏回族自治区畜禽屠宰管理条例》符合性分析</w:t>
      </w:r>
    </w:p>
    <w:tbl>
      <w:tblPr>
        <w:tblStyle w:val="46"/>
        <w:tblW w:w="507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87"/>
        <w:gridCol w:w="735"/>
        <w:gridCol w:w="5911"/>
        <w:gridCol w:w="5310"/>
        <w:gridCol w:w="1047"/>
      </w:tblGrid>
      <w:tr w14:paraId="43E010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518" w:type="dxa"/>
            <w:gridSpan w:val="2"/>
            <w:tcBorders>
              <w:tl2br w:val="nil"/>
              <w:tr2bl w:val="nil"/>
            </w:tcBorders>
            <w:vAlign w:val="center"/>
          </w:tcPr>
          <w:p w14:paraId="40CB790B">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6" w:firstLineChars="200"/>
              <w:jc w:val="both"/>
              <w:textAlignment w:val="auto"/>
              <w:rPr>
                <w:rFonts w:hint="default" w:ascii="Times New Roman" w:hAnsi="Times New Roman" w:eastAsia="宋体" w:cs="Times New Roman"/>
                <w:b/>
                <w:bCs/>
                <w:color w:val="auto"/>
                <w:spacing w:val="6"/>
                <w:kern w:val="2"/>
                <w:sz w:val="21"/>
                <w:szCs w:val="21"/>
                <w:lang w:val="en-US" w:eastAsia="zh-CN" w:bidi="ar-SA"/>
              </w:rPr>
            </w:pPr>
            <w:r>
              <w:rPr>
                <w:rFonts w:hint="default" w:ascii="Times New Roman" w:hAnsi="Times New Roman" w:eastAsia="宋体" w:cs="Times New Roman"/>
                <w:b/>
                <w:bCs/>
                <w:color w:val="auto"/>
                <w:spacing w:val="6"/>
                <w:kern w:val="2"/>
                <w:sz w:val="21"/>
                <w:szCs w:val="21"/>
                <w:lang w:val="en-US" w:eastAsia="zh-CN" w:bidi="ar-SA"/>
              </w:rPr>
              <w:t>类别</w:t>
            </w:r>
          </w:p>
        </w:tc>
        <w:tc>
          <w:tcPr>
            <w:tcW w:w="5898" w:type="dxa"/>
            <w:tcBorders>
              <w:tl2br w:val="nil"/>
              <w:tr2bl w:val="nil"/>
            </w:tcBorders>
            <w:vAlign w:val="center"/>
          </w:tcPr>
          <w:p w14:paraId="705478D0">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auto"/>
                <w:spacing w:val="6"/>
                <w:kern w:val="2"/>
                <w:sz w:val="21"/>
                <w:szCs w:val="21"/>
                <w:lang w:val="en-US" w:eastAsia="zh-CN" w:bidi="ar-SA"/>
              </w:rPr>
            </w:pPr>
            <w:r>
              <w:rPr>
                <w:rFonts w:hint="default" w:ascii="Times New Roman" w:hAnsi="Times New Roman" w:eastAsia="宋体" w:cs="Times New Roman"/>
                <w:b/>
                <w:bCs/>
                <w:color w:val="auto"/>
                <w:spacing w:val="6"/>
                <w:kern w:val="2"/>
                <w:sz w:val="21"/>
                <w:szCs w:val="21"/>
                <w:lang w:val="en-US" w:eastAsia="zh-CN" w:bidi="ar-SA"/>
              </w:rPr>
              <w:t>要求</w:t>
            </w:r>
          </w:p>
        </w:tc>
        <w:tc>
          <w:tcPr>
            <w:tcW w:w="5298" w:type="dxa"/>
            <w:tcBorders>
              <w:tl2br w:val="nil"/>
              <w:tr2bl w:val="nil"/>
            </w:tcBorders>
            <w:vAlign w:val="center"/>
          </w:tcPr>
          <w:p w14:paraId="09814416">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auto"/>
                <w:spacing w:val="6"/>
                <w:kern w:val="2"/>
                <w:sz w:val="21"/>
                <w:szCs w:val="21"/>
                <w:lang w:val="en-US" w:eastAsia="zh-CN" w:bidi="ar-SA"/>
              </w:rPr>
            </w:pPr>
            <w:r>
              <w:rPr>
                <w:rFonts w:hint="default" w:ascii="Times New Roman" w:hAnsi="Times New Roman" w:eastAsia="宋体" w:cs="Times New Roman"/>
                <w:b/>
                <w:bCs/>
                <w:color w:val="auto"/>
                <w:spacing w:val="6"/>
                <w:kern w:val="2"/>
                <w:sz w:val="21"/>
                <w:szCs w:val="21"/>
                <w:lang w:val="en-US" w:eastAsia="zh-CN" w:bidi="ar-SA"/>
              </w:rPr>
              <w:t>符合性分析</w:t>
            </w:r>
          </w:p>
        </w:tc>
        <w:tc>
          <w:tcPr>
            <w:tcW w:w="1045" w:type="dxa"/>
            <w:tcBorders>
              <w:tl2br w:val="nil"/>
              <w:tr2bl w:val="nil"/>
            </w:tcBorders>
            <w:vAlign w:val="center"/>
          </w:tcPr>
          <w:p w14:paraId="33A1BAF2">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auto"/>
                <w:spacing w:val="6"/>
                <w:kern w:val="2"/>
                <w:sz w:val="21"/>
                <w:szCs w:val="21"/>
                <w:lang w:val="en-US" w:eastAsia="zh-CN" w:bidi="ar-SA"/>
              </w:rPr>
            </w:pPr>
            <w:r>
              <w:rPr>
                <w:rFonts w:hint="eastAsia" w:ascii="Times New Roman" w:hAnsi="Times New Roman" w:eastAsia="宋体" w:cs="Times New Roman"/>
                <w:b/>
                <w:bCs/>
                <w:color w:val="auto"/>
                <w:spacing w:val="6"/>
                <w:kern w:val="2"/>
                <w:sz w:val="21"/>
                <w:szCs w:val="21"/>
                <w:lang w:val="en-US" w:eastAsia="zh-CN" w:bidi="ar-SA"/>
              </w:rPr>
              <w:t>是否符合</w:t>
            </w:r>
          </w:p>
        </w:tc>
      </w:tr>
      <w:tr w14:paraId="0CF00A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0" w:hRule="atLeast"/>
          <w:jc w:val="center"/>
        </w:trPr>
        <w:tc>
          <w:tcPr>
            <w:tcW w:w="785" w:type="dxa"/>
            <w:vMerge w:val="restart"/>
            <w:tcBorders>
              <w:tl2br w:val="nil"/>
              <w:tr2bl w:val="nil"/>
            </w:tcBorders>
            <w:vAlign w:val="center"/>
          </w:tcPr>
          <w:p w14:paraId="3F91619F">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《宁夏回族自治区畜禽屠宰管理条例》（宁夏回族自治区人大常务委员会，2018年1月1日）</w:t>
            </w:r>
          </w:p>
        </w:tc>
        <w:tc>
          <w:tcPr>
            <w:tcW w:w="733" w:type="dxa"/>
            <w:tcBorders>
              <w:tl2br w:val="nil"/>
              <w:tr2bl w:val="nil"/>
            </w:tcBorders>
            <w:vAlign w:val="center"/>
          </w:tcPr>
          <w:p w14:paraId="6B1DC720">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第一</w:t>
            </w:r>
            <w:r>
              <w:rPr>
                <w:rFonts w:hint="default" w:ascii="Times New Roman" w:hAnsi="Times New Roman" w:eastAsia="宋体" w:cs="Times New Roman"/>
                <w:color w:val="auto"/>
                <w:spacing w:val="6"/>
                <w:kern w:val="2"/>
                <w:sz w:val="21"/>
                <w:szCs w:val="21"/>
                <w:lang w:val="en-US" w:eastAsia="zh-CN" w:bidi="ar-SA"/>
              </w:rPr>
              <w:t>章</w:t>
            </w:r>
            <w:r>
              <w:rPr>
                <w:rFonts w:hint="eastAsia" w:ascii="Times New Roman" w:hAnsi="Times New Roman" w:eastAsia="宋体" w:cs="Times New Roman"/>
                <w:color w:val="auto"/>
                <w:spacing w:val="6"/>
                <w:kern w:val="2"/>
                <w:sz w:val="21"/>
                <w:szCs w:val="21"/>
                <w:lang w:val="en-US" w:eastAsia="zh-CN" w:bidi="ar-SA"/>
              </w:rPr>
              <w:t>总则</w:t>
            </w:r>
          </w:p>
        </w:tc>
        <w:tc>
          <w:tcPr>
            <w:tcW w:w="5898" w:type="dxa"/>
            <w:tcBorders>
              <w:tl2br w:val="nil"/>
              <w:tr2bl w:val="nil"/>
            </w:tcBorders>
            <w:vAlign w:val="center"/>
          </w:tcPr>
          <w:p w14:paraId="7EA2B71F">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第四条：</w:t>
            </w:r>
            <w:r>
              <w:rPr>
                <w:rFonts w:hint="default" w:ascii="Times New Roman" w:hAnsi="Times New Roman" w:eastAsia="宋体" w:cs="Times New Roman"/>
                <w:color w:val="auto"/>
                <w:spacing w:val="6"/>
                <w:kern w:val="2"/>
                <w:sz w:val="21"/>
                <w:szCs w:val="21"/>
                <w:lang w:val="en-US" w:eastAsia="zh-CN" w:bidi="ar-SA"/>
              </w:rPr>
              <w:t>自治区实行畜禽定点屠宰，集中检疫制度。未经定点，任何单位和个人不得从事畜禽屠宰活动。农村居民自宰自食家畜家禽、城镇居民自宰自食家禽的除外</w:t>
            </w:r>
            <w:r>
              <w:rPr>
                <w:rFonts w:hint="eastAsia" w:ascii="Times New Roman" w:hAnsi="Times New Roman" w:eastAsia="宋体" w:cs="Times New Roman"/>
                <w:color w:val="auto"/>
                <w:spacing w:val="6"/>
                <w:kern w:val="2"/>
                <w:sz w:val="21"/>
                <w:szCs w:val="21"/>
                <w:lang w:val="en-US" w:eastAsia="zh-CN" w:bidi="ar-SA"/>
              </w:rPr>
              <w:t>。</w:t>
            </w:r>
          </w:p>
        </w:tc>
        <w:tc>
          <w:tcPr>
            <w:tcW w:w="5298" w:type="dxa"/>
            <w:tcBorders>
              <w:tl2br w:val="nil"/>
              <w:tr2bl w:val="nil"/>
            </w:tcBorders>
            <w:vAlign w:val="center"/>
          </w:tcPr>
          <w:p w14:paraId="01CBE544">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建设单位正在申请办理屠宰证，在屠宰证未办理下来前不进行屠宰。</w:t>
            </w:r>
          </w:p>
        </w:tc>
        <w:tc>
          <w:tcPr>
            <w:tcW w:w="1045" w:type="dxa"/>
            <w:tcBorders>
              <w:tl2br w:val="nil"/>
              <w:tr2bl w:val="nil"/>
            </w:tcBorders>
            <w:vAlign w:val="center"/>
          </w:tcPr>
          <w:p w14:paraId="10D6D4E2">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4A0492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63" w:hRule="atLeast"/>
          <w:jc w:val="center"/>
        </w:trPr>
        <w:tc>
          <w:tcPr>
            <w:tcW w:w="785" w:type="dxa"/>
            <w:vMerge w:val="continue"/>
            <w:tcBorders>
              <w:tl2br w:val="nil"/>
              <w:tr2bl w:val="nil"/>
            </w:tcBorders>
            <w:vAlign w:val="center"/>
          </w:tcPr>
          <w:p w14:paraId="6D286EB8">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restart"/>
            <w:tcBorders>
              <w:tl2br w:val="nil"/>
              <w:tr2bl w:val="nil"/>
            </w:tcBorders>
            <w:vAlign w:val="center"/>
          </w:tcPr>
          <w:p w14:paraId="7F396405">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第二章规划与设立</w:t>
            </w:r>
          </w:p>
        </w:tc>
        <w:tc>
          <w:tcPr>
            <w:tcW w:w="5898" w:type="dxa"/>
            <w:tcBorders>
              <w:tl2br w:val="nil"/>
              <w:tr2bl w:val="nil"/>
            </w:tcBorders>
            <w:vAlign w:val="center"/>
          </w:tcPr>
          <w:p w14:paraId="05F55D53">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第九条畜禽定点屠宰厂(场)的选址，应当远离居民聚居区、生活饮用水源保护区，避开产生有害物质的工业企业以及垃圾场、污水沟等污染源。</w:t>
            </w:r>
          </w:p>
        </w:tc>
        <w:tc>
          <w:tcPr>
            <w:tcW w:w="5298" w:type="dxa"/>
            <w:tcBorders>
              <w:tl2br w:val="nil"/>
              <w:tr2bl w:val="nil"/>
            </w:tcBorders>
            <w:vAlign w:val="center"/>
          </w:tcPr>
          <w:p w14:paraId="3482C66E">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本项目位于固原市固原经济开发区轻工产业园规划范围内，为固原市畜禽定点屠宰厂，距离油坊沟村140m，周边无</w:t>
            </w:r>
            <w:r>
              <w:rPr>
                <w:rFonts w:hint="default" w:ascii="Times New Roman" w:hAnsi="Times New Roman" w:eastAsia="宋体" w:cs="Times New Roman"/>
                <w:color w:val="auto"/>
                <w:spacing w:val="6"/>
                <w:kern w:val="2"/>
                <w:sz w:val="21"/>
                <w:szCs w:val="21"/>
                <w:lang w:val="en-US" w:eastAsia="zh-CN" w:bidi="ar-SA"/>
              </w:rPr>
              <w:t>生活饮用水源保护区</w:t>
            </w:r>
            <w:r>
              <w:rPr>
                <w:rFonts w:hint="eastAsia" w:ascii="Times New Roman" w:hAnsi="Times New Roman" w:eastAsia="宋体" w:cs="Times New Roman"/>
                <w:color w:val="auto"/>
                <w:spacing w:val="6"/>
                <w:kern w:val="2"/>
                <w:sz w:val="21"/>
                <w:szCs w:val="21"/>
                <w:lang w:val="en-US" w:eastAsia="zh-CN" w:bidi="ar-SA"/>
              </w:rPr>
              <w:t>和</w:t>
            </w:r>
            <w:r>
              <w:rPr>
                <w:rFonts w:hint="default" w:ascii="Times New Roman" w:hAnsi="Times New Roman" w:eastAsia="宋体" w:cs="Times New Roman"/>
                <w:color w:val="auto"/>
                <w:spacing w:val="6"/>
                <w:kern w:val="2"/>
                <w:sz w:val="21"/>
                <w:szCs w:val="21"/>
                <w:lang w:val="en-US" w:eastAsia="zh-CN" w:bidi="ar-SA"/>
              </w:rPr>
              <w:t>产生有害物质的工业企业以及垃圾场、污水沟等污染源</w:t>
            </w:r>
            <w:r>
              <w:rPr>
                <w:rFonts w:hint="eastAsia" w:ascii="Times New Roman" w:hAnsi="Times New Roman" w:eastAsia="宋体" w:cs="Times New Roman"/>
                <w:color w:val="auto"/>
                <w:spacing w:val="6"/>
                <w:kern w:val="2"/>
                <w:sz w:val="21"/>
                <w:szCs w:val="21"/>
                <w:lang w:val="en-US" w:eastAsia="zh-CN" w:bidi="ar-SA"/>
              </w:rPr>
              <w:t>。</w:t>
            </w:r>
          </w:p>
        </w:tc>
        <w:tc>
          <w:tcPr>
            <w:tcW w:w="1045" w:type="dxa"/>
            <w:tcBorders>
              <w:tl2br w:val="nil"/>
              <w:tr2bl w:val="nil"/>
            </w:tcBorders>
            <w:vAlign w:val="center"/>
          </w:tcPr>
          <w:p w14:paraId="79F27295">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0ECF03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8" w:hRule="atLeast"/>
          <w:jc w:val="center"/>
        </w:trPr>
        <w:tc>
          <w:tcPr>
            <w:tcW w:w="785" w:type="dxa"/>
            <w:vMerge w:val="continue"/>
            <w:tcBorders>
              <w:tl2br w:val="nil"/>
              <w:tr2bl w:val="nil"/>
            </w:tcBorders>
            <w:vAlign w:val="center"/>
          </w:tcPr>
          <w:p w14:paraId="4B2FA6F2">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continue"/>
            <w:tcBorders>
              <w:tl2br w:val="nil"/>
              <w:tr2bl w:val="nil"/>
            </w:tcBorders>
            <w:vAlign w:val="center"/>
          </w:tcPr>
          <w:p w14:paraId="22DF5EB6">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5898" w:type="dxa"/>
            <w:tcBorders>
              <w:tl2br w:val="nil"/>
              <w:tr2bl w:val="nil"/>
            </w:tcBorders>
            <w:vAlign w:val="center"/>
          </w:tcPr>
          <w:p w14:paraId="18B7C7F7">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第十条设立畜禽定点屠宰厂(场)应当具备下列条件：</w:t>
            </w:r>
          </w:p>
          <w:p w14:paraId="5D72FF00">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(一)有与屠宰规模相适应、水质符合国家规定标准的水源条件；</w:t>
            </w:r>
          </w:p>
          <w:p w14:paraId="03D31597">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(二)有符合国家规定要求的待宰间、屠宰间、急宰间以及畜禽屠宰设备和运载工</w:t>
            </w:r>
          </w:p>
          <w:p w14:paraId="6A0EF6AD">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具；</w:t>
            </w:r>
          </w:p>
          <w:p w14:paraId="071E594E">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(三)有依法取得健康证明的屠宰技术人员；</w:t>
            </w:r>
          </w:p>
          <w:p w14:paraId="31421F98">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(四)有肉品品质检验人员；</w:t>
            </w:r>
          </w:p>
          <w:p w14:paraId="5F4E6B2E">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(五)有符合国家规定要求的检验设备、消毒设施以及符合环境保护要求的污染防治设施；</w:t>
            </w:r>
          </w:p>
          <w:p w14:paraId="24BD50F7">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(六)有病害畜禽及畜禽产品无害化处理设施；</w:t>
            </w:r>
          </w:p>
          <w:p w14:paraId="3680DC85">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(七)依法取得动物防疫条件合格证。用于清真食品的牛羊、家禽定点屠宰厂(场)的设立，还应当符合《宁夏回族自治区清真食品管理条例》的规定。</w:t>
            </w:r>
          </w:p>
        </w:tc>
        <w:tc>
          <w:tcPr>
            <w:tcW w:w="5298" w:type="dxa"/>
            <w:tcBorders>
              <w:tl2br w:val="nil"/>
              <w:tr2bl w:val="nil"/>
            </w:tcBorders>
            <w:vAlign w:val="center"/>
          </w:tcPr>
          <w:p w14:paraId="572199C7">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1、给水由</w:t>
            </w:r>
            <w:r>
              <w:rPr>
                <w:rFonts w:hint="eastAsia" w:ascii="Times New Roman" w:hAnsi="Times New Roman" w:eastAsia="宋体" w:cs="Times New Roman"/>
                <w:color w:val="auto"/>
                <w:spacing w:val="6"/>
                <w:kern w:val="2"/>
                <w:sz w:val="21"/>
                <w:szCs w:val="21"/>
                <w:lang w:val="en-US" w:eastAsia="zh-CN" w:bidi="ar-SA"/>
              </w:rPr>
              <w:t>园区</w:t>
            </w:r>
            <w:r>
              <w:rPr>
                <w:rFonts w:hint="default" w:ascii="Times New Roman" w:hAnsi="Times New Roman" w:eastAsia="宋体" w:cs="Times New Roman"/>
                <w:color w:val="auto"/>
                <w:spacing w:val="6"/>
                <w:kern w:val="2"/>
                <w:sz w:val="21"/>
                <w:szCs w:val="21"/>
                <w:lang w:val="en-US" w:eastAsia="zh-CN" w:bidi="ar-SA"/>
              </w:rPr>
              <w:t>供水管网供给，该水源</w:t>
            </w:r>
            <w:r>
              <w:rPr>
                <w:rFonts w:hint="eastAsia" w:ascii="Times New Roman" w:hAnsi="Times New Roman" w:eastAsia="宋体" w:cs="Times New Roman"/>
                <w:color w:val="auto"/>
                <w:spacing w:val="6"/>
                <w:kern w:val="2"/>
                <w:sz w:val="21"/>
                <w:szCs w:val="21"/>
                <w:lang w:val="en-US" w:eastAsia="zh-CN" w:bidi="ar-SA"/>
              </w:rPr>
              <w:t>符合</w:t>
            </w:r>
            <w:r>
              <w:rPr>
                <w:rFonts w:hint="default" w:ascii="Times New Roman" w:hAnsi="Times New Roman" w:eastAsia="宋体" w:cs="Times New Roman"/>
                <w:color w:val="auto"/>
                <w:spacing w:val="6"/>
                <w:kern w:val="2"/>
                <w:sz w:val="21"/>
                <w:szCs w:val="21"/>
                <w:lang w:val="en-US" w:eastAsia="zh-CN" w:bidi="ar-SA"/>
              </w:rPr>
              <w:t>屠宰规模相适应、水质符合国家规定标准的水源条件；</w:t>
            </w:r>
          </w:p>
          <w:p w14:paraId="1C40FED5">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2、项目按要求建设待宰圈、屠宰加工车间、急宰间以及</w:t>
            </w:r>
            <w:r>
              <w:rPr>
                <w:rFonts w:hint="eastAsia" w:ascii="Times New Roman" w:hAnsi="Times New Roman" w:eastAsia="宋体" w:cs="Times New Roman"/>
                <w:color w:val="auto"/>
                <w:spacing w:val="6"/>
                <w:kern w:val="2"/>
                <w:sz w:val="21"/>
                <w:szCs w:val="21"/>
                <w:lang w:val="en-US" w:eastAsia="zh-CN" w:bidi="ar-SA"/>
              </w:rPr>
              <w:t>其他配套</w:t>
            </w:r>
            <w:r>
              <w:rPr>
                <w:rFonts w:hint="default" w:ascii="Times New Roman" w:hAnsi="Times New Roman" w:eastAsia="宋体" w:cs="Times New Roman"/>
                <w:color w:val="auto"/>
                <w:spacing w:val="6"/>
                <w:kern w:val="2"/>
                <w:sz w:val="21"/>
                <w:szCs w:val="21"/>
                <w:lang w:val="en-US" w:eastAsia="zh-CN" w:bidi="ar-SA"/>
              </w:rPr>
              <w:t>设施；</w:t>
            </w:r>
          </w:p>
          <w:p w14:paraId="7BF634BF">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3~4、招聘</w:t>
            </w:r>
            <w:r>
              <w:rPr>
                <w:rFonts w:hint="eastAsia" w:ascii="Times New Roman" w:hAnsi="Times New Roman" w:eastAsia="宋体" w:cs="Times New Roman"/>
                <w:color w:val="auto"/>
                <w:spacing w:val="6"/>
                <w:kern w:val="2"/>
                <w:sz w:val="21"/>
                <w:szCs w:val="21"/>
                <w:lang w:val="en-US" w:eastAsia="zh-CN" w:bidi="ar-SA"/>
              </w:rPr>
              <w:t>有健康证的屠宰技术人员及</w:t>
            </w:r>
            <w:r>
              <w:rPr>
                <w:rFonts w:hint="default" w:ascii="Times New Roman" w:hAnsi="Times New Roman" w:eastAsia="宋体" w:cs="Times New Roman"/>
                <w:color w:val="auto"/>
                <w:spacing w:val="6"/>
                <w:kern w:val="2"/>
                <w:sz w:val="21"/>
                <w:szCs w:val="21"/>
                <w:lang w:val="en-US" w:eastAsia="zh-CN" w:bidi="ar-SA"/>
              </w:rPr>
              <w:t>有肉品品质检验人员；</w:t>
            </w:r>
          </w:p>
          <w:p w14:paraId="2FB07299">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5、厂区配套建设有防疫室、消毒池等设施；</w:t>
            </w:r>
          </w:p>
          <w:p w14:paraId="4C405DA4">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6、项目</w:t>
            </w:r>
            <w:r>
              <w:rPr>
                <w:rFonts w:hint="eastAsia" w:ascii="Times New Roman" w:hAnsi="Times New Roman" w:eastAsia="宋体" w:cs="Times New Roman"/>
                <w:color w:val="auto"/>
                <w:spacing w:val="6"/>
                <w:kern w:val="2"/>
                <w:sz w:val="21"/>
                <w:szCs w:val="21"/>
                <w:lang w:val="en-US" w:eastAsia="zh-CN" w:bidi="ar-SA"/>
              </w:rPr>
              <w:t>产生的</w:t>
            </w:r>
            <w:r>
              <w:rPr>
                <w:rFonts w:hint="default" w:ascii="Times New Roman" w:hAnsi="Times New Roman" w:eastAsia="宋体" w:cs="Times New Roman"/>
                <w:color w:val="auto"/>
                <w:spacing w:val="6"/>
                <w:kern w:val="2"/>
                <w:sz w:val="21"/>
                <w:szCs w:val="21"/>
                <w:lang w:val="en-US" w:eastAsia="zh-CN" w:bidi="ar-SA"/>
              </w:rPr>
              <w:t>病害动物经急宰后交由有资质单位处理；</w:t>
            </w:r>
          </w:p>
          <w:p w14:paraId="2E5AB6E1">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7、项目建成后依法办理。</w:t>
            </w:r>
          </w:p>
        </w:tc>
        <w:tc>
          <w:tcPr>
            <w:tcW w:w="1045" w:type="dxa"/>
            <w:tcBorders>
              <w:tl2br w:val="nil"/>
              <w:tr2bl w:val="nil"/>
            </w:tcBorders>
            <w:vAlign w:val="center"/>
          </w:tcPr>
          <w:p w14:paraId="7431AF0E">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505300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dxa"/>
            <w:vMerge w:val="continue"/>
            <w:tcBorders>
              <w:tl2br w:val="nil"/>
              <w:tr2bl w:val="nil"/>
            </w:tcBorders>
            <w:vAlign w:val="center"/>
          </w:tcPr>
          <w:p w14:paraId="168EC095">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restart"/>
            <w:tcBorders>
              <w:tl2br w:val="nil"/>
              <w:tr2bl w:val="nil"/>
            </w:tcBorders>
            <w:vAlign w:val="center"/>
          </w:tcPr>
          <w:p w14:paraId="41FC526E">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第三章屠宰与检疫检验</w:t>
            </w:r>
          </w:p>
        </w:tc>
        <w:tc>
          <w:tcPr>
            <w:tcW w:w="5898" w:type="dxa"/>
            <w:tcBorders>
              <w:tl2br w:val="nil"/>
              <w:tr2bl w:val="nil"/>
            </w:tcBorders>
            <w:shd w:val="clear" w:color="auto" w:fill="auto"/>
            <w:vAlign w:val="center"/>
          </w:tcPr>
          <w:p w14:paraId="543EDE50">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第十一条：</w:t>
            </w:r>
            <w:r>
              <w:rPr>
                <w:rFonts w:hint="default" w:ascii="Times New Roman" w:hAnsi="Times New Roman" w:eastAsia="宋体" w:cs="Times New Roman"/>
                <w:color w:val="auto"/>
                <w:spacing w:val="6"/>
                <w:kern w:val="2"/>
                <w:sz w:val="21"/>
                <w:szCs w:val="21"/>
                <w:lang w:val="en-US" w:eastAsia="zh-CN" w:bidi="ar-SA"/>
              </w:rPr>
              <w:t>申请设立畜禽定点屠宰厂(场)的，申请人应当向设区的市人民政府畜牧兽医主管部门提出申请，提交相关材料;畜牧兽医主管部门自收到申请之日起三个工作日内，将申请材料报送本级人民政府</w:t>
            </w:r>
            <w:r>
              <w:rPr>
                <w:rFonts w:hint="eastAsia" w:ascii="Times New Roman" w:hAnsi="Times New Roman" w:eastAsia="宋体" w:cs="Times New Roman"/>
                <w:color w:val="auto"/>
                <w:spacing w:val="6"/>
                <w:kern w:val="2"/>
                <w:sz w:val="21"/>
                <w:szCs w:val="21"/>
                <w:lang w:val="en-US" w:eastAsia="zh-CN" w:bidi="ar-SA"/>
              </w:rPr>
              <w:t>。</w:t>
            </w:r>
          </w:p>
        </w:tc>
        <w:tc>
          <w:tcPr>
            <w:tcW w:w="5298" w:type="dxa"/>
            <w:tcBorders>
              <w:tl2br w:val="nil"/>
              <w:tr2bl w:val="nil"/>
            </w:tcBorders>
            <w:shd w:val="clear" w:color="auto" w:fill="auto"/>
            <w:vAlign w:val="center"/>
          </w:tcPr>
          <w:p w14:paraId="29BAF0A7">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44" w:firstLineChars="200"/>
              <w:jc w:val="both"/>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建设单位已取得</w:t>
            </w:r>
            <w:r>
              <w:rPr>
                <w:rFonts w:hint="default" w:ascii="Times New Roman" w:hAnsi="Times New Roman" w:eastAsia="宋体" w:cs="Times New Roman"/>
                <w:color w:val="auto"/>
                <w:spacing w:val="6"/>
                <w:kern w:val="2"/>
                <w:sz w:val="21"/>
                <w:szCs w:val="21"/>
                <w:lang w:val="en-US" w:eastAsia="zh-CN" w:bidi="ar-SA"/>
              </w:rPr>
              <w:t>畜禽定点屠宰厂(场)</w:t>
            </w:r>
            <w:r>
              <w:rPr>
                <w:rFonts w:hint="eastAsia" w:ascii="Times New Roman" w:hAnsi="Times New Roman" w:eastAsia="宋体" w:cs="Times New Roman"/>
                <w:color w:val="auto"/>
                <w:spacing w:val="6"/>
                <w:kern w:val="2"/>
                <w:sz w:val="21"/>
                <w:szCs w:val="21"/>
                <w:lang w:val="en-US" w:eastAsia="zh-CN" w:bidi="ar-SA"/>
              </w:rPr>
              <w:t>的选址意见，建设单位正在申请办理屠宰证，在屠宰证未办理下来前不进行屠宰。</w:t>
            </w:r>
          </w:p>
        </w:tc>
        <w:tc>
          <w:tcPr>
            <w:tcW w:w="1045" w:type="dxa"/>
            <w:tcBorders>
              <w:tl2br w:val="nil"/>
              <w:tr2bl w:val="nil"/>
            </w:tcBorders>
            <w:shd w:val="clear" w:color="auto" w:fill="auto"/>
            <w:vAlign w:val="center"/>
          </w:tcPr>
          <w:p w14:paraId="3A383538">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4D716D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dxa"/>
            <w:vMerge w:val="continue"/>
            <w:tcBorders>
              <w:tl2br w:val="nil"/>
              <w:tr2bl w:val="nil"/>
            </w:tcBorders>
            <w:vAlign w:val="center"/>
          </w:tcPr>
          <w:p w14:paraId="2B5D388A">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continue"/>
            <w:tcBorders>
              <w:tl2br w:val="nil"/>
              <w:tr2bl w:val="nil"/>
            </w:tcBorders>
            <w:vAlign w:val="center"/>
          </w:tcPr>
          <w:p w14:paraId="77966902">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p>
        </w:tc>
        <w:tc>
          <w:tcPr>
            <w:tcW w:w="5898" w:type="dxa"/>
            <w:tcBorders>
              <w:tl2br w:val="nil"/>
              <w:tr2bl w:val="nil"/>
            </w:tcBorders>
            <w:vAlign w:val="center"/>
          </w:tcPr>
          <w:p w14:paraId="0697FE35">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第十八条</w:t>
            </w:r>
            <w:r>
              <w:rPr>
                <w:rFonts w:hint="eastAsia" w:ascii="Times New Roman" w:hAnsi="Times New Roman" w:eastAsia="宋体" w:cs="Times New Roman"/>
                <w:color w:val="auto"/>
                <w:spacing w:val="6"/>
                <w:kern w:val="2"/>
                <w:sz w:val="21"/>
                <w:szCs w:val="21"/>
                <w:lang w:val="en-US" w:eastAsia="zh-CN" w:bidi="ar-SA"/>
              </w:rPr>
              <w:t>：</w:t>
            </w:r>
            <w:r>
              <w:rPr>
                <w:rFonts w:hint="default" w:ascii="Times New Roman" w:hAnsi="Times New Roman" w:eastAsia="宋体" w:cs="Times New Roman"/>
                <w:color w:val="auto"/>
                <w:spacing w:val="6"/>
                <w:kern w:val="2"/>
                <w:sz w:val="21"/>
                <w:szCs w:val="21"/>
                <w:lang w:val="en-US" w:eastAsia="zh-CN" w:bidi="ar-SA"/>
              </w:rPr>
              <w:t>畜禽定点屠宰厂(场)屠宰的畜禽，应当依法经动物卫生监督机构检疫合格，并附有检疫证明。</w:t>
            </w:r>
          </w:p>
        </w:tc>
        <w:tc>
          <w:tcPr>
            <w:tcW w:w="5298" w:type="dxa"/>
            <w:tcBorders>
              <w:tl2br w:val="nil"/>
              <w:tr2bl w:val="nil"/>
            </w:tcBorders>
            <w:vAlign w:val="center"/>
          </w:tcPr>
          <w:p w14:paraId="5242DA2F">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项目建成后</w:t>
            </w:r>
            <w:r>
              <w:rPr>
                <w:rFonts w:hint="default" w:ascii="Times New Roman" w:hAnsi="Times New Roman" w:eastAsia="宋体" w:cs="Times New Roman"/>
                <w:color w:val="auto"/>
                <w:spacing w:val="6"/>
                <w:kern w:val="2"/>
                <w:sz w:val="21"/>
                <w:szCs w:val="21"/>
                <w:lang w:val="en-US" w:eastAsia="zh-CN" w:bidi="ar-SA"/>
              </w:rPr>
              <w:t>外购活畜</w:t>
            </w:r>
            <w:r>
              <w:rPr>
                <w:rFonts w:hint="eastAsia" w:ascii="Times New Roman" w:hAnsi="Times New Roman" w:eastAsia="宋体" w:cs="Times New Roman"/>
                <w:color w:val="auto"/>
                <w:spacing w:val="6"/>
                <w:kern w:val="2"/>
                <w:sz w:val="21"/>
                <w:szCs w:val="21"/>
                <w:lang w:val="en-US" w:eastAsia="zh-CN" w:bidi="ar-SA"/>
              </w:rPr>
              <w:t>时</w:t>
            </w:r>
            <w:r>
              <w:rPr>
                <w:rFonts w:hint="default" w:ascii="Times New Roman" w:hAnsi="Times New Roman" w:eastAsia="宋体" w:cs="Times New Roman"/>
                <w:color w:val="auto"/>
                <w:spacing w:val="6"/>
                <w:kern w:val="2"/>
                <w:sz w:val="21"/>
                <w:szCs w:val="21"/>
                <w:lang w:val="en-US" w:eastAsia="zh-CN" w:bidi="ar-SA"/>
              </w:rPr>
              <w:t>需要</w:t>
            </w:r>
            <w:r>
              <w:rPr>
                <w:rFonts w:hint="eastAsia" w:ascii="Times New Roman" w:hAnsi="Times New Roman" w:eastAsia="宋体" w:cs="Times New Roman"/>
                <w:color w:val="auto"/>
                <w:spacing w:val="6"/>
                <w:kern w:val="2"/>
                <w:sz w:val="21"/>
                <w:szCs w:val="21"/>
                <w:lang w:val="en-US" w:eastAsia="zh-CN" w:bidi="ar-SA"/>
              </w:rPr>
              <w:t>卖方</w:t>
            </w:r>
            <w:r>
              <w:rPr>
                <w:rFonts w:hint="default" w:ascii="Times New Roman" w:hAnsi="Times New Roman" w:eastAsia="宋体" w:cs="Times New Roman"/>
                <w:color w:val="auto"/>
                <w:spacing w:val="6"/>
                <w:kern w:val="2"/>
                <w:sz w:val="21"/>
                <w:szCs w:val="21"/>
                <w:lang w:val="en-US" w:eastAsia="zh-CN" w:bidi="ar-SA"/>
              </w:rPr>
              <w:t>附有产地动物卫生监督机构出具的《动物检疫合格证明》。</w:t>
            </w:r>
          </w:p>
        </w:tc>
        <w:tc>
          <w:tcPr>
            <w:tcW w:w="1045" w:type="dxa"/>
            <w:tcBorders>
              <w:tl2br w:val="nil"/>
              <w:tr2bl w:val="nil"/>
            </w:tcBorders>
            <w:vAlign w:val="center"/>
          </w:tcPr>
          <w:p w14:paraId="35048CDB">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5BFD8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dxa"/>
            <w:vMerge w:val="continue"/>
            <w:tcBorders>
              <w:tl2br w:val="nil"/>
              <w:tr2bl w:val="nil"/>
            </w:tcBorders>
            <w:vAlign w:val="center"/>
          </w:tcPr>
          <w:p w14:paraId="26CD1359">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continue"/>
            <w:tcBorders>
              <w:tl2br w:val="nil"/>
              <w:tr2bl w:val="nil"/>
            </w:tcBorders>
            <w:vAlign w:val="center"/>
          </w:tcPr>
          <w:p w14:paraId="6347145F">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5898" w:type="dxa"/>
            <w:tcBorders>
              <w:tl2br w:val="nil"/>
              <w:tr2bl w:val="nil"/>
            </w:tcBorders>
            <w:vAlign w:val="center"/>
          </w:tcPr>
          <w:p w14:paraId="25D40730">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第二十条</w:t>
            </w:r>
            <w:r>
              <w:rPr>
                <w:rFonts w:hint="default" w:ascii="Times New Roman" w:hAnsi="Times New Roman" w:eastAsia="宋体" w:cs="Times New Roman"/>
                <w:color w:val="auto"/>
                <w:spacing w:val="6"/>
                <w:kern w:val="2"/>
                <w:sz w:val="21"/>
                <w:szCs w:val="21"/>
                <w:lang w:val="en-US" w:eastAsia="zh-CN" w:bidi="ar-SA"/>
              </w:rPr>
              <w:t>畜禽定点屠宰厂(场)应当建立畜禽进厂(场)台账登记制度，准确完整登记屠宰畜禽的来源、种类、数量、动物检疫证明号和供货者姓名(名称)、地址、联系方式等内容，查验动物检疫合格证明、畜禽标识、休药期证明等</w:t>
            </w:r>
            <w:r>
              <w:rPr>
                <w:rFonts w:hint="eastAsia" w:ascii="Times New Roman" w:hAnsi="Times New Roman" w:eastAsia="宋体" w:cs="Times New Roman"/>
                <w:color w:val="auto"/>
                <w:spacing w:val="6"/>
                <w:kern w:val="2"/>
                <w:sz w:val="21"/>
                <w:szCs w:val="21"/>
                <w:lang w:val="en-US" w:eastAsia="zh-CN" w:bidi="ar-SA"/>
              </w:rPr>
              <w:t>。</w:t>
            </w:r>
          </w:p>
        </w:tc>
        <w:tc>
          <w:tcPr>
            <w:tcW w:w="5298" w:type="dxa"/>
            <w:tcBorders>
              <w:tl2br w:val="nil"/>
              <w:tr2bl w:val="nil"/>
            </w:tcBorders>
            <w:vAlign w:val="center"/>
          </w:tcPr>
          <w:p w14:paraId="6A39010E">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项目建成运营后应建立</w:t>
            </w:r>
            <w:r>
              <w:rPr>
                <w:rFonts w:hint="default" w:ascii="Times New Roman" w:hAnsi="Times New Roman" w:eastAsia="宋体" w:cs="Times New Roman"/>
                <w:color w:val="auto"/>
                <w:spacing w:val="6"/>
                <w:kern w:val="2"/>
                <w:sz w:val="21"/>
                <w:szCs w:val="21"/>
                <w:lang w:val="en-US" w:eastAsia="zh-CN" w:bidi="ar-SA"/>
              </w:rPr>
              <w:t>畜禽进厂(场)台账登记制度</w:t>
            </w:r>
            <w:r>
              <w:rPr>
                <w:rFonts w:hint="eastAsia" w:ascii="Times New Roman" w:hAnsi="Times New Roman" w:eastAsia="宋体" w:cs="Times New Roman"/>
                <w:color w:val="auto"/>
                <w:spacing w:val="6"/>
                <w:kern w:val="2"/>
                <w:sz w:val="21"/>
                <w:szCs w:val="21"/>
                <w:lang w:val="en-US" w:eastAsia="zh-CN" w:bidi="ar-SA"/>
              </w:rPr>
              <w:t>准确记录</w:t>
            </w:r>
            <w:r>
              <w:rPr>
                <w:rFonts w:hint="default" w:ascii="Times New Roman" w:hAnsi="Times New Roman" w:eastAsia="宋体" w:cs="Times New Roman"/>
                <w:color w:val="auto"/>
                <w:spacing w:val="6"/>
                <w:kern w:val="2"/>
                <w:sz w:val="21"/>
                <w:szCs w:val="21"/>
                <w:lang w:val="en-US" w:eastAsia="zh-CN" w:bidi="ar-SA"/>
              </w:rPr>
              <w:t>宰畜禽的来源、种类、数量、动物检疫证明号和供货者姓名(名称)、地址、联系方式等内容，查验动物检疫合格证明、畜禽标识、休药期证明等</w:t>
            </w:r>
            <w:r>
              <w:rPr>
                <w:rFonts w:hint="eastAsia" w:ascii="Times New Roman" w:hAnsi="Times New Roman" w:eastAsia="宋体" w:cs="Times New Roman"/>
                <w:color w:val="auto"/>
                <w:spacing w:val="6"/>
                <w:kern w:val="2"/>
                <w:sz w:val="21"/>
                <w:szCs w:val="21"/>
                <w:lang w:val="en-US" w:eastAsia="zh-CN" w:bidi="ar-SA"/>
              </w:rPr>
              <w:t>。</w:t>
            </w:r>
          </w:p>
        </w:tc>
        <w:tc>
          <w:tcPr>
            <w:tcW w:w="1045" w:type="dxa"/>
            <w:tcBorders>
              <w:tl2br w:val="nil"/>
              <w:tr2bl w:val="nil"/>
            </w:tcBorders>
            <w:vAlign w:val="center"/>
          </w:tcPr>
          <w:p w14:paraId="36D8A08A">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575AA2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dxa"/>
            <w:vMerge w:val="continue"/>
            <w:tcBorders>
              <w:tl2br w:val="nil"/>
              <w:tr2bl w:val="nil"/>
            </w:tcBorders>
            <w:vAlign w:val="center"/>
          </w:tcPr>
          <w:p w14:paraId="5A6CC36C">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continue"/>
            <w:tcBorders>
              <w:tl2br w:val="nil"/>
              <w:tr2bl w:val="nil"/>
            </w:tcBorders>
            <w:vAlign w:val="center"/>
          </w:tcPr>
          <w:p w14:paraId="0F43AEF0">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5898" w:type="dxa"/>
            <w:tcBorders>
              <w:tl2br w:val="nil"/>
              <w:tr2bl w:val="nil"/>
            </w:tcBorders>
            <w:vAlign w:val="center"/>
          </w:tcPr>
          <w:p w14:paraId="0C51590E">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eastAsia"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第二十</w:t>
            </w:r>
            <w:r>
              <w:rPr>
                <w:rFonts w:hint="eastAsia" w:ascii="Times New Roman" w:hAnsi="Times New Roman" w:eastAsia="宋体" w:cs="Times New Roman"/>
                <w:color w:val="auto"/>
                <w:spacing w:val="6"/>
                <w:kern w:val="2"/>
                <w:sz w:val="21"/>
                <w:szCs w:val="21"/>
                <w:lang w:val="en-US" w:eastAsia="zh-CN" w:bidi="ar-SA"/>
              </w:rPr>
              <w:t>一</w:t>
            </w:r>
            <w:r>
              <w:rPr>
                <w:rFonts w:hint="default" w:ascii="Times New Roman" w:hAnsi="Times New Roman" w:eastAsia="宋体" w:cs="Times New Roman"/>
                <w:color w:val="auto"/>
                <w:spacing w:val="6"/>
                <w:kern w:val="2"/>
                <w:sz w:val="21"/>
                <w:szCs w:val="21"/>
                <w:lang w:val="en-US" w:eastAsia="zh-CN" w:bidi="ar-SA"/>
              </w:rPr>
              <w:t>条畜禽定点屠宰厂(场)以及其他任何单位和个人不得对畜禽或者畜禽产品注水或者注入其他物质。</w:t>
            </w:r>
          </w:p>
        </w:tc>
        <w:tc>
          <w:tcPr>
            <w:tcW w:w="5298" w:type="dxa"/>
            <w:tcBorders>
              <w:tl2br w:val="nil"/>
              <w:tr2bl w:val="nil"/>
            </w:tcBorders>
            <w:vAlign w:val="center"/>
          </w:tcPr>
          <w:p w14:paraId="378127D7">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本项目运营后</w:t>
            </w:r>
            <w:r>
              <w:rPr>
                <w:rFonts w:hint="default" w:ascii="Times New Roman" w:hAnsi="Times New Roman" w:eastAsia="宋体" w:cs="Times New Roman"/>
                <w:color w:val="auto"/>
                <w:spacing w:val="6"/>
                <w:kern w:val="2"/>
                <w:sz w:val="21"/>
                <w:szCs w:val="21"/>
                <w:lang w:val="en-US" w:eastAsia="zh-CN" w:bidi="ar-SA"/>
              </w:rPr>
              <w:t>建立肉品品质检验制度，对屠宰畜禽及畜禽产品实施同步检验，如实完整记录检验过程和检验结果</w:t>
            </w:r>
            <w:r>
              <w:rPr>
                <w:rFonts w:hint="eastAsia" w:ascii="Times New Roman" w:hAnsi="Times New Roman" w:eastAsia="宋体" w:cs="Times New Roman"/>
                <w:color w:val="auto"/>
                <w:spacing w:val="6"/>
                <w:kern w:val="2"/>
                <w:sz w:val="21"/>
                <w:szCs w:val="21"/>
                <w:lang w:val="en-US" w:eastAsia="zh-CN" w:bidi="ar-SA"/>
              </w:rPr>
              <w:t>。</w:t>
            </w:r>
          </w:p>
        </w:tc>
        <w:tc>
          <w:tcPr>
            <w:tcW w:w="1045" w:type="dxa"/>
            <w:tcBorders>
              <w:tl2br w:val="nil"/>
              <w:tr2bl w:val="nil"/>
            </w:tcBorders>
            <w:vAlign w:val="center"/>
          </w:tcPr>
          <w:p w14:paraId="43403632">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0D1FF5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dxa"/>
            <w:vMerge w:val="continue"/>
            <w:tcBorders>
              <w:tl2br w:val="nil"/>
              <w:tr2bl w:val="nil"/>
            </w:tcBorders>
            <w:vAlign w:val="center"/>
          </w:tcPr>
          <w:p w14:paraId="4C8530BE">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continue"/>
            <w:tcBorders>
              <w:tl2br w:val="nil"/>
              <w:tr2bl w:val="nil"/>
            </w:tcBorders>
            <w:vAlign w:val="center"/>
          </w:tcPr>
          <w:p w14:paraId="577AF399">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5898" w:type="dxa"/>
            <w:tcBorders>
              <w:tl2br w:val="nil"/>
              <w:tr2bl w:val="nil"/>
            </w:tcBorders>
            <w:vAlign w:val="center"/>
          </w:tcPr>
          <w:p w14:paraId="7B111D15">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eastAsia"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第二十</w:t>
            </w:r>
            <w:r>
              <w:rPr>
                <w:rFonts w:hint="eastAsia" w:ascii="Times New Roman" w:hAnsi="Times New Roman" w:eastAsia="宋体" w:cs="Times New Roman"/>
                <w:color w:val="auto"/>
                <w:spacing w:val="6"/>
                <w:kern w:val="2"/>
                <w:sz w:val="21"/>
                <w:szCs w:val="21"/>
                <w:lang w:val="en-US" w:eastAsia="zh-CN" w:bidi="ar-SA"/>
              </w:rPr>
              <w:t>二</w:t>
            </w:r>
            <w:r>
              <w:rPr>
                <w:rFonts w:hint="default" w:ascii="Times New Roman" w:hAnsi="Times New Roman" w:eastAsia="宋体" w:cs="Times New Roman"/>
                <w:color w:val="auto"/>
                <w:spacing w:val="6"/>
                <w:kern w:val="2"/>
                <w:sz w:val="21"/>
                <w:szCs w:val="21"/>
                <w:lang w:val="en-US" w:eastAsia="zh-CN" w:bidi="ar-SA"/>
              </w:rPr>
              <w:t>条畜禽定点屠宰厂(场)应当建立肉品品质检验制度，对屠宰畜禽及畜禽产品实施同步检验，如实完整记录检验过程和检验结果。</w:t>
            </w:r>
          </w:p>
        </w:tc>
        <w:tc>
          <w:tcPr>
            <w:tcW w:w="5298" w:type="dxa"/>
            <w:tcBorders>
              <w:tl2br w:val="nil"/>
              <w:tr2bl w:val="nil"/>
            </w:tcBorders>
            <w:vAlign w:val="center"/>
          </w:tcPr>
          <w:p w14:paraId="282877AD">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本项目运营后建设单位应</w:t>
            </w:r>
            <w:r>
              <w:rPr>
                <w:rFonts w:hint="default" w:ascii="Times New Roman" w:hAnsi="Times New Roman" w:eastAsia="宋体" w:cs="Times New Roman"/>
                <w:color w:val="auto"/>
                <w:spacing w:val="6"/>
                <w:kern w:val="2"/>
                <w:sz w:val="21"/>
                <w:szCs w:val="21"/>
                <w:lang w:val="en-US" w:eastAsia="zh-CN" w:bidi="ar-SA"/>
              </w:rPr>
              <w:t>建立肉品品质检验制度，对屠宰畜禽及畜禽产品实施同步检验，如实完整记录检验过程和检验结果</w:t>
            </w:r>
            <w:r>
              <w:rPr>
                <w:rFonts w:hint="eastAsia" w:ascii="Times New Roman" w:hAnsi="Times New Roman" w:eastAsia="宋体" w:cs="Times New Roman"/>
                <w:color w:val="auto"/>
                <w:spacing w:val="6"/>
                <w:kern w:val="2"/>
                <w:sz w:val="21"/>
                <w:szCs w:val="21"/>
                <w:lang w:val="en-US" w:eastAsia="zh-CN" w:bidi="ar-SA"/>
              </w:rPr>
              <w:t>。</w:t>
            </w:r>
          </w:p>
        </w:tc>
        <w:tc>
          <w:tcPr>
            <w:tcW w:w="1045" w:type="dxa"/>
            <w:tcBorders>
              <w:tl2br w:val="nil"/>
              <w:tr2bl w:val="nil"/>
            </w:tcBorders>
            <w:vAlign w:val="center"/>
          </w:tcPr>
          <w:p w14:paraId="0D0E5ABE">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324B90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dxa"/>
            <w:vMerge w:val="continue"/>
            <w:tcBorders>
              <w:tl2br w:val="nil"/>
              <w:tr2bl w:val="nil"/>
            </w:tcBorders>
            <w:vAlign w:val="center"/>
          </w:tcPr>
          <w:p w14:paraId="2CF6D271">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continue"/>
            <w:tcBorders>
              <w:tl2br w:val="nil"/>
              <w:tr2bl w:val="nil"/>
            </w:tcBorders>
            <w:vAlign w:val="center"/>
          </w:tcPr>
          <w:p w14:paraId="32707B4A">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5898" w:type="dxa"/>
            <w:tcBorders>
              <w:tl2br w:val="nil"/>
              <w:tr2bl w:val="nil"/>
            </w:tcBorders>
            <w:vAlign w:val="center"/>
          </w:tcPr>
          <w:p w14:paraId="1BCDF3CD">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eastAsia"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二十四条畜禽定点屠宰厂(场)应当建立畜禽产品出厂(场)查验记录制度，如实查验肉品品质检验合格标志或者合格验讫印章、专用检验标识，完整记录出厂(场)畜禽产品的名称、规格、数量、流向、检疫证明号、肉品品质检验证号、屠宰日期、销售日期以及购货者姓名(名称)、地址、联系方式等内容</w:t>
            </w:r>
            <w:r>
              <w:rPr>
                <w:rFonts w:hint="eastAsia" w:ascii="Times New Roman" w:hAnsi="Times New Roman" w:eastAsia="宋体" w:cs="Times New Roman"/>
                <w:color w:val="auto"/>
                <w:spacing w:val="6"/>
                <w:kern w:val="2"/>
                <w:sz w:val="21"/>
                <w:szCs w:val="21"/>
                <w:lang w:val="en-US" w:eastAsia="zh-CN" w:bidi="ar-SA"/>
              </w:rPr>
              <w:t>。</w:t>
            </w:r>
          </w:p>
        </w:tc>
        <w:tc>
          <w:tcPr>
            <w:tcW w:w="5298" w:type="dxa"/>
            <w:tcBorders>
              <w:tl2br w:val="nil"/>
              <w:tr2bl w:val="nil"/>
            </w:tcBorders>
            <w:vAlign w:val="center"/>
          </w:tcPr>
          <w:p w14:paraId="07779843">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本项目运营后建设单位应</w:t>
            </w:r>
            <w:r>
              <w:rPr>
                <w:rFonts w:hint="default" w:ascii="Times New Roman" w:hAnsi="Times New Roman" w:eastAsia="宋体" w:cs="Times New Roman"/>
                <w:color w:val="auto"/>
                <w:spacing w:val="6"/>
                <w:kern w:val="2"/>
                <w:sz w:val="21"/>
                <w:szCs w:val="21"/>
                <w:lang w:val="en-US" w:eastAsia="zh-CN" w:bidi="ar-SA"/>
              </w:rPr>
              <w:t>建立肉品品质检验制度，对屠宰畜禽及畜禽产品实施同步检验，如实完整记录检验过程和检验结果</w:t>
            </w:r>
            <w:r>
              <w:rPr>
                <w:rFonts w:hint="eastAsia" w:ascii="Times New Roman" w:hAnsi="Times New Roman" w:eastAsia="宋体" w:cs="Times New Roman"/>
                <w:color w:val="auto"/>
                <w:spacing w:val="6"/>
                <w:kern w:val="2"/>
                <w:sz w:val="21"/>
                <w:szCs w:val="21"/>
                <w:lang w:val="en-US" w:eastAsia="zh-CN" w:bidi="ar-SA"/>
              </w:rPr>
              <w:t>。</w:t>
            </w:r>
          </w:p>
        </w:tc>
        <w:tc>
          <w:tcPr>
            <w:tcW w:w="1045" w:type="dxa"/>
            <w:tcBorders>
              <w:tl2br w:val="nil"/>
              <w:tr2bl w:val="nil"/>
            </w:tcBorders>
            <w:vAlign w:val="center"/>
          </w:tcPr>
          <w:p w14:paraId="33A38DB4">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2460BD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5" w:type="dxa"/>
            <w:vMerge w:val="continue"/>
            <w:tcBorders>
              <w:tl2br w:val="nil"/>
              <w:tr2bl w:val="nil"/>
            </w:tcBorders>
            <w:vAlign w:val="center"/>
          </w:tcPr>
          <w:p w14:paraId="4A8EB5A6">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continue"/>
            <w:tcBorders>
              <w:tl2br w:val="nil"/>
              <w:tr2bl w:val="nil"/>
            </w:tcBorders>
            <w:vAlign w:val="center"/>
          </w:tcPr>
          <w:p w14:paraId="7C4DEA07">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5898" w:type="dxa"/>
            <w:tcBorders>
              <w:tl2br w:val="nil"/>
              <w:tr2bl w:val="nil"/>
            </w:tcBorders>
            <w:vAlign w:val="center"/>
          </w:tcPr>
          <w:p w14:paraId="3F398EF4">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第三十条畜禽定点屠宰厂(场)对未及时销售或者未及时出厂(场)的畜禽产品，应当采取冷冻或者冷藏等措施储存。</w:t>
            </w:r>
          </w:p>
        </w:tc>
        <w:tc>
          <w:tcPr>
            <w:tcW w:w="5298" w:type="dxa"/>
            <w:tcBorders>
              <w:tl2br w:val="nil"/>
              <w:tr2bl w:val="nil"/>
            </w:tcBorders>
            <w:vAlign w:val="center"/>
          </w:tcPr>
          <w:p w14:paraId="1B4EBB7E">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项目配套建设冷</w:t>
            </w:r>
            <w:r>
              <w:rPr>
                <w:rFonts w:hint="eastAsia" w:ascii="Times New Roman" w:hAnsi="Times New Roman" w:eastAsia="宋体" w:cs="Times New Roman"/>
                <w:color w:val="auto"/>
                <w:spacing w:val="6"/>
                <w:kern w:val="2"/>
                <w:sz w:val="21"/>
                <w:szCs w:val="21"/>
                <w:lang w:val="en-US" w:eastAsia="zh-CN" w:bidi="ar-SA"/>
              </w:rPr>
              <w:t>藏</w:t>
            </w:r>
            <w:r>
              <w:rPr>
                <w:rFonts w:hint="default" w:ascii="Times New Roman" w:hAnsi="Times New Roman" w:eastAsia="宋体" w:cs="Times New Roman"/>
                <w:color w:val="auto"/>
                <w:spacing w:val="6"/>
                <w:kern w:val="2"/>
                <w:sz w:val="21"/>
                <w:szCs w:val="21"/>
                <w:lang w:val="en-US" w:eastAsia="zh-CN" w:bidi="ar-SA"/>
              </w:rPr>
              <w:t>库</w:t>
            </w:r>
            <w:r>
              <w:rPr>
                <w:rFonts w:hint="eastAsia" w:ascii="Times New Roman" w:hAnsi="Times New Roman" w:eastAsia="宋体" w:cs="Times New Roman"/>
                <w:color w:val="auto"/>
                <w:spacing w:val="6"/>
                <w:kern w:val="2"/>
                <w:sz w:val="21"/>
                <w:szCs w:val="21"/>
                <w:lang w:val="en-US" w:eastAsia="zh-CN" w:bidi="ar-SA"/>
              </w:rPr>
              <w:t>、速冻库。</w:t>
            </w:r>
          </w:p>
        </w:tc>
        <w:tc>
          <w:tcPr>
            <w:tcW w:w="1045" w:type="dxa"/>
            <w:tcBorders>
              <w:tl2br w:val="nil"/>
              <w:tr2bl w:val="nil"/>
            </w:tcBorders>
            <w:vAlign w:val="center"/>
          </w:tcPr>
          <w:p w14:paraId="1AFD7755">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6433A2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7" w:hRule="atLeast"/>
          <w:jc w:val="center"/>
        </w:trPr>
        <w:tc>
          <w:tcPr>
            <w:tcW w:w="785" w:type="dxa"/>
            <w:vMerge w:val="continue"/>
            <w:tcBorders>
              <w:tl2br w:val="nil"/>
              <w:tr2bl w:val="nil"/>
            </w:tcBorders>
            <w:vAlign w:val="center"/>
          </w:tcPr>
          <w:p w14:paraId="2A2C922D">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restart"/>
            <w:tcBorders>
              <w:tl2br w:val="nil"/>
              <w:tr2bl w:val="nil"/>
            </w:tcBorders>
            <w:vAlign w:val="center"/>
          </w:tcPr>
          <w:p w14:paraId="583E3106">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法律责任</w:t>
            </w:r>
          </w:p>
        </w:tc>
        <w:tc>
          <w:tcPr>
            <w:tcW w:w="5898" w:type="dxa"/>
            <w:tcBorders>
              <w:tl2br w:val="nil"/>
              <w:tr2bl w:val="nil"/>
            </w:tcBorders>
            <w:shd w:val="clear" w:color="auto" w:fill="auto"/>
            <w:vAlign w:val="center"/>
          </w:tcPr>
          <w:p w14:paraId="60ADE867">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第三十五条畜禽定点屠宰厂(场)应当按照畜牧兽医主管部门畜禽屠宰统计报表制度的要求，及时准确报送畜禽收购、屠宰、产品销售和停业、歇业等相关信息。</w:t>
            </w:r>
          </w:p>
        </w:tc>
        <w:tc>
          <w:tcPr>
            <w:tcW w:w="5298" w:type="dxa"/>
            <w:tcBorders>
              <w:tl2br w:val="nil"/>
              <w:tr2bl w:val="nil"/>
            </w:tcBorders>
            <w:shd w:val="clear" w:color="auto" w:fill="auto"/>
            <w:vAlign w:val="center"/>
          </w:tcPr>
          <w:p w14:paraId="15F0E1C9">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44" w:firstLineChars="200"/>
              <w:jc w:val="both"/>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本项目建成运营后，建设单位应</w:t>
            </w:r>
            <w:r>
              <w:rPr>
                <w:rFonts w:hint="default" w:ascii="Times New Roman" w:hAnsi="Times New Roman" w:eastAsia="宋体" w:cs="Times New Roman"/>
                <w:color w:val="auto"/>
                <w:spacing w:val="6"/>
                <w:kern w:val="2"/>
                <w:sz w:val="21"/>
                <w:szCs w:val="21"/>
                <w:lang w:val="en-US" w:eastAsia="zh-CN" w:bidi="ar-SA"/>
              </w:rPr>
              <w:t>按照畜牧兽医主管部门畜禽屠宰统计报表制度的要求，及时准确报送畜禽收购、屠宰、产品销售和停业、歇业等相关信息</w:t>
            </w:r>
            <w:r>
              <w:rPr>
                <w:rFonts w:hint="eastAsia" w:ascii="Times New Roman" w:hAnsi="Times New Roman" w:eastAsia="宋体" w:cs="Times New Roman"/>
                <w:color w:val="auto"/>
                <w:spacing w:val="6"/>
                <w:kern w:val="2"/>
                <w:sz w:val="21"/>
                <w:szCs w:val="21"/>
                <w:lang w:val="en-US" w:eastAsia="zh-CN" w:bidi="ar-SA"/>
              </w:rPr>
              <w:t>。</w:t>
            </w:r>
          </w:p>
        </w:tc>
        <w:tc>
          <w:tcPr>
            <w:tcW w:w="1045" w:type="dxa"/>
            <w:tcBorders>
              <w:tl2br w:val="nil"/>
              <w:tr2bl w:val="nil"/>
            </w:tcBorders>
            <w:shd w:val="clear" w:color="auto" w:fill="auto"/>
            <w:vAlign w:val="center"/>
          </w:tcPr>
          <w:p w14:paraId="695F4F3C">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r w14:paraId="150897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5" w:type="dxa"/>
            <w:vMerge w:val="continue"/>
            <w:tcBorders>
              <w:tl2br w:val="nil"/>
              <w:tr2bl w:val="nil"/>
            </w:tcBorders>
            <w:vAlign w:val="center"/>
          </w:tcPr>
          <w:p w14:paraId="4B303FF8">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6"/>
                <w:kern w:val="2"/>
                <w:sz w:val="21"/>
                <w:szCs w:val="21"/>
                <w:lang w:val="en-US" w:eastAsia="zh-CN" w:bidi="ar-SA"/>
              </w:rPr>
            </w:pPr>
          </w:p>
        </w:tc>
        <w:tc>
          <w:tcPr>
            <w:tcW w:w="733" w:type="dxa"/>
            <w:vMerge w:val="continue"/>
            <w:tcBorders>
              <w:tl2br w:val="nil"/>
              <w:tr2bl w:val="nil"/>
            </w:tcBorders>
            <w:vAlign w:val="center"/>
          </w:tcPr>
          <w:p w14:paraId="0F317272">
            <w:pPr>
              <w:pStyle w:val="5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p>
        </w:tc>
        <w:tc>
          <w:tcPr>
            <w:tcW w:w="5898" w:type="dxa"/>
            <w:tcBorders>
              <w:tl2br w:val="nil"/>
              <w:tr2bl w:val="nil"/>
            </w:tcBorders>
            <w:vAlign w:val="center"/>
          </w:tcPr>
          <w:p w14:paraId="155CD4C0">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第三十七条违反本条例规定，未经定点从事畜禽屠宰活动的，由县级以上人民政府畜牧兽医主管部门予以取缔，没收畜禽、畜禽产品、屠宰工具、设备以及违法所得，并处货值金额三倍以上五倍以下罚款</w:t>
            </w:r>
            <w:r>
              <w:rPr>
                <w:rFonts w:hint="eastAsia" w:ascii="Times New Roman" w:hAnsi="Times New Roman" w:eastAsia="宋体" w:cs="Times New Roman"/>
                <w:color w:val="auto"/>
                <w:spacing w:val="6"/>
                <w:kern w:val="2"/>
                <w:sz w:val="21"/>
                <w:szCs w:val="21"/>
                <w:lang w:val="en-US" w:eastAsia="zh-CN" w:bidi="ar-SA"/>
              </w:rPr>
              <w:t>；</w:t>
            </w:r>
            <w:r>
              <w:rPr>
                <w:rFonts w:hint="default" w:ascii="Times New Roman" w:hAnsi="Times New Roman" w:eastAsia="宋体" w:cs="Times New Roman"/>
                <w:color w:val="auto"/>
                <w:spacing w:val="6"/>
                <w:kern w:val="2"/>
                <w:sz w:val="21"/>
                <w:szCs w:val="21"/>
                <w:lang w:val="en-US" w:eastAsia="zh-CN" w:bidi="ar-SA"/>
              </w:rPr>
              <w:t>货值金额难以确定的，对单位并处十万元以上二十万元以下罚款，对个人并处五千元以上一万元以下罚款</w:t>
            </w:r>
            <w:r>
              <w:rPr>
                <w:rFonts w:hint="eastAsia" w:ascii="Times New Roman" w:hAnsi="Times New Roman" w:eastAsia="宋体" w:cs="Times New Roman"/>
                <w:color w:val="auto"/>
                <w:spacing w:val="6"/>
                <w:kern w:val="2"/>
                <w:sz w:val="21"/>
                <w:szCs w:val="21"/>
                <w:lang w:val="en-US" w:eastAsia="zh-CN" w:bidi="ar-SA"/>
              </w:rPr>
              <w:t>；</w:t>
            </w:r>
            <w:r>
              <w:rPr>
                <w:rFonts w:hint="default" w:ascii="Times New Roman" w:hAnsi="Times New Roman" w:eastAsia="宋体" w:cs="Times New Roman"/>
                <w:color w:val="auto"/>
                <w:spacing w:val="6"/>
                <w:kern w:val="2"/>
                <w:sz w:val="21"/>
                <w:szCs w:val="21"/>
                <w:lang w:val="en-US" w:eastAsia="zh-CN" w:bidi="ar-SA"/>
              </w:rPr>
              <w:t>构成犯罪的，依法追究刑事责任。</w:t>
            </w:r>
          </w:p>
        </w:tc>
        <w:tc>
          <w:tcPr>
            <w:tcW w:w="5298" w:type="dxa"/>
            <w:tcBorders>
              <w:tl2br w:val="nil"/>
              <w:tr2bl w:val="nil"/>
            </w:tcBorders>
            <w:vAlign w:val="center"/>
          </w:tcPr>
          <w:p w14:paraId="7305E5E0">
            <w:pPr>
              <w:pStyle w:val="55"/>
              <w:keepNext w:val="0"/>
              <w:keepLines w:val="0"/>
              <w:pageBreakBefore w:val="0"/>
              <w:widowControl w:val="0"/>
              <w:kinsoku/>
              <w:wordWrap/>
              <w:overflowPunct/>
              <w:topLinePunct w:val="0"/>
              <w:autoSpaceDE/>
              <w:autoSpaceDN/>
              <w:bidi w:val="0"/>
              <w:adjustRightInd/>
              <w:snapToGrid/>
              <w:spacing w:line="240" w:lineRule="auto"/>
              <w:ind w:left="0" w:right="0" w:firstLine="444" w:firstLineChars="200"/>
              <w:jc w:val="both"/>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建设单位正在申请办理屠宰证，在屠宰证未办理下来前不进行屠宰。</w:t>
            </w:r>
          </w:p>
        </w:tc>
        <w:tc>
          <w:tcPr>
            <w:tcW w:w="1045" w:type="dxa"/>
            <w:tcBorders>
              <w:tl2br w:val="nil"/>
              <w:tr2bl w:val="nil"/>
            </w:tcBorders>
            <w:vAlign w:val="center"/>
          </w:tcPr>
          <w:p w14:paraId="5EA241DA">
            <w:pPr>
              <w:pStyle w:val="5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pacing w:val="6"/>
                <w:kern w:val="2"/>
                <w:sz w:val="21"/>
                <w:szCs w:val="21"/>
                <w:lang w:val="en-US" w:eastAsia="zh-CN" w:bidi="ar-SA"/>
              </w:rPr>
              <w:t>符合</w:t>
            </w:r>
          </w:p>
        </w:tc>
      </w:tr>
    </w:tbl>
    <w:p w14:paraId="66EAEA44">
      <w:pPr>
        <w:pStyle w:val="2"/>
        <w:widowControl w:val="0"/>
        <w:adjustRightInd/>
        <w:snapToGrid/>
        <w:ind w:firstLine="0" w:firstLineChars="0"/>
        <w:outlineLvl w:val="2"/>
        <w:rPr>
          <w:rFonts w:hint="eastAsia"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9.3.8项目与</w:t>
      </w:r>
      <w:r>
        <w:rPr>
          <w:rFonts w:hint="default" w:ascii="Times New Roman" w:hAnsi="Times New Roman" w:eastAsia="黑体" w:cs="Times New Roman"/>
          <w:b/>
          <w:bCs/>
          <w:color w:val="auto"/>
          <w:kern w:val="2"/>
          <w:sz w:val="28"/>
          <w:szCs w:val="32"/>
          <w:highlight w:val="none"/>
          <w:lang w:val="en-US" w:eastAsia="zh-CN"/>
        </w:rPr>
        <w:t>《宁夏回族自治区畜禽屠宰行业发展规划（2024-2030年）》</w:t>
      </w:r>
      <w:r>
        <w:rPr>
          <w:rFonts w:hint="eastAsia" w:ascii="Times New Roman" w:hAnsi="Times New Roman" w:eastAsia="黑体" w:cs="Times New Roman"/>
          <w:b/>
          <w:bCs/>
          <w:color w:val="auto"/>
          <w:kern w:val="2"/>
          <w:sz w:val="28"/>
          <w:szCs w:val="32"/>
          <w:highlight w:val="none"/>
          <w:lang w:val="en-US" w:eastAsia="zh-CN"/>
        </w:rPr>
        <w:t>符合性分析</w:t>
      </w:r>
    </w:p>
    <w:p w14:paraId="7A595B7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lang w:val="en-US" w:eastAsia="zh-CN"/>
        </w:rPr>
      </w:pPr>
      <w:r>
        <w:rPr>
          <w:rFonts w:hint="eastAsia" w:ascii="Times New Roman" w:hAnsi="Times New Roman"/>
          <w:color w:val="auto"/>
          <w:lang w:val="en-US" w:eastAsia="zh-CN"/>
        </w:rPr>
        <w:t>《宁夏回族自治区畜禽屠宰行业发展规划（2024-2030年）》中提出：着力提升精深加工能力。支持屠宰企业通过技术改造、设备更新、工艺升级，提升精细分割加工水平，提高产品附加值。根据不同地域餐饮习惯和“宁夏六盘山牛肉”“宁夏滩羊肉”品质特性，开发冷鲜、冰鲜、精细分割产品和功能肉制品，研发生产即食、即热、即烹、即配预制菜系列产品，加快推动由“运胴体”向“运产品”转变。支持副产物精深加工，提升副产品综合利用水平，提高副产品附加值。到2030年肉牛和滩羊精深加工比例分别达到25%和40%以上，市场竞争力进一步增强。</w:t>
      </w:r>
    </w:p>
    <w:p w14:paraId="32F6687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Times New Roman" w:hAnsi="Times New Roman"/>
          <w:color w:val="auto"/>
          <w:lang w:val="en-US" w:eastAsia="zh-CN"/>
        </w:rPr>
        <w:t>本项目为牛羊屠宰加工项目，年屠宰牛10000头、羊15万只。</w:t>
      </w:r>
      <w:r>
        <w:rPr>
          <w:rFonts w:hint="eastAsia"/>
          <w:lang w:val="en-US" w:eastAsia="zh-CN"/>
        </w:rPr>
        <w:t>采用先进的屠宰加工工艺及设备，对牛羊肉进行精细分割，可生产冷鲜、冰鲜及精细分割产品。对副产品进行精深加工，提升副产品综合利用水平，与《宁夏回族自治区畜禽屠宰行业发展规划（2024-2030年）》的要求相符。</w:t>
      </w:r>
    </w:p>
    <w:p w14:paraId="4C6B58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p>
    <w:p w14:paraId="0D2828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p>
    <w:p w14:paraId="4880E8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auto"/>
          <w:lang w:val="en-US" w:eastAsia="zh-CN"/>
        </w:rPr>
      </w:pPr>
    </w:p>
    <w:p w14:paraId="79C21D5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lang w:val="en-US" w:eastAsia="zh-CN"/>
        </w:rPr>
        <w:sectPr>
          <w:headerReference r:id="rId37"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0D4F8E6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710" w:name="_Toc12009"/>
      <w:bookmarkStart w:id="711" w:name="_Toc8120"/>
      <w:bookmarkStart w:id="712" w:name="_Toc2299"/>
      <w:bookmarkStart w:id="713" w:name="_Toc13116"/>
      <w:bookmarkStart w:id="714" w:name="_Toc8523"/>
      <w:r>
        <w:rPr>
          <w:rFonts w:hint="default" w:ascii="Times New Roman" w:hAnsi="Times New Roman" w:eastAsia="黑体" w:cs="Times New Roman"/>
          <w:b/>
          <w:color w:val="auto"/>
          <w:sz w:val="28"/>
          <w:szCs w:val="28"/>
          <w:highlight w:val="none"/>
          <w:lang w:val="en-US" w:eastAsia="zh-CN"/>
        </w:rPr>
        <w:t>9.4</w:t>
      </w:r>
      <w:bookmarkEnd w:id="710"/>
      <w:r>
        <w:rPr>
          <w:rFonts w:hint="eastAsia" w:ascii="Times New Roman" w:hAnsi="Times New Roman" w:eastAsia="黑体" w:cs="Times New Roman"/>
          <w:b/>
          <w:bCs/>
          <w:color w:val="auto"/>
          <w:kern w:val="2"/>
          <w:sz w:val="28"/>
          <w:szCs w:val="32"/>
          <w:highlight w:val="none"/>
          <w:lang w:val="en-US" w:eastAsia="zh-CN"/>
        </w:rPr>
        <w:t>项目与《固原市生态环境分区管控实施方案》</w:t>
      </w:r>
      <w:r>
        <w:rPr>
          <w:rFonts w:hint="default" w:ascii="Times New Roman" w:hAnsi="Times New Roman" w:eastAsia="黑体" w:cs="Times New Roman"/>
          <w:b/>
          <w:bCs/>
          <w:color w:val="auto"/>
          <w:kern w:val="2"/>
          <w:sz w:val="28"/>
          <w:szCs w:val="32"/>
          <w:highlight w:val="none"/>
          <w:lang w:val="en-US" w:eastAsia="zh-CN"/>
        </w:rPr>
        <w:t>管控要求符合性分析</w:t>
      </w:r>
      <w:bookmarkEnd w:id="711"/>
      <w:bookmarkEnd w:id="712"/>
      <w:bookmarkEnd w:id="713"/>
      <w:bookmarkEnd w:id="714"/>
    </w:p>
    <w:p w14:paraId="4BDBA9E3">
      <w:pPr>
        <w:bidi w:val="0"/>
        <w:spacing w:line="360" w:lineRule="auto"/>
        <w:rPr>
          <w:rFonts w:hint="eastAsia"/>
          <w:color w:val="auto"/>
          <w:lang w:val="en-US" w:eastAsia="zh-CN"/>
        </w:rPr>
      </w:pPr>
      <w:r>
        <w:rPr>
          <w:rFonts w:hint="eastAsia"/>
          <w:color w:val="auto"/>
          <w:lang w:val="en-US" w:eastAsia="zh-CN"/>
        </w:rPr>
        <w:t>根据《固原市生态环境分区管控实施方案》（固政发〔2024〕28号），本项目位于</w:t>
      </w:r>
      <w:r>
        <w:rPr>
          <w:rFonts w:hint="eastAsia" w:ascii="Times New Roman" w:hAnsi="Times New Roman"/>
          <w:color w:val="auto"/>
        </w:rPr>
        <w:t>固原经济开发区轻工产业园</w:t>
      </w:r>
      <w:r>
        <w:rPr>
          <w:rFonts w:hint="eastAsia" w:ascii="Times New Roman" w:hAnsi="Times New Roman"/>
          <w:color w:val="auto"/>
          <w:lang w:eastAsia="zh-CN"/>
        </w:rPr>
        <w:t>，占地范围内不涉及自然保护区、饮用水源保护区、基本农田等，不涉及占用生态保护红线</w:t>
      </w:r>
      <w:r>
        <w:rPr>
          <w:rFonts w:hint="eastAsia"/>
          <w:color w:val="auto"/>
          <w:lang w:val="en-US" w:eastAsia="zh-CN"/>
        </w:rPr>
        <w:t>。</w:t>
      </w:r>
    </w:p>
    <w:p w14:paraId="74386472">
      <w:pPr>
        <w:bidi w:val="0"/>
        <w:spacing w:line="360" w:lineRule="auto"/>
        <w:rPr>
          <w:rFonts w:hint="eastAsia"/>
          <w:color w:val="auto"/>
          <w:lang w:val="en-US" w:eastAsia="zh-CN"/>
        </w:rPr>
      </w:pPr>
      <w:r>
        <w:rPr>
          <w:rFonts w:hint="eastAsia"/>
          <w:color w:val="auto"/>
          <w:lang w:val="en-US" w:eastAsia="zh-CN"/>
        </w:rPr>
        <w:t>本项目地理位置图见图2.1-1，与固原市生态保护红线和生态空间位置关系图见图9.4-1、9.4-2。</w:t>
      </w:r>
    </w:p>
    <w:p w14:paraId="65E11E82">
      <w:pPr>
        <w:bidi w:val="0"/>
        <w:spacing w:line="360" w:lineRule="auto"/>
        <w:rPr>
          <w:rFonts w:hint="eastAsia"/>
          <w:color w:val="auto"/>
          <w:lang w:val="en-US" w:eastAsia="zh-CN"/>
        </w:rPr>
      </w:pPr>
      <w:r>
        <w:rPr>
          <w:rFonts w:hint="eastAsia"/>
          <w:color w:val="auto"/>
          <w:lang w:val="en-US" w:eastAsia="zh-CN"/>
        </w:rPr>
        <w:t>（1）大气环境质量底线及分区管控符合性分析</w:t>
      </w:r>
    </w:p>
    <w:p w14:paraId="7EE56EF1">
      <w:pPr>
        <w:bidi w:val="0"/>
        <w:spacing w:line="360" w:lineRule="auto"/>
        <w:rPr>
          <w:rFonts w:hint="default"/>
          <w:color w:val="auto"/>
          <w:lang w:val="en-US" w:eastAsia="zh-CN"/>
        </w:rPr>
      </w:pPr>
      <w:r>
        <w:rPr>
          <w:rFonts w:hint="eastAsia"/>
          <w:color w:val="auto"/>
          <w:lang w:val="en-US" w:eastAsia="zh-CN"/>
        </w:rPr>
        <w:t>本项目位于固原经济开发区轻工产业园，根据</w:t>
      </w:r>
      <w:r>
        <w:rPr>
          <w:rFonts w:hint="eastAsia"/>
          <w:color w:val="auto"/>
          <w:lang w:eastAsia="zh-CN"/>
        </w:rPr>
        <w:t>《固原市生态环境质量报告书（2024年）》中公布的原州区的监测数据，202</w:t>
      </w:r>
      <w:r>
        <w:rPr>
          <w:rFonts w:hint="eastAsia"/>
          <w:color w:val="auto"/>
          <w:lang w:val="en-US" w:eastAsia="zh-CN"/>
        </w:rPr>
        <w:t>4</w:t>
      </w:r>
      <w:r>
        <w:rPr>
          <w:rFonts w:hint="eastAsia"/>
          <w:color w:val="auto"/>
          <w:lang w:eastAsia="zh-CN"/>
        </w:rPr>
        <w:t>年原州区大气环境中PM</w:t>
      </w:r>
      <w:r>
        <w:rPr>
          <w:rFonts w:hint="eastAsia"/>
          <w:color w:val="auto"/>
          <w:vertAlign w:val="subscript"/>
          <w:lang w:eastAsia="zh-CN"/>
        </w:rPr>
        <w:t>10</w:t>
      </w:r>
      <w:r>
        <w:rPr>
          <w:rFonts w:hint="eastAsia"/>
          <w:color w:val="auto"/>
          <w:lang w:eastAsia="zh-CN"/>
        </w:rPr>
        <w:t>、PM</w:t>
      </w:r>
      <w:r>
        <w:rPr>
          <w:rFonts w:hint="eastAsia"/>
          <w:color w:val="auto"/>
          <w:vertAlign w:val="subscript"/>
          <w:lang w:eastAsia="zh-CN"/>
        </w:rPr>
        <w:t>2.5</w:t>
      </w:r>
      <w:r>
        <w:rPr>
          <w:rFonts w:hint="eastAsia"/>
          <w:color w:val="auto"/>
          <w:lang w:eastAsia="zh-CN"/>
        </w:rPr>
        <w:t>、SO</w:t>
      </w:r>
      <w:r>
        <w:rPr>
          <w:rFonts w:hint="eastAsia"/>
          <w:color w:val="auto"/>
          <w:vertAlign w:val="subscript"/>
          <w:lang w:eastAsia="zh-CN"/>
        </w:rPr>
        <w:t>2</w:t>
      </w:r>
      <w:r>
        <w:rPr>
          <w:rFonts w:hint="eastAsia"/>
          <w:color w:val="auto"/>
          <w:lang w:eastAsia="zh-CN"/>
        </w:rPr>
        <w:t>、NO</w:t>
      </w:r>
      <w:r>
        <w:rPr>
          <w:rFonts w:hint="eastAsia"/>
          <w:color w:val="auto"/>
          <w:vertAlign w:val="subscript"/>
          <w:lang w:eastAsia="zh-CN"/>
        </w:rPr>
        <w:t>2</w:t>
      </w:r>
      <w:r>
        <w:rPr>
          <w:rFonts w:hint="eastAsia"/>
          <w:color w:val="auto"/>
          <w:lang w:eastAsia="zh-CN"/>
        </w:rPr>
        <w:t>、CO、O</w:t>
      </w:r>
      <w:r>
        <w:rPr>
          <w:rFonts w:hint="eastAsia"/>
          <w:color w:val="auto"/>
          <w:vertAlign w:val="subscript"/>
          <w:lang w:eastAsia="zh-CN"/>
        </w:rPr>
        <w:t>3</w:t>
      </w:r>
      <w:r>
        <w:rPr>
          <w:rFonts w:hint="eastAsia"/>
          <w:color w:val="auto"/>
          <w:lang w:eastAsia="zh-CN"/>
        </w:rPr>
        <w:t>环境监测数据均符合《环境空气质量标准》（GB3095-2012及修改单）表1中二级标准限值要求，</w:t>
      </w:r>
      <w:r>
        <w:rPr>
          <w:rFonts w:hint="eastAsia"/>
          <w:color w:val="auto"/>
          <w:lang w:val="en-US" w:eastAsia="zh-CN"/>
        </w:rPr>
        <w:t>项目所在区域为达标区</w:t>
      </w:r>
      <w:r>
        <w:rPr>
          <w:rFonts w:hint="eastAsia"/>
          <w:color w:val="auto"/>
          <w:lang w:eastAsia="zh-CN"/>
        </w:rPr>
        <w:t>。</w:t>
      </w:r>
    </w:p>
    <w:p w14:paraId="0A09717E">
      <w:pPr>
        <w:bidi w:val="0"/>
        <w:spacing w:line="360" w:lineRule="auto"/>
        <w:rPr>
          <w:rFonts w:hint="default"/>
          <w:color w:val="auto"/>
          <w:lang w:val="en-US" w:eastAsia="zh-CN"/>
        </w:rPr>
      </w:pPr>
      <w:r>
        <w:rPr>
          <w:rFonts w:hint="eastAsia"/>
          <w:color w:val="auto"/>
          <w:lang w:val="en-US" w:eastAsia="zh-CN"/>
        </w:rPr>
        <w:t>根据《固原市生态环境分区管控实施方案》（固政发〔2024〕28号），本项目位于大气环境高排放重点管控区，与固原市大气环境分区管控图位置关系见图9.4-3。</w:t>
      </w:r>
    </w:p>
    <w:p w14:paraId="651C27C9">
      <w:pPr>
        <w:bidi w:val="0"/>
        <w:spacing w:line="360" w:lineRule="auto"/>
        <w:rPr>
          <w:rFonts w:hint="eastAsia"/>
          <w:color w:val="auto"/>
          <w:lang w:val="en-US" w:eastAsia="zh-CN"/>
        </w:rPr>
      </w:pPr>
      <w:r>
        <w:rPr>
          <w:rFonts w:hint="eastAsia"/>
          <w:color w:val="auto"/>
          <w:lang w:val="en-US" w:eastAsia="zh-CN"/>
        </w:rPr>
        <w:t>大气环境高排放重点管控区要求：全面推进工业窑炉淘汰和深度治理，加快推进火电等重点行业排放提标改造，深化非甲烷总烃治理。提高工业低碳水平，加快建材、化工等当地传统高耗能行业节能改造和清洁生产。</w:t>
      </w:r>
    </w:p>
    <w:p w14:paraId="5C594D6A">
      <w:pPr>
        <w:bidi w:val="0"/>
        <w:spacing w:line="360" w:lineRule="auto"/>
        <w:rPr>
          <w:rFonts w:hint="default"/>
          <w:color w:val="auto"/>
          <w:lang w:val="en-US" w:eastAsia="zh-CN"/>
        </w:rPr>
      </w:pPr>
      <w:r>
        <w:rPr>
          <w:rFonts w:hint="eastAsia"/>
          <w:color w:val="auto"/>
          <w:lang w:val="en-US" w:eastAsia="zh-CN"/>
        </w:rPr>
        <w:t>本项目为牛羊肉屠宰加工项目，产生的废气主要为氨、硫化氢及臭气浓度，经合理处置后均能达标排放。因此，本项目符合固原市大气环境高排放重点管控区要求。</w:t>
      </w:r>
    </w:p>
    <w:p w14:paraId="61592252">
      <w:pPr>
        <w:bidi w:val="0"/>
        <w:spacing w:line="360" w:lineRule="auto"/>
        <w:rPr>
          <w:rFonts w:hint="eastAsia"/>
          <w:color w:val="auto"/>
          <w:lang w:val="en-US" w:eastAsia="zh-CN"/>
        </w:rPr>
      </w:pPr>
      <w:r>
        <w:rPr>
          <w:rFonts w:hint="eastAsia"/>
          <w:color w:val="auto"/>
          <w:lang w:val="en-US" w:eastAsia="zh-CN"/>
        </w:rPr>
        <w:t>（2）水环境质量底线及分区管控符合性分析</w:t>
      </w:r>
    </w:p>
    <w:p w14:paraId="04BAE34F">
      <w:pPr>
        <w:bidi w:val="0"/>
        <w:spacing w:line="360" w:lineRule="auto"/>
        <w:rPr>
          <w:rFonts w:hint="eastAsia"/>
          <w:color w:val="auto"/>
          <w:lang w:val="en-US" w:eastAsia="zh-CN"/>
        </w:rPr>
      </w:pPr>
      <w:r>
        <w:rPr>
          <w:rFonts w:hint="eastAsia"/>
          <w:color w:val="auto"/>
          <w:lang w:val="en-US" w:eastAsia="zh-CN"/>
        </w:rPr>
        <w:t>项目评价区域内地表水体为大营河，位于项目西侧400m处，大营河为冬至河右岸支流，属清水河流域。本次地表水环境质量现状评价引用《2024年宁夏生态环境质量状况》中清水河（三营断面）水环境质量的监测结果，由监测结果可知，《2024年宁夏生态环境质量状况》中清水河（三营断面）水质满足《地表水环境质量标准》（GB3838-2002）中的IV类标准限值的要求。</w:t>
      </w:r>
    </w:p>
    <w:p w14:paraId="33B1C177">
      <w:pPr>
        <w:bidi w:val="0"/>
        <w:spacing w:line="360" w:lineRule="auto"/>
        <w:rPr>
          <w:rFonts w:hint="eastAsia"/>
          <w:color w:val="auto"/>
          <w:lang w:val="en-US" w:eastAsia="zh-CN"/>
        </w:rPr>
      </w:pPr>
      <w:r>
        <w:rPr>
          <w:rFonts w:hint="eastAsia"/>
          <w:color w:val="auto"/>
          <w:lang w:val="en-US" w:eastAsia="zh-CN"/>
        </w:rPr>
        <w:t>根据《固原市生态环境分区管控实施方案》（固政发〔2024〕28号），本项目位于水环境工业污染重点管控区，与固原市水环境分区管控图位置关系见图9.4-4。</w:t>
      </w:r>
    </w:p>
    <w:p w14:paraId="6E8B4BD9">
      <w:pPr>
        <w:bidi w:val="0"/>
        <w:spacing w:line="360" w:lineRule="auto"/>
        <w:rPr>
          <w:rFonts w:hint="eastAsia"/>
          <w:color w:val="auto"/>
          <w:lang w:val="en-US" w:eastAsia="zh-CN"/>
        </w:rPr>
      </w:pPr>
      <w:r>
        <w:rPr>
          <w:rFonts w:hint="eastAsia"/>
          <w:color w:val="auto"/>
          <w:lang w:val="en-US" w:eastAsia="zh-CN"/>
        </w:rPr>
        <w:t>水环境工业污染重点管控区：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对严重污染水环境的落后工艺和设备实行淘汰制度。禁止新建不符合国家产业政策的小型造纸、制革、印染、染料、炼焦、炼硫、炼砷、炼汞、炼油、电镀、农药、石棉、水泥、玻璃、钢铁、火电以及其他严重污染水环境的生产项目。新建排放重点水污染物的工业项目应当进入符合相关产业规划的工业集聚区。</w:t>
      </w:r>
    </w:p>
    <w:p w14:paraId="0BC719E8">
      <w:pPr>
        <w:bidi w:val="0"/>
        <w:spacing w:line="360" w:lineRule="auto"/>
        <w:rPr>
          <w:rFonts w:hint="eastAsia"/>
          <w:color w:val="auto"/>
          <w:lang w:val="en-US" w:eastAsia="zh-CN"/>
        </w:rPr>
      </w:pPr>
      <w:r>
        <w:rPr>
          <w:rFonts w:hint="eastAsia"/>
          <w:color w:val="auto"/>
          <w:lang w:val="en-US" w:eastAsia="zh-CN"/>
        </w:rPr>
        <w:t>加快园区企业污水预处理、配套管网等设施建设，实现管网全覆盖、污水全收集、集中全处理；采取并网联通和封堵取缔等措施，“七河”流域除批准或备案的集中式污染治理设施的排污口外，一律不得新增入河直排口；深入实施马铃薯淀粉加工废水汁水还田利用。</w:t>
      </w:r>
    </w:p>
    <w:p w14:paraId="6B90A678">
      <w:pPr>
        <w:bidi w:val="0"/>
        <w:spacing w:line="360" w:lineRule="auto"/>
        <w:rPr>
          <w:rFonts w:hint="eastAsia"/>
          <w:color w:val="auto"/>
          <w:lang w:val="en-US" w:eastAsia="zh-CN"/>
        </w:rPr>
      </w:pPr>
      <w:r>
        <w:rPr>
          <w:rFonts w:hint="eastAsia"/>
          <w:color w:val="auto"/>
          <w:lang w:val="en-US" w:eastAsia="zh-CN"/>
        </w:rPr>
        <w:t>本项目废水主要为生活污水、车辆冲洗废水及屠宰废水。</w:t>
      </w:r>
      <w:r>
        <w:rPr>
          <w:rFonts w:hint="eastAsia"/>
          <w:color w:val="000000" w:themeColor="text1"/>
          <w:lang w:val="en-US" w:eastAsia="zh-CN"/>
          <w14:textFill>
            <w14:solidFill>
              <w14:schemeClr w14:val="tx1"/>
            </w14:solidFill>
          </w14:textFill>
        </w:rPr>
        <w:t>项目产生的屠宰废水及车辆冲洗废水排入厂区污水处理站处理，达到《屠宰及肉类加工工业水污染物排放标准》（GB13457-2025）表1间接排放标准；生活污水经化粪池收集，均达到</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eastAsia"/>
          <w:color w:val="000000" w:themeColor="text1"/>
          <w:lang w:val="en-US" w:eastAsia="zh-CN"/>
          <w14:textFill>
            <w14:solidFill>
              <w14:schemeClr w14:val="tx1"/>
            </w14:solidFill>
          </w14:textFill>
        </w:rPr>
        <w:t>后一起排至城区污水处理厂处理。</w:t>
      </w:r>
    </w:p>
    <w:p w14:paraId="7D07BC5E">
      <w:pPr>
        <w:bidi w:val="0"/>
        <w:spacing w:line="360" w:lineRule="auto"/>
        <w:rPr>
          <w:rFonts w:hint="eastAsia"/>
          <w:color w:val="auto"/>
          <w:lang w:val="en-US" w:eastAsia="zh-CN"/>
        </w:rPr>
      </w:pPr>
      <w:r>
        <w:rPr>
          <w:rFonts w:hint="eastAsia"/>
          <w:color w:val="auto"/>
          <w:lang w:val="en-US" w:eastAsia="zh-CN"/>
        </w:rPr>
        <w:t>因此，本项目符合固原市水环境工业污染重点管控区要求。</w:t>
      </w:r>
    </w:p>
    <w:p w14:paraId="4AC1375F">
      <w:pPr>
        <w:bidi w:val="0"/>
        <w:spacing w:line="360" w:lineRule="auto"/>
        <w:rPr>
          <w:rFonts w:hint="eastAsia"/>
          <w:color w:val="auto"/>
          <w:lang w:val="en-US" w:eastAsia="zh-CN"/>
        </w:rPr>
      </w:pPr>
      <w:r>
        <w:rPr>
          <w:rFonts w:hint="eastAsia"/>
          <w:color w:val="auto"/>
          <w:lang w:val="en-US" w:eastAsia="zh-CN"/>
        </w:rPr>
        <w:t>（3）土壤环境质量底线及分区管控符合性分析</w:t>
      </w:r>
    </w:p>
    <w:p w14:paraId="1F6F2D13">
      <w:pPr>
        <w:bidi w:val="0"/>
        <w:spacing w:line="360" w:lineRule="auto"/>
        <w:rPr>
          <w:rFonts w:hint="eastAsia"/>
          <w:color w:val="auto"/>
          <w:lang w:val="en-US" w:eastAsia="zh-CN"/>
        </w:rPr>
      </w:pPr>
      <w:r>
        <w:rPr>
          <w:rFonts w:hint="eastAsia"/>
          <w:color w:val="auto"/>
          <w:lang w:val="en-US" w:eastAsia="zh-CN"/>
        </w:rPr>
        <w:t>根据《固原市生态环境分区管控实施方案》（固政发〔2024〕28号），本项目位于土壤环境一般管控区，与固原市土壤环境分区管控图位置关系见图9.4-5。</w:t>
      </w:r>
    </w:p>
    <w:p w14:paraId="1FEEE5F7">
      <w:pPr>
        <w:bidi w:val="0"/>
        <w:spacing w:line="360" w:lineRule="auto"/>
        <w:rPr>
          <w:rFonts w:hint="eastAsia"/>
          <w:color w:val="auto"/>
          <w:lang w:val="en-US" w:eastAsia="zh-CN"/>
        </w:rPr>
      </w:pPr>
      <w:r>
        <w:rPr>
          <w:rFonts w:hint="eastAsia"/>
          <w:color w:val="auto"/>
          <w:lang w:val="en-US" w:eastAsia="zh-CN"/>
        </w:rPr>
        <w:t>土壤环境一般管控区：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14:paraId="7D9EC99E">
      <w:pPr>
        <w:bidi w:val="0"/>
        <w:spacing w:line="360" w:lineRule="auto"/>
        <w:rPr>
          <w:rFonts w:hint="default"/>
          <w:color w:val="auto"/>
          <w:lang w:val="en-US" w:eastAsia="zh-CN"/>
        </w:rPr>
      </w:pPr>
      <w:r>
        <w:rPr>
          <w:rFonts w:hint="eastAsia"/>
          <w:color w:val="auto"/>
          <w:lang w:val="en-US" w:eastAsia="zh-CN"/>
        </w:rPr>
        <w:t>本项目位于固原经济开发区轻工产业园，属于新建牛羊肉屠宰加工项目。对污水处理站做</w:t>
      </w:r>
      <w:r>
        <w:rPr>
          <w:rFonts w:hint="eastAsia" w:ascii="Times New Roman" w:hAnsi="Times New Roman"/>
          <w:color w:val="auto"/>
          <w:lang w:val="en-US" w:eastAsia="zh-CN"/>
        </w:rPr>
        <w:t>重点防渗，</w:t>
      </w:r>
      <w:r>
        <w:rPr>
          <w:rFonts w:hint="default" w:ascii="Times New Roman" w:hAnsi="Times New Roman"/>
          <w:color w:val="auto"/>
          <w:lang w:val="en-US" w:eastAsia="zh-CN"/>
        </w:rPr>
        <w:t>池底池壁采取防渗处理，防渗层的性能不低于6.0m厚渗透系数为1.0×10</w:t>
      </w:r>
      <w:r>
        <w:rPr>
          <w:rFonts w:hint="default" w:ascii="Times New Roman" w:hAnsi="Times New Roman"/>
          <w:color w:val="auto"/>
          <w:vertAlign w:val="superscript"/>
          <w:lang w:val="en-US" w:eastAsia="zh-CN"/>
        </w:rPr>
        <w:t>-7</w:t>
      </w:r>
      <w:r>
        <w:rPr>
          <w:rFonts w:hint="default" w:ascii="Times New Roman" w:hAnsi="Times New Roman"/>
          <w:color w:val="auto"/>
          <w:lang w:val="en-US" w:eastAsia="zh-CN"/>
        </w:rPr>
        <w:t>cm/s的</w:t>
      </w:r>
      <w:r>
        <w:rPr>
          <w:rFonts w:hint="eastAsia"/>
          <w:color w:val="auto"/>
          <w:lang w:val="en-US" w:eastAsia="zh-CN"/>
        </w:rPr>
        <w:t>粘</w:t>
      </w:r>
      <w:r>
        <w:rPr>
          <w:rFonts w:hint="default" w:ascii="Times New Roman" w:hAnsi="Times New Roman"/>
          <w:color w:val="auto"/>
          <w:lang w:val="en-US" w:eastAsia="zh-CN"/>
        </w:rPr>
        <w:t>土层</w:t>
      </w:r>
      <w:r>
        <w:rPr>
          <w:rFonts w:hint="eastAsia" w:ascii="Times New Roman" w:hAnsi="Times New Roman"/>
          <w:color w:val="auto"/>
          <w:lang w:val="en-US" w:eastAsia="zh-CN"/>
        </w:rPr>
        <w:t>；危废贮存库地面铺设2mm厚高密度聚乙烯膜等人工防渗材料，渗透系数不大于1.0×10</w:t>
      </w:r>
      <w:r>
        <w:rPr>
          <w:rFonts w:hint="eastAsia" w:ascii="Times New Roman" w:hAnsi="Times New Roman"/>
          <w:color w:val="auto"/>
          <w:vertAlign w:val="superscript"/>
          <w:lang w:val="en-US" w:eastAsia="zh-CN"/>
        </w:rPr>
        <w:t>-7</w:t>
      </w:r>
      <w:r>
        <w:rPr>
          <w:rFonts w:hint="eastAsia" w:ascii="Times New Roman" w:hAnsi="Times New Roman"/>
          <w:color w:val="auto"/>
          <w:lang w:val="en-US" w:eastAsia="zh-CN"/>
        </w:rPr>
        <w:t>cm/s</w:t>
      </w:r>
      <w:r>
        <w:rPr>
          <w:rFonts w:hint="eastAsia"/>
          <w:color w:val="auto"/>
          <w:lang w:val="en-US" w:eastAsia="zh-CN"/>
        </w:rPr>
        <w:t>；</w:t>
      </w:r>
      <w:r>
        <w:rPr>
          <w:rFonts w:hint="eastAsia" w:ascii="Times New Roman" w:hAnsi="Times New Roman"/>
          <w:color w:val="auto"/>
          <w:lang w:val="en-US" w:eastAsia="zh-CN"/>
        </w:rPr>
        <w:t>屠宰加工车间及化粪池做一般防渗，</w:t>
      </w:r>
      <w:r>
        <w:rPr>
          <w:rFonts w:hint="eastAsia"/>
          <w:color w:val="auto"/>
          <w:lang w:val="en-US" w:eastAsia="zh-CN"/>
        </w:rPr>
        <w:t>采用</w:t>
      </w:r>
      <w:r>
        <w:rPr>
          <w:rFonts w:hint="eastAsia" w:ascii="Times New Roman" w:hAnsi="Times New Roman"/>
          <w:color w:val="auto"/>
          <w:lang w:val="en-US" w:eastAsia="zh-CN"/>
        </w:rPr>
        <w:t>水泥砂浆防渗，防渗层为至少1m厚</w:t>
      </w:r>
      <w:r>
        <w:rPr>
          <w:rFonts w:hint="eastAsia"/>
          <w:color w:val="auto"/>
          <w:lang w:val="en-US" w:eastAsia="zh-CN"/>
        </w:rPr>
        <w:t>粘土</w:t>
      </w:r>
      <w:r>
        <w:rPr>
          <w:rFonts w:hint="eastAsia" w:ascii="Times New Roman" w:hAnsi="Times New Roman"/>
          <w:color w:val="auto"/>
          <w:lang w:val="en-US" w:eastAsia="zh-CN"/>
        </w:rPr>
        <w:t>层或2mm厚高密度聚乙烯，需满足等效</w:t>
      </w:r>
      <w:r>
        <w:rPr>
          <w:rFonts w:hint="eastAsia"/>
          <w:color w:val="auto"/>
          <w:lang w:val="en-US" w:eastAsia="zh-CN"/>
        </w:rPr>
        <w:t>粘</w:t>
      </w:r>
      <w:r>
        <w:rPr>
          <w:rFonts w:hint="eastAsia" w:ascii="Times New Roman" w:hAnsi="Times New Roman"/>
          <w:color w:val="auto"/>
          <w:lang w:val="en-US" w:eastAsia="zh-CN"/>
        </w:rPr>
        <w:t>土防渗层Mb≥1.5m，满足渗透系数K≤1.0×10</w:t>
      </w:r>
      <w:r>
        <w:rPr>
          <w:rFonts w:hint="eastAsia" w:ascii="Times New Roman" w:hAnsi="Times New Roman"/>
          <w:color w:val="auto"/>
          <w:vertAlign w:val="superscript"/>
          <w:lang w:val="en-US" w:eastAsia="zh-CN"/>
        </w:rPr>
        <w:t>-7</w:t>
      </w:r>
      <w:r>
        <w:rPr>
          <w:rFonts w:hint="eastAsia" w:ascii="Times New Roman" w:hAnsi="Times New Roman"/>
          <w:color w:val="auto"/>
          <w:lang w:val="en-US" w:eastAsia="zh-CN"/>
        </w:rPr>
        <w:t>cm/s；办公区全部硬化。</w:t>
      </w:r>
    </w:p>
    <w:p w14:paraId="0089B605">
      <w:pPr>
        <w:bidi w:val="0"/>
        <w:spacing w:line="360" w:lineRule="auto"/>
        <w:rPr>
          <w:rFonts w:hint="eastAsia"/>
          <w:color w:val="auto"/>
          <w:lang w:val="en-US" w:eastAsia="zh-CN"/>
        </w:rPr>
      </w:pPr>
      <w:r>
        <w:rPr>
          <w:rFonts w:hint="eastAsia"/>
          <w:color w:val="auto"/>
          <w:lang w:val="en-US" w:eastAsia="zh-CN"/>
        </w:rPr>
        <w:t>因此，本项目满足固原市土壤污染风险防控底线要求。</w:t>
      </w:r>
    </w:p>
    <w:p w14:paraId="63F77F09">
      <w:pPr>
        <w:bidi w:val="0"/>
        <w:spacing w:line="360" w:lineRule="auto"/>
        <w:rPr>
          <w:rFonts w:hint="eastAsia"/>
          <w:color w:val="auto"/>
          <w:lang w:val="en-US" w:eastAsia="zh-CN"/>
        </w:rPr>
      </w:pPr>
      <w:r>
        <w:rPr>
          <w:rFonts w:hint="eastAsia"/>
          <w:color w:val="auto"/>
          <w:lang w:val="en-US" w:eastAsia="zh-CN"/>
        </w:rPr>
        <w:t>综上所述，本项目满足环境质量底线的要求，即不会改变区域环境功能区质量要求，能维持环境功能区质量现状。</w:t>
      </w:r>
    </w:p>
    <w:p w14:paraId="77ECC248">
      <w:pPr>
        <w:bidi w:val="0"/>
        <w:spacing w:line="360" w:lineRule="auto"/>
        <w:rPr>
          <w:rFonts w:hint="eastAsia"/>
          <w:color w:val="auto"/>
          <w:lang w:val="en-US" w:eastAsia="zh-CN"/>
        </w:rPr>
      </w:pPr>
      <w:r>
        <w:rPr>
          <w:rFonts w:hint="eastAsia"/>
          <w:color w:val="auto"/>
          <w:lang w:val="en-US" w:eastAsia="zh-CN"/>
        </w:rPr>
        <w:t>（4）资源利用上线</w:t>
      </w:r>
    </w:p>
    <w:p w14:paraId="0F6D5853">
      <w:pPr>
        <w:bidi w:val="0"/>
        <w:spacing w:line="360" w:lineRule="auto"/>
        <w:rPr>
          <w:rFonts w:hint="eastAsia"/>
          <w:color w:val="auto"/>
          <w:lang w:val="en-US" w:eastAsia="zh-CN"/>
        </w:rPr>
      </w:pPr>
      <w:r>
        <w:rPr>
          <w:rFonts w:hint="default" w:ascii="Times New Roman" w:hAnsi="Times New Roman"/>
          <w:color w:val="auto"/>
          <w:lang w:val="en-US" w:eastAsia="zh-CN"/>
        </w:rPr>
        <w:t>①</w:t>
      </w:r>
      <w:r>
        <w:rPr>
          <w:rFonts w:hint="eastAsia"/>
          <w:color w:val="auto"/>
          <w:lang w:val="en-US" w:eastAsia="zh-CN"/>
        </w:rPr>
        <w:t>能源（煤炭）资源</w:t>
      </w:r>
    </w:p>
    <w:p w14:paraId="24F6AA97">
      <w:pPr>
        <w:bidi w:val="0"/>
        <w:spacing w:line="360" w:lineRule="auto"/>
        <w:rPr>
          <w:rFonts w:hint="eastAsia"/>
          <w:color w:val="auto"/>
          <w:lang w:val="en-US" w:eastAsia="zh-CN"/>
        </w:rPr>
      </w:pPr>
      <w:r>
        <w:rPr>
          <w:rFonts w:hint="eastAsia"/>
          <w:color w:val="auto"/>
          <w:lang w:val="en-US" w:eastAsia="zh-CN"/>
        </w:rPr>
        <w:t>本项目不消耗煤炭资源，不涉及固原市能源（煤炭）资源利用上线。</w:t>
      </w:r>
    </w:p>
    <w:p w14:paraId="4B9A269F">
      <w:pPr>
        <w:numPr>
          <w:ilvl w:val="0"/>
          <w:numId w:val="0"/>
        </w:numPr>
        <w:bidi w:val="0"/>
        <w:spacing w:line="360" w:lineRule="auto"/>
        <w:ind w:left="480" w:leftChars="0"/>
        <w:rPr>
          <w:rFonts w:hint="eastAsia"/>
          <w:color w:val="auto"/>
          <w:lang w:val="en-US" w:eastAsia="zh-CN"/>
        </w:rPr>
      </w:pPr>
      <w:r>
        <w:rPr>
          <w:rFonts w:hint="default" w:ascii="Times New Roman" w:hAnsi="Times New Roman"/>
          <w:color w:val="auto"/>
          <w:lang w:val="en-US" w:eastAsia="zh-CN"/>
        </w:rPr>
        <w:t>②</w:t>
      </w:r>
      <w:r>
        <w:rPr>
          <w:rFonts w:hint="eastAsia"/>
          <w:color w:val="auto"/>
          <w:lang w:val="en-US" w:eastAsia="zh-CN"/>
        </w:rPr>
        <w:t>水资源</w:t>
      </w:r>
    </w:p>
    <w:p w14:paraId="2A9511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lang w:val="en-US" w:eastAsia="zh-CN"/>
        </w:rPr>
      </w:pPr>
      <w:r>
        <w:rPr>
          <w:rFonts w:hint="eastAsia"/>
          <w:color w:val="auto"/>
          <w:lang w:val="en-US" w:eastAsia="zh-CN"/>
        </w:rPr>
        <w:t>本项目位于宁夏回族自治区固原经济开发区轻工产业园，属于水资源利用上线一般管控区域。项目运营过程中消耗一定量的电力和水资源，资源消耗量相对区域资源利用总量较少，符合水资源利用上线及分区管控要求。</w:t>
      </w:r>
    </w:p>
    <w:p w14:paraId="7CA0EC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default" w:ascii="Times New Roman" w:hAnsi="Times New Roman"/>
          <w:color w:val="auto"/>
          <w:lang w:val="en-US" w:eastAsia="zh-CN"/>
        </w:rPr>
        <w:t>③</w:t>
      </w:r>
      <w:r>
        <w:rPr>
          <w:rFonts w:hint="eastAsia"/>
          <w:color w:val="auto"/>
          <w:lang w:val="en-US" w:eastAsia="zh-CN"/>
        </w:rPr>
        <w:t>土地资源</w:t>
      </w:r>
    </w:p>
    <w:p w14:paraId="3CBC1A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color w:val="auto"/>
          <w:lang w:val="en-US" w:eastAsia="zh-CN"/>
        </w:rPr>
      </w:pPr>
      <w:r>
        <w:rPr>
          <w:rFonts w:hint="eastAsia" w:ascii="Times New Roman" w:hAnsi="Times New Roman"/>
          <w:color w:val="auto"/>
          <w:lang w:val="en-US" w:eastAsia="zh-CN"/>
        </w:rPr>
        <w:t>本项目占地不属于土地资源重点管控区，属于园区规划范围内的工业用地，不新增占地，对土地资源利用不造成影响。因此，项目符合土地资源利用上线要求。</w:t>
      </w:r>
    </w:p>
    <w:p w14:paraId="6D5B5F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color w:val="auto"/>
          <w:lang w:val="en-US" w:eastAsia="zh-CN"/>
        </w:rPr>
      </w:pPr>
      <w:r>
        <w:rPr>
          <w:rFonts w:hint="eastAsia" w:ascii="Times New Roman" w:hAnsi="Times New Roman"/>
          <w:color w:val="auto"/>
          <w:lang w:val="en-US" w:eastAsia="zh-CN"/>
        </w:rPr>
        <w:t>综上所述，本项目符合资源利用上线要求。</w:t>
      </w:r>
    </w:p>
    <w:p w14:paraId="31AE91AB">
      <w:pPr>
        <w:bidi w:val="0"/>
        <w:spacing w:line="360" w:lineRule="auto"/>
        <w:rPr>
          <w:rFonts w:hint="eastAsia"/>
          <w:color w:val="auto"/>
          <w:lang w:val="en-US" w:eastAsia="zh-CN"/>
        </w:rPr>
      </w:pPr>
      <w:r>
        <w:rPr>
          <w:rFonts w:hint="eastAsia"/>
          <w:color w:val="auto"/>
          <w:lang w:val="en-US" w:eastAsia="zh-CN"/>
        </w:rPr>
        <w:t>（5）项目</w:t>
      </w:r>
      <w:r>
        <w:rPr>
          <w:snapToGrid w:val="0"/>
          <w:color w:val="auto"/>
          <w:kern w:val="0"/>
          <w:sz w:val="24"/>
        </w:rPr>
        <w:t>与环境准入负面清单的符合性分析</w:t>
      </w:r>
    </w:p>
    <w:p w14:paraId="0982CCE6">
      <w:pPr>
        <w:bidi w:val="0"/>
        <w:spacing w:line="360" w:lineRule="auto"/>
        <w:rPr>
          <w:rFonts w:hint="default"/>
          <w:color w:val="auto"/>
          <w:lang w:val="en-US" w:eastAsia="zh-CN"/>
        </w:rPr>
      </w:pPr>
      <w:r>
        <w:rPr>
          <w:rFonts w:hint="eastAsia"/>
          <w:color w:val="auto"/>
          <w:lang w:val="en-US" w:eastAsia="zh-CN"/>
        </w:rPr>
        <w:t>根据固原市生态环境准入清单，本项目位于原州区宁夏固原经济开发区重点管控单元，项目与原州区宁夏固原经济开发区重点管控单元准入清单符合性分析见下表：</w:t>
      </w:r>
    </w:p>
    <w:p w14:paraId="23292695">
      <w:pPr>
        <w:bidi w:val="0"/>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表</w:t>
      </w:r>
      <w:r>
        <w:rPr>
          <w:rFonts w:hint="eastAsia" w:ascii="Times New Roman" w:hAnsi="Times New Roman" w:eastAsia="宋体" w:cs="Times New Roman"/>
          <w:color w:val="auto"/>
          <w:sz w:val="21"/>
          <w:szCs w:val="21"/>
          <w:lang w:val="en-US" w:eastAsia="zh-CN"/>
        </w:rPr>
        <w:t>9.4-1</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lang w:val="en-US" w:eastAsia="zh-CN"/>
        </w:rPr>
        <w:t>本项目与宁夏固原经济开发区重点管控单元</w:t>
      </w:r>
      <w:r>
        <w:rPr>
          <w:rFonts w:hint="eastAsia" w:ascii="Times New Roman" w:hAnsi="Times New Roman" w:eastAsia="宋体" w:cs="Times New Roman"/>
          <w:b/>
          <w:bCs/>
          <w:color w:val="auto"/>
          <w:lang w:val="en-US" w:eastAsia="zh-CN"/>
        </w:rPr>
        <w:t>准入清单</w:t>
      </w:r>
      <w:r>
        <w:rPr>
          <w:rFonts w:hint="default" w:ascii="Times New Roman" w:hAnsi="Times New Roman" w:eastAsia="宋体" w:cs="Times New Roman"/>
          <w:b/>
          <w:bCs/>
          <w:color w:val="auto"/>
          <w:lang w:val="en-US" w:eastAsia="zh-CN"/>
        </w:rPr>
        <w:t>符合性分析</w:t>
      </w:r>
    </w:p>
    <w:tbl>
      <w:tblPr>
        <w:tblStyle w:val="27"/>
        <w:tblW w:w="513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39"/>
        <w:gridCol w:w="4903"/>
        <w:gridCol w:w="2662"/>
        <w:gridCol w:w="696"/>
      </w:tblGrid>
      <w:tr w14:paraId="7BF55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37" w:type="dxa"/>
            <w:tcBorders>
              <w:tl2br w:val="nil"/>
              <w:tr2bl w:val="nil"/>
            </w:tcBorders>
            <w:noWrap w:val="0"/>
            <w:vAlign w:val="center"/>
          </w:tcPr>
          <w:p w14:paraId="29C1419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类别</w:t>
            </w:r>
          </w:p>
        </w:tc>
        <w:tc>
          <w:tcPr>
            <w:tcW w:w="4887" w:type="dxa"/>
            <w:tcBorders>
              <w:tl2br w:val="nil"/>
              <w:tr2bl w:val="nil"/>
            </w:tcBorders>
            <w:noWrap w:val="0"/>
            <w:vAlign w:val="center"/>
          </w:tcPr>
          <w:p w14:paraId="711E697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准入要求</w:t>
            </w:r>
          </w:p>
        </w:tc>
        <w:tc>
          <w:tcPr>
            <w:tcW w:w="2653" w:type="dxa"/>
            <w:tcBorders>
              <w:tl2br w:val="nil"/>
              <w:tr2bl w:val="nil"/>
            </w:tcBorders>
            <w:noWrap w:val="0"/>
            <w:vAlign w:val="center"/>
          </w:tcPr>
          <w:p w14:paraId="2903A81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本项目</w:t>
            </w:r>
          </w:p>
        </w:tc>
        <w:tc>
          <w:tcPr>
            <w:tcW w:w="694" w:type="dxa"/>
            <w:tcBorders>
              <w:tl2br w:val="nil"/>
              <w:tr2bl w:val="nil"/>
            </w:tcBorders>
            <w:noWrap w:val="0"/>
            <w:vAlign w:val="center"/>
          </w:tcPr>
          <w:p w14:paraId="64C8C54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符合性</w:t>
            </w:r>
          </w:p>
        </w:tc>
      </w:tr>
      <w:tr w14:paraId="70BCFF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737" w:type="dxa"/>
            <w:tcBorders>
              <w:tl2br w:val="nil"/>
              <w:tr2bl w:val="nil"/>
            </w:tcBorders>
            <w:noWrap w:val="0"/>
            <w:vAlign w:val="center"/>
          </w:tcPr>
          <w:p w14:paraId="26CF4CB4">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空间布局约束</w:t>
            </w:r>
          </w:p>
        </w:tc>
        <w:tc>
          <w:tcPr>
            <w:tcW w:w="4887" w:type="dxa"/>
            <w:tcBorders>
              <w:tl2br w:val="nil"/>
              <w:tr2bl w:val="nil"/>
            </w:tcBorders>
            <w:noWrap w:val="0"/>
            <w:vAlign w:val="center"/>
          </w:tcPr>
          <w:p w14:paraId="03CFABB5">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1.除园区基础设施及国家、自治区重大战略项目外，严格禁止高耗能、高排放、低水平项目盲目发展。</w:t>
            </w:r>
          </w:p>
          <w:p w14:paraId="6DC401E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2.对未达标排放、不符合生产条件的企业禁止生产，对属于落后产能且污染严重的企业依法关停。</w:t>
            </w:r>
          </w:p>
          <w:p w14:paraId="722F2BA4">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污染地块（土壤重金属超标、污染企业退出的遗留污染宗地）未经治理与修复，或者经治理与修复但未达到土壤污染风险评估报告确定的风险管控、修复目标的建设用地地块，禁止开工建设任何与风险管控、修复无关的项目。</w:t>
            </w:r>
          </w:p>
          <w:p w14:paraId="0A59E14B">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4.不得新建、改（扩）建产生异味的生物发酵项目。</w:t>
            </w:r>
          </w:p>
        </w:tc>
        <w:tc>
          <w:tcPr>
            <w:tcW w:w="2653" w:type="dxa"/>
            <w:tcBorders>
              <w:tl2br w:val="nil"/>
              <w:tr2bl w:val="nil"/>
            </w:tcBorders>
            <w:noWrap w:val="0"/>
            <w:vAlign w:val="center"/>
          </w:tcPr>
          <w:p w14:paraId="19512502">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1、本项目不属于高耗能、高排放、低水平项目</w:t>
            </w:r>
          </w:p>
          <w:p w14:paraId="0F26E111">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2、本项目不属于产能落后及污染严重企业，产生的污染物均能达标排放。</w:t>
            </w:r>
          </w:p>
          <w:p w14:paraId="1D2B17C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3、本项目不涉及。</w:t>
            </w:r>
          </w:p>
          <w:p w14:paraId="1A3CD0B0">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color w:val="auto"/>
                <w:lang w:val="en-US" w:eastAsia="zh-CN"/>
              </w:rPr>
            </w:pPr>
            <w:r>
              <w:rPr>
                <w:rFonts w:hint="eastAsia" w:ascii="Times New Roman" w:hAnsi="Times New Roman" w:eastAsia="宋体" w:cs="Times New Roman"/>
                <w:snapToGrid w:val="0"/>
                <w:color w:val="auto"/>
                <w:kern w:val="0"/>
                <w:sz w:val="21"/>
                <w:szCs w:val="21"/>
                <w:highlight w:val="none"/>
                <w:lang w:val="en-US" w:eastAsia="zh-CN"/>
              </w:rPr>
              <w:t>4、本项目不属于生物发酵项目。</w:t>
            </w:r>
          </w:p>
        </w:tc>
        <w:tc>
          <w:tcPr>
            <w:tcW w:w="694" w:type="dxa"/>
            <w:tcBorders>
              <w:tl2br w:val="nil"/>
              <w:tr2bl w:val="nil"/>
            </w:tcBorders>
            <w:noWrap w:val="0"/>
            <w:vAlign w:val="center"/>
          </w:tcPr>
          <w:p w14:paraId="1A893CD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符合</w:t>
            </w:r>
          </w:p>
        </w:tc>
      </w:tr>
      <w:tr w14:paraId="0D7312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7" w:type="dxa"/>
            <w:tcBorders>
              <w:tl2br w:val="nil"/>
              <w:tr2bl w:val="nil"/>
            </w:tcBorders>
            <w:noWrap w:val="0"/>
            <w:vAlign w:val="center"/>
          </w:tcPr>
          <w:p w14:paraId="7FA9CB9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污染物排放管控</w:t>
            </w:r>
          </w:p>
        </w:tc>
        <w:tc>
          <w:tcPr>
            <w:tcW w:w="4887" w:type="dxa"/>
            <w:tcBorders>
              <w:tl2br w:val="nil"/>
              <w:tr2bl w:val="nil"/>
            </w:tcBorders>
            <w:noWrap w:val="0"/>
            <w:vAlign w:val="center"/>
          </w:tcPr>
          <w:p w14:paraId="0AC92FF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1.建设项目要按照区域污染物削减要求，实施等量替代。</w:t>
            </w:r>
          </w:p>
          <w:p w14:paraId="5E378AA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园区生产废水要做到有效处理，达标排入管网，或循环利用、不外排；对生活污水经处理达标后排入工业园区污水处理厂。加强金昱元公司污水排放监管力度，确保生产过程中产生的污水集中处理，封堵生产废水排污口，严禁排入园区公网，达到零排放。</w:t>
            </w:r>
          </w:p>
        </w:tc>
        <w:tc>
          <w:tcPr>
            <w:tcW w:w="2653" w:type="dxa"/>
            <w:tcBorders>
              <w:tl2br w:val="nil"/>
              <w:tr2bl w:val="nil"/>
            </w:tcBorders>
            <w:noWrap w:val="0"/>
            <w:vAlign w:val="center"/>
          </w:tcPr>
          <w:p w14:paraId="36C01BD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1、本项目无需申请污染物总量指标。</w:t>
            </w:r>
          </w:p>
          <w:p w14:paraId="28EF221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color w:val="auto"/>
                <w:lang w:val="en-US" w:eastAsia="zh-CN"/>
              </w:rPr>
            </w:pPr>
            <w:r>
              <w:rPr>
                <w:rFonts w:hint="eastAsia" w:ascii="Times New Roman" w:hAnsi="Times New Roman" w:eastAsia="宋体" w:cs="Times New Roman"/>
                <w:snapToGrid w:val="0"/>
                <w:color w:val="auto"/>
                <w:kern w:val="0"/>
                <w:sz w:val="21"/>
                <w:szCs w:val="21"/>
                <w:highlight w:val="none"/>
                <w:lang w:val="en-US" w:eastAsia="zh-CN"/>
              </w:rPr>
              <w:t>2、本项目产生的生活污水经化粪池收集，车辆冲洗废水及屠宰废水经厂区污水处理站处理后，一起排至园区污水管网处理。</w:t>
            </w:r>
          </w:p>
        </w:tc>
        <w:tc>
          <w:tcPr>
            <w:tcW w:w="694" w:type="dxa"/>
            <w:tcBorders>
              <w:tl2br w:val="nil"/>
              <w:tr2bl w:val="nil"/>
            </w:tcBorders>
            <w:noWrap w:val="0"/>
            <w:vAlign w:val="center"/>
          </w:tcPr>
          <w:p w14:paraId="2F8010E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符合</w:t>
            </w:r>
          </w:p>
        </w:tc>
      </w:tr>
      <w:tr w14:paraId="73273A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7" w:type="dxa"/>
            <w:tcBorders>
              <w:tl2br w:val="nil"/>
              <w:tr2bl w:val="nil"/>
            </w:tcBorders>
            <w:noWrap w:val="0"/>
            <w:vAlign w:val="center"/>
          </w:tcPr>
          <w:p w14:paraId="08540D41">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环境风险防控</w:t>
            </w:r>
          </w:p>
        </w:tc>
        <w:tc>
          <w:tcPr>
            <w:tcW w:w="4887" w:type="dxa"/>
            <w:tcBorders>
              <w:tl2br w:val="nil"/>
              <w:tr2bl w:val="nil"/>
            </w:tcBorders>
            <w:noWrap w:val="0"/>
            <w:vAlign w:val="center"/>
          </w:tcPr>
          <w:p w14:paraId="69D19C2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1.土壤重点监管、涉重金属企业应采取措施加强土壤环境监测和土壤污染风险防控。</w:t>
            </w:r>
          </w:p>
          <w:p w14:paraId="0D143E4C">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2.应建立环境污染事故风险管理组织机制。</w:t>
            </w:r>
          </w:p>
          <w:p w14:paraId="05A17A7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3.依据《建设项目环境风险评价技术导则》（HJ169-2018），环境风险潜势为极高环境风险（Ⅳ+）且毒性终点浓度-1/（mg/m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）范围有居民区的建设项目禁止引入化工集中区。</w:t>
            </w:r>
          </w:p>
        </w:tc>
        <w:tc>
          <w:tcPr>
            <w:tcW w:w="2653" w:type="dxa"/>
            <w:tcBorders>
              <w:tl2br w:val="nil"/>
              <w:tr2bl w:val="nil"/>
            </w:tcBorders>
            <w:noWrap w:val="0"/>
            <w:vAlign w:val="center"/>
          </w:tcPr>
          <w:p w14:paraId="74286B1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1、本项目不涉及。</w:t>
            </w:r>
          </w:p>
          <w:p w14:paraId="2C8A8E7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snapToGrid w:val="0"/>
                <w:color w:val="auto"/>
                <w:kern w:val="0"/>
                <w:sz w:val="21"/>
                <w:szCs w:val="21"/>
                <w:highlight w:val="none"/>
                <w:lang w:val="en-US" w:eastAsia="zh-CN"/>
              </w:rPr>
              <w:t>2、本项目根据要求</w:t>
            </w:r>
            <w:r>
              <w:rPr>
                <w:rFonts w:hint="default" w:ascii="Times New Roman" w:hAnsi="Times New Roman" w:eastAsia="宋体" w:cs="Times New Roman"/>
                <w:snapToGrid w:val="0"/>
                <w:color w:val="auto"/>
                <w:kern w:val="0"/>
                <w:sz w:val="21"/>
                <w:szCs w:val="21"/>
                <w:highlight w:val="none"/>
              </w:rPr>
              <w:t>建立环境污染事故风险管理组织机制</w:t>
            </w:r>
            <w:r>
              <w:rPr>
                <w:rFonts w:hint="eastAsia" w:ascii="Times New Roman" w:hAnsi="Times New Roman" w:eastAsia="宋体" w:cs="Times New Roman"/>
                <w:snapToGrid w:val="0"/>
                <w:color w:val="auto"/>
                <w:kern w:val="0"/>
                <w:sz w:val="21"/>
                <w:szCs w:val="21"/>
                <w:highlight w:val="none"/>
                <w:lang w:eastAsia="zh-CN"/>
              </w:rPr>
              <w:t>。</w:t>
            </w:r>
          </w:p>
          <w:p w14:paraId="6C0A6CDF">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color w:val="auto"/>
                <w:lang w:val="en-US" w:eastAsia="zh-CN"/>
              </w:rPr>
            </w:pPr>
            <w:r>
              <w:rPr>
                <w:rFonts w:hint="eastAsia" w:ascii="Times New Roman" w:hAnsi="Times New Roman" w:eastAsia="宋体" w:cs="Times New Roman"/>
                <w:snapToGrid w:val="0"/>
                <w:color w:val="auto"/>
                <w:kern w:val="0"/>
                <w:sz w:val="21"/>
                <w:szCs w:val="21"/>
                <w:highlight w:val="none"/>
                <w:lang w:val="en-US" w:eastAsia="zh-CN"/>
              </w:rPr>
              <w:t>3、根据</w:t>
            </w:r>
            <w:r>
              <w:rPr>
                <w:rFonts w:hint="default" w:ascii="Times New Roman" w:hAnsi="Times New Roman" w:eastAsia="宋体" w:cs="Times New Roman"/>
                <w:snapToGrid w:val="0"/>
                <w:color w:val="auto"/>
                <w:kern w:val="0"/>
                <w:sz w:val="21"/>
                <w:szCs w:val="21"/>
                <w:highlight w:val="none"/>
                <w:lang w:val="en-US" w:eastAsia="zh-CN"/>
              </w:rPr>
              <w:t>《建设项目环境风险评价技术导则》（HJ169-2018），</w:t>
            </w:r>
            <w:r>
              <w:rPr>
                <w:rFonts w:hint="eastAsia" w:ascii="Times New Roman" w:hAnsi="Times New Roman" w:eastAsia="宋体" w:cs="Times New Roman"/>
                <w:snapToGrid w:val="0"/>
                <w:color w:val="auto"/>
                <w:kern w:val="0"/>
                <w:sz w:val="21"/>
                <w:szCs w:val="21"/>
                <w:highlight w:val="none"/>
                <w:lang w:val="en-US" w:eastAsia="zh-CN"/>
              </w:rPr>
              <w:t>本项目风险潜势为Ⅰ。</w:t>
            </w:r>
          </w:p>
        </w:tc>
        <w:tc>
          <w:tcPr>
            <w:tcW w:w="694" w:type="dxa"/>
            <w:tcBorders>
              <w:tl2br w:val="nil"/>
              <w:tr2bl w:val="nil"/>
            </w:tcBorders>
            <w:noWrap w:val="0"/>
            <w:vAlign w:val="center"/>
          </w:tcPr>
          <w:p w14:paraId="03B4A623">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符合</w:t>
            </w:r>
          </w:p>
        </w:tc>
      </w:tr>
      <w:tr w14:paraId="1E0007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7" w:type="dxa"/>
            <w:tcBorders>
              <w:tl2br w:val="nil"/>
              <w:tr2bl w:val="nil"/>
            </w:tcBorders>
            <w:noWrap w:val="0"/>
            <w:vAlign w:val="center"/>
          </w:tcPr>
          <w:p w14:paraId="2DC48716">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资源开发效率</w:t>
            </w:r>
          </w:p>
        </w:tc>
        <w:tc>
          <w:tcPr>
            <w:tcW w:w="4887" w:type="dxa"/>
            <w:tcBorders>
              <w:tl2br w:val="nil"/>
              <w:tr2bl w:val="nil"/>
            </w:tcBorders>
            <w:noWrap w:val="0"/>
            <w:vAlign w:val="center"/>
          </w:tcPr>
          <w:p w14:paraId="51F59731">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1.新建、扩建煤电项目应采用先进适用的技术、工艺和设备，供电煤耗和大气污染物排放应达到煤炭清洁高效利用标杆水平。</w:t>
            </w:r>
          </w:p>
          <w:p w14:paraId="31FC17C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2.单位产品水耗、废水排放量、资源综合利用等指标，应达到相应行业清洁生产国内先进水平。</w:t>
            </w:r>
          </w:p>
          <w:p w14:paraId="49AD5C14">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3.强化节水措施，减少新鲜水用量，优先使用再生水、矿井水等非常规水源。优先采用空冷节水技术。</w:t>
            </w:r>
          </w:p>
        </w:tc>
        <w:tc>
          <w:tcPr>
            <w:tcW w:w="2653" w:type="dxa"/>
            <w:tcBorders>
              <w:tl2br w:val="nil"/>
              <w:tr2bl w:val="nil"/>
            </w:tcBorders>
            <w:noWrap w:val="0"/>
            <w:vAlign w:val="center"/>
          </w:tcPr>
          <w:p w14:paraId="54C8CFC8">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1、本项目为新建牛羊肉屠宰加工项目。</w:t>
            </w:r>
          </w:p>
          <w:p w14:paraId="4619B7C7">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2、本项目单位产品水耗、废水排放量、资源综合利用等指标，都能达到相应行业清洁生产国内先进水平。</w:t>
            </w:r>
          </w:p>
          <w:p w14:paraId="60837E0D">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firstLine="420" w:firstLineChars="200"/>
              <w:jc w:val="left"/>
              <w:textAlignment w:val="auto"/>
              <w:rPr>
                <w:rFonts w:hint="default"/>
                <w:color w:val="auto"/>
                <w:lang w:val="en-US" w:eastAsia="zh-CN"/>
              </w:rPr>
            </w:pPr>
            <w:r>
              <w:rPr>
                <w:rFonts w:hint="eastAsia" w:ascii="Times New Roman" w:hAnsi="Times New Roman" w:eastAsia="宋体" w:cs="Times New Roman"/>
                <w:snapToGrid w:val="0"/>
                <w:color w:val="auto"/>
                <w:kern w:val="0"/>
                <w:sz w:val="21"/>
                <w:szCs w:val="21"/>
                <w:highlight w:val="none"/>
                <w:lang w:val="en-US" w:eastAsia="zh-CN"/>
              </w:rPr>
              <w:t>3、本项目强化节水措施，减少新鲜水消耗。</w:t>
            </w:r>
          </w:p>
        </w:tc>
        <w:tc>
          <w:tcPr>
            <w:tcW w:w="694" w:type="dxa"/>
            <w:tcBorders>
              <w:tl2br w:val="nil"/>
              <w:tr2bl w:val="nil"/>
            </w:tcBorders>
            <w:noWrap w:val="0"/>
            <w:vAlign w:val="center"/>
          </w:tcPr>
          <w:p w14:paraId="702976D1">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符合</w:t>
            </w:r>
          </w:p>
        </w:tc>
      </w:tr>
    </w:tbl>
    <w:p w14:paraId="3631E913">
      <w:pPr>
        <w:bidi w:val="0"/>
        <w:spacing w:line="360" w:lineRule="auto"/>
        <w:rPr>
          <w:rFonts w:hint="eastAsia"/>
          <w:color w:val="auto"/>
          <w:lang w:val="en-US" w:eastAsia="zh-CN"/>
        </w:rPr>
      </w:pPr>
      <w:r>
        <w:rPr>
          <w:rFonts w:hint="eastAsia"/>
          <w:color w:val="auto"/>
          <w:lang w:val="en-US" w:eastAsia="zh-CN"/>
        </w:rPr>
        <w:t>综上所述，本项目的建设符合固原市“三线一单”及其分区管控相关要求。</w:t>
      </w:r>
    </w:p>
    <w:p w14:paraId="6C6F300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715" w:name="_Toc2057"/>
      <w:bookmarkStart w:id="716" w:name="_Toc10343"/>
      <w:bookmarkStart w:id="717" w:name="_Toc6203"/>
      <w:bookmarkStart w:id="718" w:name="_Toc15707"/>
      <w:bookmarkStart w:id="719" w:name="_Toc32669"/>
      <w:bookmarkStart w:id="720" w:name="_Toc21220"/>
      <w:bookmarkStart w:id="721" w:name="_Toc29451"/>
      <w:bookmarkStart w:id="722" w:name="_Toc25472"/>
      <w:bookmarkStart w:id="723" w:name="_Toc20737"/>
      <w:r>
        <w:rPr>
          <w:rFonts w:hint="default" w:ascii="Times New Roman" w:hAnsi="Times New Roman" w:eastAsia="黑体" w:cs="Times New Roman"/>
          <w:b/>
          <w:color w:val="auto"/>
          <w:sz w:val="28"/>
          <w:szCs w:val="28"/>
          <w:highlight w:val="none"/>
          <w:lang w:val="en-US" w:eastAsia="zh-CN"/>
        </w:rPr>
        <w:t>9.5选址合理性分析</w:t>
      </w:r>
      <w:bookmarkEnd w:id="715"/>
      <w:bookmarkEnd w:id="716"/>
      <w:bookmarkEnd w:id="717"/>
      <w:bookmarkEnd w:id="718"/>
      <w:bookmarkEnd w:id="719"/>
      <w:bookmarkEnd w:id="720"/>
      <w:bookmarkEnd w:id="721"/>
      <w:bookmarkEnd w:id="722"/>
      <w:bookmarkEnd w:id="723"/>
    </w:p>
    <w:p w14:paraId="0978AC16">
      <w:pPr>
        <w:pStyle w:val="2"/>
        <w:widowControl w:val="0"/>
        <w:adjustRightInd/>
        <w:snapToGrid/>
        <w:spacing w:line="360" w:lineRule="auto"/>
        <w:ind w:firstLine="0" w:firstLineChars="0"/>
        <w:outlineLvl w:val="2"/>
        <w:rPr>
          <w:rFonts w:hint="eastAsia" w:ascii="Times New Roman" w:hAnsi="Times New Roman" w:eastAsia="黑体" w:cs="Times New Roman"/>
          <w:b/>
          <w:bCs/>
          <w:color w:val="auto"/>
          <w:kern w:val="2"/>
          <w:sz w:val="28"/>
          <w:szCs w:val="32"/>
          <w:highlight w:val="none"/>
          <w:lang w:val="en-US" w:eastAsia="zh-CN"/>
        </w:rPr>
      </w:pPr>
      <w:r>
        <w:rPr>
          <w:rFonts w:hint="default" w:ascii="Times New Roman" w:hAnsi="Times New Roman" w:eastAsia="黑体" w:cs="Times New Roman"/>
          <w:b/>
          <w:bCs/>
          <w:color w:val="auto"/>
          <w:kern w:val="2"/>
          <w:sz w:val="28"/>
          <w:szCs w:val="32"/>
          <w:highlight w:val="none"/>
          <w:lang w:val="en-US" w:eastAsia="zh-CN"/>
        </w:rPr>
        <w:t>9.5.1</w:t>
      </w:r>
      <w:r>
        <w:rPr>
          <w:rFonts w:hint="default" w:ascii="Times New Roman" w:hAnsi="Times New Roman" w:eastAsia="黑体" w:cs="Times New Roman"/>
          <w:b/>
          <w:bCs/>
          <w:color w:val="auto"/>
          <w:kern w:val="2"/>
          <w:sz w:val="28"/>
          <w:szCs w:val="32"/>
          <w:highlight w:val="none"/>
          <w:lang w:val="zh-CN" w:eastAsia="zh-CN"/>
        </w:rPr>
        <w:t>与《食品安全国家标准 食品生产通用卫生规范》（GB14881-2025）的符合性分析</w:t>
      </w:r>
    </w:p>
    <w:p w14:paraId="12C44B34">
      <w:pPr>
        <w:bidi w:val="0"/>
        <w:spacing w:line="360" w:lineRule="auto"/>
        <w:rPr>
          <w:rFonts w:hint="eastAsia"/>
          <w:color w:val="auto"/>
          <w:lang w:val="en-US" w:eastAsia="zh-CN"/>
        </w:rPr>
      </w:pP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食品安全国家标准 食品生产通用卫生规范</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（GB14881-2025）</w:t>
      </w:r>
      <w:r>
        <w:rPr>
          <w:rFonts w:hint="eastAsia"/>
          <w:color w:val="auto"/>
          <w:lang w:val="en-US" w:eastAsia="zh-CN"/>
        </w:rPr>
        <w:t>中对食品企业选址的要求：</w:t>
      </w:r>
    </w:p>
    <w:p w14:paraId="3459953F">
      <w:pPr>
        <w:bidi w:val="0"/>
        <w:spacing w:line="360" w:lineRule="auto"/>
        <w:rPr>
          <w:rFonts w:hint="eastAsia"/>
          <w:color w:val="auto"/>
          <w:lang w:val="en-US" w:eastAsia="zh-CN"/>
        </w:rPr>
      </w:pPr>
      <w:r>
        <w:rPr>
          <w:rFonts w:hint="eastAsia"/>
          <w:color w:val="auto"/>
          <w:lang w:val="en-US" w:eastAsia="zh-CN"/>
        </w:rPr>
        <w:t>（1）厂区不应选择对食品有显著污染的区域。如某地对食品安全和食品宜食用性存在明显的不利影响，且无法通过采取措施加以改善，应避免在该地址建厂。</w:t>
      </w:r>
    </w:p>
    <w:p w14:paraId="275383E7">
      <w:pPr>
        <w:bidi w:val="0"/>
        <w:spacing w:line="360" w:lineRule="auto"/>
        <w:rPr>
          <w:rFonts w:hint="eastAsia"/>
          <w:color w:val="auto"/>
          <w:lang w:val="en-US" w:eastAsia="zh-CN"/>
        </w:rPr>
      </w:pPr>
      <w:r>
        <w:rPr>
          <w:rFonts w:hint="eastAsia"/>
          <w:color w:val="auto"/>
          <w:lang w:val="en-US" w:eastAsia="zh-CN"/>
        </w:rPr>
        <w:t>（2）厂区不应选择有害废弃物以及粉尘、有害气体、放射性物质和其他扩散性污染源不能有效清除的地址。</w:t>
      </w:r>
    </w:p>
    <w:p w14:paraId="082B0B48">
      <w:pPr>
        <w:bidi w:val="0"/>
        <w:spacing w:line="360" w:lineRule="auto"/>
        <w:rPr>
          <w:rFonts w:hint="eastAsia"/>
          <w:color w:val="auto"/>
          <w:lang w:val="en-US" w:eastAsia="zh-CN"/>
        </w:rPr>
      </w:pPr>
      <w:r>
        <w:rPr>
          <w:rFonts w:hint="eastAsia"/>
          <w:color w:val="auto"/>
          <w:lang w:val="en-US" w:eastAsia="zh-CN"/>
        </w:rPr>
        <w:t>（3）厂区不应选择在易发生洪涝灾害的地区,难以避开时应有必要的防范措施。</w:t>
      </w:r>
    </w:p>
    <w:p w14:paraId="1234E42B">
      <w:pPr>
        <w:bidi w:val="0"/>
        <w:spacing w:line="360" w:lineRule="auto"/>
        <w:rPr>
          <w:rFonts w:hint="eastAsia"/>
          <w:color w:val="auto"/>
          <w:lang w:val="en-US" w:eastAsia="zh-CN"/>
        </w:rPr>
      </w:pPr>
      <w:r>
        <w:rPr>
          <w:rFonts w:hint="eastAsia"/>
          <w:color w:val="auto"/>
          <w:lang w:val="en-US" w:eastAsia="zh-CN"/>
        </w:rPr>
        <w:t>（4）厂区周围不应有存在虫害大量孳生潜在风险的场所,难以避开时应有必要的防范或消除措施。</w:t>
      </w:r>
    </w:p>
    <w:p w14:paraId="171C7F97">
      <w:pPr>
        <w:bidi w:val="0"/>
        <w:spacing w:line="360" w:lineRule="auto"/>
        <w:rPr>
          <w:rFonts w:hint="eastAsia"/>
          <w:color w:val="auto"/>
          <w:lang w:val="en-US" w:eastAsia="zh-CN"/>
        </w:rPr>
      </w:pPr>
      <w:r>
        <w:rPr>
          <w:rFonts w:hint="eastAsia"/>
          <w:color w:val="auto"/>
          <w:lang w:val="en-US" w:eastAsia="zh-CN"/>
        </w:rPr>
        <w:t>本项目建设地点位于固原市固原经济开发区轻工产业园区，属于工业用地，交通十分方便，厂址周围地势干燥、水源充足，无粉尘、有害气体、放射性物质和其他危及产品卫生的污染源，符合食品生产通用卫生规范选址要求。</w:t>
      </w:r>
    </w:p>
    <w:p w14:paraId="450A03BC">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lang w:val="zh-CN" w:eastAsia="zh-CN"/>
        </w:rPr>
      </w:pPr>
      <w:r>
        <w:rPr>
          <w:rFonts w:hint="default" w:ascii="Times New Roman" w:hAnsi="Times New Roman" w:eastAsia="黑体" w:cs="Times New Roman"/>
          <w:b/>
          <w:bCs/>
          <w:color w:val="auto"/>
          <w:kern w:val="2"/>
          <w:sz w:val="28"/>
          <w:szCs w:val="32"/>
          <w:highlight w:val="none"/>
          <w:lang w:val="en-US" w:eastAsia="zh-CN"/>
        </w:rPr>
        <w:t>9.5.2</w:t>
      </w:r>
      <w:r>
        <w:rPr>
          <w:rFonts w:hint="default" w:ascii="Times New Roman" w:hAnsi="Times New Roman" w:eastAsia="黑体" w:cs="Times New Roman"/>
          <w:b/>
          <w:bCs/>
          <w:color w:val="auto"/>
          <w:kern w:val="2"/>
          <w:sz w:val="28"/>
          <w:szCs w:val="32"/>
          <w:highlight w:val="none"/>
          <w:lang w:val="zh-CN" w:eastAsia="zh-CN"/>
        </w:rPr>
        <w:t>与《食品安全国家标准 食品生产通用卫生规范》（GB14881-2025）中对食品企业厂区环境的要求：</w:t>
      </w:r>
    </w:p>
    <w:p w14:paraId="4E722A1F">
      <w:pPr>
        <w:bidi w:val="0"/>
        <w:spacing w:line="360" w:lineRule="auto"/>
        <w:rPr>
          <w:rFonts w:hint="eastAsia"/>
          <w:color w:val="auto"/>
          <w:lang w:val="en-US" w:eastAsia="zh-CN"/>
        </w:rPr>
      </w:pPr>
      <w:r>
        <w:rPr>
          <w:rFonts w:hint="eastAsia"/>
          <w:color w:val="auto"/>
          <w:lang w:val="en-US" w:eastAsia="zh-CN"/>
        </w:rPr>
        <w:t>（1）应考虑环境给食品生产带来的潜在污染风险，并采取适当的措施将其降至最低水平。</w:t>
      </w:r>
    </w:p>
    <w:p w14:paraId="2A2D86B2">
      <w:pPr>
        <w:bidi w:val="0"/>
        <w:spacing w:line="360" w:lineRule="auto"/>
        <w:rPr>
          <w:rFonts w:hint="eastAsia"/>
          <w:color w:val="auto"/>
          <w:lang w:val="en-US" w:eastAsia="zh-CN"/>
        </w:rPr>
      </w:pPr>
      <w:r>
        <w:rPr>
          <w:rFonts w:hint="eastAsia"/>
          <w:color w:val="auto"/>
          <w:lang w:val="en-US" w:eastAsia="zh-CN"/>
        </w:rPr>
        <w:t>（2）厂区应合理布局，各功能区域划分明显，并有适当的分离或分隔措施，满足生产需要，防止交叉污染。</w:t>
      </w:r>
    </w:p>
    <w:p w14:paraId="6A23CA7D">
      <w:pPr>
        <w:bidi w:val="0"/>
        <w:spacing w:line="360" w:lineRule="auto"/>
        <w:rPr>
          <w:rFonts w:hint="eastAsia"/>
          <w:color w:val="auto"/>
          <w:lang w:val="en-US" w:eastAsia="zh-CN"/>
        </w:rPr>
      </w:pPr>
      <w:r>
        <w:rPr>
          <w:rFonts w:hint="eastAsia"/>
          <w:color w:val="auto"/>
          <w:lang w:val="en-US" w:eastAsia="zh-CN"/>
        </w:rPr>
        <w:t>（3）厂区内的道路应铺设混凝土、沥青或其他不易产生扬尘的硬质材料；空地应采取必要措施，确保在正常天气下能够防止扬尘和积水的产生，保持环境清洁。</w:t>
      </w:r>
    </w:p>
    <w:p w14:paraId="2FDAF283">
      <w:pPr>
        <w:bidi w:val="0"/>
        <w:spacing w:line="360" w:lineRule="auto"/>
        <w:rPr>
          <w:rFonts w:hint="eastAsia"/>
          <w:color w:val="auto"/>
          <w:lang w:val="en-US" w:eastAsia="zh-CN"/>
        </w:rPr>
      </w:pPr>
      <w:r>
        <w:rPr>
          <w:rFonts w:hint="eastAsia"/>
          <w:color w:val="auto"/>
          <w:lang w:val="en-US" w:eastAsia="zh-CN"/>
        </w:rPr>
        <w:t>（4）厂区绿化应与食品生产车间保持适当距离，植被应定期维护，防止虫害孳生。植被种类、农药及肥料品种及其施用方式应防止污染生产区域。</w:t>
      </w:r>
    </w:p>
    <w:p w14:paraId="4EEE805C">
      <w:pPr>
        <w:bidi w:val="0"/>
        <w:spacing w:line="360" w:lineRule="auto"/>
        <w:rPr>
          <w:rFonts w:hint="eastAsia"/>
          <w:color w:val="auto"/>
          <w:lang w:val="en-US" w:eastAsia="zh-CN"/>
        </w:rPr>
      </w:pPr>
      <w:r>
        <w:rPr>
          <w:rFonts w:hint="eastAsia"/>
          <w:color w:val="auto"/>
          <w:lang w:val="en-US" w:eastAsia="zh-CN"/>
        </w:rPr>
        <w:t>（5）食品生产场所内不应饲养与生产无关的动物。</w:t>
      </w:r>
    </w:p>
    <w:p w14:paraId="73BA00BF">
      <w:pPr>
        <w:bidi w:val="0"/>
        <w:spacing w:line="360" w:lineRule="auto"/>
        <w:rPr>
          <w:rFonts w:hint="eastAsia"/>
          <w:color w:val="auto"/>
          <w:lang w:val="en-US" w:eastAsia="zh-CN"/>
        </w:rPr>
      </w:pPr>
      <w:r>
        <w:rPr>
          <w:rFonts w:hint="eastAsia"/>
          <w:color w:val="auto"/>
          <w:lang w:val="en-US" w:eastAsia="zh-CN"/>
        </w:rPr>
        <w:t>（6）厂区应有适当的排水系统，并根据需要采取适当措施防止污水倒流和地面积水。</w:t>
      </w:r>
    </w:p>
    <w:p w14:paraId="48B397D4">
      <w:pPr>
        <w:bidi w:val="0"/>
        <w:spacing w:line="360" w:lineRule="auto"/>
        <w:rPr>
          <w:rFonts w:hint="eastAsia"/>
          <w:color w:val="auto"/>
          <w:lang w:val="en-US" w:eastAsia="zh-CN"/>
        </w:rPr>
      </w:pPr>
      <w:r>
        <w:rPr>
          <w:rFonts w:hint="eastAsia"/>
          <w:color w:val="auto"/>
          <w:lang w:val="en-US" w:eastAsia="zh-CN"/>
        </w:rPr>
        <w:t>（7）宿舍、食堂、职工娱乐设施等生活区应与生产区保持适当距离或分隔。</w:t>
      </w:r>
    </w:p>
    <w:p w14:paraId="4BDF3225">
      <w:pPr>
        <w:bidi w:val="0"/>
        <w:spacing w:line="360" w:lineRule="auto"/>
        <w:rPr>
          <w:rFonts w:hint="eastAsia"/>
          <w:color w:val="auto"/>
          <w:lang w:val="en-US" w:eastAsia="zh-CN"/>
        </w:rPr>
      </w:pPr>
      <w:r>
        <w:rPr>
          <w:rFonts w:hint="eastAsia"/>
          <w:color w:val="auto"/>
          <w:lang w:val="en-US" w:eastAsia="zh-CN"/>
        </w:rPr>
        <w:t>（8）厂区内污水处理设施及燃煤锅炉房等易产生粉尘的场所应与食品生产场所保持适当距离，并位于主风向的下风向，难以避开时应采取必要的防范措施。</w:t>
      </w:r>
    </w:p>
    <w:p w14:paraId="768E9526">
      <w:pPr>
        <w:bidi w:val="0"/>
        <w:spacing w:line="360" w:lineRule="auto"/>
        <w:rPr>
          <w:rFonts w:hint="eastAsia"/>
          <w:color w:val="auto"/>
          <w:lang w:val="en-US" w:eastAsia="zh-CN"/>
        </w:rPr>
      </w:pPr>
      <w:r>
        <w:rPr>
          <w:rFonts w:hint="eastAsia"/>
          <w:color w:val="auto"/>
          <w:lang w:val="en-US" w:eastAsia="zh-CN"/>
        </w:rPr>
        <w:t>（9）厂区内建筑施工和整修期间应采取分隔等适当措施避免对食品生产区域产生影响。难以分隔时应有必要的防范措施。</w:t>
      </w:r>
    </w:p>
    <w:p w14:paraId="787C0219">
      <w:pPr>
        <w:bidi w:val="0"/>
        <w:spacing w:line="360" w:lineRule="auto"/>
        <w:rPr>
          <w:rFonts w:hint="eastAsia"/>
          <w:color w:val="auto"/>
          <w:lang w:val="en-US" w:eastAsia="zh-CN"/>
        </w:rPr>
      </w:pPr>
      <w:r>
        <w:rPr>
          <w:rFonts w:hint="eastAsia"/>
          <w:color w:val="auto"/>
          <w:lang w:val="en-US" w:eastAsia="zh-CN"/>
        </w:rPr>
        <w:t>本项目厂区严格按</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食品安全国家标准 食品生产通用卫生规范</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（GB14881-2025）</w:t>
      </w:r>
      <w:r>
        <w:rPr>
          <w:rFonts w:hint="eastAsia"/>
          <w:color w:val="auto"/>
          <w:lang w:val="en-US" w:eastAsia="zh-CN"/>
        </w:rPr>
        <w:t>相关要求进行设计，厂区道路采用硬质路面，生产区与生活区保持适当距离，空地采取绿化等防尘措施；厂区划分明确的功能分区，可有效避免交叉污染，配套完善的排水系统，无积水情况，生产场所严格管理，不饲养与生产无关的畜禽类等动物。符合</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食品安全国家标准 食品生产通用卫生规范</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（GB14881-2025）</w:t>
      </w:r>
      <w:r>
        <w:rPr>
          <w:rFonts w:hint="eastAsia"/>
          <w:color w:val="auto"/>
          <w:lang w:val="en-US" w:eastAsia="zh-CN"/>
        </w:rPr>
        <w:t>中厂区环境要求。</w:t>
      </w:r>
    </w:p>
    <w:p w14:paraId="47E5B82D">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lang w:val="en-US" w:eastAsia="zh-CN"/>
        </w:rPr>
      </w:pPr>
      <w:r>
        <w:rPr>
          <w:rFonts w:hint="default" w:ascii="Times New Roman" w:hAnsi="Times New Roman" w:eastAsia="黑体" w:cs="Times New Roman"/>
          <w:b/>
          <w:bCs/>
          <w:color w:val="auto"/>
          <w:kern w:val="2"/>
          <w:sz w:val="28"/>
          <w:szCs w:val="32"/>
          <w:highlight w:val="none"/>
          <w:lang w:val="en-US" w:eastAsia="zh-CN"/>
        </w:rPr>
        <w:t>9.5.</w:t>
      </w:r>
      <w:r>
        <w:rPr>
          <w:rFonts w:hint="eastAsia" w:ascii="Times New Roman" w:hAnsi="Times New Roman" w:eastAsia="黑体" w:cs="Times New Roman"/>
          <w:b/>
          <w:bCs/>
          <w:color w:val="auto"/>
          <w:kern w:val="2"/>
          <w:sz w:val="28"/>
          <w:szCs w:val="32"/>
          <w:highlight w:val="none"/>
          <w:lang w:val="en-US" w:eastAsia="zh-CN"/>
        </w:rPr>
        <w:t>3</w:t>
      </w:r>
      <w:r>
        <w:rPr>
          <w:rFonts w:hint="default" w:ascii="Times New Roman" w:hAnsi="Times New Roman" w:eastAsia="黑体" w:cs="Times New Roman"/>
          <w:b/>
          <w:bCs/>
          <w:color w:val="auto"/>
          <w:kern w:val="2"/>
          <w:sz w:val="28"/>
          <w:szCs w:val="32"/>
          <w:highlight w:val="none"/>
          <w:lang w:val="en-US" w:eastAsia="zh-CN"/>
        </w:rPr>
        <w:t>项目选址与周边环境相容性分析</w:t>
      </w:r>
    </w:p>
    <w:p w14:paraId="67EEA12C">
      <w:pPr>
        <w:pStyle w:val="25"/>
        <w:spacing w:line="360" w:lineRule="auto"/>
        <w:rPr>
          <w:rFonts w:hint="default"/>
          <w:color w:val="auto"/>
          <w:lang w:val="en-US" w:eastAsia="zh-CN"/>
        </w:rPr>
      </w:pPr>
      <w:r>
        <w:rPr>
          <w:rFonts w:hint="eastAsia"/>
          <w:color w:val="auto"/>
          <w:lang w:val="en-US" w:eastAsia="zh-CN"/>
        </w:rPr>
        <w:t>根据现行法律、法规、规章、规划、标准规范关于屠宰项目选址要求，对照分析本项目选址与周边环境相容性，见表9.5-1。</w:t>
      </w:r>
    </w:p>
    <w:p w14:paraId="0C7CDDBF">
      <w:pPr>
        <w:pStyle w:val="25"/>
        <w:spacing w:line="360" w:lineRule="auto"/>
        <w:rPr>
          <w:rFonts w:hint="default"/>
          <w:color w:val="auto"/>
          <w:lang w:val="en-US" w:eastAsia="zh-CN"/>
        </w:rPr>
        <w:sectPr>
          <w:headerReference r:id="rId38"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0F154403">
      <w:pPr>
        <w:pStyle w:val="18"/>
        <w:spacing w:line="240" w:lineRule="auto"/>
        <w:ind w:firstLine="210" w:firstLineChars="100"/>
        <w:jc w:val="both"/>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表9.5-1</w:t>
      </w:r>
      <w:r>
        <w:rPr>
          <w:rFonts w:hint="default" w:ascii="Times New Roman" w:hAnsi="Times New Roman" w:eastAsia="宋体" w:cs="Times New Roman"/>
          <w:color w:val="auto"/>
          <w:kern w:val="2"/>
          <w:sz w:val="24"/>
          <w:szCs w:val="24"/>
          <w:highlight w:val="none"/>
          <w:lang w:val="en-US" w:eastAsia="zh-CN" w:bidi="ar-SA"/>
        </w:rPr>
        <w:t xml:space="preserve">  </w:t>
      </w:r>
      <w:r>
        <w:rPr>
          <w:rFonts w:hint="eastAsia" w:ascii="Times New Roman" w:hAnsi="Times New Roman" w:eastAsia="宋体" w:cs="Times New Roman"/>
          <w:color w:val="auto"/>
          <w:kern w:val="2"/>
          <w:sz w:val="24"/>
          <w:szCs w:val="24"/>
          <w:highlight w:val="none"/>
          <w:lang w:val="en-US" w:eastAsia="zh-CN" w:bidi="ar-SA"/>
        </w:rPr>
        <w:t xml:space="preserve">                           </w:t>
      </w:r>
      <w:r>
        <w:rPr>
          <w:rFonts w:hint="eastAsia" w:eastAsia="宋体" w:cs="Times New Roman"/>
          <w:color w:val="auto"/>
          <w:kern w:val="2"/>
          <w:sz w:val="24"/>
          <w:szCs w:val="24"/>
          <w:highlight w:val="none"/>
          <w:lang w:val="en-US" w:eastAsia="zh-CN" w:bidi="ar-SA"/>
        </w:rPr>
        <w:t xml:space="preserve">  </w:t>
      </w:r>
      <w:r>
        <w:rPr>
          <w:rFonts w:hint="default" w:ascii="Times New Roman" w:hAnsi="Times New Roman" w:eastAsia="宋体" w:cs="Times New Roman"/>
          <w:b/>
          <w:bCs w:val="0"/>
          <w:color w:val="auto"/>
          <w:kern w:val="2"/>
          <w:sz w:val="24"/>
          <w:szCs w:val="24"/>
          <w:highlight w:val="none"/>
          <w:lang w:val="en-US" w:eastAsia="zh-CN" w:bidi="ar-SA"/>
        </w:rPr>
        <w:t>本项目选址与周边环境相容性对照分析表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247"/>
        <w:gridCol w:w="5630"/>
        <w:gridCol w:w="5458"/>
        <w:gridCol w:w="947"/>
      </w:tblGrid>
      <w:tr w14:paraId="60CE0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tcBorders>
              <w:tl2br w:val="nil"/>
              <w:tr2bl w:val="nil"/>
            </w:tcBorders>
            <w:noWrap w:val="0"/>
            <w:vAlign w:val="center"/>
          </w:tcPr>
          <w:p w14:paraId="3FE000B8">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1247" w:type="dxa"/>
            <w:tcBorders>
              <w:tl2br w:val="nil"/>
              <w:tr2bl w:val="nil"/>
            </w:tcBorders>
            <w:noWrap w:val="0"/>
            <w:vAlign w:val="center"/>
          </w:tcPr>
          <w:p w14:paraId="393F0B99">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规范性文件</w:t>
            </w:r>
          </w:p>
        </w:tc>
        <w:tc>
          <w:tcPr>
            <w:tcW w:w="5630" w:type="dxa"/>
            <w:tcBorders>
              <w:tl2br w:val="nil"/>
              <w:tr2bl w:val="nil"/>
            </w:tcBorders>
            <w:noWrap w:val="0"/>
            <w:vAlign w:val="center"/>
          </w:tcPr>
          <w:p w14:paraId="39CA199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选址要求</w:t>
            </w:r>
          </w:p>
        </w:tc>
        <w:tc>
          <w:tcPr>
            <w:tcW w:w="5458" w:type="dxa"/>
            <w:tcBorders>
              <w:tl2br w:val="nil"/>
              <w:tr2bl w:val="nil"/>
            </w:tcBorders>
            <w:noWrap w:val="0"/>
            <w:vAlign w:val="center"/>
          </w:tcPr>
          <w:p w14:paraId="2AE7512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947" w:type="dxa"/>
            <w:tcBorders>
              <w:tl2br w:val="nil"/>
              <w:tr2bl w:val="nil"/>
            </w:tcBorders>
            <w:noWrap w:val="0"/>
            <w:vAlign w:val="center"/>
          </w:tcPr>
          <w:p w14:paraId="017A0FA6">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符合性判定</w:t>
            </w:r>
          </w:p>
        </w:tc>
      </w:tr>
      <w:tr w14:paraId="31299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tcBorders>
              <w:tl2br w:val="nil"/>
              <w:tr2bl w:val="nil"/>
            </w:tcBorders>
            <w:noWrap w:val="0"/>
            <w:vAlign w:val="center"/>
          </w:tcPr>
          <w:p w14:paraId="321B9233">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247" w:type="dxa"/>
            <w:tcBorders>
              <w:tl2br w:val="nil"/>
              <w:tr2bl w:val="nil"/>
            </w:tcBorders>
            <w:noWrap w:val="0"/>
            <w:vAlign w:val="center"/>
          </w:tcPr>
          <w:p w14:paraId="7DA82E7D">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动物防疫条件审查办法</w:t>
            </w:r>
            <w:r>
              <w:rPr>
                <w:rFonts w:hint="eastAsia" w:ascii="Times New Roman" w:hAnsi="Times New Roman" w:eastAsia="宋体" w:cs="Times New Roman"/>
                <w:color w:val="auto"/>
                <w:sz w:val="21"/>
                <w:szCs w:val="21"/>
                <w:highlight w:val="none"/>
                <w:vertAlign w:val="baseline"/>
                <w:lang w:val="en-US" w:eastAsia="zh-CN"/>
              </w:rPr>
              <w:t>》</w:t>
            </w:r>
          </w:p>
        </w:tc>
        <w:tc>
          <w:tcPr>
            <w:tcW w:w="5630" w:type="dxa"/>
            <w:tcBorders>
              <w:tl2br w:val="nil"/>
              <w:tr2bl w:val="nil"/>
            </w:tcBorders>
            <w:noWrap w:val="0"/>
            <w:vAlign w:val="center"/>
          </w:tcPr>
          <w:p w14:paraId="38FF3173">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与动物诊疗场所、居民生活区、生活饮用水水源地、学校、医院等公共场所之间保持必要的距离；</w:t>
            </w:r>
          </w:p>
        </w:tc>
        <w:tc>
          <w:tcPr>
            <w:tcW w:w="5458" w:type="dxa"/>
            <w:tcBorders>
              <w:tl2br w:val="nil"/>
              <w:tr2bl w:val="nil"/>
            </w:tcBorders>
            <w:noWrap w:val="0"/>
            <w:vAlign w:val="center"/>
          </w:tcPr>
          <w:p w14:paraId="3851E2CA">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本项目周边无动物诊疗场所、生活饮用水水源地、学校、医院等公共场所</w:t>
            </w:r>
            <w:r>
              <w:rPr>
                <w:rFonts w:hint="eastAsia" w:eastAsia="宋体" w:cs="Times New Roman"/>
                <w:color w:val="auto"/>
                <w:sz w:val="21"/>
                <w:szCs w:val="21"/>
                <w:highlight w:val="none"/>
                <w:vertAlign w:val="baseline"/>
                <w:lang w:val="en-US" w:eastAsia="zh-CN"/>
              </w:rPr>
              <w:t>；距离最近的居民点为厂界南侧140m处的油坊沟村。</w:t>
            </w:r>
          </w:p>
        </w:tc>
        <w:tc>
          <w:tcPr>
            <w:tcW w:w="947" w:type="dxa"/>
            <w:tcBorders>
              <w:tl2br w:val="nil"/>
              <w:tr2bl w:val="nil"/>
            </w:tcBorders>
            <w:noWrap w:val="0"/>
            <w:vAlign w:val="center"/>
          </w:tcPr>
          <w:p w14:paraId="001A173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43A2B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tcBorders>
              <w:tl2br w:val="nil"/>
              <w:tr2bl w:val="nil"/>
            </w:tcBorders>
            <w:noWrap w:val="0"/>
            <w:vAlign w:val="center"/>
          </w:tcPr>
          <w:p w14:paraId="4F60AB76">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247" w:type="dxa"/>
            <w:tcBorders>
              <w:tl2br w:val="nil"/>
              <w:tr2bl w:val="nil"/>
            </w:tcBorders>
            <w:noWrap w:val="0"/>
            <w:vAlign w:val="center"/>
          </w:tcPr>
          <w:p w14:paraId="50068C33">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宁夏回族自治区畜禽屠宰管理条例</w:t>
            </w:r>
            <w:r>
              <w:rPr>
                <w:rFonts w:hint="eastAsia" w:ascii="Times New Roman" w:hAnsi="Times New Roman" w:eastAsia="宋体" w:cs="Times New Roman"/>
                <w:color w:val="auto"/>
                <w:sz w:val="21"/>
                <w:szCs w:val="21"/>
                <w:highlight w:val="none"/>
                <w:vertAlign w:val="baseline"/>
                <w:lang w:val="en-US" w:eastAsia="zh-CN"/>
              </w:rPr>
              <w:t>》</w:t>
            </w:r>
          </w:p>
        </w:tc>
        <w:tc>
          <w:tcPr>
            <w:tcW w:w="5630" w:type="dxa"/>
            <w:tcBorders>
              <w:tl2br w:val="nil"/>
              <w:tr2bl w:val="nil"/>
            </w:tcBorders>
            <w:noWrap w:val="0"/>
            <w:vAlign w:val="center"/>
          </w:tcPr>
          <w:p w14:paraId="33E36650">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畜禽定点屠宰厂（场）的选址，应当远离居民聚居区、生活饮用水源保护区，避开产生有害物质的工业企业以及垃圾场、污水沟等污染源</w:t>
            </w:r>
            <w:r>
              <w:rPr>
                <w:rFonts w:hint="eastAsia"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0D05D6B0">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本项目位于固原市固原经济开发区轻工产业园规划范围内，距离油坊沟村140m，</w:t>
            </w:r>
            <w:r>
              <w:rPr>
                <w:rFonts w:hint="default" w:ascii="Times New Roman" w:hAnsi="Times New Roman" w:eastAsia="宋体" w:cs="Times New Roman"/>
                <w:b w:val="0"/>
                <w:bCs w:val="0"/>
                <w:color w:val="auto"/>
                <w:sz w:val="21"/>
                <w:szCs w:val="21"/>
                <w:highlight w:val="none"/>
                <w:vertAlign w:val="baseline"/>
                <w:lang w:val="en-US" w:eastAsia="zh-CN"/>
              </w:rPr>
              <w:t>周边主要的企业为</w:t>
            </w:r>
            <w:r>
              <w:rPr>
                <w:rFonts w:hint="eastAsia" w:ascii="Times New Roman" w:hAnsi="Times New Roman" w:eastAsia="宋体" w:cs="Times New Roman"/>
                <w:b w:val="0"/>
                <w:bCs w:val="0"/>
                <w:color w:val="auto"/>
                <w:sz w:val="21"/>
                <w:szCs w:val="21"/>
                <w:highlight w:val="none"/>
                <w:vertAlign w:val="baseline"/>
                <w:lang w:val="en-US" w:eastAsia="zh-CN"/>
              </w:rPr>
              <w:t>北</w:t>
            </w:r>
            <w:r>
              <w:rPr>
                <w:rFonts w:hint="default" w:ascii="Times New Roman" w:hAnsi="Times New Roman" w:eastAsia="宋体" w:cs="Times New Roman"/>
                <w:b w:val="0"/>
                <w:bCs w:val="0"/>
                <w:color w:val="auto"/>
                <w:sz w:val="21"/>
                <w:szCs w:val="21"/>
                <w:highlight w:val="none"/>
                <w:vertAlign w:val="baseline"/>
                <w:lang w:val="en-US" w:eastAsia="zh-CN"/>
              </w:rPr>
              <w:t>侧</w:t>
            </w:r>
            <w:r>
              <w:rPr>
                <w:rFonts w:hint="eastAsia" w:ascii="Times New Roman" w:hAnsi="Times New Roman" w:eastAsia="宋体" w:cs="Times New Roman"/>
                <w:b w:val="0"/>
                <w:bCs w:val="0"/>
                <w:color w:val="auto"/>
                <w:sz w:val="21"/>
                <w:szCs w:val="21"/>
                <w:highlight w:val="none"/>
                <w:vertAlign w:val="baseline"/>
                <w:lang w:val="en-US" w:eastAsia="zh-CN"/>
              </w:rPr>
              <w:t>15</w:t>
            </w:r>
            <w:r>
              <w:rPr>
                <w:rFonts w:hint="default" w:ascii="Times New Roman" w:hAnsi="Times New Roman" w:eastAsia="宋体" w:cs="Times New Roman"/>
                <w:b w:val="0"/>
                <w:bCs w:val="0"/>
                <w:color w:val="auto"/>
                <w:sz w:val="21"/>
                <w:szCs w:val="21"/>
                <w:highlight w:val="none"/>
                <w:vertAlign w:val="baseline"/>
                <w:lang w:val="en-US" w:eastAsia="zh-CN"/>
              </w:rPr>
              <w:t>0m处的雪川六盘山食品（宁夏）有限公司</w:t>
            </w:r>
            <w:r>
              <w:rPr>
                <w:rFonts w:hint="eastAsia" w:ascii="Times New Roman" w:hAnsi="Times New Roman" w:eastAsia="宋体" w:cs="Times New Roman"/>
                <w:b w:val="0"/>
                <w:bCs w:val="0"/>
                <w:color w:val="auto"/>
                <w:sz w:val="21"/>
                <w:szCs w:val="21"/>
                <w:highlight w:val="none"/>
                <w:vertAlign w:val="baseline"/>
                <w:lang w:val="en-US" w:eastAsia="zh-CN"/>
              </w:rPr>
              <w:t>、南侧紧邻的宁夏伊鑫瑞肉制品销售有限公司</w:t>
            </w:r>
            <w:r>
              <w:rPr>
                <w:rFonts w:hint="default" w:ascii="Times New Roman" w:hAnsi="Times New Roman" w:eastAsia="宋体" w:cs="Times New Roman"/>
                <w:b w:val="0"/>
                <w:bCs w:val="0"/>
                <w:color w:val="auto"/>
                <w:sz w:val="21"/>
                <w:szCs w:val="21"/>
                <w:highlight w:val="none"/>
                <w:vertAlign w:val="baseline"/>
                <w:lang w:val="en-US" w:eastAsia="zh-CN"/>
              </w:rPr>
              <w:t>，无产生有害物质的工业企业以及垃圾场、污水沟等污染源</w:t>
            </w: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947" w:type="dxa"/>
            <w:tcBorders>
              <w:tl2br w:val="nil"/>
              <w:tr2bl w:val="nil"/>
            </w:tcBorders>
            <w:noWrap w:val="0"/>
            <w:vAlign w:val="center"/>
          </w:tcPr>
          <w:p w14:paraId="412B88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1A986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vMerge w:val="restart"/>
            <w:tcBorders>
              <w:tl2br w:val="nil"/>
              <w:tr2bl w:val="nil"/>
            </w:tcBorders>
            <w:noWrap w:val="0"/>
            <w:vAlign w:val="center"/>
          </w:tcPr>
          <w:p w14:paraId="4F4D4C4B">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247" w:type="dxa"/>
            <w:vMerge w:val="restart"/>
            <w:tcBorders>
              <w:tl2br w:val="nil"/>
              <w:tr2bl w:val="nil"/>
            </w:tcBorders>
            <w:noWrap w:val="0"/>
            <w:vAlign w:val="center"/>
          </w:tcPr>
          <w:p w14:paraId="66462DE7">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畜类屠宰加工通用技术条件</w:t>
            </w:r>
            <w:r>
              <w:rPr>
                <w:rFonts w:hint="eastAsia" w:ascii="Times New Roman" w:hAnsi="Times New Roman" w:eastAsia="宋体" w:cs="Times New Roman"/>
                <w:color w:val="auto"/>
                <w:sz w:val="21"/>
                <w:szCs w:val="21"/>
                <w:highlight w:val="none"/>
                <w:vertAlign w:val="baseline"/>
                <w:lang w:val="en-US" w:eastAsia="zh-CN"/>
              </w:rPr>
              <w:t>》</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GB/T17237-2008</w:t>
            </w:r>
            <w:r>
              <w:rPr>
                <w:rFonts w:hint="eastAsia" w:eastAsia="宋体" w:cs="Times New Roman"/>
                <w:color w:val="auto"/>
                <w:sz w:val="21"/>
                <w:szCs w:val="21"/>
                <w:highlight w:val="none"/>
                <w:vertAlign w:val="baseline"/>
                <w:lang w:val="en-US" w:eastAsia="zh-CN"/>
              </w:rPr>
              <w:t>）</w:t>
            </w:r>
          </w:p>
        </w:tc>
        <w:tc>
          <w:tcPr>
            <w:tcW w:w="5630" w:type="dxa"/>
            <w:tcBorders>
              <w:tl2br w:val="nil"/>
              <w:tr2bl w:val="nil"/>
            </w:tcBorders>
            <w:noWrap w:val="0"/>
            <w:vAlign w:val="center"/>
          </w:tcPr>
          <w:p w14:paraId="0E870ADE">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应当位于当地常年主导风向的下风侧</w:t>
            </w:r>
            <w:r>
              <w:rPr>
                <w:rFonts w:hint="eastAsia"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607C3975">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项目位于当地常年主导风向的下风侧，且位于城区的下风向</w:t>
            </w:r>
            <w:r>
              <w:rPr>
                <w:rFonts w:hint="eastAsia" w:eastAsia="宋体" w:cs="Times New Roman"/>
                <w:b w:val="0"/>
                <w:bCs w:val="0"/>
                <w:color w:val="auto"/>
                <w:sz w:val="21"/>
                <w:szCs w:val="21"/>
                <w:highlight w:val="none"/>
                <w:vertAlign w:val="baseline"/>
                <w:lang w:val="en-US" w:eastAsia="zh-CN"/>
              </w:rPr>
              <w:t>；</w:t>
            </w:r>
          </w:p>
        </w:tc>
        <w:tc>
          <w:tcPr>
            <w:tcW w:w="947" w:type="dxa"/>
            <w:tcBorders>
              <w:tl2br w:val="nil"/>
              <w:tr2bl w:val="nil"/>
            </w:tcBorders>
            <w:noWrap w:val="0"/>
            <w:vAlign w:val="center"/>
          </w:tcPr>
          <w:p w14:paraId="51CF1D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1DE20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vMerge w:val="continue"/>
            <w:tcBorders>
              <w:tl2br w:val="nil"/>
              <w:tr2bl w:val="nil"/>
            </w:tcBorders>
            <w:noWrap w:val="0"/>
            <w:vAlign w:val="center"/>
          </w:tcPr>
          <w:p w14:paraId="14FAB55C">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47" w:type="dxa"/>
            <w:vMerge w:val="continue"/>
            <w:tcBorders>
              <w:tl2br w:val="nil"/>
              <w:tr2bl w:val="nil"/>
            </w:tcBorders>
            <w:noWrap w:val="0"/>
            <w:vAlign w:val="center"/>
          </w:tcPr>
          <w:p w14:paraId="3EF207AE">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630" w:type="dxa"/>
            <w:tcBorders>
              <w:tl2br w:val="nil"/>
              <w:tr2bl w:val="nil"/>
            </w:tcBorders>
            <w:noWrap w:val="0"/>
            <w:vAlign w:val="center"/>
          </w:tcPr>
          <w:p w14:paraId="097A76E2">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远离水源保护区和饮用水取水口</w:t>
            </w:r>
            <w:r>
              <w:rPr>
                <w:rFonts w:hint="eastAsia"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31912848">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项目远离水源保护区和饮用水取水口</w:t>
            </w:r>
            <w:r>
              <w:rPr>
                <w:rFonts w:hint="eastAsia" w:eastAsia="宋体" w:cs="Times New Roman"/>
                <w:b w:val="0"/>
                <w:bCs w:val="0"/>
                <w:color w:val="auto"/>
                <w:sz w:val="21"/>
                <w:szCs w:val="21"/>
                <w:highlight w:val="none"/>
                <w:vertAlign w:val="baseline"/>
                <w:lang w:val="en-US" w:eastAsia="zh-CN"/>
              </w:rPr>
              <w:t>；</w:t>
            </w:r>
          </w:p>
        </w:tc>
        <w:tc>
          <w:tcPr>
            <w:tcW w:w="947" w:type="dxa"/>
            <w:tcBorders>
              <w:tl2br w:val="nil"/>
              <w:tr2bl w:val="nil"/>
            </w:tcBorders>
            <w:noWrap w:val="0"/>
            <w:vAlign w:val="center"/>
          </w:tcPr>
          <w:p w14:paraId="437CEF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16206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vMerge w:val="continue"/>
            <w:tcBorders>
              <w:tl2br w:val="nil"/>
              <w:tr2bl w:val="nil"/>
            </w:tcBorders>
            <w:noWrap w:val="0"/>
            <w:vAlign w:val="center"/>
          </w:tcPr>
          <w:p w14:paraId="61E9EA83">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47" w:type="dxa"/>
            <w:vMerge w:val="continue"/>
            <w:tcBorders>
              <w:tl2br w:val="nil"/>
              <w:tr2bl w:val="nil"/>
            </w:tcBorders>
            <w:noWrap w:val="0"/>
            <w:vAlign w:val="center"/>
          </w:tcPr>
          <w:p w14:paraId="3AEFE925">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630" w:type="dxa"/>
            <w:tcBorders>
              <w:tl2br w:val="nil"/>
              <w:tr2bl w:val="nil"/>
            </w:tcBorders>
            <w:noWrap w:val="0"/>
            <w:vAlign w:val="center"/>
          </w:tcPr>
          <w:p w14:paraId="4252EAF7">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避开居民住宅区、公共场所以及畜禽养殖场</w:t>
            </w:r>
            <w:r>
              <w:rPr>
                <w:rFonts w:hint="eastAsia"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7701721F">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项目避开居民住宅区、公共场所以及畜禽养殖场</w:t>
            </w:r>
            <w:r>
              <w:rPr>
                <w:rFonts w:hint="eastAsia" w:eastAsia="宋体" w:cs="Times New Roman"/>
                <w:b w:val="0"/>
                <w:bCs w:val="0"/>
                <w:color w:val="auto"/>
                <w:sz w:val="21"/>
                <w:szCs w:val="21"/>
                <w:highlight w:val="none"/>
                <w:vertAlign w:val="baseline"/>
                <w:lang w:val="en-US" w:eastAsia="zh-CN"/>
              </w:rPr>
              <w:t>；</w:t>
            </w:r>
          </w:p>
        </w:tc>
        <w:tc>
          <w:tcPr>
            <w:tcW w:w="947" w:type="dxa"/>
            <w:tcBorders>
              <w:tl2br w:val="nil"/>
              <w:tr2bl w:val="nil"/>
            </w:tcBorders>
            <w:noWrap w:val="0"/>
            <w:vAlign w:val="center"/>
          </w:tcPr>
          <w:p w14:paraId="616F3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52143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vMerge w:val="continue"/>
            <w:tcBorders>
              <w:tl2br w:val="nil"/>
              <w:tr2bl w:val="nil"/>
            </w:tcBorders>
            <w:noWrap w:val="0"/>
            <w:vAlign w:val="center"/>
          </w:tcPr>
          <w:p w14:paraId="20688DA9">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47" w:type="dxa"/>
            <w:vMerge w:val="continue"/>
            <w:tcBorders>
              <w:tl2br w:val="nil"/>
              <w:tr2bl w:val="nil"/>
            </w:tcBorders>
            <w:noWrap w:val="0"/>
            <w:vAlign w:val="center"/>
          </w:tcPr>
          <w:p w14:paraId="14BD71E8">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630" w:type="dxa"/>
            <w:tcBorders>
              <w:tl2br w:val="nil"/>
              <w:tr2bl w:val="nil"/>
            </w:tcBorders>
            <w:noWrap w:val="0"/>
            <w:vAlign w:val="center"/>
          </w:tcPr>
          <w:p w14:paraId="44893589">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交通运输方便</w:t>
            </w:r>
            <w:r>
              <w:rPr>
                <w:rFonts w:hint="eastAsia"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2CB9480D">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项目紧邻乡道，交通方便</w:t>
            </w:r>
            <w:r>
              <w:rPr>
                <w:rFonts w:hint="eastAsia" w:eastAsia="宋体" w:cs="Times New Roman"/>
                <w:color w:val="auto"/>
                <w:sz w:val="21"/>
                <w:szCs w:val="21"/>
                <w:highlight w:val="none"/>
                <w:vertAlign w:val="baseline"/>
                <w:lang w:val="en-US" w:eastAsia="zh-CN"/>
              </w:rPr>
              <w:t>；</w:t>
            </w:r>
          </w:p>
        </w:tc>
        <w:tc>
          <w:tcPr>
            <w:tcW w:w="947" w:type="dxa"/>
            <w:tcBorders>
              <w:tl2br w:val="nil"/>
              <w:tr2bl w:val="nil"/>
            </w:tcBorders>
            <w:noWrap w:val="0"/>
            <w:vAlign w:val="center"/>
          </w:tcPr>
          <w:p w14:paraId="1589B7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0DC43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vMerge w:val="continue"/>
            <w:tcBorders>
              <w:tl2br w:val="nil"/>
              <w:tr2bl w:val="nil"/>
            </w:tcBorders>
            <w:noWrap w:val="0"/>
            <w:vAlign w:val="center"/>
          </w:tcPr>
          <w:p w14:paraId="2574DADE">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47" w:type="dxa"/>
            <w:vMerge w:val="continue"/>
            <w:tcBorders>
              <w:tl2br w:val="nil"/>
              <w:tr2bl w:val="nil"/>
            </w:tcBorders>
            <w:noWrap w:val="0"/>
            <w:vAlign w:val="center"/>
          </w:tcPr>
          <w:p w14:paraId="11FAB846">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630" w:type="dxa"/>
            <w:tcBorders>
              <w:tl2br w:val="nil"/>
              <w:tr2bl w:val="nil"/>
            </w:tcBorders>
            <w:noWrap w:val="0"/>
            <w:vAlign w:val="center"/>
          </w:tcPr>
          <w:p w14:paraId="76CE94AD">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电源稳定</w:t>
            </w:r>
            <w:r>
              <w:rPr>
                <w:rFonts w:hint="eastAsia"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3AB535D0">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项目用电</w:t>
            </w:r>
            <w:r>
              <w:rPr>
                <w:rFonts w:hint="eastAsia" w:eastAsia="宋体" w:cs="Times New Roman"/>
                <w:color w:val="auto"/>
                <w:sz w:val="21"/>
                <w:szCs w:val="21"/>
                <w:highlight w:val="none"/>
                <w:vertAlign w:val="baseline"/>
                <w:lang w:val="en-US" w:eastAsia="zh-CN"/>
              </w:rPr>
              <w:t>由园区供电电网统一提供</w:t>
            </w:r>
            <w:r>
              <w:rPr>
                <w:rFonts w:hint="default" w:ascii="Times New Roman" w:hAnsi="Times New Roman" w:eastAsia="宋体" w:cs="Times New Roman"/>
                <w:color w:val="auto"/>
                <w:sz w:val="21"/>
                <w:szCs w:val="21"/>
                <w:highlight w:val="none"/>
                <w:vertAlign w:val="baseline"/>
                <w:lang w:val="en-US" w:eastAsia="zh-CN"/>
              </w:rPr>
              <w:t>，电源稳定</w:t>
            </w:r>
            <w:r>
              <w:rPr>
                <w:rFonts w:hint="eastAsia" w:eastAsia="宋体" w:cs="Times New Roman"/>
                <w:color w:val="auto"/>
                <w:sz w:val="21"/>
                <w:szCs w:val="21"/>
                <w:highlight w:val="none"/>
                <w:vertAlign w:val="baseline"/>
                <w:lang w:val="en-US" w:eastAsia="zh-CN"/>
              </w:rPr>
              <w:t>；</w:t>
            </w:r>
          </w:p>
        </w:tc>
        <w:tc>
          <w:tcPr>
            <w:tcW w:w="947" w:type="dxa"/>
            <w:tcBorders>
              <w:tl2br w:val="nil"/>
              <w:tr2bl w:val="nil"/>
            </w:tcBorders>
            <w:noWrap w:val="0"/>
            <w:vAlign w:val="center"/>
          </w:tcPr>
          <w:p w14:paraId="1C9CC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629DF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vMerge w:val="continue"/>
            <w:tcBorders>
              <w:tl2br w:val="nil"/>
              <w:tr2bl w:val="nil"/>
            </w:tcBorders>
            <w:noWrap w:val="0"/>
            <w:vAlign w:val="center"/>
          </w:tcPr>
          <w:p w14:paraId="373C0421">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47" w:type="dxa"/>
            <w:vMerge w:val="continue"/>
            <w:tcBorders>
              <w:tl2br w:val="nil"/>
              <w:tr2bl w:val="nil"/>
            </w:tcBorders>
            <w:noWrap w:val="0"/>
            <w:vAlign w:val="center"/>
          </w:tcPr>
          <w:p w14:paraId="7A95FEC9">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630" w:type="dxa"/>
            <w:tcBorders>
              <w:tl2br w:val="nil"/>
              <w:tr2bl w:val="nil"/>
            </w:tcBorders>
            <w:noWrap w:val="0"/>
            <w:vAlign w:val="center"/>
          </w:tcPr>
          <w:p w14:paraId="0C2B94B8">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水源充足，水质符合GB5749要求</w:t>
            </w:r>
            <w:r>
              <w:rPr>
                <w:rFonts w:hint="eastAsia"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30215E4F">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项目用水接自来水管网，水质符合要求</w:t>
            </w:r>
            <w:r>
              <w:rPr>
                <w:rFonts w:hint="eastAsia" w:eastAsia="宋体" w:cs="Times New Roman"/>
                <w:color w:val="auto"/>
                <w:sz w:val="21"/>
                <w:szCs w:val="21"/>
                <w:highlight w:val="none"/>
                <w:vertAlign w:val="baseline"/>
                <w:lang w:val="en-US" w:eastAsia="zh-CN"/>
              </w:rPr>
              <w:t>；</w:t>
            </w:r>
          </w:p>
        </w:tc>
        <w:tc>
          <w:tcPr>
            <w:tcW w:w="947" w:type="dxa"/>
            <w:tcBorders>
              <w:tl2br w:val="nil"/>
              <w:tr2bl w:val="nil"/>
            </w:tcBorders>
            <w:noWrap w:val="0"/>
            <w:vAlign w:val="center"/>
          </w:tcPr>
          <w:p w14:paraId="24D15C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49627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vMerge w:val="continue"/>
            <w:tcBorders>
              <w:tl2br w:val="nil"/>
              <w:tr2bl w:val="nil"/>
            </w:tcBorders>
            <w:noWrap w:val="0"/>
            <w:vAlign w:val="center"/>
          </w:tcPr>
          <w:p w14:paraId="22FBAD4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47" w:type="dxa"/>
            <w:vMerge w:val="continue"/>
            <w:tcBorders>
              <w:tl2br w:val="nil"/>
              <w:tr2bl w:val="nil"/>
            </w:tcBorders>
            <w:noWrap w:val="0"/>
            <w:vAlign w:val="center"/>
          </w:tcPr>
          <w:p w14:paraId="1C064640">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630" w:type="dxa"/>
            <w:tcBorders>
              <w:tl2br w:val="nil"/>
              <w:tr2bl w:val="nil"/>
            </w:tcBorders>
            <w:noWrap w:val="0"/>
            <w:vAlign w:val="center"/>
          </w:tcPr>
          <w:p w14:paraId="700A93DE">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环境卫生条件良好，无有害气体、粉尘、污浊水及其他污染源</w:t>
            </w:r>
            <w:r>
              <w:rPr>
                <w:rFonts w:hint="eastAsia"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02718D99">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项目周边环境卫生条件良好，无有害气体、粉尘、污浊水及其他污染源</w:t>
            </w:r>
            <w:r>
              <w:rPr>
                <w:rFonts w:hint="eastAsia" w:eastAsia="宋体" w:cs="Times New Roman"/>
                <w:color w:val="auto"/>
                <w:sz w:val="21"/>
                <w:szCs w:val="21"/>
                <w:highlight w:val="none"/>
                <w:vertAlign w:val="baseline"/>
                <w:lang w:val="en-US" w:eastAsia="zh-CN"/>
              </w:rPr>
              <w:t>；</w:t>
            </w:r>
          </w:p>
        </w:tc>
        <w:tc>
          <w:tcPr>
            <w:tcW w:w="947" w:type="dxa"/>
            <w:tcBorders>
              <w:tl2br w:val="nil"/>
              <w:tr2bl w:val="nil"/>
            </w:tcBorders>
            <w:noWrap w:val="0"/>
            <w:vAlign w:val="center"/>
          </w:tcPr>
          <w:p w14:paraId="4EEB1C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46911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vMerge w:val="restart"/>
            <w:tcBorders>
              <w:tl2br w:val="nil"/>
              <w:tr2bl w:val="nil"/>
            </w:tcBorders>
            <w:noWrap w:val="0"/>
            <w:vAlign w:val="center"/>
          </w:tcPr>
          <w:p w14:paraId="4D2F0A39">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1247" w:type="dxa"/>
            <w:vMerge w:val="restart"/>
            <w:tcBorders>
              <w:tl2br w:val="nil"/>
              <w:tr2bl w:val="nil"/>
            </w:tcBorders>
            <w:noWrap w:val="0"/>
            <w:vAlign w:val="center"/>
          </w:tcPr>
          <w:p w14:paraId="0DC6A423">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畜禽屠宰加工卫生规范</w:t>
            </w:r>
            <w:r>
              <w:rPr>
                <w:rFonts w:hint="eastAsia" w:ascii="Times New Roman" w:hAnsi="Times New Roman" w:eastAsia="宋体" w:cs="Times New Roman"/>
                <w:color w:val="auto"/>
                <w:sz w:val="21"/>
                <w:szCs w:val="21"/>
                <w:highlight w:val="none"/>
                <w:vertAlign w:val="baseline"/>
                <w:lang w:val="en-US" w:eastAsia="zh-CN"/>
              </w:rPr>
              <w:t>》</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GB12694-2016</w:t>
            </w:r>
            <w:r>
              <w:rPr>
                <w:rFonts w:hint="eastAsia" w:eastAsia="宋体" w:cs="Times New Roman"/>
                <w:color w:val="auto"/>
                <w:sz w:val="21"/>
                <w:szCs w:val="21"/>
                <w:highlight w:val="none"/>
                <w:vertAlign w:val="baseline"/>
                <w:lang w:val="en-US" w:eastAsia="zh-CN"/>
              </w:rPr>
              <w:t>）</w:t>
            </w:r>
          </w:p>
        </w:tc>
        <w:tc>
          <w:tcPr>
            <w:tcW w:w="5630" w:type="dxa"/>
            <w:tcBorders>
              <w:tl2br w:val="nil"/>
              <w:tr2bl w:val="nil"/>
            </w:tcBorders>
            <w:noWrap w:val="0"/>
            <w:vAlign w:val="center"/>
          </w:tcPr>
          <w:p w14:paraId="21317F9E">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厂址周围应有良好的环境卫生条件</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厂区应远离受污染的水体，并应避开产生有害气体、烟雾、粉尘等污染源的工业企业或其他产生污染源的地区或场所</w:t>
            </w:r>
            <w:r>
              <w:rPr>
                <w:rFonts w:hint="eastAsia" w:ascii="Times New Roman" w:hAnsi="Times New Roman"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4CF3E735">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项目厂址周围环境卫生条件良好</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周边1000m无受污染的水体，并应避开产生有害气体、烟雾、粉尘等污染源的工业企业或其他产生污染源的地区或场所。</w:t>
            </w:r>
          </w:p>
        </w:tc>
        <w:tc>
          <w:tcPr>
            <w:tcW w:w="947" w:type="dxa"/>
            <w:tcBorders>
              <w:tl2br w:val="nil"/>
              <w:tr2bl w:val="nil"/>
            </w:tcBorders>
            <w:noWrap w:val="0"/>
            <w:vAlign w:val="center"/>
          </w:tcPr>
          <w:p w14:paraId="1618A51B">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00844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dxa"/>
            <w:vMerge w:val="continue"/>
            <w:tcBorders>
              <w:tl2br w:val="nil"/>
              <w:tr2bl w:val="nil"/>
            </w:tcBorders>
            <w:noWrap w:val="0"/>
            <w:vAlign w:val="center"/>
          </w:tcPr>
          <w:p w14:paraId="348F06D5">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47" w:type="dxa"/>
            <w:vMerge w:val="continue"/>
            <w:tcBorders>
              <w:tl2br w:val="nil"/>
              <w:tr2bl w:val="nil"/>
            </w:tcBorders>
            <w:noWrap w:val="0"/>
            <w:vAlign w:val="center"/>
          </w:tcPr>
          <w:p w14:paraId="58857A1F">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630" w:type="dxa"/>
            <w:tcBorders>
              <w:tl2br w:val="nil"/>
              <w:tr2bl w:val="nil"/>
            </w:tcBorders>
            <w:noWrap w:val="0"/>
            <w:vAlign w:val="center"/>
          </w:tcPr>
          <w:p w14:paraId="77D601D6">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厂址必须具备符合要求的水源和电源</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厂址应结合工艺要求因地制宜地确定，并应符合屠宰企业设置规划的要求</w:t>
            </w:r>
            <w:r>
              <w:rPr>
                <w:rFonts w:hint="eastAsia" w:eastAsia="宋体" w:cs="Times New Roman"/>
                <w:color w:val="auto"/>
                <w:sz w:val="21"/>
                <w:szCs w:val="21"/>
                <w:highlight w:val="none"/>
                <w:vertAlign w:val="baseline"/>
                <w:lang w:val="en-US" w:eastAsia="zh-CN"/>
              </w:rPr>
              <w:t>。</w:t>
            </w:r>
          </w:p>
        </w:tc>
        <w:tc>
          <w:tcPr>
            <w:tcW w:w="5458" w:type="dxa"/>
            <w:tcBorders>
              <w:tl2br w:val="nil"/>
              <w:tr2bl w:val="nil"/>
            </w:tcBorders>
            <w:noWrap w:val="0"/>
            <w:vAlign w:val="center"/>
          </w:tcPr>
          <w:p w14:paraId="0EB901B1">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项目具备符合要求的水源和电源</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符合屠宰企业设置规划的要求</w:t>
            </w:r>
            <w:r>
              <w:rPr>
                <w:rFonts w:hint="eastAsia" w:ascii="Times New Roman" w:hAnsi="Times New Roman" w:eastAsia="宋体" w:cs="Times New Roman"/>
                <w:color w:val="auto"/>
                <w:sz w:val="21"/>
                <w:szCs w:val="21"/>
                <w:highlight w:val="none"/>
                <w:vertAlign w:val="baseline"/>
                <w:lang w:val="en-US" w:eastAsia="zh-CN"/>
              </w:rPr>
              <w:t>；</w:t>
            </w:r>
          </w:p>
        </w:tc>
        <w:tc>
          <w:tcPr>
            <w:tcW w:w="947" w:type="dxa"/>
            <w:tcBorders>
              <w:tl2br w:val="nil"/>
              <w:tr2bl w:val="nil"/>
            </w:tcBorders>
            <w:noWrap w:val="0"/>
            <w:vAlign w:val="center"/>
          </w:tcPr>
          <w:p w14:paraId="50739D5B">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0134B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66" w:type="dxa"/>
            <w:gridSpan w:val="5"/>
            <w:tcBorders>
              <w:tl2br w:val="nil"/>
              <w:tr2bl w:val="nil"/>
            </w:tcBorders>
            <w:noWrap w:val="0"/>
            <w:vAlign w:val="center"/>
          </w:tcPr>
          <w:p w14:paraId="62D0C421">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注：《农业农村部关于调整动物防疫条件审查有关规定的通知》</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农牧发</w:t>
            </w:r>
            <w:r>
              <w:rPr>
                <w:rFonts w:hint="eastAsia" w:eastAsia="宋体" w:cs="Times New Roman"/>
                <w:color w:val="auto"/>
                <w:sz w:val="21"/>
                <w:szCs w:val="21"/>
                <w:highlight w:val="none"/>
                <w:vertAlign w:val="baseline"/>
                <w:lang w:val="en-US" w:eastAsia="zh-CN"/>
              </w:rPr>
              <w:t>〔2019〕42号）</w:t>
            </w:r>
            <w:r>
              <w:rPr>
                <w:rFonts w:hint="default" w:ascii="Times New Roman" w:hAnsi="Times New Roman" w:eastAsia="宋体" w:cs="Times New Roman"/>
                <w:color w:val="auto"/>
                <w:sz w:val="21"/>
                <w:szCs w:val="21"/>
                <w:highlight w:val="none"/>
                <w:vertAlign w:val="baseline"/>
                <w:lang w:val="en-US" w:eastAsia="zh-CN"/>
              </w:rPr>
              <w:t>明确，自文件发布</w:t>
            </w:r>
            <w:r>
              <w:rPr>
                <w:rFonts w:hint="eastAsia" w:eastAsia="宋体" w:cs="Times New Roman"/>
                <w:color w:val="auto"/>
                <w:sz w:val="21"/>
                <w:szCs w:val="21"/>
                <w:highlight w:val="none"/>
                <w:vertAlign w:val="baseline"/>
                <w:lang w:val="en-US" w:eastAsia="zh-CN"/>
              </w:rPr>
              <w:t>之日起</w:t>
            </w:r>
            <w:r>
              <w:rPr>
                <w:rFonts w:hint="default" w:ascii="Times New Roman" w:hAnsi="Times New Roman" w:eastAsia="宋体" w:cs="Times New Roman"/>
                <w:color w:val="auto"/>
                <w:sz w:val="21"/>
                <w:szCs w:val="21"/>
                <w:highlight w:val="none"/>
                <w:vertAlign w:val="baseline"/>
                <w:lang w:val="en-US" w:eastAsia="zh-CN"/>
              </w:rPr>
              <w:t>自本通知印发之日起，暂停执行关于兴办动物饲养场、养殖小区、动物隔离场所、动物屠宰加工场所以及动物和动物产品无害化处理场所的选址距离规定。</w:t>
            </w:r>
          </w:p>
        </w:tc>
      </w:tr>
    </w:tbl>
    <w:p w14:paraId="04B5C193">
      <w:pPr>
        <w:pStyle w:val="25"/>
        <w:spacing w:line="360" w:lineRule="auto"/>
        <w:rPr>
          <w:rFonts w:hint="default"/>
          <w:color w:val="auto"/>
          <w:lang w:val="en-US" w:eastAsia="zh-CN"/>
        </w:rPr>
        <w:sectPr>
          <w:headerReference r:id="rId39" w:type="default"/>
          <w:pgSz w:w="16838" w:h="11906" w:orient="landscape"/>
          <w:pgMar w:top="1587" w:right="1701"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pPr>
    </w:p>
    <w:p w14:paraId="0014217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0" w:firstLineChars="0"/>
        <w:textAlignment w:val="auto"/>
        <w:outlineLvl w:val="0"/>
        <w:rPr>
          <w:rFonts w:hint="default" w:ascii="Times New Roman" w:hAnsi="Times New Roman" w:eastAsia="黑体" w:cs="Times New Roman"/>
          <w:b/>
          <w:bCs/>
          <w:color w:val="auto"/>
          <w:kern w:val="0"/>
          <w:sz w:val="28"/>
          <w:szCs w:val="28"/>
          <w:highlight w:val="none"/>
          <w:lang w:val="en-US" w:eastAsia="zh-CN" w:bidi="ar-SA"/>
        </w:rPr>
      </w:pPr>
      <w:bookmarkStart w:id="724" w:name="_Toc5793"/>
      <w:bookmarkStart w:id="725" w:name="_Toc24269"/>
      <w:bookmarkStart w:id="726" w:name="_Toc24755"/>
      <w:bookmarkStart w:id="727" w:name="_Toc25878"/>
      <w:bookmarkStart w:id="728" w:name="_Toc27937"/>
      <w:bookmarkStart w:id="729" w:name="_Toc9033"/>
      <w:bookmarkStart w:id="730" w:name="_Toc16037"/>
      <w:bookmarkStart w:id="731" w:name="_Toc27521"/>
      <w:bookmarkStart w:id="732" w:name="_Toc28769"/>
      <w:bookmarkStart w:id="733" w:name="_Toc10244"/>
      <w:bookmarkStart w:id="734" w:name="_Toc31905"/>
      <w:bookmarkStart w:id="735" w:name="_Toc28346"/>
      <w:r>
        <w:rPr>
          <w:rFonts w:hint="default" w:ascii="Times New Roman" w:hAnsi="Times New Roman" w:eastAsia="黑体" w:cs="Times New Roman"/>
          <w:b/>
          <w:bCs/>
          <w:color w:val="auto"/>
          <w:kern w:val="0"/>
          <w:sz w:val="28"/>
          <w:szCs w:val="28"/>
          <w:highlight w:val="none"/>
          <w:lang w:val="en-US" w:eastAsia="zh-CN" w:bidi="ar-SA"/>
        </w:rPr>
        <w:t>10结论</w:t>
      </w:r>
      <w:bookmarkEnd w:id="724"/>
      <w:bookmarkEnd w:id="725"/>
      <w:bookmarkEnd w:id="726"/>
      <w:bookmarkEnd w:id="727"/>
      <w:bookmarkEnd w:id="728"/>
      <w:bookmarkEnd w:id="729"/>
      <w:bookmarkEnd w:id="730"/>
      <w:bookmarkEnd w:id="731"/>
      <w:bookmarkEnd w:id="732"/>
      <w:bookmarkEnd w:id="733"/>
      <w:bookmarkEnd w:id="734"/>
      <w:bookmarkEnd w:id="735"/>
    </w:p>
    <w:p w14:paraId="1B26720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736" w:name="_Toc10485"/>
      <w:bookmarkStart w:id="737" w:name="_Toc32535"/>
      <w:bookmarkStart w:id="738" w:name="_Toc23271"/>
      <w:bookmarkStart w:id="739" w:name="_Toc17569"/>
      <w:bookmarkStart w:id="740" w:name="_Toc8952"/>
      <w:bookmarkStart w:id="741" w:name="_Toc1636"/>
      <w:bookmarkStart w:id="742" w:name="_Toc2019"/>
      <w:bookmarkStart w:id="743" w:name="_Toc3992"/>
      <w:bookmarkStart w:id="744" w:name="_Toc23088"/>
      <w:bookmarkStart w:id="745" w:name="_Toc27088"/>
      <w:bookmarkStart w:id="746" w:name="_Toc13948"/>
      <w:bookmarkStart w:id="747" w:name="_Toc27778"/>
      <w:r>
        <w:rPr>
          <w:rFonts w:hint="default" w:ascii="Times New Roman" w:hAnsi="Times New Roman" w:eastAsia="黑体" w:cs="Times New Roman"/>
          <w:b/>
          <w:color w:val="auto"/>
          <w:sz w:val="28"/>
          <w:szCs w:val="28"/>
          <w:highlight w:val="none"/>
          <w:lang w:val="en-US" w:eastAsia="zh-CN"/>
        </w:rPr>
        <w:t>10.1项目基本情况</w:t>
      </w:r>
      <w:bookmarkEnd w:id="736"/>
      <w:bookmarkEnd w:id="737"/>
      <w:bookmarkEnd w:id="738"/>
      <w:bookmarkEnd w:id="739"/>
      <w:bookmarkEnd w:id="740"/>
      <w:bookmarkEnd w:id="741"/>
      <w:bookmarkEnd w:id="742"/>
      <w:bookmarkEnd w:id="743"/>
      <w:bookmarkEnd w:id="744"/>
      <w:bookmarkEnd w:id="745"/>
      <w:bookmarkEnd w:id="746"/>
      <w:bookmarkEnd w:id="747"/>
    </w:p>
    <w:p w14:paraId="6056C76A">
      <w:pPr>
        <w:spacing w:line="360" w:lineRule="auto"/>
        <w:rPr>
          <w:rFonts w:hint="eastAsia"/>
          <w:color w:val="auto"/>
          <w:lang w:val="en-US" w:eastAsia="zh-CN"/>
        </w:rPr>
      </w:pPr>
      <w:r>
        <w:rPr>
          <w:rFonts w:hint="eastAsia" w:ascii="Times New Roman" w:hAnsi="Times New Roman"/>
          <w:color w:val="auto"/>
          <w:lang w:val="en-US" w:eastAsia="zh-CN"/>
        </w:rPr>
        <w:t>本</w:t>
      </w:r>
      <w:r>
        <w:rPr>
          <w:rFonts w:hint="eastAsia" w:ascii="Times New Roman" w:hAnsi="Times New Roman"/>
          <w:color w:val="auto"/>
        </w:rPr>
        <w:t>项目位于固原经济开发区轻工产业园。项目北侧、西侧、东侧均为空地，南侧为</w:t>
      </w:r>
      <w:r>
        <w:rPr>
          <w:rFonts w:hint="eastAsia"/>
          <w:color w:val="auto"/>
        </w:rPr>
        <w:t>宁夏伊鑫瑞肉制品销售有限公司</w:t>
      </w:r>
      <w:r>
        <w:rPr>
          <w:rFonts w:hint="eastAsia" w:ascii="Times New Roman" w:hAnsi="Times New Roman"/>
          <w:color w:val="auto"/>
        </w:rPr>
        <w:t>。项目总用地面积为67</w:t>
      </w:r>
      <w:r>
        <w:rPr>
          <w:rFonts w:hint="eastAsia"/>
          <w:color w:val="auto"/>
          <w:lang w:val="en-US" w:eastAsia="zh-CN"/>
        </w:rPr>
        <w:t>02m</w:t>
      </w:r>
      <w:r>
        <w:rPr>
          <w:rFonts w:hint="eastAsia"/>
          <w:color w:val="auto"/>
          <w:vertAlign w:val="superscript"/>
          <w:lang w:val="en-US" w:eastAsia="zh-CN"/>
        </w:rPr>
        <w:t>2</w:t>
      </w:r>
      <w:r>
        <w:rPr>
          <w:rFonts w:hint="eastAsia" w:ascii="Times New Roman" w:hAnsi="Times New Roman"/>
          <w:color w:val="auto"/>
        </w:rPr>
        <w:t>，约10</w:t>
      </w:r>
      <w:r>
        <w:rPr>
          <w:rFonts w:hint="eastAsia"/>
          <w:color w:val="auto"/>
          <w:lang w:val="en-US" w:eastAsia="zh-CN"/>
        </w:rPr>
        <w:t>.05</w:t>
      </w:r>
      <w:r>
        <w:rPr>
          <w:rFonts w:hint="eastAsia" w:ascii="Times New Roman" w:hAnsi="Times New Roman"/>
          <w:color w:val="auto"/>
        </w:rPr>
        <w:t>亩。建设年屠宰牛</w:t>
      </w:r>
      <w:r>
        <w:rPr>
          <w:rFonts w:hint="eastAsia" w:ascii="Times New Roman" w:hAnsi="Times New Roman"/>
          <w:color w:val="auto"/>
          <w:lang w:val="en-US" w:eastAsia="zh-CN"/>
        </w:rPr>
        <w:t>10000</w:t>
      </w:r>
      <w:r>
        <w:rPr>
          <w:rFonts w:hint="eastAsia" w:ascii="Times New Roman" w:hAnsi="Times New Roman"/>
          <w:color w:val="auto"/>
        </w:rPr>
        <w:t>头，屠宰羊</w:t>
      </w:r>
      <w:r>
        <w:rPr>
          <w:rFonts w:hint="eastAsia" w:ascii="Times New Roman" w:hAnsi="Times New Roman"/>
          <w:color w:val="auto"/>
          <w:lang w:val="en-US" w:eastAsia="zh-CN"/>
        </w:rPr>
        <w:t>15</w:t>
      </w:r>
      <w:r>
        <w:rPr>
          <w:rFonts w:hint="eastAsia" w:ascii="Times New Roman" w:hAnsi="Times New Roman"/>
          <w:color w:val="auto"/>
        </w:rPr>
        <w:t>万只的屠宰加工车间</w:t>
      </w:r>
      <w:r>
        <w:rPr>
          <w:rFonts w:hint="eastAsia"/>
          <w:color w:val="auto"/>
          <w:lang w:val="en-US" w:eastAsia="zh-CN"/>
        </w:rPr>
        <w:t>及</w:t>
      </w:r>
      <w:r>
        <w:rPr>
          <w:rFonts w:hint="eastAsia" w:ascii="Times New Roman" w:hAnsi="Times New Roman"/>
          <w:color w:val="auto"/>
        </w:rPr>
        <w:t>基础配套设施。屠宰及加工车间建成后计划每年向市场供应优质牛肉、羊肉</w:t>
      </w:r>
      <w:r>
        <w:rPr>
          <w:rFonts w:hint="eastAsia"/>
          <w:color w:val="auto"/>
          <w:lang w:val="en-US" w:eastAsia="zh-CN"/>
        </w:rPr>
        <w:t>4750</w:t>
      </w:r>
      <w:r>
        <w:rPr>
          <w:rFonts w:hint="eastAsia" w:ascii="Times New Roman" w:hAnsi="Times New Roman"/>
          <w:color w:val="auto"/>
        </w:rPr>
        <w:t>吨。</w:t>
      </w:r>
      <w:r>
        <w:rPr>
          <w:rFonts w:hint="default" w:ascii="Times New Roman" w:hAnsi="Times New Roman" w:eastAsia="仿宋_GB2312" w:cs="Times New Roman"/>
          <w:color w:val="auto"/>
          <w:sz w:val="24"/>
          <w:highlight w:val="none"/>
          <w:lang w:val="zh-CN"/>
        </w:rPr>
        <w:t>项目总投资为</w:t>
      </w:r>
      <w:r>
        <w:rPr>
          <w:rFonts w:hint="eastAsia" w:ascii="Times New Roman" w:hAnsi="Times New Roman" w:cs="Times New Roman"/>
          <w:color w:val="auto"/>
          <w:sz w:val="24"/>
          <w:highlight w:val="none"/>
          <w:lang w:val="en-US" w:eastAsia="zh-CN"/>
        </w:rPr>
        <w:t>2500</w:t>
      </w:r>
      <w:r>
        <w:rPr>
          <w:rFonts w:hint="default" w:ascii="Times New Roman" w:hAnsi="Times New Roman" w:eastAsia="仿宋_GB2312" w:cs="Times New Roman"/>
          <w:color w:val="auto"/>
          <w:sz w:val="24"/>
          <w:highlight w:val="none"/>
          <w:lang w:val="zh-CN"/>
        </w:rPr>
        <w:t>万元，其中环保投</w:t>
      </w:r>
      <w:r>
        <w:rPr>
          <w:rFonts w:hint="eastAsia" w:cs="Times New Roman"/>
          <w:color w:val="auto"/>
          <w:sz w:val="24"/>
          <w:highlight w:val="none"/>
          <w:lang w:val="en-US" w:eastAsia="zh-CN"/>
        </w:rPr>
        <w:t>资214</w:t>
      </w:r>
      <w:r>
        <w:rPr>
          <w:rFonts w:hint="default" w:ascii="Times New Roman" w:hAnsi="Times New Roman" w:eastAsia="仿宋_GB2312" w:cs="Times New Roman"/>
          <w:color w:val="auto"/>
          <w:sz w:val="24"/>
          <w:highlight w:val="none"/>
          <w:lang w:val="zh-CN"/>
        </w:rPr>
        <w:t>万元，占总投资的</w:t>
      </w:r>
      <w:r>
        <w:rPr>
          <w:rFonts w:hint="eastAsia" w:cs="Times New Roman"/>
          <w:color w:val="auto"/>
          <w:sz w:val="24"/>
          <w:highlight w:val="none"/>
          <w:lang w:val="en-US" w:eastAsia="zh-CN"/>
        </w:rPr>
        <w:t>8.56</w:t>
      </w:r>
      <w:r>
        <w:rPr>
          <w:rFonts w:hint="default" w:ascii="Times New Roman" w:hAnsi="Times New Roman" w:eastAsia="仿宋_GB2312" w:cs="Times New Roman"/>
          <w:color w:val="auto"/>
          <w:sz w:val="24"/>
          <w:highlight w:val="none"/>
          <w:lang w:val="zh-CN"/>
        </w:rPr>
        <w:t>%。</w:t>
      </w:r>
    </w:p>
    <w:p w14:paraId="55CAEF7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748" w:name="_Toc12314"/>
      <w:bookmarkStart w:id="749" w:name="_Toc24606"/>
      <w:bookmarkStart w:id="750" w:name="_Toc13805"/>
      <w:bookmarkStart w:id="751" w:name="_Toc24890"/>
      <w:bookmarkStart w:id="752" w:name="_Toc30745"/>
      <w:bookmarkStart w:id="753" w:name="_Toc26914"/>
      <w:bookmarkStart w:id="754" w:name="_Toc19127"/>
      <w:bookmarkStart w:id="755" w:name="_Toc12045"/>
      <w:bookmarkStart w:id="756" w:name="_Toc17717"/>
      <w:bookmarkStart w:id="757" w:name="_Toc10540"/>
      <w:bookmarkStart w:id="758" w:name="_Toc19005"/>
      <w:bookmarkStart w:id="759" w:name="_Toc2336"/>
      <w:r>
        <w:rPr>
          <w:rFonts w:hint="default" w:ascii="Times New Roman" w:hAnsi="Times New Roman" w:eastAsia="黑体" w:cs="Times New Roman"/>
          <w:b/>
          <w:color w:val="auto"/>
          <w:sz w:val="28"/>
          <w:szCs w:val="28"/>
          <w:highlight w:val="none"/>
          <w:lang w:val="en-US" w:eastAsia="zh-CN"/>
        </w:rPr>
        <w:t>10.2产业政策符合性分析</w:t>
      </w:r>
      <w:bookmarkEnd w:id="748"/>
      <w:bookmarkEnd w:id="749"/>
      <w:bookmarkEnd w:id="750"/>
      <w:bookmarkEnd w:id="751"/>
      <w:bookmarkEnd w:id="752"/>
      <w:bookmarkEnd w:id="753"/>
      <w:bookmarkEnd w:id="754"/>
      <w:bookmarkEnd w:id="755"/>
      <w:bookmarkEnd w:id="756"/>
      <w:bookmarkEnd w:id="757"/>
      <w:bookmarkEnd w:id="758"/>
      <w:bookmarkEnd w:id="759"/>
    </w:p>
    <w:p w14:paraId="0138A93F">
      <w:pPr>
        <w:bidi w:val="0"/>
        <w:spacing w:line="360" w:lineRule="auto"/>
        <w:rPr>
          <w:rFonts w:hint="eastAsia"/>
          <w:color w:val="auto"/>
          <w:lang w:val="en-US" w:eastAsia="zh-CN"/>
        </w:rPr>
      </w:pPr>
      <w:r>
        <w:rPr>
          <w:rFonts w:hint="eastAsia"/>
          <w:color w:val="auto"/>
          <w:lang w:val="en-US" w:eastAsia="zh-CN"/>
        </w:rPr>
        <w:t>（1）与《产业结构调整指导目录（2024年本）》的相符性</w:t>
      </w:r>
    </w:p>
    <w:p w14:paraId="44FFED3E">
      <w:pPr>
        <w:bidi w:val="0"/>
        <w:spacing w:line="360" w:lineRule="auto"/>
        <w:rPr>
          <w:rFonts w:hint="eastAsia"/>
          <w:color w:val="auto"/>
          <w:lang w:val="en-US" w:eastAsia="zh-CN"/>
        </w:rPr>
      </w:pPr>
      <w:r>
        <w:rPr>
          <w:rFonts w:hint="eastAsia"/>
          <w:color w:val="auto"/>
          <w:lang w:val="en-US" w:eastAsia="zh-CN"/>
        </w:rPr>
        <w:t>根据中华人民共和国国家发展和改革委员会第7号令《产业结构调整指导目录（2024年本）》，本项目不属于“鼓励类”“限制类”和“淘汰类”，因此，本项目属于允许类，符合国家现行的产业政策。</w:t>
      </w:r>
    </w:p>
    <w:p w14:paraId="75D600B1">
      <w:pPr>
        <w:bidi w:val="0"/>
        <w:spacing w:line="360" w:lineRule="auto"/>
        <w:rPr>
          <w:rFonts w:hint="eastAsia"/>
          <w:color w:val="auto"/>
          <w:lang w:val="en-US" w:eastAsia="zh-CN"/>
        </w:rPr>
      </w:pPr>
      <w:r>
        <w:rPr>
          <w:rFonts w:hint="eastAsia"/>
          <w:color w:val="auto"/>
          <w:lang w:val="en-US" w:eastAsia="zh-CN"/>
        </w:rPr>
        <w:t>（2）本项目的建设符合《宁夏回族自治区现代农业“十四五”发展规划》《固原市生态环境分区管控实施方案》（固政发〔2024〕28号）的相关要求。</w:t>
      </w:r>
    </w:p>
    <w:p w14:paraId="0B79F3B2">
      <w:pPr>
        <w:bidi w:val="0"/>
        <w:spacing w:line="360" w:lineRule="auto"/>
        <w:rPr>
          <w:rFonts w:hint="eastAsia"/>
          <w:color w:val="auto"/>
          <w:lang w:val="en-US" w:eastAsia="zh-CN"/>
        </w:rPr>
      </w:pPr>
      <w:r>
        <w:rPr>
          <w:rFonts w:hint="eastAsia"/>
          <w:color w:val="auto"/>
          <w:lang w:val="en-US" w:eastAsia="zh-CN"/>
        </w:rPr>
        <w:t>综上所述，项目符合国家和地方产业政策。</w:t>
      </w:r>
    </w:p>
    <w:p w14:paraId="4834AA8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760" w:name="_Toc24224"/>
      <w:bookmarkStart w:id="761" w:name="_Toc22571"/>
      <w:bookmarkStart w:id="762" w:name="_Toc7237"/>
      <w:bookmarkStart w:id="763" w:name="_Toc3222"/>
      <w:bookmarkStart w:id="764" w:name="_Toc11399"/>
      <w:bookmarkStart w:id="765" w:name="_Toc1946"/>
      <w:bookmarkStart w:id="766" w:name="_Toc15313"/>
      <w:bookmarkStart w:id="767" w:name="_Toc29244"/>
      <w:bookmarkStart w:id="768" w:name="_Toc9174"/>
      <w:bookmarkStart w:id="769" w:name="_Toc23861"/>
      <w:bookmarkStart w:id="770" w:name="_Toc4728"/>
      <w:bookmarkStart w:id="771" w:name="_Toc16418"/>
      <w:r>
        <w:rPr>
          <w:rFonts w:hint="default" w:ascii="Times New Roman" w:hAnsi="Times New Roman" w:eastAsia="黑体" w:cs="Times New Roman"/>
          <w:b/>
          <w:color w:val="auto"/>
          <w:sz w:val="28"/>
          <w:szCs w:val="28"/>
          <w:highlight w:val="none"/>
          <w:lang w:val="en-US" w:eastAsia="zh-CN"/>
        </w:rPr>
        <w:t>10.3选址合理性分析</w:t>
      </w:r>
      <w:bookmarkEnd w:id="760"/>
      <w:bookmarkEnd w:id="761"/>
      <w:bookmarkEnd w:id="762"/>
      <w:bookmarkEnd w:id="763"/>
      <w:bookmarkEnd w:id="764"/>
      <w:bookmarkEnd w:id="765"/>
      <w:bookmarkEnd w:id="766"/>
      <w:bookmarkEnd w:id="767"/>
      <w:bookmarkEnd w:id="768"/>
      <w:bookmarkEnd w:id="769"/>
      <w:bookmarkEnd w:id="770"/>
      <w:bookmarkEnd w:id="771"/>
    </w:p>
    <w:p w14:paraId="30DE5815">
      <w:pPr>
        <w:bidi w:val="0"/>
        <w:spacing w:line="360" w:lineRule="auto"/>
        <w:rPr>
          <w:rFonts w:hint="eastAsia"/>
          <w:color w:val="auto"/>
          <w:lang w:val="en-US" w:eastAsia="zh-CN"/>
        </w:rPr>
      </w:pPr>
      <w:r>
        <w:rPr>
          <w:rFonts w:hint="eastAsia"/>
          <w:color w:val="auto"/>
          <w:lang w:val="en-US" w:eastAsia="zh-CN"/>
        </w:rPr>
        <w:t>本项目建设地点</w:t>
      </w:r>
      <w:r>
        <w:rPr>
          <w:rFonts w:hint="eastAsia" w:cs="Times New Roman"/>
          <w:color w:val="auto"/>
          <w:kern w:val="2"/>
          <w:sz w:val="24"/>
          <w:szCs w:val="24"/>
          <w:lang w:val="en-US" w:eastAsia="zh-CN" w:bidi="ar-SA"/>
        </w:rPr>
        <w:t>位于固原市固原经济开发区轻工产业园，占地属于工业用地。固原经济开发区轻工产业园总体重点发展纺织、食品、轻工等产业，辅助发展装备制造、建材产业。主要安排特色农产品精深加工和新型建材项目。项目符合固原经济开发区轻工产业园发展定位。</w:t>
      </w:r>
      <w:r>
        <w:rPr>
          <w:rFonts w:hint="eastAsia"/>
          <w:color w:val="auto"/>
          <w:lang w:val="en-US" w:eastAsia="zh-CN"/>
        </w:rPr>
        <w:t>厂址周围地势干燥、水源充足，交通十分方便，无粉尘、有害气体、放射性物质和其他危及产品卫生的污染源，符合</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食品安全国家标准 食品生产通用卫生规范</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（GB14881-2025）</w:t>
      </w:r>
      <w:r>
        <w:rPr>
          <w:rFonts w:hint="eastAsia"/>
          <w:color w:val="auto"/>
          <w:lang w:val="en-US" w:eastAsia="zh-CN"/>
        </w:rPr>
        <w:t>选址要求。本项目厂区严格按照</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食品安全国家标准 食品生产通用卫生规范</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（GB14881-2025）</w:t>
      </w:r>
      <w:r>
        <w:rPr>
          <w:rFonts w:hint="eastAsia"/>
          <w:color w:val="auto"/>
          <w:lang w:val="en-US" w:eastAsia="zh-CN"/>
        </w:rPr>
        <w:t>相关要求进行设计，厂区道路采用硬质路面，生产区与生活区保持适当距离，符合</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食品安全国家标准 食品生产通用卫生规范</w:t>
      </w:r>
      <w:r>
        <w:rPr>
          <w:rFonts w:hint="eastAsia" w:cs="Times New Roman"/>
          <w:color w:val="auto"/>
          <w:kern w:val="2"/>
          <w:sz w:val="24"/>
          <w:szCs w:val="24"/>
          <w:lang w:eastAsia="zh-CN" w:bidi="ar-SA"/>
        </w:rPr>
        <w:t>》</w:t>
      </w:r>
      <w:r>
        <w:rPr>
          <w:rFonts w:hint="eastAsia" w:ascii="Times New Roman" w:hAnsi="Times New Roman" w:eastAsia="仿宋_GB2312" w:cs="Times New Roman"/>
          <w:color w:val="auto"/>
          <w:kern w:val="2"/>
          <w:sz w:val="24"/>
          <w:szCs w:val="24"/>
          <w:lang w:bidi="ar-SA"/>
        </w:rPr>
        <w:t>（GB14881-2025）</w:t>
      </w:r>
      <w:r>
        <w:rPr>
          <w:rFonts w:hint="eastAsia"/>
          <w:color w:val="auto"/>
          <w:lang w:val="en-US" w:eastAsia="zh-CN"/>
        </w:rPr>
        <w:t>厂区环境要求。</w:t>
      </w:r>
    </w:p>
    <w:p w14:paraId="22E965AD">
      <w:pPr>
        <w:bidi w:val="0"/>
        <w:spacing w:line="360" w:lineRule="auto"/>
        <w:rPr>
          <w:rFonts w:hint="eastAsia"/>
          <w:color w:val="auto"/>
          <w:lang w:val="en-US" w:eastAsia="zh-CN"/>
        </w:rPr>
      </w:pPr>
      <w:r>
        <w:rPr>
          <w:rFonts w:hint="eastAsia"/>
          <w:color w:val="auto"/>
          <w:lang w:val="en-US" w:eastAsia="zh-CN"/>
        </w:rPr>
        <w:t>综上所述，本项目的选址符合相关要求，选址较为合理。</w:t>
      </w:r>
    </w:p>
    <w:p w14:paraId="3996C3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772" w:name="_Toc12843"/>
      <w:bookmarkStart w:id="773" w:name="_Toc26963"/>
      <w:bookmarkStart w:id="774" w:name="_Toc11332"/>
      <w:bookmarkStart w:id="775" w:name="_Toc3547"/>
      <w:bookmarkStart w:id="776" w:name="_Toc25159"/>
      <w:bookmarkStart w:id="777" w:name="_Toc14657"/>
      <w:bookmarkStart w:id="778" w:name="_Toc26780"/>
      <w:r>
        <w:rPr>
          <w:rFonts w:hint="default" w:ascii="Times New Roman" w:hAnsi="Times New Roman" w:eastAsia="黑体" w:cs="Times New Roman"/>
          <w:b/>
          <w:color w:val="auto"/>
          <w:sz w:val="28"/>
          <w:szCs w:val="28"/>
          <w:highlight w:val="none"/>
          <w:lang w:val="en-US" w:eastAsia="zh-CN"/>
        </w:rPr>
        <w:t>10.4平面布置合理性分析</w:t>
      </w:r>
      <w:bookmarkEnd w:id="772"/>
      <w:bookmarkEnd w:id="773"/>
      <w:bookmarkEnd w:id="774"/>
      <w:bookmarkEnd w:id="775"/>
      <w:bookmarkEnd w:id="776"/>
      <w:bookmarkEnd w:id="777"/>
      <w:bookmarkEnd w:id="778"/>
    </w:p>
    <w:p w14:paraId="35F74B93">
      <w:pPr>
        <w:keepNext w:val="0"/>
        <w:keepLines w:val="0"/>
        <w:pageBreakBefore w:val="0"/>
        <w:widowControl w:val="0"/>
        <w:kinsoku/>
        <w:wordWrap/>
        <w:overflowPunct/>
        <w:topLinePunct w:val="0"/>
        <w:autoSpaceDE/>
        <w:autoSpaceDN/>
        <w:bidi w:val="0"/>
        <w:adjustRightInd/>
        <w:snapToGrid/>
        <w:spacing w:line="372" w:lineRule="auto"/>
        <w:ind w:left="0" w:leftChars="0"/>
        <w:textAlignment w:val="auto"/>
        <w:rPr>
          <w:rFonts w:hint="eastAsia" w:eastAsia="仿宋_GB2312"/>
          <w:lang w:eastAsia="zh-CN"/>
        </w:rPr>
      </w:pPr>
      <w:r>
        <w:rPr>
          <w:rFonts w:hint="eastAsia"/>
          <w:color w:val="auto"/>
          <w:lang w:eastAsia="zh-CN"/>
        </w:rPr>
        <w:t>本项目建设地点位于</w:t>
      </w:r>
      <w:r>
        <w:rPr>
          <w:rFonts w:hint="eastAsia" w:ascii="Times New Roman" w:hAnsi="Times New Roman"/>
          <w:color w:val="auto"/>
          <w:lang w:eastAsia="zh-CN"/>
        </w:rPr>
        <w:t>固原经济开发区轻工产业园</w:t>
      </w:r>
      <w:r>
        <w:rPr>
          <w:rFonts w:hint="eastAsia" w:cs="Times New Roman"/>
          <w:color w:val="auto"/>
          <w:kern w:val="2"/>
          <w:sz w:val="24"/>
          <w:szCs w:val="24"/>
          <w:lang w:val="en-US" w:eastAsia="zh-CN" w:bidi="ar-SA"/>
        </w:rPr>
        <w:t>（中河乡）</w:t>
      </w:r>
      <w:r>
        <w:rPr>
          <w:rFonts w:hint="eastAsia"/>
          <w:color w:val="auto"/>
          <w:lang w:val="en-US" w:eastAsia="zh-CN"/>
        </w:rPr>
        <w:t>，主要建设内容包括屠宰加工车间、门卫及检疫室、研发中心等。总平面布置依据使用功能与卫生要求等因素，将性质相同、功能相近、联系密切且对环境要求相对一致的建筑物及设施进行功能分区，主要划分为生产区和生活管理区。</w:t>
      </w:r>
    </w:p>
    <w:p w14:paraId="6D3B350B">
      <w:pPr>
        <w:keepNext w:val="0"/>
        <w:keepLines w:val="0"/>
        <w:pageBreakBefore w:val="0"/>
        <w:widowControl w:val="0"/>
        <w:numPr>
          <w:ilvl w:val="0"/>
          <w:numId w:val="0"/>
        </w:numPr>
        <w:kinsoku/>
        <w:wordWrap/>
        <w:overflowPunct/>
        <w:topLinePunct w:val="0"/>
        <w:autoSpaceDE/>
        <w:autoSpaceDN/>
        <w:bidi w:val="0"/>
        <w:adjustRightInd/>
        <w:snapToGrid/>
        <w:spacing w:line="372" w:lineRule="auto"/>
        <w:ind w:left="0" w:leftChars="0" w:firstLine="480" w:firstLineChars="200"/>
        <w:textAlignment w:val="auto"/>
        <w:rPr>
          <w:rFonts w:hint="eastAsia" w:eastAsia="仿宋_GB2312"/>
          <w:lang w:eastAsia="zh-CN"/>
        </w:rPr>
      </w:pPr>
      <w:r>
        <w:rPr>
          <w:rFonts w:hint="eastAsia"/>
          <w:color w:val="auto"/>
          <w:lang w:eastAsia="zh-CN"/>
        </w:rPr>
        <w:t>（</w:t>
      </w:r>
      <w:r>
        <w:rPr>
          <w:rFonts w:hint="eastAsia"/>
          <w:color w:val="auto"/>
          <w:lang w:val="en-US" w:eastAsia="zh-CN"/>
        </w:rPr>
        <w:t>1）生产区：屠宰加工车间内设有待宰区、屠宰及分割区、冷藏库区、人员卫生用房区、参观走道及辅助用房区五个功能分区。其中待宰区位于夏季主导风向下风向，配备卸畜站台、赶畜道、检疫间、接收栏、待宰圈、隔离间等设施。生产区还包含屠宰加工车间、污水处理站、消防水池及泵房等建设内容。</w:t>
      </w:r>
    </w:p>
    <w:p w14:paraId="408305BB">
      <w:pPr>
        <w:keepNext w:val="0"/>
        <w:keepLines w:val="0"/>
        <w:pageBreakBefore w:val="0"/>
        <w:widowControl w:val="0"/>
        <w:kinsoku/>
        <w:wordWrap/>
        <w:overflowPunct/>
        <w:topLinePunct w:val="0"/>
        <w:autoSpaceDE/>
        <w:autoSpaceDN/>
        <w:bidi w:val="0"/>
        <w:adjustRightInd/>
        <w:snapToGrid/>
        <w:spacing w:line="372" w:lineRule="auto"/>
        <w:ind w:left="0" w:leftChars="0"/>
        <w:textAlignment w:val="auto"/>
        <w:rPr>
          <w:rFonts w:hint="eastAsia" w:eastAsia="仿宋_GB2312"/>
          <w:lang w:eastAsia="zh-CN"/>
        </w:rPr>
      </w:pPr>
      <w:r>
        <w:rPr>
          <w:rFonts w:hint="eastAsia"/>
          <w:color w:val="auto"/>
          <w:lang w:eastAsia="zh-CN"/>
        </w:rPr>
        <w:t>（</w:t>
      </w:r>
      <w:r>
        <w:rPr>
          <w:rFonts w:hint="eastAsia"/>
          <w:color w:val="auto"/>
          <w:lang w:val="en-US" w:eastAsia="zh-CN"/>
        </w:rPr>
        <w:t>2）生活管理区：建有研发中心，整体位于厂区南侧，与生产区分隔开。且处于生产区的上风向，可有效降低恶臭对生活管理区的影响。</w:t>
      </w:r>
    </w:p>
    <w:p w14:paraId="58B7008A">
      <w:pPr>
        <w:keepNext w:val="0"/>
        <w:keepLines w:val="0"/>
        <w:pageBreakBefore w:val="0"/>
        <w:widowControl w:val="0"/>
        <w:kinsoku/>
        <w:wordWrap/>
        <w:overflowPunct/>
        <w:topLinePunct w:val="0"/>
        <w:autoSpaceDE/>
        <w:autoSpaceDN/>
        <w:bidi w:val="0"/>
        <w:adjustRightInd/>
        <w:snapToGrid/>
        <w:spacing w:line="372" w:lineRule="auto"/>
        <w:ind w:left="0" w:leftChars="0"/>
        <w:textAlignment w:val="auto"/>
        <w:rPr>
          <w:rFonts w:hint="eastAsia"/>
          <w:color w:val="auto"/>
        </w:rPr>
      </w:pPr>
      <w:r>
        <w:rPr>
          <w:rFonts w:hint="eastAsia"/>
          <w:color w:val="auto"/>
        </w:rPr>
        <w:t>项目总平面布置以满足相关技术规范为前提，以保障工艺流程畅通、工艺管线短捷、分区明确、间距合理、管线短截、运输方便</w:t>
      </w:r>
      <w:r>
        <w:rPr>
          <w:rFonts w:hint="eastAsia"/>
          <w:color w:val="auto"/>
          <w:lang w:eastAsia="zh-CN"/>
        </w:rPr>
        <w:t>、</w:t>
      </w:r>
      <w:r>
        <w:rPr>
          <w:rFonts w:hint="eastAsia"/>
          <w:color w:val="auto"/>
        </w:rPr>
        <w:t>符合环保、安全、卫生、消防相关要求为原则，在充分考虑区域地形、地貌及主导风向等自然因素及周边社会环境组成条件的基础上，将生产区按照生产功能分为生产车间、公用工程区及办公区等，根据各工序生产性质，力求工艺流向合理。</w:t>
      </w:r>
    </w:p>
    <w:p w14:paraId="07B87FF3">
      <w:pPr>
        <w:bidi w:val="0"/>
        <w:spacing w:line="360" w:lineRule="auto"/>
        <w:rPr>
          <w:rFonts w:hint="eastAsia"/>
          <w:color w:val="auto"/>
          <w:lang w:val="en-US" w:eastAsia="zh-CN"/>
        </w:rPr>
      </w:pPr>
      <w:r>
        <w:rPr>
          <w:rFonts w:hint="eastAsia"/>
          <w:color w:val="auto"/>
        </w:rPr>
        <w:t>根据固原市多年地面气象观测统计资料可知，项目区域主导风向为SE。项目生产区不在生活办公区的上风向。项目原料供应系统、生产系统紧邻，方便了原料、产品的运输，且减少运输环节产生的物料损失。因此，项目平面布局合理。。</w:t>
      </w:r>
    </w:p>
    <w:p w14:paraId="4D345B2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779" w:name="_Toc27477"/>
      <w:bookmarkStart w:id="780" w:name="_Toc22908"/>
      <w:bookmarkStart w:id="781" w:name="_Toc1854"/>
      <w:bookmarkStart w:id="782" w:name="_Toc19101"/>
      <w:bookmarkStart w:id="783" w:name="_Toc1534"/>
      <w:bookmarkStart w:id="784" w:name="_Toc8979"/>
      <w:bookmarkStart w:id="785" w:name="_Toc31805"/>
      <w:r>
        <w:rPr>
          <w:rFonts w:hint="default" w:ascii="Times New Roman" w:hAnsi="Times New Roman" w:eastAsia="黑体" w:cs="Times New Roman"/>
          <w:b/>
          <w:color w:val="auto"/>
          <w:sz w:val="28"/>
          <w:szCs w:val="28"/>
          <w:highlight w:val="none"/>
          <w:lang w:val="en-US" w:eastAsia="zh-CN"/>
        </w:rPr>
        <w:t>10.5环境质量现状评价结论</w:t>
      </w:r>
      <w:bookmarkEnd w:id="779"/>
      <w:bookmarkEnd w:id="780"/>
      <w:bookmarkEnd w:id="781"/>
      <w:bookmarkEnd w:id="782"/>
      <w:bookmarkEnd w:id="783"/>
      <w:bookmarkEnd w:id="784"/>
      <w:bookmarkEnd w:id="785"/>
    </w:p>
    <w:p w14:paraId="55639C71">
      <w:pPr>
        <w:bidi w:val="0"/>
        <w:spacing w:line="360" w:lineRule="auto"/>
        <w:rPr>
          <w:rFonts w:hint="eastAsia"/>
          <w:color w:val="auto"/>
          <w:lang w:val="en-US" w:eastAsia="zh-CN"/>
        </w:rPr>
      </w:pPr>
      <w:r>
        <w:rPr>
          <w:rFonts w:hint="eastAsia"/>
          <w:color w:val="auto"/>
          <w:lang w:val="en-US" w:eastAsia="zh-CN"/>
        </w:rPr>
        <w:t>（1）环境空气质量现状</w:t>
      </w:r>
    </w:p>
    <w:p w14:paraId="7180405E">
      <w:pPr>
        <w:bidi w:val="0"/>
        <w:spacing w:line="360" w:lineRule="auto"/>
        <w:rPr>
          <w:rFonts w:hint="eastAsia"/>
          <w:color w:val="auto"/>
          <w:lang w:val="en-US" w:eastAsia="zh-CN"/>
        </w:rPr>
      </w:pPr>
      <w:r>
        <w:rPr>
          <w:rFonts w:hint="eastAsia"/>
          <w:color w:val="auto"/>
          <w:lang w:val="en-US" w:eastAsia="zh-CN"/>
        </w:rPr>
        <w:t>根据</w:t>
      </w:r>
      <w:r>
        <w:rPr>
          <w:rFonts w:hint="eastAsia"/>
          <w:color w:val="auto"/>
          <w:lang w:eastAsia="zh-CN"/>
        </w:rPr>
        <w:t>《固原市生态环境质量报告书（2024年）》中公布的原州区的监测数据，202</w:t>
      </w:r>
      <w:r>
        <w:rPr>
          <w:rFonts w:hint="eastAsia"/>
          <w:color w:val="auto"/>
          <w:lang w:val="en-US" w:eastAsia="zh-CN"/>
        </w:rPr>
        <w:t>4</w:t>
      </w:r>
      <w:r>
        <w:rPr>
          <w:rFonts w:hint="eastAsia"/>
          <w:color w:val="auto"/>
          <w:lang w:eastAsia="zh-CN"/>
        </w:rPr>
        <w:t>年原州区大气环境中PM</w:t>
      </w:r>
      <w:r>
        <w:rPr>
          <w:rFonts w:hint="eastAsia"/>
          <w:color w:val="auto"/>
          <w:vertAlign w:val="subscript"/>
          <w:lang w:eastAsia="zh-CN"/>
        </w:rPr>
        <w:t>10</w:t>
      </w:r>
      <w:r>
        <w:rPr>
          <w:rFonts w:hint="eastAsia"/>
          <w:color w:val="auto"/>
          <w:lang w:eastAsia="zh-CN"/>
        </w:rPr>
        <w:t>、PM</w:t>
      </w:r>
      <w:r>
        <w:rPr>
          <w:rFonts w:hint="eastAsia"/>
          <w:color w:val="auto"/>
          <w:vertAlign w:val="subscript"/>
          <w:lang w:eastAsia="zh-CN"/>
        </w:rPr>
        <w:t>2.5</w:t>
      </w:r>
      <w:r>
        <w:rPr>
          <w:rFonts w:hint="eastAsia"/>
          <w:color w:val="auto"/>
          <w:lang w:eastAsia="zh-CN"/>
        </w:rPr>
        <w:t>、SO</w:t>
      </w:r>
      <w:r>
        <w:rPr>
          <w:rFonts w:hint="eastAsia"/>
          <w:color w:val="auto"/>
          <w:vertAlign w:val="subscript"/>
          <w:lang w:eastAsia="zh-CN"/>
        </w:rPr>
        <w:t>2</w:t>
      </w:r>
      <w:r>
        <w:rPr>
          <w:rFonts w:hint="eastAsia"/>
          <w:color w:val="auto"/>
          <w:lang w:eastAsia="zh-CN"/>
        </w:rPr>
        <w:t>、NO</w:t>
      </w:r>
      <w:r>
        <w:rPr>
          <w:rFonts w:hint="eastAsia"/>
          <w:color w:val="auto"/>
          <w:vertAlign w:val="subscript"/>
          <w:lang w:eastAsia="zh-CN"/>
        </w:rPr>
        <w:t>2</w:t>
      </w:r>
      <w:r>
        <w:rPr>
          <w:rFonts w:hint="eastAsia"/>
          <w:color w:val="auto"/>
          <w:lang w:eastAsia="zh-CN"/>
        </w:rPr>
        <w:t>、CO、O</w:t>
      </w:r>
      <w:r>
        <w:rPr>
          <w:rFonts w:hint="eastAsia"/>
          <w:color w:val="auto"/>
          <w:vertAlign w:val="subscript"/>
          <w:lang w:eastAsia="zh-CN"/>
        </w:rPr>
        <w:t>3</w:t>
      </w:r>
      <w:r>
        <w:rPr>
          <w:rFonts w:hint="eastAsia"/>
          <w:color w:val="auto"/>
          <w:lang w:eastAsia="zh-CN"/>
        </w:rPr>
        <w:t>环境监测数据均符合《环境空气质量标准》（GB3095-2012及修改单）表1中二级标准限值要求，</w:t>
      </w:r>
      <w:r>
        <w:rPr>
          <w:rFonts w:hint="eastAsia"/>
          <w:color w:val="auto"/>
          <w:lang w:val="en-US" w:eastAsia="zh-CN"/>
        </w:rPr>
        <w:t>项目所在区域为达标区。</w:t>
      </w:r>
    </w:p>
    <w:p w14:paraId="288576C0">
      <w:pPr>
        <w:bidi w:val="0"/>
        <w:spacing w:line="360" w:lineRule="auto"/>
        <w:rPr>
          <w:rFonts w:hint="eastAsia"/>
          <w:color w:val="auto"/>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地表水环境质量现状</w:t>
      </w:r>
    </w:p>
    <w:p w14:paraId="11A7D872">
      <w:pPr>
        <w:bidi w:val="0"/>
        <w:spacing w:line="360" w:lineRule="auto"/>
        <w:rPr>
          <w:rFonts w:hint="eastAsia"/>
          <w:color w:val="auto"/>
          <w:lang w:val="en-US" w:eastAsia="zh-CN"/>
        </w:rPr>
      </w:pPr>
      <w:r>
        <w:rPr>
          <w:rFonts w:hint="eastAsia"/>
          <w:color w:val="auto"/>
          <w:lang w:val="en-US" w:eastAsia="zh-CN"/>
        </w:rPr>
        <w:t>项目评价区域内地表水体为大营河，位于项目西侧400m处，大营河为冬至河右岸支流，属清水河流域。本次地表水环境质量现状评价引用《2024年宁夏生态环境质量状况》中清水河（三营断面）水环境质量的监测结果，由监测结果可知，《2024年宁夏生态环境质量状况》中清水河（三营断面）水质满足《地表水环境质量标准》（GB3838-2002）中的IV类标准限值的要求。</w:t>
      </w:r>
    </w:p>
    <w:p w14:paraId="6AE02807">
      <w:pPr>
        <w:bidi w:val="0"/>
        <w:spacing w:line="360" w:lineRule="auto"/>
        <w:rPr>
          <w:rFonts w:hint="eastAsia"/>
          <w:color w:val="auto"/>
          <w:lang w:val="en-US" w:eastAsia="zh-CN"/>
        </w:rPr>
      </w:pPr>
      <w:r>
        <w:rPr>
          <w:rFonts w:hint="eastAsia"/>
          <w:color w:val="auto"/>
          <w:lang w:val="en-US" w:eastAsia="zh-CN"/>
        </w:rPr>
        <w:t>（3）地下水环境质量现状</w:t>
      </w:r>
    </w:p>
    <w:p w14:paraId="1C6EB3A4">
      <w:pPr>
        <w:bidi w:val="0"/>
        <w:spacing w:line="360" w:lineRule="auto"/>
        <w:rPr>
          <w:rFonts w:hint="eastAsia"/>
          <w:color w:val="auto"/>
          <w:lang w:val="en-US" w:eastAsia="zh-CN"/>
        </w:rPr>
      </w:pPr>
      <w:r>
        <w:rPr>
          <w:rFonts w:hint="eastAsia"/>
          <w:color w:val="auto"/>
          <w:lang w:val="en-US" w:eastAsia="zh-CN"/>
        </w:rPr>
        <w:t>由监测结果可知，除D1#监测井氨氮、耗氧量，D2#、D3#监测井耗氧量外，其余各项监测因子均满足《地下水质量标准》（GB/T14848-2017）</w:t>
      </w:r>
      <w:r>
        <w:rPr>
          <w:rFonts w:hint="default" w:ascii="Times New Roman" w:hAnsi="Times New Roman" w:cs="Times New Roman"/>
          <w:color w:val="auto"/>
          <w:lang w:val="en-US" w:eastAsia="zh-CN"/>
        </w:rPr>
        <w:t>Ⅲ</w:t>
      </w:r>
      <w:r>
        <w:rPr>
          <w:rFonts w:hint="eastAsia"/>
          <w:color w:val="auto"/>
          <w:lang w:val="en-US" w:eastAsia="zh-CN"/>
        </w:rPr>
        <w:t>类标准。氨氮、耗氧量超标原因主要为项目所在区域本底值较高。</w:t>
      </w:r>
    </w:p>
    <w:p w14:paraId="2F17E7EA">
      <w:pPr>
        <w:bidi w:val="0"/>
        <w:spacing w:line="360" w:lineRule="auto"/>
        <w:rPr>
          <w:rFonts w:hint="eastAsia"/>
          <w:color w:val="auto"/>
          <w:lang w:val="en-US" w:eastAsia="zh-CN"/>
        </w:rPr>
      </w:pPr>
      <w:r>
        <w:rPr>
          <w:rFonts w:hint="eastAsia"/>
          <w:color w:val="auto"/>
          <w:lang w:val="en-US" w:eastAsia="zh-CN"/>
        </w:rPr>
        <w:t>（4）声环境质量现状：项目厂区声环境现状监测值均满足《声环境质量标准》（GB3096-2008）3类标准要求，项目所在区域声环境质量较好。</w:t>
      </w:r>
    </w:p>
    <w:p w14:paraId="4EF333D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786" w:name="_Toc2526"/>
      <w:bookmarkStart w:id="787" w:name="_Toc27075"/>
      <w:bookmarkStart w:id="788" w:name="_Toc28359"/>
      <w:bookmarkStart w:id="789" w:name="_Toc15035"/>
      <w:bookmarkStart w:id="790" w:name="_Toc14623"/>
      <w:bookmarkStart w:id="791" w:name="_Toc5117"/>
      <w:r>
        <w:rPr>
          <w:rFonts w:hint="eastAsia" w:ascii="Times New Roman" w:hAnsi="Times New Roman" w:eastAsia="黑体" w:cs="Times New Roman"/>
          <w:b/>
          <w:color w:val="auto"/>
          <w:sz w:val="28"/>
          <w:szCs w:val="28"/>
          <w:highlight w:val="none"/>
          <w:lang w:val="en-US" w:eastAsia="zh-CN"/>
        </w:rPr>
        <w:t>10</w:t>
      </w:r>
      <w:r>
        <w:rPr>
          <w:rFonts w:hint="default" w:ascii="Times New Roman" w:hAnsi="Times New Roman" w:eastAsia="黑体" w:cs="Times New Roman"/>
          <w:b/>
          <w:color w:val="auto"/>
          <w:sz w:val="28"/>
          <w:szCs w:val="28"/>
          <w:highlight w:val="none"/>
          <w:lang w:val="en-US" w:eastAsia="zh-CN"/>
        </w:rPr>
        <w:t>.6污染防治与达标排放可行性</w:t>
      </w:r>
      <w:bookmarkEnd w:id="786"/>
      <w:bookmarkEnd w:id="787"/>
      <w:bookmarkEnd w:id="788"/>
      <w:bookmarkEnd w:id="789"/>
      <w:bookmarkEnd w:id="790"/>
      <w:bookmarkEnd w:id="791"/>
    </w:p>
    <w:p w14:paraId="433164C6">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lang w:val="en-US" w:eastAsia="zh-CN"/>
        </w:rPr>
      </w:pPr>
      <w:bookmarkStart w:id="792" w:name="_Toc491610175"/>
      <w:bookmarkStart w:id="793" w:name="_Toc30592"/>
      <w:bookmarkStart w:id="794" w:name="_Toc387745804"/>
      <w:bookmarkStart w:id="795" w:name="_Toc388620215"/>
      <w:bookmarkStart w:id="796" w:name="_Toc332203467"/>
      <w:bookmarkStart w:id="797" w:name="_Toc318043720"/>
      <w:bookmarkStart w:id="798" w:name="_Toc21363"/>
      <w:r>
        <w:rPr>
          <w:rFonts w:hint="default" w:ascii="Times New Roman" w:hAnsi="Times New Roman" w:eastAsia="黑体" w:cs="Times New Roman"/>
          <w:b/>
          <w:bCs/>
          <w:color w:val="auto"/>
          <w:kern w:val="2"/>
          <w:sz w:val="28"/>
          <w:szCs w:val="32"/>
          <w:highlight w:val="none"/>
          <w:lang w:val="en-US" w:eastAsia="zh-CN"/>
        </w:rPr>
        <w:t>10.6.1废气</w:t>
      </w:r>
      <w:r>
        <w:rPr>
          <w:rFonts w:hint="eastAsia" w:eastAsia="黑体" w:cs="Times New Roman"/>
          <w:b/>
          <w:bCs/>
          <w:color w:val="auto"/>
          <w:kern w:val="2"/>
          <w:sz w:val="28"/>
          <w:szCs w:val="32"/>
          <w:highlight w:val="none"/>
          <w:lang w:val="en-US" w:eastAsia="zh-CN"/>
        </w:rPr>
        <w:t>污染</w:t>
      </w:r>
      <w:r>
        <w:rPr>
          <w:rFonts w:hint="default" w:ascii="Times New Roman" w:hAnsi="Times New Roman" w:eastAsia="黑体" w:cs="Times New Roman"/>
          <w:b/>
          <w:bCs/>
          <w:color w:val="auto"/>
          <w:kern w:val="2"/>
          <w:sz w:val="28"/>
          <w:szCs w:val="32"/>
          <w:highlight w:val="none"/>
          <w:lang w:val="en-US" w:eastAsia="zh-CN"/>
        </w:rPr>
        <w:t>防治措施与达标排放可行性</w:t>
      </w:r>
      <w:bookmarkEnd w:id="792"/>
      <w:bookmarkEnd w:id="793"/>
      <w:bookmarkEnd w:id="794"/>
      <w:bookmarkEnd w:id="795"/>
      <w:bookmarkEnd w:id="796"/>
      <w:bookmarkEnd w:id="797"/>
      <w:bookmarkEnd w:id="798"/>
    </w:p>
    <w:p w14:paraId="2DC31843">
      <w:pPr>
        <w:bidi w:val="0"/>
        <w:spacing w:line="360" w:lineRule="auto"/>
        <w:rPr>
          <w:rFonts w:hint="eastAsia"/>
          <w:color w:val="auto"/>
        </w:rPr>
      </w:pPr>
      <w:r>
        <w:rPr>
          <w:rFonts w:hint="eastAsia"/>
          <w:color w:val="auto"/>
          <w:lang w:val="en-US" w:eastAsia="zh-CN"/>
        </w:rPr>
        <w:t>本项目废气主要为</w:t>
      </w:r>
      <w:r>
        <w:rPr>
          <w:rFonts w:hint="default"/>
          <w:color w:val="auto"/>
          <w:lang w:val="en-US" w:eastAsia="zh-CN"/>
        </w:rPr>
        <w:t>屠宰</w:t>
      </w:r>
      <w:r>
        <w:rPr>
          <w:rFonts w:hint="eastAsia"/>
          <w:color w:val="auto"/>
          <w:lang w:val="en-US" w:eastAsia="zh-CN"/>
        </w:rPr>
        <w:t>加工</w:t>
      </w:r>
      <w:r>
        <w:rPr>
          <w:rFonts w:hint="default"/>
          <w:color w:val="auto"/>
          <w:lang w:val="en-US" w:eastAsia="zh-CN"/>
        </w:rPr>
        <w:t>车间</w:t>
      </w:r>
      <w:r>
        <w:rPr>
          <w:rFonts w:hint="eastAsia"/>
          <w:color w:val="auto"/>
          <w:lang w:val="en-US" w:eastAsia="zh-CN"/>
        </w:rPr>
        <w:t>及污水处理站</w:t>
      </w:r>
      <w:r>
        <w:rPr>
          <w:rFonts w:hint="default"/>
          <w:color w:val="auto"/>
          <w:lang w:val="en-US" w:eastAsia="zh-CN"/>
        </w:rPr>
        <w:t>产生的恶臭气体</w:t>
      </w:r>
      <w:r>
        <w:rPr>
          <w:rFonts w:hint="eastAsia"/>
          <w:color w:val="auto"/>
          <w:lang w:val="en-US" w:eastAsia="zh-CN"/>
        </w:rPr>
        <w:t>。</w:t>
      </w:r>
    </w:p>
    <w:p w14:paraId="28A93FA9">
      <w:pPr>
        <w:bidi w:val="0"/>
        <w:spacing w:line="360" w:lineRule="auto"/>
        <w:rPr>
          <w:rFonts w:hint="eastAsia"/>
          <w:color w:val="auto"/>
          <w:lang w:val="en-US" w:eastAsia="zh-CN"/>
        </w:rPr>
      </w:pPr>
      <w:r>
        <w:rPr>
          <w:rFonts w:hint="eastAsia"/>
          <w:color w:val="auto"/>
          <w:lang w:val="en-US" w:eastAsia="zh-CN"/>
        </w:rPr>
        <w:t>本项目待宰圈产生的臭气经车间负压收集（收集效率90%），风机设计风量为14000m</w:t>
      </w:r>
      <w:r>
        <w:rPr>
          <w:rFonts w:hint="eastAsia"/>
          <w:color w:val="auto"/>
          <w:vertAlign w:val="superscript"/>
          <w:lang w:val="en-US" w:eastAsia="zh-CN"/>
        </w:rPr>
        <w:t>3</w:t>
      </w:r>
      <w:r>
        <w:rPr>
          <w:rFonts w:hint="eastAsia"/>
          <w:color w:val="auto"/>
          <w:lang w:val="en-US" w:eastAsia="zh-CN"/>
        </w:rPr>
        <w:t>/h，引入二级活性炭吸附装置（处理效率80%）处理后经20m高排气筒（DA001）排放；</w:t>
      </w:r>
      <w:r>
        <w:rPr>
          <w:rFonts w:hint="default" w:ascii="Times New Roman" w:hAnsi="Times New Roman" w:eastAsia="仿宋_GB2312" w:cs="Times New Roman"/>
          <w:snapToGrid/>
          <w:color w:val="auto"/>
          <w:kern w:val="2"/>
          <w:sz w:val="24"/>
          <w:szCs w:val="24"/>
          <w:highlight w:val="none"/>
          <w:lang w:val="en-US" w:eastAsia="zh-CN" w:bidi="ar-SA"/>
        </w:rPr>
        <w:t>建设</w:t>
      </w:r>
      <w:r>
        <w:rPr>
          <w:rFonts w:hint="eastAsia" w:cs="Times New Roman"/>
          <w:snapToGrid/>
          <w:color w:val="auto"/>
          <w:kern w:val="2"/>
          <w:sz w:val="24"/>
          <w:szCs w:val="24"/>
          <w:highlight w:val="none"/>
          <w:lang w:val="en-US" w:eastAsia="zh-CN" w:bidi="ar-SA"/>
        </w:rPr>
        <w:t>地下式</w:t>
      </w:r>
      <w:r>
        <w:rPr>
          <w:rFonts w:hint="default" w:ascii="Times New Roman" w:hAnsi="Times New Roman" w:eastAsia="仿宋_GB2312" w:cs="Times New Roman"/>
          <w:snapToGrid/>
          <w:color w:val="auto"/>
          <w:kern w:val="2"/>
          <w:sz w:val="24"/>
          <w:szCs w:val="24"/>
          <w:highlight w:val="none"/>
          <w:lang w:val="en-US" w:eastAsia="zh-CN" w:bidi="ar-SA"/>
        </w:rPr>
        <w:t>污水处理站，</w:t>
      </w:r>
      <w:r>
        <w:rPr>
          <w:rFonts w:hint="eastAsia" w:ascii="Times New Roman" w:hAnsi="Times New Roman" w:cs="Times New Roman"/>
          <w:snapToGrid/>
          <w:color w:val="auto"/>
          <w:kern w:val="2"/>
          <w:sz w:val="24"/>
          <w:szCs w:val="24"/>
          <w:highlight w:val="none"/>
          <w:lang w:val="en-US" w:eastAsia="zh-CN" w:bidi="ar-SA"/>
        </w:rPr>
        <w:t>并</w:t>
      </w:r>
      <w:r>
        <w:rPr>
          <w:rFonts w:hint="default" w:ascii="Times New Roman" w:hAnsi="Times New Roman" w:eastAsia="仿宋_GB2312" w:cs="Times New Roman"/>
          <w:snapToGrid/>
          <w:color w:val="auto"/>
          <w:kern w:val="2"/>
          <w:sz w:val="24"/>
          <w:szCs w:val="24"/>
          <w:highlight w:val="none"/>
          <w:lang w:val="en-US" w:eastAsia="zh-CN" w:bidi="ar-SA"/>
        </w:rPr>
        <w:t>对污水处理</w:t>
      </w:r>
      <w:r>
        <w:rPr>
          <w:rFonts w:hint="eastAsia" w:cs="Times New Roman"/>
          <w:snapToGrid/>
          <w:color w:val="auto"/>
          <w:kern w:val="2"/>
          <w:sz w:val="24"/>
          <w:szCs w:val="24"/>
          <w:highlight w:val="none"/>
          <w:lang w:val="en-US" w:eastAsia="zh-CN" w:bidi="ar-SA"/>
        </w:rPr>
        <w:t>站各池体</w:t>
      </w:r>
      <w:r>
        <w:rPr>
          <w:rFonts w:hint="default" w:ascii="Times New Roman" w:hAnsi="Times New Roman" w:eastAsia="仿宋_GB2312" w:cs="Times New Roman"/>
          <w:snapToGrid/>
          <w:color w:val="auto"/>
          <w:kern w:val="2"/>
          <w:sz w:val="24"/>
          <w:szCs w:val="24"/>
          <w:highlight w:val="none"/>
          <w:lang w:val="en-US" w:eastAsia="zh-CN" w:bidi="ar-SA"/>
        </w:rPr>
        <w:t>加盖封闭，产生的恶臭</w:t>
      </w:r>
      <w:r>
        <w:rPr>
          <w:rFonts w:hint="eastAsia" w:ascii="Times New Roman" w:hAnsi="Times New Roman" w:cs="Times New Roman"/>
          <w:snapToGrid/>
          <w:color w:val="auto"/>
          <w:kern w:val="2"/>
          <w:sz w:val="24"/>
          <w:szCs w:val="24"/>
          <w:highlight w:val="none"/>
          <w:lang w:val="en-US" w:eastAsia="zh-CN" w:bidi="ar-SA"/>
        </w:rPr>
        <w:t>气体</w:t>
      </w:r>
      <w:r>
        <w:rPr>
          <w:rFonts w:hint="default" w:ascii="Times New Roman" w:hAnsi="Times New Roman" w:eastAsia="仿宋_GB2312" w:cs="Times New Roman"/>
          <w:snapToGrid/>
          <w:color w:val="auto"/>
          <w:kern w:val="2"/>
          <w:sz w:val="24"/>
          <w:szCs w:val="24"/>
          <w:highlight w:val="none"/>
          <w:lang w:val="en-US" w:eastAsia="zh-CN" w:bidi="ar-SA"/>
        </w:rPr>
        <w:t>经“集气设备+</w:t>
      </w:r>
      <w:r>
        <w:rPr>
          <w:rFonts w:hint="eastAsia" w:ascii="Times New Roman" w:hAnsi="Times New Roman" w:cs="Times New Roman"/>
          <w:snapToGrid/>
          <w:color w:val="auto"/>
          <w:kern w:val="2"/>
          <w:sz w:val="24"/>
          <w:szCs w:val="24"/>
          <w:highlight w:val="none"/>
          <w:lang w:val="en-US" w:eastAsia="zh-CN" w:bidi="ar-SA"/>
        </w:rPr>
        <w:t>二级活性炭吸附装置</w:t>
      </w:r>
      <w:r>
        <w:rPr>
          <w:rFonts w:hint="default" w:ascii="Times New Roman" w:hAnsi="Times New Roman" w:eastAsia="仿宋_GB2312" w:cs="Times New Roman"/>
          <w:snapToGrid/>
          <w:color w:val="auto"/>
          <w:kern w:val="2"/>
          <w:sz w:val="24"/>
          <w:szCs w:val="24"/>
          <w:highlight w:val="none"/>
          <w:lang w:val="en-US" w:eastAsia="zh-CN" w:bidi="ar-SA"/>
        </w:rPr>
        <w:t>（风量</w:t>
      </w:r>
      <w:r>
        <w:rPr>
          <w:rFonts w:hint="eastAsia" w:ascii="Times New Roman" w:hAnsi="Times New Roman" w:cs="Times New Roman"/>
          <w:snapToGrid/>
          <w:color w:val="auto"/>
          <w:kern w:val="2"/>
          <w:sz w:val="24"/>
          <w:szCs w:val="24"/>
          <w:highlight w:val="none"/>
          <w:lang w:val="en-US" w:eastAsia="zh-CN" w:bidi="ar-SA"/>
        </w:rPr>
        <w:t>1</w:t>
      </w:r>
      <w:r>
        <w:rPr>
          <w:rFonts w:hint="default" w:ascii="Times New Roman" w:hAnsi="Times New Roman" w:eastAsia="仿宋_GB2312" w:cs="Times New Roman"/>
          <w:snapToGrid/>
          <w:color w:val="auto"/>
          <w:kern w:val="2"/>
          <w:sz w:val="24"/>
          <w:szCs w:val="24"/>
          <w:highlight w:val="none"/>
          <w:lang w:val="en-US" w:eastAsia="zh-CN" w:bidi="ar-SA"/>
        </w:rPr>
        <w:t>000m</w:t>
      </w:r>
      <w:r>
        <w:rPr>
          <w:rFonts w:hint="default" w:ascii="Times New Roman" w:hAnsi="Times New Roman" w:eastAsia="仿宋_GB2312" w:cs="Times New Roman"/>
          <w:snapToGrid/>
          <w:color w:val="auto"/>
          <w:kern w:val="2"/>
          <w:sz w:val="24"/>
          <w:szCs w:val="24"/>
          <w:highlight w:val="none"/>
          <w:vertAlign w:val="superscript"/>
          <w:lang w:val="en-US" w:eastAsia="zh-CN" w:bidi="ar-SA"/>
        </w:rPr>
        <w:t>3</w:t>
      </w:r>
      <w:r>
        <w:rPr>
          <w:rFonts w:hint="default" w:ascii="Times New Roman" w:hAnsi="Times New Roman" w:eastAsia="仿宋_GB2312" w:cs="Times New Roman"/>
          <w:snapToGrid/>
          <w:color w:val="auto"/>
          <w:kern w:val="2"/>
          <w:sz w:val="24"/>
          <w:szCs w:val="24"/>
          <w:highlight w:val="none"/>
          <w:lang w:val="en-US" w:eastAsia="zh-CN" w:bidi="ar-SA"/>
        </w:rPr>
        <w:t>/h）”</w:t>
      </w:r>
      <w:r>
        <w:rPr>
          <w:rFonts w:hint="eastAsia" w:ascii="Times New Roman" w:hAnsi="Times New Roman" w:cs="Times New Roman"/>
          <w:snapToGrid/>
          <w:color w:val="auto"/>
          <w:kern w:val="2"/>
          <w:sz w:val="24"/>
          <w:szCs w:val="24"/>
          <w:highlight w:val="none"/>
          <w:lang w:val="en-US" w:eastAsia="zh-CN" w:bidi="ar-SA"/>
        </w:rPr>
        <w:t>处理后由</w:t>
      </w:r>
      <w:r>
        <w:rPr>
          <w:rFonts w:hint="default" w:ascii="Times New Roman" w:hAnsi="Times New Roman" w:eastAsia="仿宋_GB2312" w:cs="Times New Roman"/>
          <w:snapToGrid/>
          <w:color w:val="auto"/>
          <w:kern w:val="2"/>
          <w:sz w:val="24"/>
          <w:szCs w:val="24"/>
          <w:highlight w:val="none"/>
          <w:lang w:val="en-US" w:eastAsia="zh-CN" w:bidi="ar-SA"/>
        </w:rPr>
        <w:t>1</w:t>
      </w:r>
      <w:r>
        <w:rPr>
          <w:rFonts w:hint="eastAsia" w:ascii="Times New Roman" w:hAnsi="Times New Roman" w:cs="Times New Roman"/>
          <w:snapToGrid/>
          <w:color w:val="auto"/>
          <w:kern w:val="2"/>
          <w:sz w:val="24"/>
          <w:szCs w:val="24"/>
          <w:highlight w:val="none"/>
          <w:lang w:val="en-US" w:eastAsia="zh-CN" w:bidi="ar-SA"/>
        </w:rPr>
        <w:t>根</w:t>
      </w:r>
      <w:r>
        <w:rPr>
          <w:rFonts w:hint="eastAsia" w:cs="Times New Roman"/>
          <w:snapToGrid/>
          <w:color w:val="auto"/>
          <w:kern w:val="2"/>
          <w:sz w:val="24"/>
          <w:szCs w:val="24"/>
          <w:highlight w:val="none"/>
          <w:lang w:val="en-US" w:eastAsia="zh-CN" w:bidi="ar-SA"/>
        </w:rPr>
        <w:t>20</w:t>
      </w:r>
      <w:r>
        <w:rPr>
          <w:rFonts w:hint="default" w:ascii="Times New Roman" w:hAnsi="Times New Roman" w:eastAsia="仿宋_GB2312" w:cs="Times New Roman"/>
          <w:snapToGrid/>
          <w:color w:val="auto"/>
          <w:kern w:val="2"/>
          <w:sz w:val="24"/>
          <w:szCs w:val="24"/>
          <w:highlight w:val="none"/>
          <w:lang w:val="en-US" w:eastAsia="zh-CN" w:bidi="ar-SA"/>
        </w:rPr>
        <w:t>m高排气筒</w:t>
      </w:r>
      <w:r>
        <w:rPr>
          <w:rFonts w:hint="eastAsia" w:ascii="Times New Roman" w:hAnsi="Times New Roman" w:cs="Times New Roman"/>
          <w:snapToGrid/>
          <w:color w:val="auto"/>
          <w:kern w:val="2"/>
          <w:sz w:val="24"/>
          <w:szCs w:val="24"/>
          <w:highlight w:val="none"/>
          <w:lang w:val="en-US" w:eastAsia="zh-CN" w:bidi="ar-SA"/>
        </w:rPr>
        <w:t>（DA002）</w:t>
      </w:r>
      <w:r>
        <w:rPr>
          <w:rFonts w:hint="default" w:ascii="Times New Roman" w:hAnsi="Times New Roman" w:eastAsia="仿宋_GB2312" w:cs="Times New Roman"/>
          <w:snapToGrid/>
          <w:color w:val="auto"/>
          <w:kern w:val="2"/>
          <w:sz w:val="24"/>
          <w:szCs w:val="24"/>
          <w:highlight w:val="none"/>
          <w:lang w:val="en-US" w:eastAsia="zh-CN" w:bidi="ar-SA"/>
        </w:rPr>
        <w:t>排放</w:t>
      </w:r>
      <w:r>
        <w:rPr>
          <w:rFonts w:hint="eastAsia" w:cs="Times New Roman"/>
          <w:snapToGrid/>
          <w:color w:val="auto"/>
          <w:kern w:val="2"/>
          <w:sz w:val="24"/>
          <w:szCs w:val="24"/>
          <w:highlight w:val="none"/>
          <w:lang w:val="en-US" w:eastAsia="zh-CN" w:bidi="ar-SA"/>
        </w:rPr>
        <w:t>；</w:t>
      </w:r>
      <w:r>
        <w:rPr>
          <w:rFonts w:hint="eastAsia"/>
          <w:color w:val="auto"/>
          <w:lang w:val="en-US" w:eastAsia="zh-CN"/>
        </w:rPr>
        <w:t>屠宰加工车间设置机械通风系统，每小时通风换气不少于4次，定期喷洒除臭剂、消毒。</w:t>
      </w:r>
      <w:r>
        <w:rPr>
          <w:rFonts w:hint="eastAsia" w:ascii="Times New Roman" w:hAnsi="Times New Roman" w:cs="Times New Roman"/>
          <w:snapToGrid/>
          <w:color w:val="auto"/>
          <w:kern w:val="2"/>
          <w:sz w:val="24"/>
          <w:szCs w:val="24"/>
          <w:highlight w:val="none"/>
          <w:lang w:val="en-US" w:eastAsia="zh-CN" w:bidi="ar-SA"/>
        </w:rPr>
        <w:t>排放浓度均满足《恶臭污染物排放标准》（GB14554-93）相关要求，可达标排放。</w:t>
      </w:r>
    </w:p>
    <w:p w14:paraId="3F1A25FB">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10</w:t>
      </w:r>
      <w:r>
        <w:rPr>
          <w:rFonts w:hint="default" w:ascii="Times New Roman" w:hAnsi="Times New Roman" w:eastAsia="黑体" w:cs="Times New Roman"/>
          <w:b/>
          <w:bCs/>
          <w:color w:val="auto"/>
          <w:kern w:val="2"/>
          <w:sz w:val="28"/>
          <w:szCs w:val="32"/>
          <w:highlight w:val="none"/>
          <w:lang w:val="en-US" w:eastAsia="zh-CN"/>
        </w:rPr>
        <w:t>.6.2废水治理措施与达标排放可行性</w:t>
      </w:r>
    </w:p>
    <w:p w14:paraId="080DF19E">
      <w:pPr>
        <w:bidi w:val="0"/>
        <w:spacing w:line="360" w:lineRule="auto"/>
        <w:rPr>
          <w:rFonts w:hint="eastAsia"/>
          <w:color w:val="auto"/>
          <w:lang w:val="en-US" w:eastAsia="zh-CN"/>
        </w:rPr>
      </w:pPr>
      <w:r>
        <w:rPr>
          <w:rFonts w:hint="eastAsia"/>
          <w:color w:val="000000" w:themeColor="text1"/>
          <w:lang w:val="en-US" w:eastAsia="zh-CN"/>
          <w14:textFill>
            <w14:solidFill>
              <w14:schemeClr w14:val="tx1"/>
            </w14:solidFill>
          </w14:textFill>
        </w:rPr>
        <w:t>项目产生的屠宰废水及车辆冲洗废水排入厂区污水处理站处理，达到《屠宰及肉类加工工业水污染物排放标准》（GB13457-2025）表1间接排放标准；生活污水经化粪池收集，均达到</w:t>
      </w:r>
      <w:r>
        <w:rPr>
          <w:rFonts w:hint="eastAsia" w:ascii="Times New Roman" w:hAnsi="Times New Roman" w:cs="Times New Roman"/>
          <w:color w:val="auto"/>
          <w:sz w:val="24"/>
          <w:highlight w:val="none"/>
          <w:lang w:val="en-US" w:eastAsia="zh-CN"/>
        </w:rPr>
        <w:t>《污水综合排放标准》（GB8978-1996）三级排放标准及城区污水处理厂接管标准《污水排入城镇下水道水质标准》（GB/T31962-2015）A级排放标准</w:t>
      </w:r>
      <w:r>
        <w:rPr>
          <w:rFonts w:hint="eastAsia"/>
          <w:color w:val="000000" w:themeColor="text1"/>
          <w:lang w:val="en-US" w:eastAsia="zh-CN"/>
          <w14:textFill>
            <w14:solidFill>
              <w14:schemeClr w14:val="tx1"/>
            </w14:solidFill>
          </w14:textFill>
        </w:rPr>
        <w:t>后一起排至城区污水处理厂处理。</w:t>
      </w:r>
    </w:p>
    <w:p w14:paraId="24D985A9">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lang w:val="en-US" w:eastAsia="zh-CN"/>
        </w:rPr>
      </w:pPr>
      <w:bookmarkStart w:id="799" w:name="_Toc32658"/>
      <w:r>
        <w:rPr>
          <w:rFonts w:hint="eastAsia" w:ascii="Times New Roman" w:hAnsi="Times New Roman" w:eastAsia="黑体" w:cs="Times New Roman"/>
          <w:b/>
          <w:bCs/>
          <w:color w:val="auto"/>
          <w:kern w:val="2"/>
          <w:sz w:val="28"/>
          <w:szCs w:val="32"/>
          <w:highlight w:val="none"/>
          <w:lang w:val="en-US" w:eastAsia="zh-CN"/>
        </w:rPr>
        <w:t>10</w:t>
      </w:r>
      <w:r>
        <w:rPr>
          <w:rFonts w:hint="default" w:ascii="Times New Roman" w:hAnsi="Times New Roman" w:eastAsia="黑体" w:cs="Times New Roman"/>
          <w:b/>
          <w:bCs/>
          <w:color w:val="auto"/>
          <w:kern w:val="2"/>
          <w:sz w:val="28"/>
          <w:szCs w:val="32"/>
          <w:highlight w:val="none"/>
          <w:lang w:val="en-US" w:eastAsia="zh-CN"/>
        </w:rPr>
        <w:t>.6.3环境噪声污染防治措施与达标排放的可行性</w:t>
      </w:r>
      <w:bookmarkEnd w:id="799"/>
    </w:p>
    <w:p w14:paraId="2B536489">
      <w:pPr>
        <w:bidi w:val="0"/>
        <w:spacing w:line="360" w:lineRule="auto"/>
        <w:rPr>
          <w:rFonts w:hint="eastAsia"/>
          <w:color w:val="auto"/>
          <w:lang w:val="en-US" w:eastAsia="zh-CN"/>
        </w:rPr>
      </w:pPr>
      <w:r>
        <w:rPr>
          <w:rFonts w:hint="eastAsia" w:ascii="Times New Roman" w:hAnsi="Times New Roman"/>
          <w:color w:val="auto"/>
          <w:lang w:val="en-US" w:eastAsia="zh-CN"/>
        </w:rPr>
        <w:t>本项目噪声来源主要为屠宰车间各类机械噪声，噪声声级在70~90dB（A）。针对不同噪声源采用隔声、消声、合理布局等治理措施。</w:t>
      </w:r>
    </w:p>
    <w:p w14:paraId="0A5D5BF8">
      <w:pPr>
        <w:bidi w:val="0"/>
        <w:spacing w:line="360" w:lineRule="auto"/>
        <w:rPr>
          <w:rFonts w:hint="eastAsia"/>
          <w:color w:val="auto"/>
          <w:lang w:val="en-US" w:eastAsia="zh-CN"/>
        </w:rPr>
      </w:pPr>
      <w:r>
        <w:rPr>
          <w:rFonts w:hint="default" w:ascii="Times New Roman" w:hAnsi="Times New Roman" w:eastAsia="仿宋_GB2312" w:cs="Times New Roman"/>
          <w:color w:val="auto"/>
          <w:kern w:val="2"/>
          <w:sz w:val="24"/>
          <w:szCs w:val="24"/>
          <w:lang w:val="en-US" w:eastAsia="zh-CN" w:bidi="ar-SA"/>
        </w:rPr>
        <w:t>根据项目声环境影响评价预测结果，采取有效的减振降噪措施后，预测前述主要生产设备噪声源衰减至厂界外1m的噪声贡献值，均可以满足《工业企业厂界环境噪声排放标准》（GB12348-2008）</w:t>
      </w:r>
      <w:r>
        <w:rPr>
          <w:rFonts w:hint="eastAsia" w:ascii="Times New Roman" w:hAnsi="Times New Roman" w:eastAsia="仿宋_GB2312" w:cs="Times New Roman"/>
          <w:color w:val="auto"/>
          <w:kern w:val="2"/>
          <w:sz w:val="24"/>
          <w:szCs w:val="24"/>
          <w:lang w:val="en-US" w:eastAsia="zh-CN" w:bidi="ar-SA"/>
        </w:rPr>
        <w:t>3</w:t>
      </w:r>
      <w:r>
        <w:rPr>
          <w:rFonts w:hint="default" w:ascii="Times New Roman" w:hAnsi="Times New Roman" w:eastAsia="仿宋_GB2312" w:cs="Times New Roman"/>
          <w:color w:val="auto"/>
          <w:kern w:val="2"/>
          <w:sz w:val="24"/>
          <w:szCs w:val="24"/>
          <w:lang w:val="en-US" w:eastAsia="zh-CN" w:bidi="ar-SA"/>
        </w:rPr>
        <w:t>类区排放限值要求。</w:t>
      </w:r>
    </w:p>
    <w:p w14:paraId="2CFBEB01">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lang w:val="en-US" w:eastAsia="zh-CN"/>
        </w:rPr>
      </w:pPr>
      <w:bookmarkStart w:id="800" w:name="_Toc18430"/>
      <w:r>
        <w:rPr>
          <w:rFonts w:hint="eastAsia" w:ascii="Times New Roman" w:hAnsi="Times New Roman" w:eastAsia="黑体" w:cs="Times New Roman"/>
          <w:b/>
          <w:bCs/>
          <w:color w:val="auto"/>
          <w:kern w:val="2"/>
          <w:sz w:val="28"/>
          <w:szCs w:val="32"/>
          <w:highlight w:val="none"/>
          <w:lang w:val="en-US" w:eastAsia="zh-CN"/>
        </w:rPr>
        <w:t>10</w:t>
      </w:r>
      <w:r>
        <w:rPr>
          <w:rFonts w:hint="default" w:ascii="Times New Roman" w:hAnsi="Times New Roman" w:eastAsia="黑体" w:cs="Times New Roman"/>
          <w:b/>
          <w:bCs/>
          <w:color w:val="auto"/>
          <w:kern w:val="2"/>
          <w:sz w:val="28"/>
          <w:szCs w:val="32"/>
          <w:highlight w:val="none"/>
          <w:lang w:val="en-US" w:eastAsia="zh-CN"/>
        </w:rPr>
        <w:t>.6.4固体废物产生及处理、处置情况</w:t>
      </w:r>
      <w:bookmarkEnd w:id="800"/>
    </w:p>
    <w:p w14:paraId="344FCBB1">
      <w:pPr>
        <w:bidi w:val="0"/>
        <w:spacing w:line="360" w:lineRule="auto"/>
        <w:rPr>
          <w:rFonts w:hint="default"/>
          <w:color w:val="auto"/>
          <w:lang w:val="en-US" w:eastAsia="zh-CN"/>
        </w:rPr>
      </w:pPr>
      <w:r>
        <w:rPr>
          <w:rFonts w:hint="default"/>
          <w:color w:val="auto"/>
          <w:lang w:val="en-US" w:eastAsia="zh-CN"/>
        </w:rPr>
        <w:t>本项目屠宰过程中产生的分割边角料、胃内容物</w:t>
      </w:r>
      <w:r>
        <w:rPr>
          <w:rFonts w:hint="eastAsia"/>
          <w:color w:val="000000" w:themeColor="text1"/>
          <w:lang w:val="en-US" w:eastAsia="zh-CN"/>
          <w14:textFill>
            <w14:solidFill>
              <w14:schemeClr w14:val="tx1"/>
            </w14:solidFill>
          </w14:textFill>
        </w:rPr>
        <w:t>暂存于内脏处理间粪便池内</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olor w:val="auto"/>
          <w:lang w:val="en-US" w:eastAsia="zh-CN"/>
        </w:rPr>
        <w:t>由吸污车拉运至</w:t>
      </w:r>
      <w:r>
        <w:rPr>
          <w:rFonts w:hint="default"/>
          <w:color w:val="auto"/>
          <w:lang w:val="en-US" w:eastAsia="zh-CN"/>
        </w:rPr>
        <w:t>固原富田有机肥有限公司生产</w:t>
      </w:r>
      <w:r>
        <w:rPr>
          <w:rFonts w:hint="eastAsia"/>
          <w:color w:val="auto"/>
          <w:lang w:val="en-US" w:eastAsia="zh-CN"/>
        </w:rPr>
        <w:t>肥料，不在厂区储存；</w:t>
      </w:r>
      <w:r>
        <w:rPr>
          <w:rFonts w:hint="default"/>
          <w:color w:val="auto"/>
          <w:lang w:val="en-US" w:eastAsia="zh-CN"/>
        </w:rPr>
        <w:t>牛粪便（含牛尿）</w:t>
      </w:r>
      <w:r>
        <w:rPr>
          <w:rFonts w:hint="eastAsia"/>
          <w:color w:val="auto"/>
          <w:lang w:val="en-US" w:eastAsia="zh-CN"/>
        </w:rPr>
        <w:t>、</w:t>
      </w:r>
      <w:r>
        <w:rPr>
          <w:rFonts w:hint="default"/>
          <w:color w:val="auto"/>
          <w:lang w:val="en-US" w:eastAsia="zh-CN"/>
        </w:rPr>
        <w:t>羊粪便（含羊尿）运至固原富田有机肥有限公司生产</w:t>
      </w:r>
      <w:r>
        <w:rPr>
          <w:rFonts w:hint="eastAsia"/>
          <w:color w:val="auto"/>
          <w:lang w:val="en-US" w:eastAsia="zh-CN"/>
        </w:rPr>
        <w:t>肥料</w:t>
      </w:r>
      <w:r>
        <w:rPr>
          <w:rFonts w:hint="default"/>
          <w:color w:val="auto"/>
          <w:lang w:val="en-US" w:eastAsia="zh-CN"/>
        </w:rPr>
        <w:t>；病变内脏、不合格胴体、病死牛</w:t>
      </w:r>
      <w:r>
        <w:rPr>
          <w:rFonts w:hint="eastAsia"/>
          <w:color w:val="auto"/>
          <w:lang w:val="en-US" w:eastAsia="zh-CN"/>
        </w:rPr>
        <w:t>、病死羊集中收集后暂存于危废贮存库内的冰柜中，</w:t>
      </w:r>
      <w:r>
        <w:rPr>
          <w:rFonts w:hint="default"/>
          <w:color w:val="auto"/>
          <w:lang w:val="en-US" w:eastAsia="zh-CN"/>
        </w:rPr>
        <w:t>定期拉运至原州区动物疾病预防控制中心（动物卫生监督）</w:t>
      </w:r>
      <w:r>
        <w:rPr>
          <w:rFonts w:hint="eastAsia"/>
          <w:color w:val="auto"/>
          <w:lang w:val="en-US" w:eastAsia="zh-CN"/>
        </w:rPr>
        <w:t>指定场所进行</w:t>
      </w:r>
      <w:r>
        <w:rPr>
          <w:rFonts w:hint="default"/>
          <w:color w:val="auto"/>
          <w:lang w:val="en-US" w:eastAsia="zh-CN"/>
        </w:rPr>
        <w:t>无害化处置；生活垃圾收集后由环卫部门统一处置；污水处理站污泥</w:t>
      </w:r>
      <w:r>
        <w:rPr>
          <w:rFonts w:hint="eastAsia"/>
          <w:color w:val="auto"/>
          <w:lang w:val="en-US" w:eastAsia="zh-CN"/>
        </w:rPr>
        <w:t>脱水</w:t>
      </w:r>
      <w:r>
        <w:rPr>
          <w:rFonts w:hint="default"/>
          <w:color w:val="auto"/>
          <w:lang w:val="en-US" w:eastAsia="zh-CN"/>
        </w:rPr>
        <w:t>后拉运至固原富田有机肥有限公司生产</w:t>
      </w:r>
      <w:r>
        <w:rPr>
          <w:rFonts w:hint="eastAsia"/>
          <w:color w:val="auto"/>
          <w:lang w:val="en-US" w:eastAsia="zh-CN"/>
        </w:rPr>
        <w:t>肥料</w:t>
      </w:r>
      <w:r>
        <w:rPr>
          <w:rFonts w:hint="default"/>
          <w:color w:val="auto"/>
          <w:lang w:val="en-US" w:eastAsia="zh-CN"/>
        </w:rPr>
        <w:t>；废活性炭</w:t>
      </w:r>
      <w:r>
        <w:rPr>
          <w:rFonts w:hint="eastAsia"/>
          <w:color w:val="auto"/>
          <w:lang w:val="en-US" w:eastAsia="zh-CN"/>
        </w:rPr>
        <w:t>更换后交有资质单位处置，不在厂区内储存；</w:t>
      </w:r>
      <w:r>
        <w:rPr>
          <w:rFonts w:hint="default"/>
          <w:color w:val="auto"/>
          <w:lang w:val="en-US" w:eastAsia="zh-CN"/>
        </w:rPr>
        <w:t>废机油、废机油桶、检疫废物暂存于危废贮存库，</w:t>
      </w:r>
      <w:r>
        <w:rPr>
          <w:rFonts w:hint="eastAsia"/>
          <w:color w:val="auto"/>
          <w:lang w:val="en-US" w:eastAsia="zh-CN"/>
        </w:rPr>
        <w:t>定期</w:t>
      </w:r>
      <w:r>
        <w:rPr>
          <w:rFonts w:hint="default"/>
          <w:color w:val="auto"/>
          <w:lang w:val="en-US" w:eastAsia="zh-CN"/>
        </w:rPr>
        <w:t>交有资质的单位处置。</w:t>
      </w:r>
    </w:p>
    <w:p w14:paraId="10D8DB94">
      <w:pPr>
        <w:bidi w:val="0"/>
        <w:spacing w:line="360" w:lineRule="auto"/>
        <w:rPr>
          <w:rFonts w:hint="eastAsia"/>
          <w:color w:val="auto"/>
          <w:lang w:val="en-US" w:eastAsia="zh-CN"/>
        </w:rPr>
      </w:pPr>
      <w:r>
        <w:rPr>
          <w:rFonts w:hint="default" w:ascii="Times New Roman" w:hAnsi="Times New Roman" w:eastAsia="仿宋_GB2312" w:cs="Times New Roman"/>
          <w:color w:val="auto"/>
          <w:sz w:val="24"/>
          <w:lang w:val="en-US" w:eastAsia="zh-CN"/>
        </w:rPr>
        <w:t>综上所述，本项目固体废物均综合利用或无害化处理。</w:t>
      </w:r>
    </w:p>
    <w:p w14:paraId="0CDAB6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801" w:name="_Toc21624"/>
      <w:bookmarkStart w:id="802" w:name="_Toc2414"/>
      <w:bookmarkStart w:id="803" w:name="_Toc9136"/>
      <w:bookmarkStart w:id="804" w:name="_Toc28332"/>
      <w:bookmarkStart w:id="805" w:name="_Toc131"/>
      <w:r>
        <w:rPr>
          <w:rFonts w:hint="eastAsia" w:ascii="Times New Roman" w:hAnsi="Times New Roman" w:eastAsia="黑体" w:cs="Times New Roman"/>
          <w:b/>
          <w:color w:val="auto"/>
          <w:sz w:val="28"/>
          <w:szCs w:val="28"/>
          <w:highlight w:val="none"/>
          <w:lang w:val="en-US" w:eastAsia="zh-CN"/>
        </w:rPr>
        <w:t>10</w:t>
      </w:r>
      <w:r>
        <w:rPr>
          <w:rFonts w:hint="default" w:ascii="Times New Roman" w:hAnsi="Times New Roman" w:eastAsia="黑体" w:cs="Times New Roman"/>
          <w:b/>
          <w:color w:val="auto"/>
          <w:sz w:val="28"/>
          <w:szCs w:val="28"/>
          <w:highlight w:val="none"/>
          <w:lang w:val="en-US" w:eastAsia="zh-CN"/>
        </w:rPr>
        <w:t>.7公众参与</w:t>
      </w:r>
      <w:bookmarkEnd w:id="801"/>
      <w:bookmarkEnd w:id="802"/>
      <w:bookmarkEnd w:id="803"/>
      <w:bookmarkEnd w:id="804"/>
      <w:bookmarkEnd w:id="805"/>
    </w:p>
    <w:p w14:paraId="5EDD42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仿宋_GB2312" w:cs="Times New Roman"/>
          <w:b w:val="0"/>
          <w:color w:val="auto"/>
          <w:kern w:val="2"/>
          <w:sz w:val="24"/>
          <w:szCs w:val="20"/>
          <w:lang w:val="en-US" w:eastAsia="zh-CN" w:bidi="ar-SA"/>
        </w:rPr>
      </w:pPr>
      <w:r>
        <w:rPr>
          <w:rFonts w:hint="default" w:ascii="Times New Roman" w:hAnsi="Times New Roman" w:eastAsia="仿宋_GB2312" w:cs="Times New Roman"/>
          <w:b w:val="0"/>
          <w:color w:val="auto"/>
          <w:kern w:val="2"/>
          <w:sz w:val="24"/>
          <w:szCs w:val="20"/>
          <w:lang w:val="en-US" w:eastAsia="zh-CN" w:bidi="ar-SA"/>
        </w:rPr>
        <w:t>本次公众参与严格按照《环境影响评价公众参与暂行办法》有关规定进行，通过报纸发布公告信息及张贴公示等形式，广泛公告项目建设的基本情况及环境影响评价情况。固原市科财牛羊屠宰精深加工项目于</w:t>
      </w:r>
      <w:r>
        <w:rPr>
          <w:rFonts w:hint="eastAsia" w:ascii="Times New Roman" w:hAnsi="Times New Roman" w:eastAsia="仿宋_GB2312" w:cs="Times New Roman"/>
          <w:b w:val="0"/>
          <w:color w:val="auto"/>
          <w:kern w:val="2"/>
          <w:sz w:val="24"/>
          <w:szCs w:val="20"/>
          <w:lang w:val="en-US" w:eastAsia="zh-CN" w:bidi="ar-SA"/>
        </w:rPr>
        <w:t>202</w:t>
      </w:r>
      <w:r>
        <w:rPr>
          <w:rFonts w:hint="eastAsia" w:cs="Times New Roman"/>
          <w:b w:val="0"/>
          <w:color w:val="auto"/>
          <w:kern w:val="2"/>
          <w:sz w:val="24"/>
          <w:szCs w:val="20"/>
          <w:lang w:val="en-US" w:eastAsia="zh-CN" w:bidi="ar-SA"/>
        </w:rPr>
        <w:t>5</w:t>
      </w:r>
      <w:r>
        <w:rPr>
          <w:rFonts w:hint="default" w:ascii="Times New Roman" w:hAnsi="Times New Roman" w:eastAsia="仿宋_GB2312" w:cs="Times New Roman"/>
          <w:b w:val="0"/>
          <w:color w:val="auto"/>
          <w:kern w:val="2"/>
          <w:sz w:val="24"/>
          <w:szCs w:val="20"/>
          <w:lang w:val="en-US" w:eastAsia="zh-CN" w:bidi="ar-SA"/>
        </w:rPr>
        <w:t>年</w:t>
      </w:r>
      <w:r>
        <w:rPr>
          <w:rFonts w:hint="eastAsia" w:cs="Times New Roman"/>
          <w:b w:val="0"/>
          <w:color w:val="auto"/>
          <w:kern w:val="2"/>
          <w:sz w:val="24"/>
          <w:szCs w:val="20"/>
          <w:lang w:val="en-US" w:eastAsia="zh-CN" w:bidi="ar-SA"/>
        </w:rPr>
        <w:t>8</w:t>
      </w:r>
      <w:r>
        <w:rPr>
          <w:rFonts w:hint="default" w:ascii="Times New Roman" w:hAnsi="Times New Roman" w:eastAsia="仿宋_GB2312" w:cs="Times New Roman"/>
          <w:b w:val="0"/>
          <w:color w:val="auto"/>
          <w:kern w:val="2"/>
          <w:sz w:val="24"/>
          <w:szCs w:val="20"/>
          <w:lang w:val="en-US" w:eastAsia="zh-CN" w:bidi="ar-SA"/>
        </w:rPr>
        <w:t>月</w:t>
      </w:r>
      <w:r>
        <w:rPr>
          <w:rFonts w:hint="eastAsia" w:cs="Times New Roman"/>
          <w:b w:val="0"/>
          <w:color w:val="auto"/>
          <w:kern w:val="2"/>
          <w:sz w:val="24"/>
          <w:szCs w:val="20"/>
          <w:lang w:val="en-US" w:eastAsia="zh-CN" w:bidi="ar-SA"/>
        </w:rPr>
        <w:t>8</w:t>
      </w:r>
      <w:r>
        <w:rPr>
          <w:rFonts w:hint="default" w:ascii="Times New Roman" w:hAnsi="Times New Roman" w:eastAsia="仿宋_GB2312" w:cs="Times New Roman"/>
          <w:b w:val="0"/>
          <w:color w:val="auto"/>
          <w:kern w:val="2"/>
          <w:sz w:val="24"/>
          <w:szCs w:val="20"/>
          <w:lang w:val="en-US" w:eastAsia="zh-CN" w:bidi="ar-SA"/>
        </w:rPr>
        <w:t>日委托</w:t>
      </w:r>
      <w:r>
        <w:rPr>
          <w:rFonts w:hint="eastAsia" w:cs="Times New Roman"/>
          <w:b w:val="0"/>
          <w:color w:val="auto"/>
          <w:kern w:val="2"/>
          <w:sz w:val="24"/>
          <w:szCs w:val="20"/>
          <w:lang w:val="en-US" w:eastAsia="zh-CN" w:bidi="ar-SA"/>
        </w:rPr>
        <w:t>环创（宁夏）生态环境设计院有限公司</w:t>
      </w:r>
      <w:r>
        <w:rPr>
          <w:rFonts w:hint="default" w:ascii="Times New Roman" w:hAnsi="Times New Roman" w:eastAsia="仿宋_GB2312" w:cs="Times New Roman"/>
          <w:b w:val="0"/>
          <w:color w:val="auto"/>
          <w:kern w:val="2"/>
          <w:sz w:val="24"/>
          <w:szCs w:val="20"/>
          <w:lang w:val="en-US" w:eastAsia="zh-CN" w:bidi="ar-SA"/>
        </w:rPr>
        <w:t>开展本项目的环评工作，</w:t>
      </w:r>
      <w:r>
        <w:rPr>
          <w:rFonts w:hint="eastAsia" w:ascii="Times New Roman" w:hAnsi="Times New Roman" w:eastAsia="仿宋_GB2312" w:cs="Times New Roman"/>
          <w:b w:val="0"/>
          <w:color w:val="auto"/>
          <w:kern w:val="2"/>
          <w:sz w:val="24"/>
          <w:szCs w:val="20"/>
          <w:lang w:val="en-US" w:eastAsia="zh-CN" w:bidi="ar-SA"/>
        </w:rPr>
        <w:t>202</w:t>
      </w:r>
      <w:r>
        <w:rPr>
          <w:rFonts w:hint="eastAsia" w:cs="Times New Roman"/>
          <w:b w:val="0"/>
          <w:color w:val="auto"/>
          <w:kern w:val="2"/>
          <w:sz w:val="24"/>
          <w:szCs w:val="20"/>
          <w:lang w:val="en-US" w:eastAsia="zh-CN" w:bidi="ar-SA"/>
        </w:rPr>
        <w:t>5</w:t>
      </w:r>
      <w:r>
        <w:rPr>
          <w:rFonts w:hint="default" w:ascii="Times New Roman" w:hAnsi="Times New Roman" w:eastAsia="仿宋_GB2312" w:cs="Times New Roman"/>
          <w:b w:val="0"/>
          <w:color w:val="auto"/>
          <w:kern w:val="2"/>
          <w:sz w:val="24"/>
          <w:szCs w:val="20"/>
          <w:lang w:val="en-US" w:eastAsia="zh-CN" w:bidi="ar-SA"/>
        </w:rPr>
        <w:t>年</w:t>
      </w:r>
      <w:r>
        <w:rPr>
          <w:rFonts w:hint="eastAsia" w:cs="Times New Roman"/>
          <w:b w:val="0"/>
          <w:color w:val="auto"/>
          <w:kern w:val="2"/>
          <w:sz w:val="24"/>
          <w:szCs w:val="20"/>
          <w:lang w:val="en-US" w:eastAsia="zh-CN" w:bidi="ar-SA"/>
        </w:rPr>
        <w:t>8</w:t>
      </w:r>
      <w:r>
        <w:rPr>
          <w:rFonts w:hint="default" w:ascii="Times New Roman" w:hAnsi="Times New Roman" w:eastAsia="仿宋_GB2312" w:cs="Times New Roman"/>
          <w:b w:val="0"/>
          <w:color w:val="auto"/>
          <w:kern w:val="2"/>
          <w:sz w:val="24"/>
          <w:szCs w:val="20"/>
          <w:lang w:val="en-US" w:eastAsia="zh-CN" w:bidi="ar-SA"/>
        </w:rPr>
        <w:t>月</w:t>
      </w:r>
      <w:r>
        <w:rPr>
          <w:rFonts w:hint="eastAsia" w:cs="Times New Roman"/>
          <w:b w:val="0"/>
          <w:color w:val="auto"/>
          <w:kern w:val="2"/>
          <w:sz w:val="24"/>
          <w:szCs w:val="20"/>
          <w:lang w:val="en-US" w:eastAsia="zh-CN" w:bidi="ar-SA"/>
        </w:rPr>
        <w:t>11</w:t>
      </w:r>
      <w:r>
        <w:rPr>
          <w:rFonts w:hint="default" w:ascii="Times New Roman" w:hAnsi="Times New Roman" w:eastAsia="仿宋_GB2312" w:cs="Times New Roman"/>
          <w:b w:val="0"/>
          <w:color w:val="auto"/>
          <w:kern w:val="2"/>
          <w:sz w:val="24"/>
          <w:szCs w:val="20"/>
          <w:lang w:val="en-US" w:eastAsia="zh-CN" w:bidi="ar-SA"/>
        </w:rPr>
        <w:t>日在环境影响评价信息公示平台发布了</w:t>
      </w:r>
      <w:r>
        <w:rPr>
          <w:rFonts w:hint="eastAsia" w:ascii="Times New Roman" w:hAnsi="Times New Roman" w:eastAsia="仿宋_GB2312" w:cs="Times New Roman"/>
          <w:b w:val="0"/>
          <w:color w:val="auto"/>
          <w:kern w:val="2"/>
          <w:sz w:val="24"/>
          <w:szCs w:val="20"/>
          <w:lang w:val="en-US" w:eastAsia="zh-CN" w:bidi="ar-SA"/>
        </w:rPr>
        <w:t>本项目第一次环境影响评价信息公</w:t>
      </w:r>
      <w:r>
        <w:rPr>
          <w:rFonts w:hint="eastAsia" w:ascii="Times New Roman" w:hAnsi="Times New Roman" w:eastAsia="仿宋_GB2312" w:cs="Times New Roman"/>
          <w:b w:val="0"/>
          <w:color w:val="000000" w:themeColor="text1"/>
          <w:kern w:val="2"/>
          <w:sz w:val="24"/>
          <w:szCs w:val="20"/>
          <w:lang w:val="en-US" w:eastAsia="zh-CN" w:bidi="ar-SA"/>
          <w14:textFill>
            <w14:solidFill>
              <w14:schemeClr w14:val="tx1"/>
            </w14:solidFill>
          </w14:textFill>
        </w:rPr>
        <w:t>示。建设单位于202</w:t>
      </w:r>
      <w:r>
        <w:rPr>
          <w:rFonts w:hint="eastAsia" w:cs="Times New Roman"/>
          <w:b w:val="0"/>
          <w:color w:val="000000" w:themeColor="text1"/>
          <w:kern w:val="2"/>
          <w:sz w:val="24"/>
          <w:szCs w:val="20"/>
          <w:lang w:val="en-US" w:eastAsia="zh-CN" w:bidi="ar-SA"/>
          <w14:textFill>
            <w14:solidFill>
              <w14:schemeClr w14:val="tx1"/>
            </w14:solidFill>
          </w14:textFill>
        </w:rPr>
        <w:t>6</w:t>
      </w:r>
      <w:r>
        <w:rPr>
          <w:rFonts w:hint="eastAsia" w:ascii="Times New Roman" w:hAnsi="Times New Roman" w:eastAsia="仿宋_GB2312" w:cs="Times New Roman"/>
          <w:b w:val="0"/>
          <w:color w:val="000000" w:themeColor="text1"/>
          <w:kern w:val="2"/>
          <w:sz w:val="24"/>
          <w:szCs w:val="20"/>
          <w:lang w:val="en-US" w:eastAsia="zh-CN" w:bidi="ar-SA"/>
          <w14:textFill>
            <w14:solidFill>
              <w14:schemeClr w14:val="tx1"/>
            </w14:solidFill>
          </w14:textFill>
        </w:rPr>
        <w:t>年</w:t>
      </w:r>
      <w:r>
        <w:rPr>
          <w:rFonts w:hint="eastAsia" w:cs="Times New Roman"/>
          <w:b w:val="0"/>
          <w:color w:val="000000" w:themeColor="text1"/>
          <w:kern w:val="2"/>
          <w:sz w:val="24"/>
          <w:szCs w:val="20"/>
          <w:lang w:val="en-US" w:eastAsia="zh-CN" w:bidi="ar-SA"/>
          <w14:textFill>
            <w14:solidFill>
              <w14:schemeClr w14:val="tx1"/>
            </w14:solidFill>
          </w14:textFill>
        </w:rPr>
        <w:t>4</w:t>
      </w:r>
      <w:r>
        <w:rPr>
          <w:rFonts w:hint="eastAsia" w:ascii="Times New Roman" w:hAnsi="Times New Roman" w:eastAsia="仿宋_GB2312" w:cs="Times New Roman"/>
          <w:b w:val="0"/>
          <w:color w:val="000000" w:themeColor="text1"/>
          <w:kern w:val="2"/>
          <w:sz w:val="24"/>
          <w:szCs w:val="20"/>
          <w:lang w:val="en-US" w:eastAsia="zh-CN" w:bidi="ar-SA"/>
          <w14:textFill>
            <w14:solidFill>
              <w14:schemeClr w14:val="tx1"/>
            </w14:solidFill>
          </w14:textFill>
        </w:rPr>
        <w:t>月</w:t>
      </w:r>
      <w:r>
        <w:rPr>
          <w:rFonts w:hint="eastAsia" w:cs="Times New Roman"/>
          <w:b w:val="0"/>
          <w:color w:val="000000" w:themeColor="text1"/>
          <w:kern w:val="2"/>
          <w:sz w:val="24"/>
          <w:szCs w:val="20"/>
          <w:lang w:val="en-US" w:eastAsia="zh-CN" w:bidi="ar-SA"/>
          <w14:textFill>
            <w14:solidFill>
              <w14:schemeClr w14:val="tx1"/>
            </w14:solidFill>
          </w14:textFill>
        </w:rPr>
        <w:t>23</w:t>
      </w:r>
      <w:r>
        <w:rPr>
          <w:rFonts w:hint="eastAsia" w:ascii="Times New Roman" w:hAnsi="Times New Roman" w:eastAsia="仿宋_GB2312" w:cs="Times New Roman"/>
          <w:b w:val="0"/>
          <w:color w:val="000000" w:themeColor="text1"/>
          <w:kern w:val="2"/>
          <w:sz w:val="24"/>
          <w:szCs w:val="20"/>
          <w:lang w:val="en-US" w:eastAsia="zh-CN" w:bidi="ar-SA"/>
          <w14:textFill>
            <w14:solidFill>
              <w14:schemeClr w14:val="tx1"/>
            </w14:solidFill>
          </w14:textFill>
        </w:rPr>
        <w:t>日、20</w:t>
      </w:r>
      <w:r>
        <w:rPr>
          <w:rFonts w:hint="eastAsia" w:cs="Times New Roman"/>
          <w:b w:val="0"/>
          <w:color w:val="000000" w:themeColor="text1"/>
          <w:kern w:val="2"/>
          <w:sz w:val="24"/>
          <w:szCs w:val="20"/>
          <w:lang w:val="en-US" w:eastAsia="zh-CN" w:bidi="ar-SA"/>
          <w14:textFill>
            <w14:solidFill>
              <w14:schemeClr w14:val="tx1"/>
            </w14:solidFill>
          </w14:textFill>
        </w:rPr>
        <w:t>26</w:t>
      </w:r>
      <w:r>
        <w:rPr>
          <w:rFonts w:hint="eastAsia" w:ascii="Times New Roman" w:hAnsi="Times New Roman" w:eastAsia="仿宋_GB2312" w:cs="Times New Roman"/>
          <w:b w:val="0"/>
          <w:color w:val="000000" w:themeColor="text1"/>
          <w:kern w:val="2"/>
          <w:sz w:val="24"/>
          <w:szCs w:val="20"/>
          <w:lang w:val="en-US" w:eastAsia="zh-CN" w:bidi="ar-SA"/>
          <w14:textFill>
            <w14:solidFill>
              <w14:schemeClr w14:val="tx1"/>
            </w14:solidFill>
          </w14:textFill>
        </w:rPr>
        <w:t>年</w:t>
      </w:r>
      <w:r>
        <w:rPr>
          <w:rFonts w:hint="eastAsia" w:cs="Times New Roman"/>
          <w:b w:val="0"/>
          <w:color w:val="000000" w:themeColor="text1"/>
          <w:kern w:val="2"/>
          <w:sz w:val="24"/>
          <w:szCs w:val="20"/>
          <w:lang w:val="en-US" w:eastAsia="zh-CN" w:bidi="ar-SA"/>
          <w14:textFill>
            <w14:solidFill>
              <w14:schemeClr w14:val="tx1"/>
            </w14:solidFill>
          </w14:textFill>
        </w:rPr>
        <w:t>4</w:t>
      </w:r>
      <w:r>
        <w:rPr>
          <w:rFonts w:hint="eastAsia" w:ascii="Times New Roman" w:hAnsi="Times New Roman" w:eastAsia="仿宋_GB2312" w:cs="Times New Roman"/>
          <w:b w:val="0"/>
          <w:color w:val="000000" w:themeColor="text1"/>
          <w:kern w:val="2"/>
          <w:sz w:val="24"/>
          <w:szCs w:val="20"/>
          <w:lang w:val="en-US" w:eastAsia="zh-CN" w:bidi="ar-SA"/>
          <w14:textFill>
            <w14:solidFill>
              <w14:schemeClr w14:val="tx1"/>
            </w14:solidFill>
          </w14:textFill>
        </w:rPr>
        <w:t>月</w:t>
      </w:r>
      <w:r>
        <w:rPr>
          <w:rFonts w:hint="eastAsia" w:cs="Times New Roman"/>
          <w:b w:val="0"/>
          <w:color w:val="000000" w:themeColor="text1"/>
          <w:kern w:val="2"/>
          <w:sz w:val="24"/>
          <w:szCs w:val="20"/>
          <w:lang w:val="en-US" w:eastAsia="zh-CN" w:bidi="ar-SA"/>
          <w14:textFill>
            <w14:solidFill>
              <w14:schemeClr w14:val="tx1"/>
            </w14:solidFill>
          </w14:textFill>
        </w:rPr>
        <w:t>24</w:t>
      </w:r>
      <w:r>
        <w:rPr>
          <w:rFonts w:hint="eastAsia" w:ascii="Times New Roman" w:hAnsi="Times New Roman" w:eastAsia="仿宋_GB2312" w:cs="Times New Roman"/>
          <w:b w:val="0"/>
          <w:color w:val="000000" w:themeColor="text1"/>
          <w:kern w:val="2"/>
          <w:sz w:val="24"/>
          <w:szCs w:val="20"/>
          <w:lang w:val="en-US" w:eastAsia="zh-CN" w:bidi="ar-SA"/>
          <w14:textFill>
            <w14:solidFill>
              <w14:schemeClr w14:val="tx1"/>
            </w14:solidFill>
          </w14:textFill>
        </w:rPr>
        <w:t>日在</w:t>
      </w:r>
      <w:r>
        <w:rPr>
          <w:rFonts w:hint="eastAsia" w:cs="Times New Roman"/>
          <w:b w:val="0"/>
          <w:color w:val="000000" w:themeColor="text1"/>
          <w:kern w:val="2"/>
          <w:sz w:val="24"/>
          <w:szCs w:val="20"/>
          <w:lang w:val="en-US" w:eastAsia="zh-CN" w:bidi="ar-SA"/>
          <w14:textFill>
            <w14:solidFill>
              <w14:schemeClr w14:val="tx1"/>
            </w14:solidFill>
          </w14:textFill>
        </w:rPr>
        <w:t>新消息报</w:t>
      </w:r>
      <w:r>
        <w:rPr>
          <w:rFonts w:hint="eastAsia" w:ascii="Times New Roman" w:hAnsi="Times New Roman" w:eastAsia="仿宋_GB2312" w:cs="Times New Roman"/>
          <w:b w:val="0"/>
          <w:color w:val="000000" w:themeColor="text1"/>
          <w:kern w:val="2"/>
          <w:sz w:val="24"/>
          <w:szCs w:val="20"/>
          <w:lang w:val="en-US" w:eastAsia="zh-CN" w:bidi="ar-SA"/>
          <w14:textFill>
            <w14:solidFill>
              <w14:schemeClr w14:val="tx1"/>
            </w14:solidFill>
          </w14:textFill>
        </w:rPr>
        <w:t>发布了本项目第二次环境影响评价信息公示（结论公示）</w:t>
      </w:r>
      <w:r>
        <w:rPr>
          <w:rFonts w:hint="eastAsia" w:ascii="Times New Roman" w:hAnsi="Times New Roman" w:cs="Times New Roman"/>
          <w:b w:val="0"/>
          <w:color w:val="000000" w:themeColor="text1"/>
          <w:kern w:val="2"/>
          <w:sz w:val="24"/>
          <w:szCs w:val="20"/>
          <w:lang w:val="en-US" w:eastAsia="zh-CN" w:bidi="ar-SA"/>
          <w14:textFill>
            <w14:solidFill>
              <w14:schemeClr w14:val="tx1"/>
            </w14:solidFill>
          </w14:textFill>
        </w:rPr>
        <w:t>，同步在网络版新消息报</w:t>
      </w:r>
      <w:r>
        <w:rPr>
          <w:rFonts w:hint="eastAsia" w:ascii="Times New Roman" w:hAnsi="Times New Roman" w:eastAsia="仿宋_GB2312" w:cs="Times New Roman"/>
          <w:b w:val="0"/>
          <w:color w:val="000000" w:themeColor="text1"/>
          <w:kern w:val="2"/>
          <w:sz w:val="24"/>
          <w:szCs w:val="20"/>
          <w:lang w:val="en-US" w:eastAsia="zh-CN" w:bidi="ar-SA"/>
          <w14:textFill>
            <w14:solidFill>
              <w14:schemeClr w14:val="tx1"/>
            </w14:solidFill>
          </w14:textFill>
        </w:rPr>
        <w:t>发布了本项目第二次环境影响评价信息公示（征求意见稿），网络链接：https://szb.nxrb.cn/xxxb/pc/layout/202604/23/node_02.html</w:t>
      </w:r>
      <w:r>
        <w:rPr>
          <w:rFonts w:hint="eastAsia" w:ascii="Times New Roman" w:hAnsi="Times New Roman" w:cs="Times New Roman"/>
          <w:b w:val="0"/>
          <w:color w:val="000000" w:themeColor="text1"/>
          <w:kern w:val="2"/>
          <w:sz w:val="24"/>
          <w:szCs w:val="20"/>
          <w:lang w:val="en-US" w:eastAsia="zh-CN" w:bidi="ar-SA"/>
          <w14:textFill>
            <w14:solidFill>
              <w14:schemeClr w14:val="tx1"/>
            </w14:solidFill>
          </w14:textFill>
        </w:rPr>
        <w:t>。</w:t>
      </w:r>
      <w:r>
        <w:rPr>
          <w:rFonts w:hint="eastAsia" w:ascii="Times New Roman" w:hAnsi="Times New Roman" w:eastAsia="仿宋_GB2312" w:cs="Times New Roman"/>
          <w:b w:val="0"/>
          <w:color w:val="auto"/>
          <w:kern w:val="2"/>
          <w:sz w:val="24"/>
          <w:szCs w:val="20"/>
          <w:lang w:val="en-US" w:eastAsia="zh-CN" w:bidi="ar-SA"/>
        </w:rPr>
        <w:t>同时在固原市科财肉制品加工有限公司区域附近对本项目环境影响评价征求意见稿纸质公示进行张贴。</w:t>
      </w:r>
    </w:p>
    <w:p w14:paraId="3434DC38">
      <w:pPr>
        <w:bidi w:val="0"/>
        <w:spacing w:line="360" w:lineRule="auto"/>
        <w:rPr>
          <w:rFonts w:hint="eastAsia" w:ascii="Times New Roman" w:hAnsi="Times New Roman" w:eastAsia="仿宋_GB2312" w:cs="Times New Roman"/>
          <w:b w:val="0"/>
          <w:color w:val="auto"/>
          <w:kern w:val="2"/>
          <w:sz w:val="24"/>
          <w:szCs w:val="20"/>
          <w:lang w:val="en-US" w:eastAsia="zh-CN" w:bidi="ar-SA"/>
        </w:rPr>
      </w:pPr>
      <w:r>
        <w:rPr>
          <w:rFonts w:hint="eastAsia" w:ascii="Times New Roman" w:hAnsi="Times New Roman" w:eastAsia="仿宋_GB2312" w:cs="Times New Roman"/>
          <w:b w:val="0"/>
          <w:color w:val="auto"/>
          <w:kern w:val="2"/>
          <w:sz w:val="24"/>
          <w:szCs w:val="20"/>
          <w:lang w:val="en-US" w:eastAsia="zh-CN" w:bidi="ar-SA"/>
        </w:rPr>
        <w:t>环评公示阶段，没有收到反对意见。根据调查结果，该项目已得到广大公众的了解与支持，且被调查者认为项目在建设过程中及投产运行后，应重视环境保护。落实各</w:t>
      </w:r>
      <w:r>
        <w:rPr>
          <w:rFonts w:hint="eastAsia" w:cs="Times New Roman"/>
          <w:b w:val="0"/>
          <w:color w:val="auto"/>
          <w:kern w:val="2"/>
          <w:sz w:val="24"/>
          <w:szCs w:val="20"/>
          <w:lang w:val="en-US" w:eastAsia="zh-CN" w:bidi="ar-SA"/>
        </w:rPr>
        <w:t>项</w:t>
      </w:r>
      <w:r>
        <w:rPr>
          <w:rFonts w:hint="eastAsia" w:ascii="Times New Roman" w:hAnsi="Times New Roman" w:eastAsia="仿宋_GB2312" w:cs="Times New Roman"/>
          <w:b w:val="0"/>
          <w:color w:val="auto"/>
          <w:kern w:val="2"/>
          <w:sz w:val="24"/>
          <w:szCs w:val="20"/>
          <w:lang w:val="en-US" w:eastAsia="zh-CN" w:bidi="ar-SA"/>
        </w:rPr>
        <w:t>环保措施，加强环境管理，使该项目的建设具有充分可行性。由此可见，选址周围公众对于本项目的建设总体上持支持的态度。</w:t>
      </w:r>
    </w:p>
    <w:p w14:paraId="54A83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Times New Roman" w:hAnsi="Times New Roman" w:eastAsia="黑体" w:cs="Times New Roman"/>
          <w:b/>
          <w:color w:val="auto"/>
          <w:sz w:val="28"/>
          <w:szCs w:val="28"/>
          <w:highlight w:val="none"/>
          <w:lang w:val="en-US" w:eastAsia="zh-CN"/>
        </w:rPr>
      </w:pPr>
      <w:bookmarkStart w:id="806" w:name="_Toc20330"/>
      <w:bookmarkStart w:id="807" w:name="_Toc12778"/>
      <w:bookmarkStart w:id="808" w:name="_Toc22134"/>
      <w:r>
        <w:rPr>
          <w:rFonts w:hint="eastAsia" w:eastAsia="黑体" w:cs="Times New Roman"/>
          <w:b/>
          <w:color w:val="auto"/>
          <w:sz w:val="28"/>
          <w:szCs w:val="28"/>
          <w:highlight w:val="none"/>
          <w:lang w:val="en-US" w:eastAsia="zh-CN"/>
        </w:rPr>
        <w:t>10.8</w:t>
      </w:r>
      <w:r>
        <w:rPr>
          <w:rFonts w:hint="eastAsia" w:ascii="Times New Roman" w:hAnsi="Times New Roman" w:eastAsia="黑体" w:cs="Times New Roman"/>
          <w:b/>
          <w:color w:val="auto"/>
          <w:sz w:val="28"/>
          <w:szCs w:val="28"/>
          <w:highlight w:val="none"/>
          <w:lang w:val="en-US" w:eastAsia="zh-CN"/>
        </w:rPr>
        <w:t>总结论</w:t>
      </w:r>
      <w:bookmarkEnd w:id="806"/>
      <w:bookmarkEnd w:id="807"/>
      <w:bookmarkEnd w:id="808"/>
    </w:p>
    <w:p w14:paraId="01A5B64B">
      <w:pPr>
        <w:bidi w:val="0"/>
        <w:spacing w:line="360" w:lineRule="auto"/>
        <w:rPr>
          <w:rFonts w:hint="eastAsia"/>
          <w:color w:val="auto"/>
          <w:lang w:val="en-US" w:eastAsia="zh-CN"/>
        </w:rPr>
      </w:pPr>
      <w:r>
        <w:rPr>
          <w:rFonts w:hint="eastAsia"/>
          <w:color w:val="auto"/>
          <w:lang w:val="en-US" w:eastAsia="zh-CN"/>
        </w:rPr>
        <w:t>综上所述，本项目建设符合国家产业政策，与固原经济开发区（轻工产业园）相关规划相符，项目选址合理，平面布局科学，通过对本项目施工期及运营期产生的污染源强及对环境的影响进行预测、分析，结果表明本项目所采用的生产工艺技术合理，符合现行产业政策相关要求。本项目拟采取的“三废”治理方案有效、合理，技术经济上可行，在切实落实环评报告中提出的各项污染物防治措施以及生产设施正常运行状况下，各污染物排放对周边环境影响较小。项目严格采取相应风险防范措施后，环境风险可防可控。</w:t>
      </w:r>
    </w:p>
    <w:p w14:paraId="0B9577D0">
      <w:pPr>
        <w:bidi w:val="0"/>
        <w:spacing w:line="360" w:lineRule="auto"/>
        <w:rPr>
          <w:rFonts w:hint="eastAsia"/>
          <w:color w:val="auto"/>
          <w:lang w:val="en-US" w:eastAsia="zh-CN"/>
        </w:rPr>
      </w:pPr>
      <w:r>
        <w:rPr>
          <w:rFonts w:hint="eastAsia"/>
          <w:color w:val="auto"/>
          <w:lang w:val="en-US" w:eastAsia="zh-CN"/>
        </w:rPr>
        <w:t>因此，在切实落实本次环评报告中提出的各项防治措施后，从环境保护的角度来看，本项目在拟选厂址内建设是可行的。</w:t>
      </w:r>
    </w:p>
    <w:p w14:paraId="74EC597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eastAsia="黑体" w:cs="Times New Roman"/>
          <w:b/>
          <w:color w:val="auto"/>
          <w:sz w:val="28"/>
          <w:szCs w:val="28"/>
          <w:highlight w:val="none"/>
          <w:lang w:val="en-US" w:eastAsia="zh-CN"/>
        </w:rPr>
      </w:pPr>
      <w:bookmarkStart w:id="809" w:name="_Toc13677"/>
      <w:r>
        <w:rPr>
          <w:rFonts w:hint="eastAsia" w:ascii="Times New Roman" w:hAnsi="Times New Roman" w:eastAsia="黑体" w:cs="Times New Roman"/>
          <w:b/>
          <w:color w:val="auto"/>
          <w:sz w:val="28"/>
          <w:szCs w:val="28"/>
          <w:highlight w:val="none"/>
          <w:lang w:val="en-US" w:eastAsia="zh-CN"/>
        </w:rPr>
        <w:t>10.9建议及要求</w:t>
      </w:r>
      <w:bookmarkEnd w:id="809"/>
    </w:p>
    <w:p w14:paraId="0F67D661">
      <w:pPr>
        <w:pStyle w:val="2"/>
        <w:widowControl w:val="0"/>
        <w:adjustRightInd/>
        <w:snapToGrid/>
        <w:spacing w:line="360" w:lineRule="auto"/>
        <w:ind w:firstLine="0" w:firstLineChars="0"/>
        <w:outlineLvl w:val="2"/>
        <w:rPr>
          <w:rFonts w:hint="default"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10.9.1建议</w:t>
      </w:r>
    </w:p>
    <w:p w14:paraId="1F3DFD8E">
      <w:pPr>
        <w:bidi w:val="0"/>
        <w:rPr>
          <w:rFonts w:hint="eastAsia"/>
          <w:color w:val="auto"/>
          <w:lang w:val="en-US" w:eastAsia="zh-CN"/>
        </w:rPr>
      </w:pPr>
      <w:r>
        <w:rPr>
          <w:rFonts w:hint="eastAsia"/>
          <w:color w:val="auto"/>
          <w:lang w:val="en-US" w:eastAsia="zh-CN"/>
        </w:rPr>
        <w:t>（1）工程必须保证足够的环保资金，以实施与本项目有关的各项治污措施，做好项目建设的“三同时”工作。加强管理，健全各种生产环保规章制度，严格在岗人员操作管理，操作人员须通过培训和定期考核，方可上岗，与此同时，加强设备、管道、各项治污措施的定期检修和维护工作。</w:t>
      </w:r>
    </w:p>
    <w:p w14:paraId="58A4A2FB">
      <w:pPr>
        <w:bidi w:val="0"/>
        <w:rPr>
          <w:rFonts w:hint="eastAsia"/>
          <w:color w:val="auto"/>
          <w:lang w:val="en-US" w:eastAsia="zh-CN"/>
        </w:rPr>
      </w:pPr>
      <w:r>
        <w:rPr>
          <w:rFonts w:hint="eastAsia"/>
          <w:color w:val="auto"/>
          <w:lang w:val="en-US" w:eastAsia="zh-CN"/>
        </w:rPr>
        <w:t>（2）加强厂区内及厂区周围的绿化，减少项目恶臭及景观影响。加强对项目厂区内及运输车辆的清洗及消毒工作，避免蚊蝇及老鼠滋生，保证项目区及周围的卫生环境。</w:t>
      </w:r>
    </w:p>
    <w:p w14:paraId="4FF57109">
      <w:pPr>
        <w:bidi w:val="0"/>
        <w:rPr>
          <w:rFonts w:hint="eastAsia"/>
          <w:color w:val="auto"/>
          <w:lang w:val="en-US" w:eastAsia="zh-CN"/>
        </w:rPr>
      </w:pPr>
      <w:r>
        <w:rPr>
          <w:rFonts w:hint="eastAsia"/>
          <w:color w:val="auto"/>
          <w:lang w:val="en-US" w:eastAsia="zh-CN"/>
        </w:rPr>
        <w:t>（3）在建设及生产过程中，应严格按照评价对各污染治理提出的要求实施，同时若出现本环境影响评价未预测到的、可能造成环境污染的事件，应立即采取措施控制污染，并上报主管部门。</w:t>
      </w:r>
    </w:p>
    <w:p w14:paraId="3681DAF2">
      <w:pPr>
        <w:pStyle w:val="2"/>
        <w:widowControl w:val="0"/>
        <w:adjustRightInd/>
        <w:snapToGrid/>
        <w:spacing w:line="360" w:lineRule="auto"/>
        <w:ind w:firstLine="0" w:firstLineChars="0"/>
        <w:outlineLvl w:val="2"/>
        <w:rPr>
          <w:rFonts w:hint="eastAsia" w:ascii="Times New Roman" w:hAnsi="Times New Roman" w:eastAsia="黑体" w:cs="Times New Roman"/>
          <w:b/>
          <w:bCs/>
          <w:color w:val="auto"/>
          <w:kern w:val="2"/>
          <w:sz w:val="28"/>
          <w:szCs w:val="32"/>
          <w:highlight w:val="none"/>
          <w:lang w:val="en-US" w:eastAsia="zh-CN"/>
        </w:rPr>
      </w:pPr>
      <w:r>
        <w:rPr>
          <w:rFonts w:hint="eastAsia" w:ascii="Times New Roman" w:hAnsi="Times New Roman" w:eastAsia="黑体" w:cs="Times New Roman"/>
          <w:b/>
          <w:bCs/>
          <w:color w:val="auto"/>
          <w:kern w:val="2"/>
          <w:sz w:val="28"/>
          <w:szCs w:val="32"/>
          <w:highlight w:val="none"/>
          <w:lang w:val="en-US" w:eastAsia="zh-CN"/>
        </w:rPr>
        <w:t>10.9.2要求</w:t>
      </w:r>
    </w:p>
    <w:p w14:paraId="768853A3">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仿宋_GB2312" w:cstheme="minorBidi"/>
          <w:color w:val="auto"/>
          <w:kern w:val="2"/>
          <w:sz w:val="24"/>
          <w:szCs w:val="24"/>
          <w:lang w:val="en-US" w:eastAsia="zh-CN" w:bidi="ar-SA"/>
        </w:rPr>
      </w:pPr>
      <w:r>
        <w:rPr>
          <w:rFonts w:hint="eastAsia" w:ascii="Times New Roman" w:hAnsi="Times New Roman" w:cstheme="minorBidi"/>
          <w:color w:val="auto"/>
          <w:kern w:val="2"/>
          <w:sz w:val="24"/>
          <w:szCs w:val="24"/>
          <w:lang w:val="en-US" w:eastAsia="zh-CN" w:bidi="ar-SA"/>
        </w:rPr>
        <w:t>（1）</w:t>
      </w:r>
      <w:r>
        <w:rPr>
          <w:rFonts w:hint="eastAsia" w:ascii="Times New Roman" w:hAnsi="Times New Roman" w:eastAsia="仿宋_GB2312" w:cstheme="minorBidi"/>
          <w:color w:val="auto"/>
          <w:kern w:val="2"/>
          <w:sz w:val="24"/>
          <w:szCs w:val="24"/>
          <w:lang w:val="en-US" w:eastAsia="zh-CN" w:bidi="ar-SA"/>
        </w:rPr>
        <w:t>认真执行“三同时”原则，确保各项污染治理措施的实施。</w:t>
      </w:r>
    </w:p>
    <w:p w14:paraId="27F6B2BC">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仿宋_GB2312" w:cstheme="minorBidi"/>
          <w:color w:val="auto"/>
          <w:kern w:val="2"/>
          <w:sz w:val="24"/>
          <w:szCs w:val="24"/>
          <w:lang w:val="en-US" w:eastAsia="zh-CN" w:bidi="ar-SA"/>
        </w:rPr>
      </w:pPr>
      <w:r>
        <w:rPr>
          <w:rFonts w:hint="eastAsia" w:ascii="Times New Roman" w:hAnsi="Times New Roman" w:cstheme="minorBidi"/>
          <w:color w:val="auto"/>
          <w:kern w:val="2"/>
          <w:sz w:val="24"/>
          <w:szCs w:val="24"/>
          <w:lang w:val="en-US" w:eastAsia="zh-CN" w:bidi="ar-SA"/>
        </w:rPr>
        <w:t>（2）</w:t>
      </w:r>
      <w:r>
        <w:rPr>
          <w:rFonts w:hint="eastAsia" w:ascii="Times New Roman" w:hAnsi="Times New Roman" w:eastAsia="仿宋_GB2312" w:cstheme="minorBidi"/>
          <w:color w:val="auto"/>
          <w:kern w:val="2"/>
          <w:sz w:val="24"/>
          <w:szCs w:val="24"/>
          <w:lang w:val="en-US" w:eastAsia="zh-CN" w:bidi="ar-SA"/>
        </w:rPr>
        <w:t>对于风机及泵等高噪声设备，应安装减震垫，最大限度减小噪声对周围环境的影响，避免发生扰民现象。</w:t>
      </w:r>
    </w:p>
    <w:p w14:paraId="54EB1339">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仿宋_GB2312" w:cstheme="minorBidi"/>
          <w:color w:val="auto"/>
          <w:kern w:val="2"/>
          <w:sz w:val="24"/>
          <w:szCs w:val="24"/>
          <w:lang w:val="en-US" w:eastAsia="zh-CN" w:bidi="ar-SA"/>
        </w:rPr>
      </w:pPr>
      <w:r>
        <w:rPr>
          <w:rFonts w:hint="eastAsia" w:ascii="Times New Roman" w:hAnsi="Times New Roman" w:cstheme="minorBidi"/>
          <w:color w:val="auto"/>
          <w:kern w:val="2"/>
          <w:sz w:val="24"/>
          <w:szCs w:val="24"/>
          <w:lang w:val="en-US" w:eastAsia="zh-CN" w:bidi="ar-SA"/>
        </w:rPr>
        <w:t>（3）</w:t>
      </w:r>
      <w:r>
        <w:rPr>
          <w:rFonts w:hint="eastAsia" w:ascii="Times New Roman" w:hAnsi="Times New Roman" w:eastAsia="仿宋_GB2312" w:cstheme="minorBidi"/>
          <w:color w:val="auto"/>
          <w:kern w:val="2"/>
          <w:sz w:val="24"/>
          <w:szCs w:val="24"/>
          <w:lang w:val="en-US" w:eastAsia="zh-CN" w:bidi="ar-SA"/>
        </w:rPr>
        <w:t>加强环保设备管理，防止事故发生。</w:t>
      </w:r>
    </w:p>
    <w:p w14:paraId="0DA75322">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仿宋_GB2312" w:cstheme="minorBidi"/>
          <w:color w:val="auto"/>
          <w:kern w:val="2"/>
          <w:sz w:val="24"/>
          <w:szCs w:val="24"/>
          <w:lang w:val="en-US" w:eastAsia="zh-CN" w:bidi="ar-SA"/>
        </w:rPr>
      </w:pPr>
      <w:r>
        <w:rPr>
          <w:rFonts w:hint="eastAsia" w:ascii="Times New Roman" w:hAnsi="Times New Roman" w:cstheme="minorBidi"/>
          <w:color w:val="auto"/>
          <w:kern w:val="2"/>
          <w:sz w:val="24"/>
          <w:szCs w:val="24"/>
          <w:lang w:val="en-US" w:eastAsia="zh-CN" w:bidi="ar-SA"/>
        </w:rPr>
        <w:t>（4）</w:t>
      </w:r>
      <w:r>
        <w:rPr>
          <w:rFonts w:hint="eastAsia" w:ascii="Times New Roman" w:hAnsi="Times New Roman" w:eastAsia="仿宋_GB2312" w:cstheme="minorBidi"/>
          <w:color w:val="auto"/>
          <w:kern w:val="2"/>
          <w:sz w:val="24"/>
          <w:szCs w:val="24"/>
          <w:lang w:val="en-US" w:eastAsia="zh-CN" w:bidi="ar-SA"/>
        </w:rPr>
        <w:t>硬化厂区道路，定期洒水，减低扬尘。</w:t>
      </w:r>
    </w:p>
    <w:p w14:paraId="2C4A4584">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仿宋_GB2312" w:cstheme="minorBidi"/>
          <w:color w:val="auto"/>
          <w:kern w:val="2"/>
          <w:sz w:val="24"/>
          <w:szCs w:val="24"/>
          <w:lang w:val="en-US" w:eastAsia="zh-CN" w:bidi="ar-SA"/>
        </w:rPr>
      </w:pPr>
      <w:r>
        <w:rPr>
          <w:rFonts w:hint="eastAsia" w:ascii="Times New Roman" w:hAnsi="Times New Roman" w:cstheme="minorBidi"/>
          <w:color w:val="auto"/>
          <w:kern w:val="2"/>
          <w:sz w:val="24"/>
          <w:szCs w:val="24"/>
          <w:lang w:val="en-US" w:eastAsia="zh-CN" w:bidi="ar-SA"/>
        </w:rPr>
        <w:t>（</w:t>
      </w:r>
      <w:r>
        <w:rPr>
          <w:rFonts w:hint="eastAsia" w:cstheme="minorBidi"/>
          <w:color w:val="auto"/>
          <w:kern w:val="2"/>
          <w:sz w:val="24"/>
          <w:szCs w:val="24"/>
          <w:lang w:val="en-US" w:eastAsia="zh-CN" w:bidi="ar-SA"/>
        </w:rPr>
        <w:t>5</w:t>
      </w:r>
      <w:r>
        <w:rPr>
          <w:rFonts w:hint="eastAsia" w:ascii="Times New Roman" w:hAnsi="Times New Roman" w:cstheme="minorBidi"/>
          <w:color w:val="auto"/>
          <w:kern w:val="2"/>
          <w:sz w:val="24"/>
          <w:szCs w:val="24"/>
          <w:lang w:val="en-US" w:eastAsia="zh-CN" w:bidi="ar-SA"/>
        </w:rPr>
        <w:t>）</w:t>
      </w:r>
      <w:r>
        <w:rPr>
          <w:rFonts w:hint="eastAsia" w:ascii="Times New Roman" w:hAnsi="Times New Roman" w:eastAsia="仿宋_GB2312" w:cstheme="minorBidi"/>
          <w:color w:val="auto"/>
          <w:kern w:val="2"/>
          <w:sz w:val="24"/>
          <w:szCs w:val="24"/>
          <w:lang w:val="en-US" w:eastAsia="zh-CN" w:bidi="ar-SA"/>
        </w:rPr>
        <w:t>严格落实环评提出的环保措施和应急措施，特别是废水处理措施，应在生产过程中加强管理，做好风险防范措施和应急处置措施，同时企业应设置环保岗位，将加强厂区环保管理。</w:t>
      </w:r>
    </w:p>
    <w:p w14:paraId="74C46A40">
      <w:pPr>
        <w:pStyle w:val="2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仿宋_GB2312" w:cstheme="minorBidi"/>
          <w:color w:val="auto"/>
          <w:kern w:val="2"/>
          <w:sz w:val="24"/>
          <w:szCs w:val="24"/>
          <w:lang w:val="en-US" w:eastAsia="zh-CN" w:bidi="ar-SA"/>
        </w:rPr>
      </w:pPr>
      <w:r>
        <w:rPr>
          <w:rFonts w:hint="eastAsia" w:ascii="Times New Roman" w:hAnsi="Times New Roman" w:cstheme="minorBidi"/>
          <w:color w:val="auto"/>
          <w:kern w:val="2"/>
          <w:sz w:val="24"/>
          <w:szCs w:val="24"/>
          <w:lang w:val="en-US" w:eastAsia="zh-CN" w:bidi="ar-SA"/>
        </w:rPr>
        <w:t>（</w:t>
      </w:r>
      <w:r>
        <w:rPr>
          <w:rFonts w:hint="eastAsia" w:cstheme="minorBidi"/>
          <w:color w:val="auto"/>
          <w:kern w:val="2"/>
          <w:sz w:val="24"/>
          <w:szCs w:val="24"/>
          <w:lang w:val="en-US" w:eastAsia="zh-CN" w:bidi="ar-SA"/>
        </w:rPr>
        <w:t>6</w:t>
      </w:r>
      <w:r>
        <w:rPr>
          <w:rFonts w:hint="eastAsia" w:ascii="Times New Roman" w:hAnsi="Times New Roman" w:cstheme="minorBidi"/>
          <w:color w:val="auto"/>
          <w:kern w:val="2"/>
          <w:sz w:val="24"/>
          <w:szCs w:val="24"/>
          <w:lang w:val="en-US" w:eastAsia="zh-CN" w:bidi="ar-SA"/>
        </w:rPr>
        <w:t>）</w:t>
      </w:r>
      <w:r>
        <w:rPr>
          <w:rFonts w:hint="eastAsia" w:ascii="Times New Roman" w:hAnsi="Times New Roman" w:eastAsia="仿宋_GB2312" w:cstheme="minorBidi"/>
          <w:color w:val="auto"/>
          <w:kern w:val="2"/>
          <w:sz w:val="24"/>
          <w:szCs w:val="24"/>
          <w:lang w:val="en-US" w:eastAsia="zh-CN" w:bidi="ar-SA"/>
        </w:rPr>
        <w:t>定期开展例行监测，贮备充足的应急物资并定期开展突发环境事件应急演练。</w:t>
      </w:r>
    </w:p>
    <w:p w14:paraId="7C3FC14E">
      <w:pPr>
        <w:pStyle w:val="25"/>
        <w:spacing w:line="360" w:lineRule="auto"/>
        <w:rPr>
          <w:rFonts w:hint="default"/>
          <w:color w:val="auto"/>
          <w:lang w:val="en-US" w:eastAsia="zh-CN"/>
        </w:rPr>
      </w:pPr>
      <w:r>
        <w:rPr>
          <w:rFonts w:hint="eastAsia" w:ascii="Times New Roman" w:hAnsi="Times New Roman" w:cstheme="minorBidi"/>
          <w:color w:val="auto"/>
          <w:kern w:val="2"/>
          <w:sz w:val="24"/>
          <w:szCs w:val="24"/>
          <w:lang w:val="en-US" w:eastAsia="zh-CN" w:bidi="ar-SA"/>
        </w:rPr>
        <w:t>（</w:t>
      </w:r>
      <w:r>
        <w:rPr>
          <w:rFonts w:hint="eastAsia" w:cstheme="minorBidi"/>
          <w:color w:val="auto"/>
          <w:kern w:val="2"/>
          <w:sz w:val="24"/>
          <w:szCs w:val="24"/>
          <w:lang w:val="en-US" w:eastAsia="zh-CN" w:bidi="ar-SA"/>
        </w:rPr>
        <w:t>7</w:t>
      </w:r>
      <w:r>
        <w:rPr>
          <w:rFonts w:hint="eastAsia" w:ascii="Times New Roman" w:hAnsi="Times New Roman" w:cstheme="minorBidi"/>
          <w:color w:val="auto"/>
          <w:kern w:val="2"/>
          <w:sz w:val="24"/>
          <w:szCs w:val="24"/>
          <w:lang w:val="en-US" w:eastAsia="zh-CN" w:bidi="ar-SA"/>
        </w:rPr>
        <w:t>）项目投产前，需在厂区对臭气浓度进行监测，留作背景值。</w:t>
      </w:r>
    </w:p>
    <w:p w14:paraId="6F4581FB">
      <w:pPr>
        <w:pStyle w:val="25"/>
        <w:spacing w:line="360" w:lineRule="auto"/>
        <w:rPr>
          <w:rFonts w:hint="default"/>
          <w:color w:val="auto"/>
          <w:lang w:val="en-US" w:eastAsia="zh-CN"/>
        </w:rPr>
      </w:pPr>
    </w:p>
    <w:p w14:paraId="0F2100AB">
      <w:pPr>
        <w:pStyle w:val="25"/>
        <w:spacing w:line="360" w:lineRule="auto"/>
        <w:rPr>
          <w:rFonts w:hint="default"/>
          <w:color w:val="auto"/>
          <w:lang w:val="en-US" w:eastAsia="zh-CN"/>
        </w:rPr>
      </w:pPr>
    </w:p>
    <w:p w14:paraId="5586EE0D">
      <w:pPr>
        <w:pStyle w:val="25"/>
        <w:spacing w:line="360" w:lineRule="auto"/>
        <w:rPr>
          <w:rFonts w:hint="default"/>
          <w:color w:val="auto"/>
          <w:lang w:val="en-US" w:eastAsia="zh-CN"/>
        </w:rPr>
      </w:pPr>
    </w:p>
    <w:p w14:paraId="5948F9B9">
      <w:pPr>
        <w:pStyle w:val="25"/>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pPr>
    </w:p>
    <w:sectPr>
      <w:headerReference r:id="rId40" w:type="default"/>
      <w:pgSz w:w="11906" w:h="16838"/>
      <w:pgMar w:top="1701" w:right="1587" w:bottom="1587" w:left="1587" w:header="1304" w:footer="1020"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MT Extra"/>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仿宋＿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MS Mincho">
    <w:altName w:val="方正书宋_GBK"/>
    <w:panose1 w:val="02020609040205080304"/>
    <w:charset w:val="80"/>
    <w:family w:val="roman"/>
    <w:pitch w:val="default"/>
    <w:sig w:usb0="00000000" w:usb1="00000000" w:usb2="00000012" w:usb3="00000000" w:csb0="4002009F" w:csb1="DFD70000"/>
  </w:font>
  <w:font w:name="Wingdings 2">
    <w:altName w:val="Webdings"/>
    <w:panose1 w:val="05020102010507070707"/>
    <w:charset w:val="02"/>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方正仿宋_GBK">
    <w:panose1 w:val="02000000000000000000"/>
    <w:charset w:val="86"/>
    <w:family w:val="auto"/>
    <w:pitch w:val="default"/>
    <w:sig w:usb0="00000001" w:usb1="08000000" w:usb2="00000000" w:usb3="00000000" w:csb0="00040000" w:csb1="00000000"/>
  </w:font>
  <w:font w:name="DFKai-SB">
    <w:panose1 w:val="03000509000000000000"/>
    <w:charset w:val="88"/>
    <w:family w:val="auto"/>
    <w:pitch w:val="default"/>
    <w:sig w:usb0="00000003" w:usb1="082E0000" w:usb2="00000016" w:usb3="00000000" w:csb0="00100001" w:csb1="00000000"/>
  </w:font>
  <w:font w:name="DejaVu Sans">
    <w:panose1 w:val="020B0603030804020204"/>
    <w:charset w:val="00"/>
    <w:family w:val="auto"/>
    <w:pitch w:val="default"/>
    <w:sig w:usb0="E7006EFF" w:usb1="D200FDFF" w:usb2="0A246029" w:usb3="0400200C" w:csb0="600001FF" w:csb1="DFFF0000"/>
  </w:font>
  <w:font w:name="Kingsoft UE">
    <w:panose1 w:val="02000100010000000000"/>
    <w:charset w:val="00"/>
    <w:family w:val="auto"/>
    <w:pitch w:val="default"/>
    <w:sig w:usb0="00000001" w:usb1="00004000" w:usb2="00000000" w:usb3="00000000" w:csb0="00000001" w:csb1="00000000"/>
  </w:font>
  <w:font w:name="MT Extra">
    <w:panose1 w:val="05050102010205020202"/>
    <w:charset w:val="00"/>
    <w:family w:val="auto"/>
    <w:pitch w:val="default"/>
    <w:sig w:usb0="8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4F80E">
    <w:pPr>
      <w:pStyle w:val="18"/>
      <w:tabs>
        <w:tab w:val="left" w:pos="5572"/>
        <w:tab w:val="clear" w:pos="4153"/>
      </w:tabs>
      <w:ind w:left="0" w:leftChars="0" w:firstLine="0" w:firstLineChars="0"/>
      <w:rPr>
        <w:rFonts w:eastAsiaTheme="minorEastAsia"/>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-126365</wp:posOffset>
              </wp:positionV>
              <wp:extent cx="5524500"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24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5pt;margin-top:-9.95pt;height:0.05pt;width:435pt;z-index:251660288;mso-width-relative:page;mso-height-relative:page;" filled="f" stroked="t" coordsize="21600,21600" o:gfxdata="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t1ANLWAAAACQEAAA8AAAAAAAAAAQAgAAAAIgAAAGRycy9kb3ducmV2LnhtbFBLAQIU&#10;ABQAAAAIAIdO4kBoOLFX9QEAAOYDAAAOAAAAAAAAAAEAIAAAACUBAABkcnMvZTJvRG9jLnhtbFBL&#10;BQYAAAAABgAGAFkBAACMBQAAAAA=&#10;">
              <v:fill on="f" focussize="0,0"/>
              <v:stroke color="#000000" joinstyle="round"/>
              <v:imagedata o:title=""/>
              <o:lock v:ext="edit" aspectratio="f"/>
            </v:line>
          </w:pict>
        </mc:Fallback>
      </mc:AlternateContent>
    </w:r>
    <w:r>
      <w:rPr>
        <w:rFonts w:hint="eastAsia"/>
        <w:b/>
        <w:bCs/>
        <w:i/>
        <w:sz w:val="18"/>
        <w:lang w:val="en-US" w:eastAsia="zh-CN"/>
      </w:rPr>
      <w:t>环创（宁夏）生态环境设计院有限公司</w: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90F07">
                          <w:pPr>
                            <w:pStyle w:val="18"/>
                            <w:rPr>
                              <w:b/>
                              <w:bCs/>
                              <w:i/>
                              <w:iCs/>
                            </w:rPr>
                          </w:pPr>
                          <w:r>
                            <w:rPr>
                              <w:b/>
                              <w:bCs/>
                              <w:i/>
                              <w:iCs/>
                            </w:rPr>
                            <w:t>第</w:t>
                          </w:r>
                          <w:r>
                            <w:rPr>
                              <w:b/>
                              <w:bCs/>
                              <w:i/>
                              <w:iCs/>
                            </w:rPr>
                            <w:fldChar w:fldCharType="begin"/>
                          </w:r>
                          <w:r>
                            <w:rPr>
                              <w:b/>
                              <w:bCs/>
                              <w:i/>
                              <w:iCs/>
                            </w:rPr>
                            <w:instrText xml:space="preserve"> PAGE  \* MERGEFORMAT </w:instrText>
                          </w:r>
                          <w:r>
                            <w:rPr>
                              <w:b/>
                              <w:bCs/>
                              <w:i/>
                              <w:iCs/>
                            </w:rPr>
                            <w:fldChar w:fldCharType="separate"/>
                          </w:r>
                          <w:r>
                            <w:rPr>
                              <w:b/>
                              <w:bCs/>
                              <w:i/>
                              <w:iCs/>
                            </w:rPr>
                            <w:t>1</w:t>
                          </w:r>
                          <w:r>
                            <w:rPr>
                              <w:b/>
                              <w:bCs/>
                              <w:i/>
                              <w:iCs/>
                            </w:rPr>
                            <w:fldChar w:fldCharType="end"/>
                          </w:r>
                          <w:r>
                            <w:rPr>
                              <w:b/>
                              <w:bCs/>
                              <w:i/>
                              <w:iCs/>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4A90F07">
                    <w:pPr>
                      <w:pStyle w:val="18"/>
                      <w:rPr>
                        <w:b/>
                        <w:bCs/>
                        <w:i/>
                        <w:iCs/>
                      </w:rPr>
                    </w:pPr>
                    <w:r>
                      <w:rPr>
                        <w:b/>
                        <w:bCs/>
                        <w:i/>
                        <w:iCs/>
                      </w:rPr>
                      <w:t>第</w:t>
                    </w:r>
                    <w:r>
                      <w:rPr>
                        <w:b/>
                        <w:bCs/>
                        <w:i/>
                        <w:iCs/>
                      </w:rPr>
                      <w:fldChar w:fldCharType="begin"/>
                    </w:r>
                    <w:r>
                      <w:rPr>
                        <w:b/>
                        <w:bCs/>
                        <w:i/>
                        <w:iCs/>
                      </w:rPr>
                      <w:instrText xml:space="preserve"> PAGE  \* MERGEFORMAT </w:instrText>
                    </w:r>
                    <w:r>
                      <w:rPr>
                        <w:b/>
                        <w:bCs/>
                        <w:i/>
                        <w:iCs/>
                      </w:rPr>
                      <w:fldChar w:fldCharType="separate"/>
                    </w:r>
                    <w:r>
                      <w:rPr>
                        <w:b/>
                        <w:bCs/>
                        <w:i/>
                        <w:iCs/>
                      </w:rPr>
                      <w:t>1</w:t>
                    </w:r>
                    <w:r>
                      <w:rPr>
                        <w:b/>
                        <w:bCs/>
                        <w:i/>
                        <w:iCs/>
                      </w:rPr>
                      <w:fldChar w:fldCharType="end"/>
                    </w:r>
                    <w:r>
                      <w:rPr>
                        <w:b/>
                        <w:bCs/>
                        <w:i/>
                        <w:iCs/>
                      </w:rPr>
                      <w:t>页</w:t>
                    </w:r>
                  </w:p>
                </w:txbxContent>
              </v:textbox>
            </v:shape>
          </w:pict>
        </mc:Fallback>
      </mc:AlternateContent>
    </w: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36212">
    <w:pPr>
      <w:pStyle w:val="18"/>
      <w:tabs>
        <w:tab w:val="left" w:pos="5572"/>
        <w:tab w:val="clear" w:pos="4153"/>
      </w:tabs>
      <w:ind w:left="0" w:leftChars="0" w:firstLine="0" w:firstLineChars="0"/>
      <w:rPr>
        <w:rFonts w:eastAsiaTheme="minorEastAsia"/>
      </w:rPr>
    </w:pPr>
    <w:r>
      <w:rPr>
        <w:sz w:val="18"/>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EDEB8">
                          <w:pPr>
                            <w:pStyle w:val="18"/>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364EDEB8">
                    <w:pPr>
                      <w:pStyle w:val="18"/>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3810</wp:posOffset>
              </wp:positionH>
              <wp:positionV relativeFrom="paragraph">
                <wp:posOffset>-69215</wp:posOffset>
              </wp:positionV>
              <wp:extent cx="8861425" cy="53975"/>
              <wp:effectExtent l="0" t="4445" r="15875" b="17780"/>
              <wp:wrapNone/>
              <wp:docPr id="48" name="直接连接符 48"/>
              <wp:cNvGraphicFramePr/>
              <a:graphic xmlns:a="http://schemas.openxmlformats.org/drawingml/2006/main">
                <a:graphicData uri="http://schemas.microsoft.com/office/word/2010/wordprocessingShape">
                  <wps:wsp>
                    <wps:cNvCnPr/>
                    <wps:spPr>
                      <a:xfrm flipV="1">
                        <a:off x="0" y="0"/>
                        <a:ext cx="8861425" cy="53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3pt;margin-top:-5.45pt;height:4.25pt;width:697.75pt;z-index:251689984;mso-width-relative:page;mso-height-relative:page;" filled="f" stroked="t" coordsize="21600,21600" o:gfxdata="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Tj8LNcAAAAIAQAADwAAAAAAAAABACAAAAAiAAAAZHJzL2Rvd25y&#10;ZXYueG1sUEsBAhQAFAAAAAgAh07iQLxotP7/AQAA9AMAAA4AAAAAAAAAAQAgAAAAJgEAAGRycy9l&#10;Mm9Eb2MueG1sUEsFBgAAAAAGAAYAWQEAAJcFAAAAAA==&#10;">
              <v:fill on="f" focussize="0,0"/>
              <v:stroke color="#000000" joinstyle="round"/>
              <v:imagedata o:title=""/>
              <o:lock v:ext="edit" aspectratio="f"/>
            </v:line>
          </w:pict>
        </mc:Fallback>
      </mc:AlternateContent>
    </w:r>
    <w:r>
      <w:rPr>
        <w:rFonts w:hint="eastAsia"/>
        <w:b/>
        <w:bCs/>
        <w:i/>
        <w:sz w:val="18"/>
        <w:lang w:val="en-US" w:eastAsia="zh-CN"/>
      </w:rPr>
      <w:t>环创（宁夏）生态环境设计院有限公司</w:t>
    </w:r>
    <w:r>
      <w:rPr>
        <w:rFonts w:hint="eastAsia"/>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70F27">
    <w:pPr>
      <w:pStyle w:val="18"/>
      <w:widowControl w:val="0"/>
      <w:pBdr>
        <w:top w:val="single" w:color="auto" w:sz="4" w:space="1"/>
        <w:left w:val="none" w:color="auto" w:sz="0" w:space="4"/>
        <w:bottom w:val="none" w:color="auto" w:sz="0" w:space="1"/>
        <w:right w:val="none" w:color="auto" w:sz="0" w:space="4"/>
      </w:pBdr>
      <w:tabs>
        <w:tab w:val="right" w:pos="8730"/>
        <w:tab w:val="clear" w:pos="4153"/>
      </w:tabs>
      <w:ind w:left="0" w:leftChars="0" w:firstLine="0" w:firstLineChars="0"/>
      <w:rPr>
        <w:rFonts w:hint="eastAsia"/>
      </w:rPr>
    </w:pPr>
    <w:r>
      <w:rPr>
        <w:sz w:val="18"/>
      </w:rPr>
      <mc:AlternateContent>
        <mc:Choice Requires="wps">
          <w:drawing>
            <wp:anchor distT="0" distB="0" distL="114300" distR="114300" simplePos="0" relativeHeight="251705344" behindDoc="0" locked="0" layoutInCell="1" allowOverlap="1">
              <wp:simplePos x="0" y="0"/>
              <wp:positionH relativeFrom="margin">
                <wp:align>right</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2C3BB">
                          <w:pPr>
                            <w:pStyle w:val="18"/>
                          </w:pPr>
                          <w:r>
                            <w:t xml:space="preserve">第 </w:t>
                          </w:r>
                          <w:r>
                            <w:fldChar w:fldCharType="begin"/>
                          </w:r>
                          <w:r>
                            <w:instrText xml:space="preserve"> PAGE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7B72C3BB">
                    <w:pPr>
                      <w:pStyle w:val="18"/>
                    </w:pPr>
                    <w:r>
                      <w:t xml:space="preserve">第 </w:t>
                    </w:r>
                    <w:r>
                      <w:fldChar w:fldCharType="begin"/>
                    </w:r>
                    <w:r>
                      <w:instrText xml:space="preserve"> PAGE  \* MERGEFORMAT </w:instrText>
                    </w:r>
                    <w:r>
                      <w:fldChar w:fldCharType="separate"/>
                    </w:r>
                    <w:r>
                      <w:t>65</w:t>
                    </w:r>
                    <w:r>
                      <w:fldChar w:fldCharType="end"/>
                    </w:r>
                    <w:r>
                      <w:t xml:space="preserve"> 页</w:t>
                    </w:r>
                  </w:p>
                </w:txbxContent>
              </v:textbox>
            </v:shape>
          </w:pict>
        </mc:Fallback>
      </mc:AlternateContent>
    </w:r>
    <w:r>
      <w:rPr>
        <w:rFonts w:hint="eastAsia" w:ascii="Times New Roman" w:hAnsi="Times New Roman"/>
        <w:b/>
        <w:bCs/>
        <w:i/>
        <w:iCs/>
        <w:lang w:val="en-US" w:eastAsia="zh-CN"/>
      </w:rPr>
      <w:t>环创（宁夏）生态环境设计院</w:t>
    </w:r>
    <w:r>
      <w:rPr>
        <w:rFonts w:hint="eastAsia" w:ascii="Times New Roman" w:hAnsi="Times New Roman"/>
        <w:b/>
        <w:bCs/>
        <w:i/>
        <w:iCs/>
      </w:rPr>
      <w:t>有</w:t>
    </w:r>
    <w:r>
      <w:rPr>
        <w:rFonts w:hint="eastAsia"/>
        <w:b/>
        <w:bCs/>
        <w:i/>
        <w:iCs/>
      </w:rPr>
      <w:t>限公司</w:t>
    </w:r>
    <w:r>
      <w:rPr>
        <w:rFonts w:hint="eastAsia"/>
        <w:b/>
        <w:bCs/>
      </w:rPr>
      <w:tab/>
    </w:r>
    <w:r>
      <w:rPr>
        <w:rFonts w:hint="eastAsia"/>
        <w:b/>
        <w:bC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CEF0">
    <w:pPr>
      <w:pStyle w:val="18"/>
      <w:tabs>
        <w:tab w:val="left" w:pos="5572"/>
        <w:tab w:val="clear" w:pos="4153"/>
      </w:tabs>
      <w:ind w:left="0" w:leftChars="0" w:firstLine="0" w:firstLineChars="0"/>
      <w:rPr>
        <w:rFonts w:eastAsiaTheme="minorEastAsia"/>
      </w:rPr>
    </w:pPr>
    <w:r>
      <w:rPr>
        <w:rFonts w:hint="eastAsia"/>
      </w:rPr>
      <mc:AlternateContent>
        <mc:Choice Requires="wps">
          <w:drawing>
            <wp:anchor distT="0" distB="0" distL="114300" distR="114300" simplePos="0" relativeHeight="251695104" behindDoc="0" locked="0" layoutInCell="1" allowOverlap="1">
              <wp:simplePos x="0" y="0"/>
              <wp:positionH relativeFrom="column">
                <wp:posOffset>24765</wp:posOffset>
              </wp:positionH>
              <wp:positionV relativeFrom="paragraph">
                <wp:posOffset>-126365</wp:posOffset>
              </wp:positionV>
              <wp:extent cx="5524500" cy="635"/>
              <wp:effectExtent l="0" t="0" r="0" b="0"/>
              <wp:wrapNone/>
              <wp:docPr id="57" name="直接连接符 57"/>
              <wp:cNvGraphicFramePr/>
              <a:graphic xmlns:a="http://schemas.openxmlformats.org/drawingml/2006/main">
                <a:graphicData uri="http://schemas.microsoft.com/office/word/2010/wordprocessingShape">
                  <wps:wsp>
                    <wps:cNvCnPr/>
                    <wps:spPr>
                      <a:xfrm>
                        <a:off x="0" y="0"/>
                        <a:ext cx="5524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5pt;margin-top:-9.95pt;height:0.05pt;width:435pt;z-index:251695104;mso-width-relative:page;mso-height-relative:page;" filled="f" stroked="t" coordsize="21600,21600" o:gfxdata="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3UA0tYAAAAJAQAADwAAAAAAAAABACAAAAAiAAAAZHJzL2Rvd25yZXYueG1sUEsB&#10;AhQAFAAAAAgAh07iQBO16nv3AQAA6AMAAA4AAAAAAAAAAQAgAAAAJQEAAGRycy9lMm9Eb2MueG1s&#10;UEsFBgAAAAAGAAYAWQEAAI4FAAAAAA==&#10;">
              <v:fill on="f" focussize="0,0"/>
              <v:stroke color="#000000" joinstyle="round"/>
              <v:imagedata o:title=""/>
              <o:lock v:ext="edit" aspectratio="f"/>
            </v:line>
          </w:pict>
        </mc:Fallback>
      </mc:AlternateContent>
    </w:r>
    <w:r>
      <w:rPr>
        <w:rFonts w:hint="eastAsia"/>
        <w:b/>
        <w:bCs/>
        <w:i/>
        <w:sz w:val="18"/>
        <w:lang w:val="en-US" w:eastAsia="zh-CN"/>
      </w:rPr>
      <w:t>环创（宁夏）生态环境设计院有限公司</w: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8B2E4">
    <w:pPr>
      <w:pStyle w:val="18"/>
      <w:tabs>
        <w:tab w:val="left" w:pos="5572"/>
        <w:tab w:val="clear" w:pos="4153"/>
      </w:tabs>
      <w:ind w:left="0" w:leftChars="0" w:firstLine="0" w:firstLineChars="0"/>
      <w:rPr>
        <w:rFonts w:eastAsiaTheme="minorEastAsia"/>
      </w:rPr>
    </w:pPr>
    <w:r>
      <w:rPr>
        <w:sz w:val="18"/>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EC4EA">
                          <w:pPr>
                            <w:pStyle w:val="18"/>
                          </w:pPr>
                          <w:r>
                            <w:t xml:space="preserve">第 </w:t>
                          </w:r>
                          <w:r>
                            <w:fldChar w:fldCharType="begin"/>
                          </w:r>
                          <w:r>
                            <w:instrText xml:space="preserve"> PAGE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1DAEC4EA">
                    <w:pPr>
                      <w:pStyle w:val="18"/>
                    </w:pPr>
                    <w:r>
                      <w:t xml:space="preserve">第 </w:t>
                    </w:r>
                    <w:r>
                      <w:fldChar w:fldCharType="begin"/>
                    </w:r>
                    <w:r>
                      <w:instrText xml:space="preserve"> PAGE  \* MERGEFORMAT </w:instrText>
                    </w:r>
                    <w:r>
                      <w:fldChar w:fldCharType="separate"/>
                    </w:r>
                    <w:r>
                      <w:t>12</w:t>
                    </w:r>
                    <w:r>
                      <w:fldChar w:fldCharType="end"/>
                    </w:r>
                    <w:r>
                      <w:t xml:space="preserve"> 页</w:t>
                    </w:r>
                  </w:p>
                </w:txbxContent>
              </v:textbox>
            </v:shape>
          </w:pict>
        </mc:Fallback>
      </mc:AlternateContent>
    </w:r>
    <w:r>
      <w:rPr>
        <w:rFonts w:hint="eastAsia"/>
      </w:rPr>
      <mc:AlternateContent>
        <mc:Choice Requires="wps">
          <w:drawing>
            <wp:anchor distT="0" distB="0" distL="114300" distR="114300" simplePos="0" relativeHeight="251697152" behindDoc="0" locked="0" layoutInCell="1" allowOverlap="1">
              <wp:simplePos x="0" y="0"/>
              <wp:positionH relativeFrom="column">
                <wp:posOffset>24765</wp:posOffset>
              </wp:positionH>
              <wp:positionV relativeFrom="paragraph">
                <wp:posOffset>-126365</wp:posOffset>
              </wp:positionV>
              <wp:extent cx="5524500" cy="635"/>
              <wp:effectExtent l="0" t="0" r="0" b="0"/>
              <wp:wrapNone/>
              <wp:docPr id="59" name="直接连接符 59"/>
              <wp:cNvGraphicFramePr/>
              <a:graphic xmlns:a="http://schemas.openxmlformats.org/drawingml/2006/main">
                <a:graphicData uri="http://schemas.microsoft.com/office/word/2010/wordprocessingShape">
                  <wps:wsp>
                    <wps:cNvCnPr/>
                    <wps:spPr>
                      <a:xfrm>
                        <a:off x="0" y="0"/>
                        <a:ext cx="5524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5pt;margin-top:-9.95pt;height:0.05pt;width:435pt;z-index:251697152;mso-width-relative:page;mso-height-relative:page;" filled="f" stroked="t" coordsize="21600,21600" o:gfxdata="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3UA0tYAAAAJAQAADwAAAAAAAAABACAAAAAiAAAAZHJzL2Rvd25yZXYueG1sUEsB&#10;AhQAFAAAAAgAh07iQPX5C2v3AQAA6AMAAA4AAAAAAAAAAQAgAAAAJQEAAGRycy9lMm9Eb2MueG1s&#10;UEsFBgAAAAAGAAYAWQEAAI4FAAAAAA==&#10;">
              <v:fill on="f" focussize="0,0"/>
              <v:stroke color="#000000" joinstyle="round"/>
              <v:imagedata o:title=""/>
              <o:lock v:ext="edit" aspectratio="f"/>
            </v:line>
          </w:pict>
        </mc:Fallback>
      </mc:AlternateContent>
    </w:r>
    <w:r>
      <w:rPr>
        <w:rFonts w:hint="eastAsia"/>
        <w:b/>
        <w:bCs/>
        <w:i/>
        <w:sz w:val="18"/>
        <w:lang w:val="en-US" w:eastAsia="zh-CN"/>
      </w:rPr>
      <w:t>环创（宁夏）生态环境设计院有限公司</w: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7AC47">
    <w:pPr>
      <w:pStyle w:val="18"/>
      <w:tabs>
        <w:tab w:val="left" w:pos="5572"/>
        <w:tab w:val="clear" w:pos="4153"/>
      </w:tabs>
      <w:ind w:left="0" w:leftChars="0" w:firstLine="0" w:firstLineChars="0"/>
      <w:rPr>
        <w:rFonts w:eastAsiaTheme="minorEastAsia"/>
      </w:rPr>
    </w:pPr>
    <w:r>
      <w:rPr>
        <w:sz w:val="18"/>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09A2F">
                          <w:pPr>
                            <w:pStyle w:val="18"/>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54009A2F">
                    <w:pPr>
                      <w:pStyle w:val="18"/>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24765</wp:posOffset>
              </wp:positionH>
              <wp:positionV relativeFrom="paragraph">
                <wp:posOffset>-126365</wp:posOffset>
              </wp:positionV>
              <wp:extent cx="8847455" cy="12065"/>
              <wp:effectExtent l="0" t="4445" r="10795" b="12065"/>
              <wp:wrapNone/>
              <wp:docPr id="40" name="直接连接符 40"/>
              <wp:cNvGraphicFramePr/>
              <a:graphic xmlns:a="http://schemas.openxmlformats.org/drawingml/2006/main">
                <a:graphicData uri="http://schemas.microsoft.com/office/word/2010/wordprocessingShape">
                  <wps:wsp>
                    <wps:cNvCnPr/>
                    <wps:spPr>
                      <a:xfrm>
                        <a:off x="0" y="0"/>
                        <a:ext cx="88474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5pt;margin-top:-9.95pt;height:0.95pt;width:696.65pt;z-index:251692032;mso-width-relative:page;mso-height-relative:page;" filled="f" stroked="t" coordsize="21600,21600" o:gfxdata="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dPc61wAAAAoBAAAPAAAAAAAAAAEAIAAAACIAAABkcnMvZG93bnJldi54bWxQ&#10;SwECFAAUAAAACACHTuJAhQCtgPgBAADqAwAADgAAAAAAAAABACAAAAAmAQAAZHJzL2Uyb0RvYy54&#10;bWxQSwUGAAAAAAYABgBZAQAAkAUAAAAA&#10;">
              <v:fill on="f" focussize="0,0"/>
              <v:stroke color="#000000" joinstyle="round"/>
              <v:imagedata o:title=""/>
              <o:lock v:ext="edit" aspectratio="f"/>
            </v:line>
          </w:pict>
        </mc:Fallback>
      </mc:AlternateContent>
    </w:r>
    <w:r>
      <w:rPr>
        <w:rFonts w:hint="eastAsia"/>
        <w:b/>
        <w:bCs/>
        <w:i/>
        <w:sz w:val="18"/>
        <w:lang w:val="en-US" w:eastAsia="zh-CN"/>
      </w:rPr>
      <w:t>环创（宁夏）生态环境设计院有限公司</w: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EF827">
    <w:pPr>
      <w:pStyle w:val="18"/>
      <w:tabs>
        <w:tab w:val="left" w:pos="5572"/>
        <w:tab w:val="clear" w:pos="4153"/>
      </w:tabs>
      <w:ind w:left="0" w:leftChars="0" w:firstLine="0" w:firstLineChars="0"/>
      <w:rPr>
        <w:rFonts w:eastAsiaTheme="minorEastAsia"/>
      </w:rPr>
    </w:pPr>
    <w:r>
      <w:rPr>
        <w:sz w:val="18"/>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4C4E9">
                          <w:pPr>
                            <w:pStyle w:val="18"/>
                          </w:pPr>
                          <w:r>
                            <w:t xml:space="preserve">第 </w:t>
                          </w:r>
                          <w:r>
                            <w:fldChar w:fldCharType="begin"/>
                          </w:r>
                          <w:r>
                            <w:instrText xml:space="preserve"> PAGE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2E04C4E9">
                    <w:pPr>
                      <w:pStyle w:val="18"/>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-27940</wp:posOffset>
              </wp:positionV>
              <wp:extent cx="552450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5524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8pt;margin-top:-2.2pt;height:0.05pt;width:435pt;z-index:251662336;mso-width-relative:page;mso-height-relative:page;" filled="f" stroked="t" coordsize="21600,21600" o:gfxdata="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olkC9IAAAAHAQAADwAAAAAAAAABACAAAAAiAAAAZHJzL2Rvd25yZXYueG1sUEsBAhQAFAAA&#10;AAgAh07iQGHTs5/1AQAA5gMAAA4AAAAAAAAAAQAgAAAAIQEAAGRycy9lMm9Eb2MueG1sUEsFBgAA&#10;AAAGAAYAWQEAAIgFAAAAAA==&#10;">
              <v:fill on="f" focussize="0,0"/>
              <v:stroke color="#000000" joinstyle="round"/>
              <v:imagedata o:title=""/>
              <o:lock v:ext="edit" aspectratio="f"/>
            </v:line>
          </w:pict>
        </mc:Fallback>
      </mc:AlternateContent>
    </w:r>
    <w:r>
      <w:rPr>
        <w:rFonts w:hint="eastAsia"/>
        <w:b/>
        <w:bCs/>
        <w:i/>
        <w:sz w:val="18"/>
        <w:lang w:val="en-US" w:eastAsia="zh-CN"/>
      </w:rPr>
      <w:t>环创（宁夏）生态环境设计院有限公司</w: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357B1">
    <w:pPr>
      <w:pStyle w:val="18"/>
      <w:tabs>
        <w:tab w:val="left" w:pos="5572"/>
        <w:tab w:val="clear" w:pos="4153"/>
      </w:tabs>
      <w:ind w:left="0" w:leftChars="0" w:firstLine="0" w:firstLineChars="0"/>
      <w:rPr>
        <w:rFonts w:eastAsiaTheme="minorEastAsia"/>
      </w:rPr>
    </w:pPr>
    <w:r>
      <w:rPr>
        <w:sz w:val="18"/>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75A99">
                          <w:pPr>
                            <w:pStyle w:val="18"/>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75375A99">
                    <w:pPr>
                      <w:pStyle w:val="18"/>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10160</wp:posOffset>
              </wp:positionH>
              <wp:positionV relativeFrom="paragraph">
                <wp:posOffset>-49530</wp:posOffset>
              </wp:positionV>
              <wp:extent cx="8590280" cy="21590"/>
              <wp:effectExtent l="0" t="4445" r="1270" b="12065"/>
              <wp:wrapNone/>
              <wp:docPr id="44" name="直接连接符 44"/>
              <wp:cNvGraphicFramePr/>
              <a:graphic xmlns:a="http://schemas.openxmlformats.org/drawingml/2006/main">
                <a:graphicData uri="http://schemas.microsoft.com/office/word/2010/wordprocessingShape">
                  <wps:wsp>
                    <wps:cNvCnPr/>
                    <wps:spPr>
                      <a:xfrm flipV="1">
                        <a:off x="0" y="0"/>
                        <a:ext cx="8590280" cy="215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8pt;margin-top:-3.9pt;height:1.7pt;width:676.4pt;z-index:251688960;mso-width-relative:page;mso-height-relative:page;" filled="f" stroked="t" coordsize="21600,21600" o:gfxdata="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nGZZNQAAAAIAQAADwAAAAAAAAABACAAAAAiAAAAZHJzL2Rvd25yZXYu&#10;eG1sUEsBAhQAFAAAAAgAh07iQJBW+2H/AQAA9AMAAA4AAAAAAAAAAQAgAAAAIwEAAGRycy9lMm9E&#10;b2MueG1sUEsFBgAAAAAGAAYAWQEAAJQFAAAAAA==&#10;">
              <v:fill on="f" focussize="0,0"/>
              <v:stroke color="#000000" joinstyle="round"/>
              <v:imagedata o:title=""/>
              <o:lock v:ext="edit" aspectratio="f"/>
            </v:line>
          </w:pict>
        </mc:Fallback>
      </mc:AlternateContent>
    </w:r>
    <w:r>
      <w:rPr>
        <w:rFonts w:hint="eastAsia"/>
        <w:b/>
        <w:bCs/>
        <w:i/>
        <w:sz w:val="18"/>
        <w:lang w:val="en-US" w:eastAsia="zh-CN"/>
      </w:rPr>
      <w:t>环创（宁夏）生态环境设计院有限公司</w: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EB81E">
    <w:pPr>
      <w:pStyle w:val="18"/>
      <w:ind w:left="0" w:leftChars="0" w:firstLine="0" w:firstLineChars="0"/>
    </w:pPr>
    <w:r>
      <w:rPr>
        <w:sz w:val="18"/>
      </w:rPr>
      <mc:AlternateContent>
        <mc:Choice Requires="wps">
          <w:drawing>
            <wp:anchor distT="0" distB="0" distL="114300" distR="114300" simplePos="0" relativeHeight="251693056" behindDoc="0" locked="0" layoutInCell="1" allowOverlap="1">
              <wp:simplePos x="0" y="0"/>
              <wp:positionH relativeFrom="column">
                <wp:posOffset>-3175</wp:posOffset>
              </wp:positionH>
              <wp:positionV relativeFrom="paragraph">
                <wp:posOffset>-46355</wp:posOffset>
              </wp:positionV>
              <wp:extent cx="5543550" cy="6350"/>
              <wp:effectExtent l="0" t="0" r="0" b="0"/>
              <wp:wrapNone/>
              <wp:docPr id="46" name="直接连接符 46"/>
              <wp:cNvGraphicFramePr/>
              <a:graphic xmlns:a="http://schemas.openxmlformats.org/drawingml/2006/main">
                <a:graphicData uri="http://schemas.microsoft.com/office/word/2010/wordprocessingShape">
                  <wps:wsp>
                    <wps:cNvCnPr/>
                    <wps:spPr>
                      <a:xfrm>
                        <a:off x="1137920" y="9776460"/>
                        <a:ext cx="5543550" cy="63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25pt;margin-top:-3.65pt;height:0.5pt;width:436.5pt;z-index:251693056;mso-width-relative:page;mso-height-relative:page;" filled="f" stroked="t" coordsize="21600,21600" o:gfxdata="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6KEa1gAAAAcBAAAPAAAAAAAAAAEAIAAAACIAAABkcnMvZG93bnJldi54bWxQSwECFAAU&#10;AAAACACHTuJAqh9zyfMBAADDAwAADgAAAAAAAAABACAAAAAlAQAAZHJzL2Uyb0RvYy54bWxQSwUG&#10;AAAAAAYABgBZAQAAigUAAAAA&#10;">
              <v:fill on="f" focussize="0,0"/>
              <v:stroke weight="1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85475">
                          <w:pPr>
                            <w:pStyle w:val="18"/>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79785475">
                    <w:pPr>
                      <w:pStyle w:val="18"/>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r>
      <w:rPr>
        <w:rFonts w:hint="eastAsia"/>
        <w:b/>
        <w:bCs/>
        <w:i/>
        <w:sz w:val="18"/>
        <w:lang w:val="en-US" w:eastAsia="zh-CN"/>
      </w:rPr>
      <w:t>环创（宁夏）生态环境设计院有限公司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5A4ED">
    <w:pPr>
      <w:pStyle w:val="18"/>
      <w:ind w:left="0" w:leftChars="0" w:firstLine="0" w:firstLineChars="0"/>
    </w:pPr>
    <w:r>
      <w:rPr>
        <w:sz w:val="18"/>
      </w:rPr>
      <mc:AlternateContent>
        <mc:Choice Requires="wps">
          <w:drawing>
            <wp:anchor distT="0" distB="0" distL="114300" distR="114300" simplePos="0" relativeHeight="251706368" behindDoc="0" locked="0" layoutInCell="1" allowOverlap="1">
              <wp:simplePos x="0" y="0"/>
              <wp:positionH relativeFrom="column">
                <wp:posOffset>-3175</wp:posOffset>
              </wp:positionH>
              <wp:positionV relativeFrom="paragraph">
                <wp:posOffset>-59690</wp:posOffset>
              </wp:positionV>
              <wp:extent cx="8874760" cy="13335"/>
              <wp:effectExtent l="0" t="6350" r="2540" b="8890"/>
              <wp:wrapNone/>
              <wp:docPr id="4" name="直接连接符 4"/>
              <wp:cNvGraphicFramePr/>
              <a:graphic xmlns:a="http://schemas.openxmlformats.org/drawingml/2006/main">
                <a:graphicData uri="http://schemas.microsoft.com/office/word/2010/wordprocessingShape">
                  <wps:wsp>
                    <wps:cNvCnPr/>
                    <wps:spPr>
                      <a:xfrm flipV="1">
                        <a:off x="1137920" y="9776460"/>
                        <a:ext cx="8874760" cy="1333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25pt;margin-top:-4.7pt;height:1.05pt;width:698.8pt;z-index:251706368;mso-width-relative:page;mso-height-relative:page;" filled="f" stroked="t" coordsize="21600,21600" o:gfxdata="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7rXoNYAAAAIAQAADwAAAAAAAAABACAAAAAiAAAAZHJzL2Rvd25yZXYueG1s&#10;UEsBAhQAFAAAAAgAh07iQMlOI+r6AQAAzAMAAA4AAAAAAAAAAQAgAAAAJQEAAGRycy9lMm9Eb2Mu&#10;eG1sUEsFBgAAAAAGAAYAWQEAAJEFAAAAAA==&#10;">
              <v:fill on="f" focussize="0,0"/>
              <v:stroke weight="1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29545">
                          <w:pPr>
                            <w:pStyle w:val="18"/>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F729545">
                    <w:pPr>
                      <w:pStyle w:val="18"/>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r>
      <w:rPr>
        <w:rFonts w:hint="eastAsia"/>
        <w:b/>
        <w:bCs/>
        <w:i/>
        <w:sz w:val="18"/>
        <w:lang w:val="en-US" w:eastAsia="zh-CN"/>
      </w:rPr>
      <w:t>环创（宁夏）生态环境设计院有限公司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C380C">
    <w:pPr>
      <w:pStyle w:val="18"/>
      <w:ind w:left="0" w:leftChars="0" w:firstLine="0" w:firstLineChars="0"/>
    </w:pPr>
    <w:r>
      <w:rPr>
        <w:sz w:val="18"/>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7AE23">
                          <w:pPr>
                            <w:pStyle w:val="18"/>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7D07AE23">
                    <w:pPr>
                      <w:pStyle w:val="18"/>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94080" behindDoc="0" locked="0" layoutInCell="1" allowOverlap="1">
              <wp:simplePos x="0" y="0"/>
              <wp:positionH relativeFrom="column">
                <wp:posOffset>-5080</wp:posOffset>
              </wp:positionH>
              <wp:positionV relativeFrom="paragraph">
                <wp:posOffset>-69215</wp:posOffset>
              </wp:positionV>
              <wp:extent cx="5547360" cy="10795"/>
              <wp:effectExtent l="0" t="6350" r="15240" b="11430"/>
              <wp:wrapNone/>
              <wp:docPr id="56" name="直接连接符 56"/>
              <wp:cNvGraphicFramePr/>
              <a:graphic xmlns:a="http://schemas.openxmlformats.org/drawingml/2006/main">
                <a:graphicData uri="http://schemas.microsoft.com/office/word/2010/wordprocessingShape">
                  <wps:wsp>
                    <wps:cNvCnPr/>
                    <wps:spPr>
                      <a:xfrm flipV="1">
                        <a:off x="1137920" y="9776460"/>
                        <a:ext cx="5547360" cy="1079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4pt;margin-top:-5.45pt;height:0.85pt;width:436.8pt;z-index:251694080;mso-width-relative:page;mso-height-relative:page;" filled="f" stroked="t" coordsize="21600,21600" o:gfxdata="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I0HM7VAAAACAEAAA8AAAAAAAAAAQAgAAAAIgAAAGRycy9kb3ducmV2Lnht&#10;bFBLAQIUABQAAAAIAIdO4kAyifYj/AEAAM4DAAAOAAAAAAAAAAEAIAAAACQBAABkcnMvZTJvRG9j&#10;LnhtbFBLBQYAAAAABgAGAFkBAACSBQAAAAA=&#10;">
              <v:fill on="f" focussize="0,0"/>
              <v:stroke weight="1pt" color="#000000 [3213]" miterlimit="8" joinstyle="miter"/>
              <v:imagedata o:title=""/>
              <o:lock v:ext="edit" aspectratio="f"/>
            </v:line>
          </w:pict>
        </mc:Fallback>
      </mc:AlternateContent>
    </w:r>
    <w:r>
      <w:rPr>
        <w:rFonts w:hint="eastAsia"/>
        <w:b/>
        <w:bCs/>
        <w:i/>
        <w:sz w:val="18"/>
        <w:lang w:val="en-US" w:eastAsia="zh-CN"/>
      </w:rPr>
      <w:t>环创（宁夏）生态环境设计院有限公司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04E51">
    <w:pPr>
      <w:pStyle w:val="19"/>
      <w:pBdr>
        <w:bottom w:val="thinThickSmallGap" w:color="auto" w:sz="12" w:space="1"/>
      </w:pBdr>
      <w:ind w:left="0" w:leftChars="0" w:firstLine="0" w:firstLineChars="0"/>
      <w:rPr>
        <w:rFonts w:hint="default" w:asciiTheme="minorEastAsia" w:hAnsiTheme="minorEastAsia" w:eastAsiaTheme="minorEastAsia" w:cstheme="minorEastAsia"/>
        <w:b/>
        <w:bCs/>
        <w:i/>
        <w:iCs/>
        <w:lang w:val="en-US" w:eastAsia="zh-CN"/>
      </w:rPr>
    </w:pPr>
    <w:r>
      <w:rPr>
        <w:rFonts w:hint="eastAsia" w:asciiTheme="minorEastAsia" w:hAnsiTheme="minorEastAsia" w:eastAsiaTheme="minorEastAsia" w:cstheme="minorEastAsia"/>
        <w:b/>
        <w:bCs/>
        <w:i/>
        <w:iCs/>
      </w:rPr>
      <w:t>固原市科财牛羊屠宰精深加工项目</w:t>
    </w:r>
    <w:r>
      <w:rPr>
        <w:rFonts w:hint="eastAsia" w:asciiTheme="minorEastAsia" w:hAnsiTheme="minorEastAsia" w:eastAsiaTheme="minorEastAsia" w:cstheme="minorEastAsia"/>
        <w:b/>
        <w:bCs/>
        <w:i/>
        <w:iCs/>
        <w:lang w:val="en-US" w:eastAsia="zh-CN"/>
      </w:rPr>
      <w:t xml:space="preserve">                                                    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EAF8A">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18138">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BE516">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08F87">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A185B">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8F611">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520C8">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043BD">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98122">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7D62A">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EB5CC">
    <w:pPr>
      <w:pStyle w:val="19"/>
      <w:pBdr>
        <w:bottom w:val="thinThickSmallGap" w:color="000000" w:sz="24" w:space="1"/>
      </w:pBdr>
      <w:ind w:firstLine="0" w:firstLineChars="0"/>
      <w:jc w:val="left"/>
    </w:pPr>
    <w:r>
      <w:rPr>
        <w:rFonts w:hint="eastAsia" w:ascii="宋体" w:hAnsi="宋体" w:eastAsia="宋体" w:cs="宋体"/>
        <w:b/>
        <w:bCs/>
        <w:i/>
        <w:iCs/>
        <w:szCs w:val="18"/>
      </w:rPr>
      <w:t xml:space="preserve">概述                           </w:t>
    </w:r>
    <w:r>
      <w:rPr>
        <w:rFonts w:hint="eastAsia" w:ascii="宋体" w:hAnsi="宋体" w:eastAsia="宋体" w:cs="宋体"/>
        <w:b/>
        <w:bCs/>
        <w:i/>
        <w:iCs/>
        <w:szCs w:val="18"/>
        <w:lang w:eastAsia="zh-CN"/>
      </w:rPr>
      <w:t>宁夏瀚林牧业有限公司标准化肉牛场二期建设项目</w:t>
    </w:r>
    <w:r>
      <w:rPr>
        <w:rFonts w:hint="eastAsia" w:ascii="宋体" w:hAnsi="宋体" w:eastAsia="宋体" w:cs="宋体"/>
        <w:b/>
        <w:bCs/>
        <w:i/>
        <w:iCs/>
        <w:szCs w:val="18"/>
      </w:rPr>
      <w:t>环境影响报告书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1FEDE">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F5020">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E4B5C">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B97C">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83184">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14DC3">
    <w:pPr>
      <w:pStyle w:val="19"/>
      <w:pBdr>
        <w:bottom w:val="thinThickSmallGap" w:color="auto" w:sz="18" w:space="0"/>
      </w:pBdr>
      <w:ind w:left="0" w:leftChars="0" w:firstLine="0" w:firstLineChars="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75FA5">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C58D8">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313E1">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C2D5A">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C2B4B">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0FB01">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r>
      <w:rPr>
        <w:rFonts w:hint="eastAsia"/>
        <w:b/>
        <w:bCs/>
        <w:i/>
        <w:iCs/>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1BF2E">
    <w:pPr>
      <w:pStyle w:val="19"/>
      <w:pBdr>
        <w:bottom w:val="thinThickSmallGap" w:color="auto" w:sz="18" w:space="0"/>
      </w:pBdr>
      <w:ind w:left="3253" w:leftChars="0" w:hanging="3253" w:hangingChars="1800"/>
      <w:jc w:val="left"/>
      <w:rPr>
        <w:rFonts w:hint="eastAsia"/>
      </w:rPr>
    </w:pPr>
    <w:r>
      <w:rPr>
        <w:rFonts w:hint="eastAsia" w:asciiTheme="minorEastAsia" w:hAnsiTheme="minorEastAsia" w:eastAsiaTheme="minorEastAsia" w:cstheme="minorEastAsia"/>
        <w:b/>
        <w:bCs/>
        <w:i/>
        <w:iCs/>
      </w:rPr>
      <w:t>固原市科财牛羊屠宰精深加工项目</w:t>
    </w:r>
    <w:r>
      <w:rPr>
        <w:rFonts w:hint="eastAsia"/>
        <w:b/>
        <w:bCs/>
        <w:i/>
        <w:iCs/>
        <w:lang w:val="en-US" w:eastAsia="zh-CN"/>
      </w:rPr>
      <w:t xml:space="preserve"> </w:t>
    </w:r>
    <w:r>
      <w:rPr>
        <w:rFonts w:hint="eastAsia" w:ascii="宋体" w:hAnsi="宋体" w:cs="宋体"/>
        <w:b/>
        <w:bCs/>
        <w:i/>
        <w:iCs/>
      </w:rPr>
      <w:t xml:space="preserve">            </w:t>
    </w:r>
    <w:r>
      <w:rPr>
        <w:rFonts w:hint="eastAsia" w:ascii="宋体" w:hAnsi="宋体" w:cs="宋体"/>
        <w:b/>
        <w:bCs/>
        <w:i/>
        <w:iCs/>
        <w:lang w:val="en-US" w:eastAsia="zh-CN"/>
      </w:rPr>
      <w:t xml:space="preserve">                                       </w:t>
    </w:r>
    <w:r>
      <w:rPr>
        <w:rFonts w:hint="eastAsia" w:ascii="宋体" w:hAnsi="宋体" w:cs="宋体"/>
        <w:b/>
        <w:bCs/>
        <w:i/>
        <w:iCs/>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68040"/>
    <w:multiLevelType w:val="singleLevel"/>
    <w:tmpl w:val="A9568040"/>
    <w:lvl w:ilvl="0" w:tentative="0">
      <w:start w:val="1"/>
      <w:numFmt w:val="decimal"/>
      <w:suff w:val="nothing"/>
      <w:lvlText w:val="（%1）"/>
      <w:lvlJc w:val="left"/>
    </w:lvl>
  </w:abstractNum>
  <w:abstractNum w:abstractNumId="1">
    <w:nsid w:val="FC2A98CB"/>
    <w:multiLevelType w:val="singleLevel"/>
    <w:tmpl w:val="FC2A98CB"/>
    <w:lvl w:ilvl="0" w:tentative="0">
      <w:start w:val="1"/>
      <w:numFmt w:val="decimal"/>
      <w:suff w:val="nothing"/>
      <w:lvlText w:val="（%1）"/>
      <w:lvlJc w:val="left"/>
    </w:lvl>
  </w:abstractNum>
  <w:abstractNum w:abstractNumId="2">
    <w:nsid w:val="51078114"/>
    <w:multiLevelType w:val="singleLevel"/>
    <w:tmpl w:val="51078114"/>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3">
    <w:nsid w:val="54FFE98C"/>
    <w:multiLevelType w:val="singleLevel"/>
    <w:tmpl w:val="54FFE98C"/>
    <w:lvl w:ilvl="0" w:tentative="0">
      <w:start w:val="1"/>
      <w:numFmt w:val="decimal"/>
      <w:suff w:val="nothing"/>
      <w:lvlText w:val="(%1)"/>
      <w:lvlJc w:val="left"/>
    </w:lvl>
  </w:abstractNum>
  <w:num w:numId="1">
    <w:abstractNumId w:val="2"/>
  </w:num>
  <w:num w:numId="2">
    <w:abstractNumId w:val="3"/>
    <w:lvlOverride w:ilvl="0">
      <w:lvl w:ilvl="0" w:tentative="1">
        <w:start w:val="1"/>
        <w:numFmt w:val="decimal"/>
        <w:pStyle w:val="41"/>
        <w:suff w:val="nothing"/>
        <w:lvlText w:val="(%1)"/>
        <w:lvlJc w:val="left"/>
      </w:lvl>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D37272"/>
    <w:rsid w:val="04A31997"/>
    <w:rsid w:val="04C6790D"/>
    <w:rsid w:val="0577717D"/>
    <w:rsid w:val="0819252E"/>
    <w:rsid w:val="09F60E51"/>
    <w:rsid w:val="0D3B0154"/>
    <w:rsid w:val="0DB00D15"/>
    <w:rsid w:val="1483257C"/>
    <w:rsid w:val="1C200AA5"/>
    <w:rsid w:val="1D4E3CEC"/>
    <w:rsid w:val="23A56707"/>
    <w:rsid w:val="24B82B07"/>
    <w:rsid w:val="24DE6477"/>
    <w:rsid w:val="27C22F50"/>
    <w:rsid w:val="29CF48E5"/>
    <w:rsid w:val="29E4176D"/>
    <w:rsid w:val="2EC26015"/>
    <w:rsid w:val="2EE10029"/>
    <w:rsid w:val="2F552274"/>
    <w:rsid w:val="2FBE036A"/>
    <w:rsid w:val="31483EB6"/>
    <w:rsid w:val="32A836CF"/>
    <w:rsid w:val="32BE2866"/>
    <w:rsid w:val="32DE5B30"/>
    <w:rsid w:val="3360723D"/>
    <w:rsid w:val="359E6C74"/>
    <w:rsid w:val="35F2364F"/>
    <w:rsid w:val="39D22D30"/>
    <w:rsid w:val="3CA049D3"/>
    <w:rsid w:val="3CCB2319"/>
    <w:rsid w:val="3E7F0D6A"/>
    <w:rsid w:val="40711049"/>
    <w:rsid w:val="40F87666"/>
    <w:rsid w:val="444140FD"/>
    <w:rsid w:val="49513989"/>
    <w:rsid w:val="4A840CBB"/>
    <w:rsid w:val="4ADF76BB"/>
    <w:rsid w:val="4C164B3B"/>
    <w:rsid w:val="4EEC23A6"/>
    <w:rsid w:val="4F9C3DCC"/>
    <w:rsid w:val="50560DC8"/>
    <w:rsid w:val="543F741C"/>
    <w:rsid w:val="54C16083"/>
    <w:rsid w:val="55172C10"/>
    <w:rsid w:val="562035F4"/>
    <w:rsid w:val="567A473C"/>
    <w:rsid w:val="579B2BBB"/>
    <w:rsid w:val="5B856690"/>
    <w:rsid w:val="5F9C0759"/>
    <w:rsid w:val="604A517F"/>
    <w:rsid w:val="62C706C8"/>
    <w:rsid w:val="63493E13"/>
    <w:rsid w:val="669B1CE2"/>
    <w:rsid w:val="66F45E44"/>
    <w:rsid w:val="6A395EAB"/>
    <w:rsid w:val="6A5C65F8"/>
    <w:rsid w:val="6B901AFA"/>
    <w:rsid w:val="6CC20275"/>
    <w:rsid w:val="6CEE4880"/>
    <w:rsid w:val="6D3E7027"/>
    <w:rsid w:val="6DD34033"/>
    <w:rsid w:val="6E497B4E"/>
    <w:rsid w:val="6E66587A"/>
    <w:rsid w:val="703664DC"/>
    <w:rsid w:val="712E334E"/>
    <w:rsid w:val="75B3019A"/>
    <w:rsid w:val="75F95225"/>
    <w:rsid w:val="79D45DC2"/>
    <w:rsid w:val="7C156ADE"/>
    <w:rsid w:val="7D001305"/>
    <w:rsid w:val="7EDD0317"/>
    <w:rsid w:val="97FDF778"/>
    <w:rsid w:val="9DDB9A23"/>
    <w:rsid w:val="DF4CF8EC"/>
    <w:rsid w:val="FFDD3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01" w:firstLineChars="200"/>
      <w:jc w:val="both"/>
    </w:pPr>
    <w:rPr>
      <w:rFonts w:ascii="Times New Roman" w:hAnsi="Times New Roman" w:eastAsia="仿宋_GB2312" w:cstheme="minorBidi"/>
      <w:kern w:val="2"/>
      <w:sz w:val="24"/>
      <w:szCs w:val="24"/>
      <w:lang w:val="en-US" w:eastAsia="zh-CN" w:bidi="ar-SA"/>
    </w:rPr>
  </w:style>
  <w:style w:type="paragraph" w:styleId="4">
    <w:name w:val="heading 1"/>
    <w:basedOn w:val="1"/>
    <w:next w:val="1"/>
    <w:qFormat/>
    <w:uiPriority w:val="0"/>
    <w:pPr>
      <w:keepNext/>
      <w:keepLines/>
      <w:spacing w:before="10"/>
      <w:ind w:firstLine="0" w:firstLineChars="0"/>
      <w:outlineLvl w:val="0"/>
    </w:pPr>
    <w:rPr>
      <w:rFonts w:eastAsia="黑体"/>
      <w:b/>
      <w:kern w:val="44"/>
      <w:sz w:val="28"/>
    </w:rPr>
  </w:style>
  <w:style w:type="paragraph" w:styleId="5">
    <w:name w:val="heading 2"/>
    <w:basedOn w:val="1"/>
    <w:next w:val="1"/>
    <w:unhideWhenUsed/>
    <w:qFormat/>
    <w:uiPriority w:val="0"/>
    <w:pPr>
      <w:keepNext/>
      <w:keepLines/>
      <w:spacing w:before="10" w:after="50" w:afterLines="50"/>
      <w:ind w:firstLine="0" w:firstLineChars="0"/>
      <w:outlineLvl w:val="1"/>
    </w:pPr>
    <w:rPr>
      <w:rFonts w:eastAsia="黑体"/>
      <w:b/>
      <w:sz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customStyle="1" w:styleId="2">
    <w:name w:val="正文（缩进）"/>
    <w:basedOn w:val="3"/>
    <w:next w:val="1"/>
    <w:semiHidden/>
    <w:qFormat/>
    <w:uiPriority w:val="0"/>
    <w:pPr>
      <w:adjustRightInd w:val="0"/>
      <w:snapToGrid w:val="0"/>
      <w:spacing w:line="360" w:lineRule="auto"/>
      <w:ind w:firstLine="200" w:firstLineChars="200"/>
    </w:pPr>
    <w:rPr>
      <w:snapToGrid w:val="0"/>
      <w:kern w:val="0"/>
      <w:sz w:val="24"/>
    </w:rPr>
  </w:style>
  <w:style w:type="paragraph" w:customStyle="1" w:styleId="3">
    <w:name w:val="正文(首行缩进)"/>
    <w:basedOn w:val="1"/>
    <w:qFormat/>
    <w:uiPriority w:val="0"/>
    <w:pPr>
      <w:adjustRightInd w:val="0"/>
      <w:snapToGrid w:val="0"/>
      <w:spacing w:line="360" w:lineRule="auto"/>
      <w:ind w:firstLine="200" w:firstLineChars="200"/>
    </w:pPr>
    <w:rPr>
      <w:snapToGrid w:val="0"/>
      <w:sz w:val="24"/>
    </w:rPr>
  </w:style>
  <w:style w:type="paragraph" w:styleId="6">
    <w:name w:val="Normal Indent"/>
    <w:basedOn w:val="1"/>
    <w:next w:val="7"/>
    <w:qFormat/>
    <w:uiPriority w:val="0"/>
    <w:pPr>
      <w:widowControl/>
      <w:ind w:firstLine="420"/>
      <w:jc w:val="left"/>
    </w:pPr>
    <w:rPr>
      <w:kern w:val="0"/>
      <w:sz w:val="20"/>
      <w:szCs w:val="20"/>
    </w:rPr>
  </w:style>
  <w:style w:type="paragraph" w:customStyle="1" w:styleId="7">
    <w:name w:val="表头"/>
    <w:basedOn w:val="8"/>
    <w:next w:val="1"/>
    <w:qFormat/>
    <w:uiPriority w:val="0"/>
    <w:pPr>
      <w:spacing w:line="480" w:lineRule="exact"/>
      <w:jc w:val="center"/>
    </w:pPr>
    <w:rPr>
      <w:rFonts w:ascii="黑体" w:hAnsi="宋体" w:eastAsia="黑体"/>
      <w:b w:val="0"/>
      <w:sz w:val="24"/>
      <w14:shadow w14:blurRad="50800" w14:dist="38100" w14:dir="2700000" w14:sx="100000" w14:sy="100000" w14:kx="0" w14:ky="0" w14:algn="tl">
        <w14:srgbClr w14:val="000000">
          <w14:alpha w14:val="60000"/>
        </w14:srgbClr>
      </w14:shadow>
    </w:rPr>
  </w:style>
  <w:style w:type="paragraph" w:styleId="8">
    <w:name w:val="List"/>
    <w:basedOn w:val="1"/>
    <w:qFormat/>
    <w:uiPriority w:val="0"/>
    <w:pPr>
      <w:adjustRightInd w:val="0"/>
      <w:spacing w:before="60" w:after="240" w:line="240" w:lineRule="atLeast"/>
      <w:ind w:left="360" w:hanging="360"/>
      <w:textAlignment w:val="baseline"/>
    </w:pPr>
    <w:rPr>
      <w:b/>
      <w:spacing w:val="20"/>
      <w:kern w:val="0"/>
      <w:sz w:val="28"/>
      <w:szCs w:val="20"/>
    </w:rPr>
  </w:style>
  <w:style w:type="paragraph" w:styleId="9">
    <w:name w:val="annotation text"/>
    <w:basedOn w:val="1"/>
    <w:semiHidden/>
    <w:qFormat/>
    <w:uiPriority w:val="99"/>
    <w:pPr>
      <w:jc w:val="left"/>
    </w:pPr>
    <w:rPr>
      <w:kern w:val="0"/>
      <w:szCs w:val="20"/>
    </w:rPr>
  </w:style>
  <w:style w:type="paragraph" w:styleId="10">
    <w:name w:val="Body Text"/>
    <w:basedOn w:val="1"/>
    <w:next w:val="11"/>
    <w:qFormat/>
    <w:uiPriority w:val="0"/>
    <w:pPr>
      <w:spacing w:after="120"/>
    </w:pPr>
  </w:style>
  <w:style w:type="paragraph" w:styleId="11">
    <w:name w:val="List Bullet 5"/>
    <w:basedOn w:val="1"/>
    <w:qFormat/>
    <w:uiPriority w:val="0"/>
    <w:pPr>
      <w:numPr>
        <w:ilvl w:val="0"/>
        <w:numId w:val="1"/>
      </w:numPr>
    </w:pPr>
  </w:style>
  <w:style w:type="paragraph" w:styleId="12">
    <w:name w:val="Body Text Indent"/>
    <w:basedOn w:val="1"/>
    <w:next w:val="13"/>
    <w:qFormat/>
    <w:uiPriority w:val="0"/>
    <w:pPr>
      <w:spacing w:line="500" w:lineRule="exact"/>
      <w:ind w:firstLine="560" w:firstLineChars="200"/>
    </w:pPr>
    <w:rPr>
      <w:rFonts w:ascii="宋体" w:hAnsi="宋体"/>
      <w:sz w:val="28"/>
    </w:rPr>
  </w:style>
  <w:style w:type="paragraph" w:styleId="13">
    <w:name w:val="Body Text First Indent 2"/>
    <w:basedOn w:val="12"/>
    <w:next w:val="14"/>
    <w:qFormat/>
    <w:uiPriority w:val="0"/>
    <w:pPr>
      <w:adjustRightInd w:val="0"/>
      <w:spacing w:before="60" w:after="120" w:line="460" w:lineRule="exact"/>
      <w:ind w:left="420" w:leftChars="200" w:firstLine="420"/>
      <w:textAlignment w:val="baseline"/>
    </w:pPr>
    <w:rPr>
      <w:rFonts w:ascii="Times New Roman" w:hAnsi="Times New Roman"/>
      <w:spacing w:val="10"/>
      <w:kern w:val="0"/>
      <w:szCs w:val="20"/>
    </w:rPr>
  </w:style>
  <w:style w:type="paragraph" w:styleId="14">
    <w:name w:val="Body Text First Indent"/>
    <w:basedOn w:val="10"/>
    <w:next w:val="1"/>
    <w:qFormat/>
    <w:uiPriority w:val="0"/>
    <w:pPr>
      <w:ind w:firstLine="420" w:firstLineChars="100"/>
    </w:pPr>
  </w:style>
  <w:style w:type="paragraph" w:styleId="15">
    <w:name w:val="Plain Text"/>
    <w:basedOn w:val="1"/>
    <w:qFormat/>
    <w:uiPriority w:val="0"/>
    <w:rPr>
      <w:rFonts w:ascii="宋体" w:hAnsi="Courier New" w:cs="Courier New"/>
      <w:szCs w:val="21"/>
    </w:rPr>
  </w:style>
  <w:style w:type="paragraph" w:styleId="16">
    <w:name w:val="Date"/>
    <w:basedOn w:val="1"/>
    <w:next w:val="1"/>
    <w:qFormat/>
    <w:uiPriority w:val="0"/>
    <w:pPr>
      <w:ind w:left="100" w:leftChars="2500"/>
    </w:pPr>
  </w:style>
  <w:style w:type="paragraph" w:styleId="17">
    <w:name w:val="Body Text Indent 2"/>
    <w:basedOn w:val="1"/>
    <w:qFormat/>
    <w:uiPriority w:val="0"/>
    <w:pPr>
      <w:spacing w:after="120" w:line="480" w:lineRule="auto"/>
      <w:ind w:left="420" w:leftChars="200"/>
    </w:pPr>
  </w:style>
  <w:style w:type="paragraph" w:styleId="18">
    <w:name w:val="footer"/>
    <w:basedOn w:val="1"/>
    <w:next w:val="1"/>
    <w:qFormat/>
    <w:uiPriority w:val="0"/>
    <w:pPr>
      <w:tabs>
        <w:tab w:val="center" w:pos="4153"/>
        <w:tab w:val="right" w:pos="8306"/>
      </w:tabs>
      <w:snapToGrid w:val="0"/>
      <w:jc w:val="left"/>
    </w:pPr>
    <w:rPr>
      <w:sz w:val="18"/>
    </w:rPr>
  </w:style>
  <w:style w:type="paragraph" w:styleId="19">
    <w:name w:val="header"/>
    <w:basedOn w:val="1"/>
    <w:next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20">
    <w:name w:val="样式5"/>
    <w:basedOn w:val="21"/>
    <w:qFormat/>
    <w:uiPriority w:val="0"/>
    <w:pPr>
      <w:keepNext/>
      <w:keepLines/>
      <w:tabs>
        <w:tab w:val="left" w:pos="429"/>
      </w:tabs>
      <w:adjustRightInd w:val="0"/>
      <w:spacing w:before="60" w:after="60" w:line="460" w:lineRule="exact"/>
      <w:ind w:right="-193"/>
      <w:jc w:val="center"/>
      <w:textAlignment w:val="baseline"/>
    </w:pPr>
    <w:rPr>
      <w:b/>
      <w:spacing w:val="10"/>
      <w:kern w:val="0"/>
      <w:sz w:val="28"/>
      <w:szCs w:val="20"/>
    </w:rPr>
  </w:style>
  <w:style w:type="paragraph" w:customStyle="1" w:styleId="21">
    <w:name w:val="正文1"/>
    <w:basedOn w:val="1"/>
    <w:next w:val="1"/>
    <w:link w:val="56"/>
    <w:qFormat/>
    <w:uiPriority w:val="0"/>
    <w:pPr>
      <w:spacing w:line="480" w:lineRule="exact"/>
      <w:ind w:firstLine="200" w:firstLineChars="200"/>
    </w:pPr>
    <w:rPr>
      <w:sz w:val="24"/>
    </w:rPr>
  </w:style>
  <w:style w:type="paragraph" w:styleId="22">
    <w:name w:val="toc 1"/>
    <w:basedOn w:val="1"/>
    <w:next w:val="1"/>
    <w:qFormat/>
    <w:uiPriority w:val="0"/>
  </w:style>
  <w:style w:type="paragraph" w:styleId="23">
    <w:name w:val="Body Text Indent 3"/>
    <w:basedOn w:val="1"/>
    <w:qFormat/>
    <w:uiPriority w:val="0"/>
    <w:pPr>
      <w:spacing w:after="120"/>
      <w:ind w:left="420" w:leftChars="200"/>
    </w:pPr>
    <w:rPr>
      <w:sz w:val="16"/>
      <w:szCs w:val="16"/>
    </w:rPr>
  </w:style>
  <w:style w:type="paragraph" w:styleId="24">
    <w:name w:val="toc 2"/>
    <w:basedOn w:val="1"/>
    <w:next w:val="1"/>
    <w:qFormat/>
    <w:uiPriority w:val="0"/>
    <w:pPr>
      <w:ind w:left="420" w:leftChars="200"/>
    </w:pPr>
  </w:style>
  <w:style w:type="paragraph" w:styleId="25">
    <w:name w:val="Body Text 2"/>
    <w:basedOn w:val="1"/>
    <w:qFormat/>
    <w:uiPriority w:val="0"/>
    <w:pPr>
      <w:spacing w:after="120" w:line="480" w:lineRule="auto"/>
    </w:pPr>
  </w:style>
  <w:style w:type="paragraph" w:styleId="26">
    <w:name w:val="Normal (Web)"/>
    <w:basedOn w:val="1"/>
    <w:qFormat/>
    <w:uiPriority w:val="0"/>
    <w:pPr>
      <w:widowControl/>
      <w:spacing w:before="100" w:beforeAutospacing="1" w:after="100" w:afterAutospacing="1"/>
      <w:jc w:val="left"/>
    </w:pPr>
    <w:rPr>
      <w:rFonts w:ascii="宋体" w:hAnsi="宋体" w:cs="宋体"/>
      <w:kern w:val="0"/>
      <w:sz w:val="18"/>
      <w:szCs w:val="18"/>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Hyperlink"/>
    <w:basedOn w:val="29"/>
    <w:qFormat/>
    <w:uiPriority w:val="0"/>
    <w:rPr>
      <w:color w:val="0000FF"/>
      <w:u w:val="single"/>
    </w:rPr>
  </w:style>
  <w:style w:type="paragraph" w:customStyle="1" w:styleId="32">
    <w:name w:val="表格"/>
    <w:basedOn w:val="33"/>
    <w:next w:val="1"/>
    <w:autoRedefine/>
    <w:qFormat/>
    <w:uiPriority w:val="0"/>
    <w:pPr>
      <w:spacing w:line="240" w:lineRule="auto"/>
      <w:ind w:firstLine="0" w:firstLineChars="0"/>
      <w:jc w:val="center"/>
    </w:pPr>
    <w:rPr>
      <w:rFonts w:eastAsia="宋体"/>
      <w:sz w:val="21"/>
    </w:rPr>
  </w:style>
  <w:style w:type="paragraph" w:customStyle="1" w:styleId="33">
    <w:name w:val="Normal Indent1"/>
    <w:basedOn w:val="1"/>
    <w:qFormat/>
    <w:uiPriority w:val="0"/>
    <w:pPr>
      <w:spacing w:line="600" w:lineRule="exact"/>
      <w:ind w:firstLine="420"/>
    </w:pPr>
    <w:rPr>
      <w:rFonts w:ascii="宋体" w:cs="Times New Roman"/>
      <w:sz w:val="32"/>
      <w:szCs w:val="20"/>
    </w:rPr>
  </w:style>
  <w:style w:type="paragraph" w:customStyle="1" w:styleId="34">
    <w:name w:val="Default"/>
    <w:next w:val="2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表格标题"/>
    <w:basedOn w:val="1"/>
    <w:next w:val="10"/>
    <w:qFormat/>
    <w:uiPriority w:val="0"/>
    <w:pPr>
      <w:numPr>
        <w:ilvl w:val="0"/>
        <w:numId w:val="0"/>
      </w:numPr>
      <w:autoSpaceDE w:val="0"/>
      <w:autoSpaceDN w:val="0"/>
      <w:adjustRightInd w:val="0"/>
      <w:snapToGrid w:val="0"/>
      <w:spacing w:line="540" w:lineRule="exact"/>
      <w:ind w:firstLine="200" w:firstLineChars="200"/>
      <w:jc w:val="left"/>
      <w:textAlignment w:val="baseline"/>
    </w:pPr>
    <w:rPr>
      <w:b/>
      <w:kern w:val="0"/>
      <w:szCs w:val="20"/>
    </w:rPr>
  </w:style>
  <w:style w:type="paragraph" w:customStyle="1" w:styleId="36">
    <w:name w:val="表号题注"/>
    <w:basedOn w:val="1"/>
    <w:link w:val="37"/>
    <w:qFormat/>
    <w:uiPriority w:val="0"/>
    <w:pPr>
      <w:spacing w:line="360" w:lineRule="auto"/>
    </w:pPr>
    <w:rPr>
      <w:rFonts w:hAnsi="宋体"/>
      <w:color w:val="000000"/>
      <w:lang w:bidi="en-US"/>
    </w:rPr>
  </w:style>
  <w:style w:type="character" w:customStyle="1" w:styleId="37">
    <w:name w:val="表号题注 Char Char"/>
    <w:link w:val="36"/>
    <w:qFormat/>
    <w:uiPriority w:val="0"/>
    <w:rPr>
      <w:rFonts w:hAnsi="宋体"/>
      <w:color w:val="000000"/>
      <w:lang w:bidi="en-US"/>
    </w:rPr>
  </w:style>
  <w:style w:type="paragraph" w:customStyle="1" w:styleId="38">
    <w:name w:val="Table Paragraph"/>
    <w:basedOn w:val="39"/>
    <w:qFormat/>
    <w:uiPriority w:val="1"/>
  </w:style>
  <w:style w:type="paragraph" w:customStyle="1" w:styleId="39">
    <w:name w:val="正文11"/>
    <w:qFormat/>
    <w:uiPriority w:val="0"/>
    <w:pPr>
      <w:jc w:val="both"/>
    </w:pPr>
    <w:rPr>
      <w:rFonts w:ascii="Calibri" w:hAnsi="Calibri" w:eastAsiaTheme="minorEastAsia" w:cstheme="minorBidi"/>
      <w:sz w:val="21"/>
      <w:szCs w:val="24"/>
    </w:rPr>
  </w:style>
  <w:style w:type="paragraph" w:customStyle="1" w:styleId="40">
    <w:name w:val="环评正文"/>
    <w:basedOn w:val="16"/>
    <w:next w:val="1"/>
    <w:qFormat/>
    <w:uiPriority w:val="0"/>
    <w:pPr>
      <w:adjustRightInd w:val="0"/>
      <w:spacing w:line="360" w:lineRule="auto"/>
      <w:ind w:firstLine="200" w:firstLineChars="200"/>
    </w:pPr>
    <w:rPr>
      <w:rFonts w:ascii="仿宋_GB2312" w:eastAsia="仿宋_GB2312"/>
      <w:bCs/>
      <w:sz w:val="24"/>
    </w:rPr>
  </w:style>
  <w:style w:type="paragraph" w:customStyle="1" w:styleId="41">
    <w:name w:val="环评正文编号"/>
    <w:basedOn w:val="40"/>
    <w:qFormat/>
    <w:locked/>
    <w:uiPriority w:val="0"/>
    <w:pPr>
      <w:numPr>
        <w:ilvl w:val="0"/>
        <w:numId w:val="2"/>
      </w:numPr>
      <w:spacing w:line="360" w:lineRule="auto"/>
      <w:ind w:firstLine="442"/>
    </w:pPr>
    <w:rPr>
      <w:rFonts w:ascii="仿宋_GB2312" w:eastAsia="仿宋_GB2312"/>
      <w:sz w:val="24"/>
      <w:lang w:bidi="en-US"/>
    </w:rPr>
  </w:style>
  <w:style w:type="paragraph" w:customStyle="1" w:styleId="42">
    <w:name w:val="B表格文字"/>
    <w:qFormat/>
    <w:uiPriority w:val="0"/>
    <w:pPr>
      <w:jc w:val="center"/>
    </w:pPr>
    <w:rPr>
      <w:rFonts w:ascii="Times New Roman" w:hAnsi="Times New Roman" w:eastAsia="宋体" w:cs="Times New Roman"/>
      <w:kern w:val="2"/>
      <w:sz w:val="21"/>
      <w:szCs w:val="24"/>
      <w:lang w:val="en-US" w:eastAsia="zh-CN" w:bidi="ar-SA"/>
    </w:rPr>
  </w:style>
  <w:style w:type="paragraph" w:customStyle="1" w:styleId="43">
    <w:name w:val="Other|1"/>
    <w:basedOn w:val="1"/>
    <w:qFormat/>
    <w:uiPriority w:val="0"/>
    <w:pPr>
      <w:widowControl w:val="0"/>
      <w:shd w:val="clear" w:color="auto" w:fill="auto"/>
      <w:spacing w:line="432" w:lineRule="auto"/>
      <w:ind w:firstLine="400"/>
    </w:pPr>
    <w:rPr>
      <w:rFonts w:ascii="宋体" w:hAnsi="宋体" w:eastAsia="宋体" w:cs="宋体"/>
      <w:sz w:val="22"/>
      <w:szCs w:val="22"/>
      <w:u w:val="none"/>
      <w:shd w:val="clear" w:color="auto" w:fill="auto"/>
      <w:lang w:val="zh-TW" w:eastAsia="zh-TW" w:bidi="zh-TW"/>
    </w:rPr>
  </w:style>
  <w:style w:type="paragraph" w:customStyle="1" w:styleId="44">
    <w:name w:val="报告正文"/>
    <w:basedOn w:val="40"/>
    <w:qFormat/>
    <w:uiPriority w:val="0"/>
    <w:pPr>
      <w:widowControl w:val="0"/>
      <w:adjustRightInd w:val="0"/>
      <w:spacing w:before="78" w:beforeLines="25" w:line="360" w:lineRule="auto"/>
      <w:ind w:firstLine="482"/>
      <w:jc w:val="both"/>
      <w:textAlignment w:val="baseline"/>
    </w:pPr>
    <w:rPr>
      <w:snapToGrid w:val="0"/>
      <w:kern w:val="24"/>
      <w:sz w:val="24"/>
      <w:szCs w:val="21"/>
    </w:rPr>
  </w:style>
  <w:style w:type="paragraph" w:customStyle="1" w:styleId="45">
    <w:name w:val="No Spacing"/>
    <w:qFormat/>
    <w:uiPriority w:val="0"/>
    <w:pPr>
      <w:widowControl w:val="0"/>
      <w:spacing w:beforeLines="50"/>
      <w:jc w:val="both"/>
    </w:pPr>
    <w:rPr>
      <w:rFonts w:ascii="Calibri" w:hAnsi="Calibri" w:eastAsia="宋体" w:cs="Times New Roman"/>
      <w:kern w:val="2"/>
      <w:sz w:val="21"/>
      <w:szCs w:val="22"/>
      <w:lang w:val="en-US" w:eastAsia="zh-CN" w:bidi="ar-SA"/>
    </w:rPr>
  </w:style>
  <w:style w:type="table" w:customStyle="1" w:styleId="46">
    <w:name w:val="Table Normal"/>
    <w:autoRedefine/>
    <w:semiHidden/>
    <w:unhideWhenUsed/>
    <w:qFormat/>
    <w:uiPriority w:val="0"/>
    <w:tblPr>
      <w:tblCellMar>
        <w:top w:w="0" w:type="dxa"/>
        <w:left w:w="0" w:type="dxa"/>
        <w:bottom w:w="0" w:type="dxa"/>
        <w:right w:w="0" w:type="dxa"/>
      </w:tblCellMar>
    </w:tblPr>
  </w:style>
  <w:style w:type="paragraph" w:customStyle="1" w:styleId="47">
    <w:name w:val="0正文中9.8新"/>
    <w:basedOn w:val="1"/>
    <w:qFormat/>
    <w:uiPriority w:val="0"/>
    <w:pPr>
      <w:spacing w:line="360" w:lineRule="auto"/>
      <w:ind w:firstLine="200" w:firstLineChars="200"/>
    </w:pPr>
    <w:rPr>
      <w:rFonts w:ascii="宋体" w:hAnsi="宋体" w:eastAsia="仿宋_GB2312" w:cs="Times New Roman"/>
      <w:sz w:val="24"/>
      <w:szCs w:val="24"/>
    </w:rPr>
  </w:style>
  <w:style w:type="paragraph" w:customStyle="1" w:styleId="48">
    <w:name w:val="【正文】"/>
    <w:basedOn w:val="1"/>
    <w:qFormat/>
    <w:uiPriority w:val="0"/>
    <w:pPr>
      <w:adjustRightInd w:val="0"/>
      <w:snapToGrid w:val="0"/>
      <w:spacing w:line="600" w:lineRule="exact"/>
      <w:ind w:firstLine="200" w:firstLineChars="200"/>
    </w:pPr>
    <w:rPr>
      <w:rFonts w:eastAsia="仿宋_GB2312"/>
      <w:kern w:val="0"/>
      <w:sz w:val="24"/>
      <w:szCs w:val="20"/>
    </w:rPr>
  </w:style>
  <w:style w:type="character" w:customStyle="1" w:styleId="49">
    <w:name w:val="font11"/>
    <w:basedOn w:val="29"/>
    <w:qFormat/>
    <w:uiPriority w:val="0"/>
    <w:rPr>
      <w:rFonts w:hint="eastAsia" w:ascii="宋体" w:hAnsi="宋体" w:eastAsia="宋体" w:cs="宋体"/>
      <w:b/>
      <w:bCs/>
      <w:color w:val="000000"/>
      <w:sz w:val="21"/>
      <w:szCs w:val="21"/>
      <w:u w:val="none"/>
    </w:rPr>
  </w:style>
  <w:style w:type="character" w:customStyle="1" w:styleId="50">
    <w:name w:val="font21"/>
    <w:basedOn w:val="29"/>
    <w:qFormat/>
    <w:uiPriority w:val="0"/>
    <w:rPr>
      <w:rFonts w:hint="default" w:ascii="Times New Roman" w:hAnsi="Times New Roman" w:cs="Times New Roman"/>
      <w:b/>
      <w:bCs/>
      <w:color w:val="000000"/>
      <w:sz w:val="21"/>
      <w:szCs w:val="21"/>
      <w:u w:val="none"/>
    </w:rPr>
  </w:style>
  <w:style w:type="character" w:customStyle="1" w:styleId="51">
    <w:name w:val="font51"/>
    <w:basedOn w:val="29"/>
    <w:qFormat/>
    <w:uiPriority w:val="0"/>
    <w:rPr>
      <w:rFonts w:hint="default" w:ascii="Times New Roman" w:hAnsi="Times New Roman" w:cs="Times New Roman"/>
      <w:b/>
      <w:bCs/>
      <w:color w:val="000000"/>
      <w:sz w:val="21"/>
      <w:szCs w:val="21"/>
      <w:u w:val="none"/>
      <w:vertAlign w:val="superscript"/>
    </w:rPr>
  </w:style>
  <w:style w:type="character" w:customStyle="1" w:styleId="52">
    <w:name w:val="font61"/>
    <w:basedOn w:val="29"/>
    <w:qFormat/>
    <w:uiPriority w:val="0"/>
    <w:rPr>
      <w:rFonts w:hint="default" w:ascii="Times New Roman" w:hAnsi="Times New Roman" w:cs="Times New Roman"/>
      <w:b/>
      <w:bCs/>
      <w:color w:val="000000"/>
      <w:sz w:val="21"/>
      <w:szCs w:val="21"/>
      <w:u w:val="none"/>
      <w:vertAlign w:val="subscript"/>
    </w:rPr>
  </w:style>
  <w:style w:type="character" w:customStyle="1" w:styleId="53">
    <w:name w:val="font31"/>
    <w:basedOn w:val="29"/>
    <w:qFormat/>
    <w:uiPriority w:val="0"/>
    <w:rPr>
      <w:rFonts w:hint="eastAsia" w:ascii="宋体" w:hAnsi="宋体" w:eastAsia="宋体" w:cs="宋体"/>
      <w:color w:val="000000"/>
      <w:sz w:val="21"/>
      <w:szCs w:val="21"/>
      <w:u w:val="none"/>
    </w:rPr>
  </w:style>
  <w:style w:type="character" w:customStyle="1" w:styleId="54">
    <w:name w:val="font41"/>
    <w:basedOn w:val="29"/>
    <w:qFormat/>
    <w:uiPriority w:val="0"/>
    <w:rPr>
      <w:rFonts w:hint="default" w:ascii="Times New Roman" w:hAnsi="Times New Roman" w:cs="Times New Roman"/>
      <w:color w:val="000000"/>
      <w:sz w:val="21"/>
      <w:szCs w:val="21"/>
      <w:u w:val="none"/>
    </w:rPr>
  </w:style>
  <w:style w:type="paragraph" w:customStyle="1" w:styleId="55">
    <w:name w:val="Table Text"/>
    <w:basedOn w:val="1"/>
    <w:semiHidden/>
    <w:qFormat/>
    <w:uiPriority w:val="0"/>
    <w:rPr>
      <w:rFonts w:ascii="微软雅黑" w:hAnsi="微软雅黑" w:eastAsia="微软雅黑" w:cs="微软雅黑"/>
      <w:sz w:val="24"/>
      <w:szCs w:val="24"/>
      <w:lang w:val="en-US" w:eastAsia="en-US" w:bidi="ar-SA"/>
    </w:rPr>
  </w:style>
  <w:style w:type="character" w:customStyle="1" w:styleId="56">
    <w:name w:val="正文1 Char"/>
    <w:link w:val="21"/>
    <w:qFormat/>
    <w:uiPriority w:val="0"/>
    <w:rPr>
      <w:sz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2.bin"/><Relationship Id="rId98" Type="http://schemas.openxmlformats.org/officeDocument/2006/relationships/image" Target="media/image36.wmf"/><Relationship Id="rId97" Type="http://schemas.openxmlformats.org/officeDocument/2006/relationships/oleObject" Target="embeddings/oleObject21.bin"/><Relationship Id="rId96" Type="http://schemas.openxmlformats.org/officeDocument/2006/relationships/image" Target="media/image35.wmf"/><Relationship Id="rId95" Type="http://schemas.openxmlformats.org/officeDocument/2006/relationships/oleObject" Target="embeddings/oleObject20.bin"/><Relationship Id="rId94" Type="http://schemas.openxmlformats.org/officeDocument/2006/relationships/image" Target="media/image34.wmf"/><Relationship Id="rId93" Type="http://schemas.openxmlformats.org/officeDocument/2006/relationships/oleObject" Target="embeddings/oleObject19.bin"/><Relationship Id="rId92" Type="http://schemas.openxmlformats.org/officeDocument/2006/relationships/image" Target="media/image33.wmf"/><Relationship Id="rId91" Type="http://schemas.openxmlformats.org/officeDocument/2006/relationships/oleObject" Target="embeddings/oleObject18.bin"/><Relationship Id="rId90" Type="http://schemas.openxmlformats.org/officeDocument/2006/relationships/image" Target="media/image32.wmf"/><Relationship Id="rId9" Type="http://schemas.openxmlformats.org/officeDocument/2006/relationships/footer" Target="footer3.xml"/><Relationship Id="rId89" Type="http://schemas.openxmlformats.org/officeDocument/2006/relationships/oleObject" Target="embeddings/oleObject17.bin"/><Relationship Id="rId88" Type="http://schemas.openxmlformats.org/officeDocument/2006/relationships/image" Target="media/image31.wmf"/><Relationship Id="rId87" Type="http://schemas.openxmlformats.org/officeDocument/2006/relationships/oleObject" Target="embeddings/oleObject16.bin"/><Relationship Id="rId86" Type="http://schemas.openxmlformats.org/officeDocument/2006/relationships/image" Target="media/image30.wmf"/><Relationship Id="rId85" Type="http://schemas.openxmlformats.org/officeDocument/2006/relationships/oleObject" Target="embeddings/oleObject15.bin"/><Relationship Id="rId84" Type="http://schemas.openxmlformats.org/officeDocument/2006/relationships/image" Target="media/image29.wmf"/><Relationship Id="rId83" Type="http://schemas.openxmlformats.org/officeDocument/2006/relationships/oleObject" Target="embeddings/oleObject14.bin"/><Relationship Id="rId82" Type="http://schemas.openxmlformats.org/officeDocument/2006/relationships/image" Target="media/image28.wmf"/><Relationship Id="rId81" Type="http://schemas.openxmlformats.org/officeDocument/2006/relationships/oleObject" Target="embeddings/oleObject13.bin"/><Relationship Id="rId80" Type="http://schemas.openxmlformats.org/officeDocument/2006/relationships/image" Target="media/image27.png"/><Relationship Id="rId8" Type="http://schemas.openxmlformats.org/officeDocument/2006/relationships/footer" Target="footer2.xml"/><Relationship Id="rId79" Type="http://schemas.openxmlformats.org/officeDocument/2006/relationships/image" Target="media/image26.png"/><Relationship Id="rId78" Type="http://schemas.openxmlformats.org/officeDocument/2006/relationships/image" Target="media/image25.png"/><Relationship Id="rId77" Type="http://schemas.openxmlformats.org/officeDocument/2006/relationships/image" Target="media/image24.png"/><Relationship Id="rId76" Type="http://schemas.openxmlformats.org/officeDocument/2006/relationships/image" Target="media/image23.png"/><Relationship Id="rId75" Type="http://schemas.openxmlformats.org/officeDocument/2006/relationships/image" Target="media/image22.wmf"/><Relationship Id="rId74" Type="http://schemas.openxmlformats.org/officeDocument/2006/relationships/oleObject" Target="embeddings/oleObject12.bin"/><Relationship Id="rId73" Type="http://schemas.openxmlformats.org/officeDocument/2006/relationships/image" Target="media/image21.wmf"/><Relationship Id="rId72" Type="http://schemas.openxmlformats.org/officeDocument/2006/relationships/oleObject" Target="embeddings/oleObject11.bin"/><Relationship Id="rId71" Type="http://schemas.openxmlformats.org/officeDocument/2006/relationships/image" Target="media/image20.jpeg"/><Relationship Id="rId70" Type="http://schemas.openxmlformats.org/officeDocument/2006/relationships/image" Target="media/image19.png"/><Relationship Id="rId7" Type="http://schemas.openxmlformats.org/officeDocument/2006/relationships/footer" Target="footer1.xml"/><Relationship Id="rId69" Type="http://schemas.openxmlformats.org/officeDocument/2006/relationships/image" Target="media/image18.jpeg"/><Relationship Id="rId68" Type="http://schemas.openxmlformats.org/officeDocument/2006/relationships/image" Target="media/image17.png"/><Relationship Id="rId67" Type="http://schemas.openxmlformats.org/officeDocument/2006/relationships/image" Target="media/image16.png"/><Relationship Id="rId66" Type="http://schemas.openxmlformats.org/officeDocument/2006/relationships/image" Target="media/image15.jpeg"/><Relationship Id="rId65" Type="http://schemas.openxmlformats.org/officeDocument/2006/relationships/image" Target="media/image14.png"/><Relationship Id="rId64" Type="http://schemas.openxmlformats.org/officeDocument/2006/relationships/image" Target="media/image13.emf"/><Relationship Id="rId63" Type="http://schemas.openxmlformats.org/officeDocument/2006/relationships/oleObject" Target="embeddings/oleObject10.bin"/><Relationship Id="rId62" Type="http://schemas.openxmlformats.org/officeDocument/2006/relationships/image" Target="media/image12.emf"/><Relationship Id="rId61" Type="http://schemas.openxmlformats.org/officeDocument/2006/relationships/oleObject" Target="embeddings/oleObject9.bin"/><Relationship Id="rId60" Type="http://schemas.openxmlformats.org/officeDocument/2006/relationships/image" Target="media/image11.emf"/><Relationship Id="rId6" Type="http://schemas.openxmlformats.org/officeDocument/2006/relationships/header" Target="header2.xml"/><Relationship Id="rId59" Type="http://schemas.openxmlformats.org/officeDocument/2006/relationships/oleObject" Target="embeddings/oleObject8.bin"/><Relationship Id="rId58" Type="http://schemas.openxmlformats.org/officeDocument/2006/relationships/image" Target="media/image10.emf"/><Relationship Id="rId57" Type="http://schemas.openxmlformats.org/officeDocument/2006/relationships/oleObject" Target="embeddings/oleObject7.bin"/><Relationship Id="rId56" Type="http://schemas.openxmlformats.org/officeDocument/2006/relationships/image" Target="media/image9.emf"/><Relationship Id="rId55" Type="http://schemas.openxmlformats.org/officeDocument/2006/relationships/oleObject" Target="embeddings/oleObject6.bin"/><Relationship Id="rId54" Type="http://schemas.openxmlformats.org/officeDocument/2006/relationships/image" Target="media/image8.emf"/><Relationship Id="rId53" Type="http://schemas.openxmlformats.org/officeDocument/2006/relationships/oleObject" Target="embeddings/oleObject5.bin"/><Relationship Id="rId52" Type="http://schemas.openxmlformats.org/officeDocument/2006/relationships/image" Target="media/image7.emf"/><Relationship Id="rId51" Type="http://schemas.openxmlformats.org/officeDocument/2006/relationships/image" Target="media/image6.emf"/><Relationship Id="rId50" Type="http://schemas.openxmlformats.org/officeDocument/2006/relationships/oleObject" Target="embeddings/oleObject4.bin"/><Relationship Id="rId5" Type="http://schemas.openxmlformats.org/officeDocument/2006/relationships/header" Target="header1.xml"/><Relationship Id="rId49" Type="http://schemas.openxmlformats.org/officeDocument/2006/relationships/image" Target="media/image5.jpeg"/><Relationship Id="rId48" Type="http://schemas.openxmlformats.org/officeDocument/2006/relationships/image" Target="media/image4.png"/><Relationship Id="rId47" Type="http://schemas.openxmlformats.org/officeDocument/2006/relationships/image" Target="media/image3.wmf"/><Relationship Id="rId46" Type="http://schemas.openxmlformats.org/officeDocument/2006/relationships/oleObject" Target="embeddings/oleObject3.bin"/><Relationship Id="rId45" Type="http://schemas.openxmlformats.org/officeDocument/2006/relationships/image" Target="media/image2.wmf"/><Relationship Id="rId44" Type="http://schemas.openxmlformats.org/officeDocument/2006/relationships/oleObject" Target="embeddings/oleObject2.bin"/><Relationship Id="rId43" Type="http://schemas.openxmlformats.org/officeDocument/2006/relationships/image" Target="media/image1.emf"/><Relationship Id="rId42" Type="http://schemas.openxmlformats.org/officeDocument/2006/relationships/oleObject" Target="embeddings/oleObject1.bin"/><Relationship Id="rId41" Type="http://schemas.openxmlformats.org/officeDocument/2006/relationships/theme" Target="theme/theme1.xml"/><Relationship Id="rId40" Type="http://schemas.openxmlformats.org/officeDocument/2006/relationships/header" Target="header25.xml"/><Relationship Id="rId4" Type="http://schemas.openxmlformats.org/officeDocument/2006/relationships/endnotes" Target="endnotes.xml"/><Relationship Id="rId39" Type="http://schemas.openxmlformats.org/officeDocument/2006/relationships/header" Target="header24.xml"/><Relationship Id="rId38" Type="http://schemas.openxmlformats.org/officeDocument/2006/relationships/header" Target="header23.xml"/><Relationship Id="rId37" Type="http://schemas.openxmlformats.org/officeDocument/2006/relationships/header" Target="header22.xml"/><Relationship Id="rId36" Type="http://schemas.openxmlformats.org/officeDocument/2006/relationships/header" Target="header21.xml"/><Relationship Id="rId35" Type="http://schemas.openxmlformats.org/officeDocument/2006/relationships/header" Target="header20.xml"/><Relationship Id="rId34" Type="http://schemas.openxmlformats.org/officeDocument/2006/relationships/header" Target="header19.xml"/><Relationship Id="rId33" Type="http://schemas.openxmlformats.org/officeDocument/2006/relationships/header" Target="header18.xml"/><Relationship Id="rId32" Type="http://schemas.openxmlformats.org/officeDocument/2006/relationships/header" Target="header17.xml"/><Relationship Id="rId31" Type="http://schemas.openxmlformats.org/officeDocument/2006/relationships/header" Target="header16.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header" Target="header8.xml"/><Relationship Id="rId22" Type="http://schemas.openxmlformats.org/officeDocument/2006/relationships/footer" Target="footer11.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7" Type="http://schemas.openxmlformats.org/officeDocument/2006/relationships/fontTable" Target="fontTable.xml"/><Relationship Id="rId126" Type="http://schemas.openxmlformats.org/officeDocument/2006/relationships/customXml" Target="../customXml/item2.xml"/><Relationship Id="rId125" Type="http://schemas.openxmlformats.org/officeDocument/2006/relationships/numbering" Target="numbering.xml"/><Relationship Id="rId124" Type="http://schemas.openxmlformats.org/officeDocument/2006/relationships/customXml" Target="../customXml/item1.xml"/><Relationship Id="rId123" Type="http://schemas.openxmlformats.org/officeDocument/2006/relationships/image" Target="media/image50.png"/><Relationship Id="rId122" Type="http://schemas.openxmlformats.org/officeDocument/2006/relationships/image" Target="media/image49.png"/><Relationship Id="rId121" Type="http://schemas.openxmlformats.org/officeDocument/2006/relationships/image" Target="media/image48.png"/><Relationship Id="rId120" Type="http://schemas.openxmlformats.org/officeDocument/2006/relationships/image" Target="media/image47.png"/><Relationship Id="rId12" Type="http://schemas.openxmlformats.org/officeDocument/2006/relationships/header" Target="header4.xml"/><Relationship Id="rId119" Type="http://schemas.openxmlformats.org/officeDocument/2006/relationships/image" Target="media/image46.emf"/><Relationship Id="rId118" Type="http://schemas.openxmlformats.org/officeDocument/2006/relationships/oleObject" Target="embeddings/oleObject32.bin"/><Relationship Id="rId117" Type="http://schemas.openxmlformats.org/officeDocument/2006/relationships/image" Target="media/image45.wmf"/><Relationship Id="rId116" Type="http://schemas.openxmlformats.org/officeDocument/2006/relationships/oleObject" Target="embeddings/oleObject31.bin"/><Relationship Id="rId115" Type="http://schemas.openxmlformats.org/officeDocument/2006/relationships/image" Target="media/image44.wmf"/><Relationship Id="rId114" Type="http://schemas.openxmlformats.org/officeDocument/2006/relationships/oleObject" Target="embeddings/oleObject30.bin"/><Relationship Id="rId113" Type="http://schemas.openxmlformats.org/officeDocument/2006/relationships/image" Target="media/image43.wmf"/><Relationship Id="rId112" Type="http://schemas.openxmlformats.org/officeDocument/2006/relationships/oleObject" Target="embeddings/oleObject29.bin"/><Relationship Id="rId111" Type="http://schemas.openxmlformats.org/officeDocument/2006/relationships/image" Target="media/image42.wmf"/><Relationship Id="rId110" Type="http://schemas.openxmlformats.org/officeDocument/2006/relationships/oleObject" Target="embeddings/oleObject28.bin"/><Relationship Id="rId11" Type="http://schemas.openxmlformats.org/officeDocument/2006/relationships/footer" Target="footer4.xml"/><Relationship Id="rId109" Type="http://schemas.openxmlformats.org/officeDocument/2006/relationships/image" Target="media/image41.wmf"/><Relationship Id="rId108" Type="http://schemas.openxmlformats.org/officeDocument/2006/relationships/oleObject" Target="embeddings/oleObject27.bin"/><Relationship Id="rId107" Type="http://schemas.openxmlformats.org/officeDocument/2006/relationships/image" Target="media/image40.wmf"/><Relationship Id="rId106" Type="http://schemas.openxmlformats.org/officeDocument/2006/relationships/oleObject" Target="embeddings/oleObject26.bin"/><Relationship Id="rId105" Type="http://schemas.openxmlformats.org/officeDocument/2006/relationships/image" Target="media/image39.wmf"/><Relationship Id="rId104" Type="http://schemas.openxmlformats.org/officeDocument/2006/relationships/oleObject" Target="embeddings/oleObject25.bin"/><Relationship Id="rId103" Type="http://schemas.openxmlformats.org/officeDocument/2006/relationships/image" Target="media/image38.wmf"/><Relationship Id="rId102" Type="http://schemas.openxmlformats.org/officeDocument/2006/relationships/oleObject" Target="embeddings/oleObject24.bin"/><Relationship Id="rId101" Type="http://schemas.openxmlformats.org/officeDocument/2006/relationships/image" Target="media/image37.wmf"/><Relationship Id="rId100" Type="http://schemas.openxmlformats.org/officeDocument/2006/relationships/oleObject" Target="embeddings/oleObject23.bin"/><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9fe50b54-e0e0-4cb9-b78e-d100d83c7945</errorID>
      <errorWord xmlns="http://schemas.wps.cn/vas-ai-hub/contract-review">相关的其它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相关的其他</item>
      </candidateList>
      <explain xmlns="http://schemas.wps.cn/vas-ai-hub/contract-review">词汇[相关的其它]为不规范表述或旧称，其规范书面表述为[相关的其他]。</explain>
      <paraID xmlns="http://schemas.wps.cn/vas-ai-hub/contract-review">33B4693F</paraID>
      <start xmlns="http://schemas.wps.cn/vas-ai-hub/contract-review">71</start>
      <end xmlns="http://schemas.wps.cn/vas-ai-hub/contract-review">76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487d088e-f6e2-4cc4-9eaa-104fa7eea6b6</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22A7E0FF</paraID>
      <start xmlns="http://schemas.wps.cn/vas-ai-hub/contract-review">7</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7d2f698f-fe8f-4c47-8d34-f034bf36a65a</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7438C941</paraID>
      <start xmlns="http://schemas.wps.cn/vas-ai-hub/contract-review">94</start>
      <end xmlns="http://schemas.wps.cn/vas-ai-hub/contract-review">96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209cc86b-de97-4292-a151-fac77a6c71b3</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18E5CC12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d937282b-d623-4364-aba7-a5e38ba45ecf</errorID>
      <errorWord xmlns="http://schemas.wps.cn/vas-ai-hub/contract-review">年平均降水量</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平均年降水量</item>
      </candidateList>
      <explain xmlns="http://schemas.wps.cn/vas-ai-hub/contract-review">词汇[年平均降水量]为不规范表述或旧称，其规范书面表述为[平均年降水量]。</explain>
      <paraID xmlns="http://schemas.wps.cn/vas-ai-hub/contract-review">5CFEA41A</paraID>
      <start xmlns="http://schemas.wps.cn/vas-ai-hub/contract-review">0</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193b6814-ac2e-4e0b-b2b3-55d37e2da049</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71A5C267</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fcf59887-a481-4fce-87b1-5d7ea170deaa</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3B65642C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3bce769d-4752-4fd9-bb5e-e0bef3dec736</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15D9AAE0</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270e6955-3234-4e8c-9639-629078111120</errorID>
      <errorWord xmlns="http://schemas.wps.cn/vas-ai-hub/contract-review">疫病</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疫情</item>
      </candidateList>
      <explain xmlns="http://schemas.wps.cn/vas-ai-hub/contract-review">“疫病～发生”搭配不当，建议修改为“疫情～发生”。</explain>
      <paraID xmlns="http://schemas.wps.cn/vas-ai-hub/contract-review">134A172B</paraID>
      <start xmlns="http://schemas.wps.cn/vas-ai-hub/contract-review">3</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82280205-e9d5-4a00-ba2a-b099292cb575</errorID>
      <errorWord xmlns="http://schemas.wps.cn/vas-ai-hub/contract-review">疫病</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疫情</item>
      </candidateList>
      <explain xmlns="http://schemas.wps.cn/vas-ai-hub/contract-review">“疫病～发生”搭配不当，建议修改为“疫情～发生”。</explain>
      <paraID xmlns="http://schemas.wps.cn/vas-ai-hub/contract-review">134A172B</paraID>
      <start xmlns="http://schemas.wps.cn/vas-ai-hub/contract-review">48</start>
      <end xmlns="http://schemas.wps.cn/vas-ai-hub/contract-review">50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b8321c71-e030-4178-8546-12d38602090b</errorID>
      <errorWord xmlns="http://schemas.wps.cn/vas-ai-hub/contract-review">其它影响</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其他影响</item>
      </candidateList>
      <explain xmlns="http://schemas.wps.cn/vas-ai-hub/contract-review">词汇[其它影响]为不规范表述或旧称，其规范书面表述为[其他影响]。</explain>
      <paraID xmlns="http://schemas.wps.cn/vas-ai-hub/contract-review">271AF12A</paraID>
      <start xmlns="http://schemas.wps.cn/vas-ai-hub/contract-review">42</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21872689-6338-4198-9aab-16f1d7c36082</errorID>
      <errorWord xmlns="http://schemas.wps.cn/vas-ai-hub/contract-review">人大常务委员会</errorWord>
      <group xmlns="http://schemas.wps.cn/vas-ai-hub/contract-review">L1_Political</group>
      <groupName xmlns="http://schemas.wps.cn/vas-ai-hub/contract-review">政治性问题</groupName>
      <ability xmlns="http://schemas.wps.cn/vas-ai-hub/contract-review">L2_Unpolitical</ability>
      <abilityName xmlns="http://schemas.wps.cn/vas-ai-hub/contract-review">政治敏感错误</abilityName>
      <candidateList xmlns="http://schemas.wps.cn/vas-ai-hub/contract-review">
        <item xmlns="http://schemas.wps.cn/vas-ai-hub/contract-review">人大常委会</item>
      </candidateList>
      <explain xmlns="http://schemas.wps.cn/vas-ai-hub/contract-review"/>
      <paraID xmlns="http://schemas.wps.cn/vas-ai-hub/contract-review">3F91619F</paraID>
      <start xmlns="http://schemas.wps.cn/vas-ai-hub/contract-review">25</start>
      <end xmlns="http://schemas.wps.cn/vas-ai-hub/contract-review">32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b0a79e72-9ad6-43c4-9aa9-d7993aa5c294</errorID>
      <errorWord xmlns="http://schemas.wps.cn/vas-ai-hub/contract-review">孳生</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滋生</item>
      </candidateList>
      <explain xmlns="http://schemas.wps.cn/vas-ai-hub/contract-review">词汇[孳生]为不规范表述或旧称，其规范书面表述为[滋生]。</explain>
      <paraID xmlns="http://schemas.wps.cn/vas-ai-hub/contract-review">1234E42B</paraID>
      <start xmlns="http://schemas.wps.cn/vas-ai-hub/contract-review">16</start>
      <end xmlns="http://schemas.wps.cn/vas-ai-hub/contract-review">18</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e38653-45cc-42d9-9d90-c8a1541f841d}">
  <ds:schemaRefs/>
</ds:datastoreItem>
</file>

<file path=docProps/app.xml><?xml version="1.0" encoding="utf-8"?>
<Properties xmlns="http://schemas.openxmlformats.org/officeDocument/2006/extended-properties" xmlns:vt="http://schemas.openxmlformats.org/officeDocument/2006/docPropsVTypes">
  <Template>Normal.dotm</Template>
  <Pages>210</Pages>
  <Words>120632</Words>
  <Characters>144623</Characters>
  <Lines>0</Lines>
  <Paragraphs>0</Paragraphs>
  <TotalTime>13</TotalTime>
  <ScaleCrop>false</ScaleCrop>
  <LinksUpToDate>false</LinksUpToDate>
  <CharactersWithSpaces>147409</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2025-09-29T08:45:00Z</dcterms:created>
  <dc:creator>周艺帆</dc:creator>
  <cp:lastModifiedBy>greatwall</cp:lastModifiedBy>
  <dcterms:modified xsi:type="dcterms:W3CDTF">2026-05-15T18:40:30Z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47488E2EBEB0A42A85F3066A62D93282_43</vt:lpwstr>
  </property>
  <property fmtid="{D5CDD505-2E9C-101B-9397-08002B2CF9AE}" pid="4" name="KSOTemplateDocerSaveRecord">
    <vt:lpwstr>eyJoZGlkIjoiZjc2ZTU4ODcxZTQ5NzQ3ZTZkYzViY2JjYzE4NzNkMTciLCJ1c2VySWQiOiIxMzkwODExNjkxIn0=</vt:lpwstr>
  </property>
</Properties>
</file>